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4"/>
          <w:szCs w:val="24"/>
          <w:color w:val="auto"/>
        </w:rPr>
      </w:pPr>
    </w:p>
    <w:p>
      <w:pPr>
        <w:jc w:val="right"/>
        <w:ind w:right="40"/>
        <w:spacing w:after="0"/>
        <w:rPr>
          <w:sz w:val="20"/>
          <w:szCs w:val="20"/>
          <w:color w:val="auto"/>
        </w:rPr>
      </w:pPr>
      <w:r>
        <w:rPr>
          <w:rFonts w:ascii="Arial" w:cs="Arial" w:eastAsia="Arial" w:hAnsi="Arial"/>
          <w:sz w:val="18"/>
          <w:szCs w:val="18"/>
          <w:color w:val="auto"/>
        </w:rPr>
        <w:t>Filed Pursuant to Rule 497</w:t>
      </w:r>
    </w:p>
    <w:p>
      <w:pPr>
        <w:spacing w:after="0" w:line="1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File No. 333-180084</w:t>
      </w:r>
    </w:p>
    <w:p>
      <w:pPr>
        <w:spacing w:after="0" w:line="14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Prospectus Supplement</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To the Prospectus dated July 5,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2397760</wp:posOffset>
            </wp:positionH>
            <wp:positionV relativeFrom="paragraph">
              <wp:posOffset>84455</wp:posOffset>
            </wp:positionV>
            <wp:extent cx="2461260" cy="5314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61260"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4,400,000 Shares</w:t>
      </w:r>
    </w:p>
    <w:p>
      <w:pPr>
        <w:spacing w:after="0" w:line="44" w:lineRule="exact"/>
        <w:rPr>
          <w:sz w:val="24"/>
          <w:szCs w:val="24"/>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44" w:lineRule="exact"/>
        <w:rPr>
          <w:sz w:val="24"/>
          <w:szCs w:val="24"/>
          <w:color w:val="auto"/>
        </w:rPr>
      </w:pPr>
    </w:p>
    <w:p>
      <w:pPr>
        <w:ind w:left="4940"/>
        <w:spacing w:after="0"/>
        <w:rPr>
          <w:sz w:val="20"/>
          <w:szCs w:val="20"/>
          <w:color w:val="auto"/>
        </w:rPr>
      </w:pPr>
      <w:r>
        <w:rPr>
          <w:rFonts w:ascii="Arial" w:cs="Arial" w:eastAsia="Arial" w:hAnsi="Arial"/>
          <w:sz w:val="22"/>
          <w:szCs w:val="22"/>
          <w:b w:val="1"/>
          <w:bCs w:val="1"/>
          <w:color w:val="auto"/>
        </w:rPr>
        <w:t>$14.20 Per Share</w:t>
      </w:r>
    </w:p>
    <w:p>
      <w:pPr>
        <w:spacing w:after="0" w:line="90" w:lineRule="exact"/>
        <w:rPr>
          <w:sz w:val="24"/>
          <w:szCs w:val="24"/>
          <w:color w:val="auto"/>
        </w:rPr>
      </w:pPr>
    </w:p>
    <w:p>
      <w:pPr>
        <w:jc w:val="both"/>
        <w:ind w:right="360" w:firstLine="456"/>
        <w:spacing w:after="0" w:line="259" w:lineRule="auto"/>
        <w:rPr>
          <w:sz w:val="20"/>
          <w:szCs w:val="20"/>
          <w:color w:val="auto"/>
        </w:rPr>
      </w:pPr>
      <w:r>
        <w:rPr>
          <w:rFonts w:ascii="Arial" w:cs="Arial" w:eastAsia="Arial" w:hAnsi="Arial"/>
          <w:sz w:val="18"/>
          <w:szCs w:val="18"/>
          <w:color w:val="auto"/>
        </w:rPr>
        <w:t>We are offering for sale 4,400,000 shares of our common stock. Our common stock is traded on the NASDAQ Global Select Market under the symbol “PFLT.” The last reported closing price for our common stock on July 15, 2013 was $14.60 per share. The net asset value of our common stock on March 31, 2013 was $14.10 per share.</w:t>
      </w:r>
    </w:p>
    <w:p>
      <w:pPr>
        <w:spacing w:after="0" w:line="32" w:lineRule="exact"/>
        <w:rPr>
          <w:sz w:val="24"/>
          <w:szCs w:val="24"/>
          <w:color w:val="auto"/>
        </w:rPr>
      </w:pPr>
    </w:p>
    <w:p>
      <w:pPr>
        <w:ind w:right="120" w:firstLine="456"/>
        <w:spacing w:after="0" w:line="290" w:lineRule="auto"/>
        <w:rPr>
          <w:sz w:val="20"/>
          <w:szCs w:val="20"/>
          <w:color w:val="auto"/>
        </w:rPr>
      </w:pPr>
      <w:r>
        <w:rPr>
          <w:rFonts w:ascii="Arial" w:cs="Arial" w:eastAsia="Arial" w:hAnsi="Arial"/>
          <w:sz w:val="16"/>
          <w:szCs w:val="16"/>
          <w:color w:val="auto"/>
        </w:rPr>
        <w:t>PennantPark Floating Rate Capital Ltd., a Maryland corporation organized in October 2010, is a closed-end, externally managed, non-diversified investment company that has elected to be treated as a business development company, or a BDC, under the Investment Company Act of 1940, as amended, or the 1940 Act. 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over it. We are externally managed by PennantPark Investment Advisers, LLC. PennantPark Investment Administration, LLC provides the administrative services necessary for us to operate.</w:t>
      </w:r>
    </w:p>
    <w:p>
      <w:pPr>
        <w:spacing w:after="0" w:line="10" w:lineRule="exact"/>
        <w:rPr>
          <w:sz w:val="24"/>
          <w:szCs w:val="24"/>
          <w:color w:val="auto"/>
        </w:rPr>
      </w:pPr>
    </w:p>
    <w:p>
      <w:pPr>
        <w:ind w:right="280" w:firstLine="456"/>
        <w:spacing w:after="0" w:line="291" w:lineRule="auto"/>
        <w:rPr>
          <w:sz w:val="20"/>
          <w:szCs w:val="20"/>
          <w:color w:val="auto"/>
        </w:rPr>
      </w:pPr>
      <w:r>
        <w:rPr>
          <w:rFonts w:ascii="Arial" w:cs="Arial" w:eastAsia="Arial" w:hAnsi="Arial"/>
          <w:sz w:val="16"/>
          <w:szCs w:val="16"/>
          <w:color w:val="auto"/>
        </w:rPr>
        <w:t xml:space="preserve">This prospectus supplement and the accompanying prospectus contain important information you should know before investing in our securities. Please read them before you invest in our securities and keep them for future reference. We file annual, quarterly and current reports, proxy statements and other information about us with the Securities and Exchange Commission, or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The information on our website is not incorporated by reference into this prospectus supplement or the accompanying prospectus.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6" w:lineRule="exact"/>
        <w:rPr>
          <w:sz w:val="24"/>
          <w:szCs w:val="24"/>
          <w:color w:val="auto"/>
        </w:rPr>
      </w:pPr>
    </w:p>
    <w:p>
      <w:pPr>
        <w:jc w:val="both"/>
        <w:ind w:right="260" w:firstLine="342"/>
        <w:spacing w:after="0" w:line="262" w:lineRule="auto"/>
        <w:rPr>
          <w:rFonts w:ascii="Arial" w:cs="Arial" w:eastAsia="Arial" w:hAnsi="Arial"/>
          <w:sz w:val="18"/>
          <w:szCs w:val="18"/>
          <w:b w:val="1"/>
          <w:bCs w:val="1"/>
          <w:color w:val="auto"/>
        </w:rPr>
      </w:pPr>
      <w:r>
        <w:rPr>
          <w:rFonts w:ascii="Arial" w:cs="Arial" w:eastAsia="Arial" w:hAnsi="Arial"/>
          <w:sz w:val="18"/>
          <w:szCs w:val="18"/>
          <w:b w:val="1"/>
          <w:bCs w:val="1"/>
          <w:color w:val="auto"/>
        </w:rPr>
        <w:t>Investing in our securities involves a high degree of risk, including the risk of the use of leverage. Before buying any shares of our common stock, you should read the discussion of the material risks of investing in us in “</w:t>
      </w:r>
      <w:hyperlink w:anchor="page16">
        <w:r>
          <w:rPr>
            <w:rFonts w:ascii="Arial" w:cs="Arial" w:eastAsia="Arial" w:hAnsi="Arial"/>
            <w:sz w:val="18"/>
            <w:szCs w:val="18"/>
            <w:b w:val="1"/>
            <w:bCs w:val="1"/>
            <w:u w:val="single" w:color="auto"/>
            <w:color w:val="0000EE"/>
          </w:rPr>
          <w:t>Risk Factors</w:t>
        </w:r>
        <w:r>
          <w:rPr>
            <w:rFonts w:ascii="Arial" w:cs="Arial" w:eastAsia="Arial" w:hAnsi="Arial"/>
            <w:sz w:val="18"/>
            <w:szCs w:val="18"/>
            <w:b w:val="1"/>
            <w:bCs w:val="1"/>
            <w:u w:val="single" w:color="auto"/>
            <w:color w:val="auto"/>
          </w:rPr>
          <w:t xml:space="preserve"> </w:t>
        </w:r>
      </w:hyperlink>
      <w:r>
        <w:rPr>
          <w:rFonts w:ascii="Arial" w:cs="Arial" w:eastAsia="Arial" w:hAnsi="Arial"/>
          <w:sz w:val="18"/>
          <w:szCs w:val="18"/>
          <w:b w:val="1"/>
          <w:bCs w:val="1"/>
          <w:color w:val="auto"/>
        </w:rPr>
        <w:t>” beginning on page S-13 of this prospectus supplement and on page 8 of the accompanying prospectus.</w:t>
      </w:r>
    </w:p>
    <w:p>
      <w:pPr>
        <w:spacing w:after="0" w:line="24" w:lineRule="exact"/>
        <w:rPr>
          <w:sz w:val="24"/>
          <w:szCs w:val="24"/>
          <w:color w:val="auto"/>
        </w:rPr>
      </w:pPr>
    </w:p>
    <w:p>
      <w:pPr>
        <w:ind w:right="60" w:firstLine="342"/>
        <w:spacing w:after="0" w:line="358" w:lineRule="auto"/>
        <w:rPr>
          <w:sz w:val="20"/>
          <w:szCs w:val="20"/>
          <w:color w:val="auto"/>
        </w:rPr>
      </w:pPr>
      <w:r>
        <w:rPr>
          <w:rFonts w:ascii="Arial" w:cs="Arial" w:eastAsia="Arial" w:hAnsi="Arial"/>
          <w:sz w:val="15"/>
          <w:szCs w:val="15"/>
          <w:b w:val="1"/>
          <w:bCs w:val="1"/>
          <w:color w:val="auto"/>
        </w:rPr>
        <w:t>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w:t>
      </w:r>
    </w:p>
    <w:tbl>
      <w:tblPr>
        <w:tblLayout w:type="fixed"/>
        <w:tblInd w:w="0" w:type="dxa"/>
        <w:tblCellMar>
          <w:top w:w="0" w:type="dxa"/>
          <w:left w:w="0" w:type="dxa"/>
          <w:bottom w:w="0" w:type="dxa"/>
          <w:right w:w="0" w:type="dxa"/>
        </w:tblCellMar>
      </w:tblPr>
      <w:tr>
        <w:trPr>
          <w:trHeight w:val="161"/>
        </w:trPr>
        <w:tc>
          <w:tcPr>
            <w:tcW w:w="79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0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1"/>
              </w:rPr>
              <w:t>Per Share</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r>
      <w:tr>
        <w:trPr>
          <w:trHeight w:val="210"/>
        </w:trPr>
        <w:tc>
          <w:tcPr>
            <w:tcW w:w="79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14.2000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62,480,000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Underwriting discounts and commissions (sales load)</w:t>
            </w:r>
            <w:r>
              <w:rPr>
                <w:rFonts w:ascii="Arial" w:cs="Arial" w:eastAsia="Arial" w:hAnsi="Arial"/>
                <w:sz w:val="11"/>
                <w:szCs w:val="11"/>
                <w:color w:val="auto"/>
              </w:rPr>
              <w:t>(1)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0.1065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468,600</w:t>
            </w:r>
          </w:p>
        </w:tc>
        <w:tc>
          <w:tcPr>
            <w:tcW w:w="100" w:type="dxa"/>
            <w:vAlign w:val="bottom"/>
          </w:tcPr>
          <w:p>
            <w:pPr>
              <w:spacing w:after="0"/>
              <w:rPr>
                <w:sz w:val="18"/>
                <w:szCs w:val="18"/>
                <w:color w:val="auto"/>
              </w:rPr>
            </w:pP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Proceeds to PennantPark Floating Rate Capital Ltd. (before estimated expenses of $300,000)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14.0935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62,011,400</w:t>
            </w:r>
          </w:p>
        </w:tc>
        <w:tc>
          <w:tcPr>
            <w:tcW w:w="100" w:type="dxa"/>
            <w:vAlign w:val="bottom"/>
            <w:shd w:val="clear" w:color="auto" w:fill="CCEEFF"/>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4"/>
          <w:szCs w:val="24"/>
          <w:color w:val="auto"/>
        </w:rPr>
      </w:pPr>
    </w:p>
    <w:p>
      <w:pPr>
        <w:ind w:left="340" w:right="100" w:hanging="332"/>
        <w:spacing w:after="0" w:line="306"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Our investment adviser, PennantPark Investment Advisers, LLC, has agreed to pay a portion to the underwriters of approximately $1.4 million, or $0.32 per share (or approximately $1.6 million, or $0.32 per share if the overallotment option is fully exercised) of the sales load in connection with this offering, which is not reflected in the above table. All other expenses of the offering, including the sales load not paid by our investment adviser, will be borne by 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64135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35" w:lineRule="exact"/>
        <w:rPr>
          <w:sz w:val="24"/>
          <w:szCs w:val="24"/>
          <w:color w:val="auto"/>
        </w:rPr>
      </w:pPr>
    </w:p>
    <w:p>
      <w:pPr>
        <w:ind w:right="40" w:firstLine="342"/>
        <w:spacing w:after="0" w:line="326" w:lineRule="auto"/>
        <w:rPr>
          <w:sz w:val="20"/>
          <w:szCs w:val="20"/>
          <w:color w:val="auto"/>
        </w:rPr>
      </w:pPr>
      <w:r>
        <w:rPr>
          <w:rFonts w:ascii="Arial" w:cs="Arial" w:eastAsia="Arial" w:hAnsi="Arial"/>
          <w:sz w:val="15"/>
          <w:szCs w:val="15"/>
          <w:b w:val="1"/>
          <w:bCs w:val="1"/>
          <w:color w:val="auto"/>
        </w:rPr>
        <w:t>The underwriters may also purchase up to an additional 660,000 shares from us at the public offering price, within 30 days from the date of this prospectus supplement to cover overallotments, if any. If the underwriters exercise this option in full, the total public offering price will be $71.9 million, the underwriting discount and commissions (sales load) that will be paid by us will be $0.5 million and the underwriting discount and commission paid by PennantPark Investment Advisers, LLC will be approximately $1.6 million and total proceeds, before expenses, will be $71.3 million.</w:t>
      </w:r>
    </w:p>
    <w:p>
      <w:pPr>
        <w:spacing w:after="0" w:line="8" w:lineRule="exact"/>
        <w:rPr>
          <w:sz w:val="24"/>
          <w:szCs w:val="24"/>
          <w:color w:val="auto"/>
        </w:rPr>
      </w:pPr>
    </w:p>
    <w:p>
      <w:pPr>
        <w:ind w:left="460"/>
        <w:spacing w:after="0"/>
        <w:rPr>
          <w:sz w:val="20"/>
          <w:szCs w:val="20"/>
          <w:color w:val="auto"/>
        </w:rPr>
      </w:pPr>
      <w:r>
        <w:rPr>
          <w:rFonts w:ascii="Arial" w:cs="Arial" w:eastAsia="Arial" w:hAnsi="Arial"/>
          <w:sz w:val="18"/>
          <w:szCs w:val="18"/>
          <w:b w:val="1"/>
          <w:bCs w:val="1"/>
          <w:color w:val="auto"/>
        </w:rPr>
        <w:t>The underwriters expect to deliver the shares on or about July 19, 2013.</w:t>
      </w:r>
    </w:p>
    <w:p>
      <w:pPr>
        <w:sectPr>
          <w:pgSz w:w="11900" w:h="16838" w:orient="portrait"/>
          <w:cols w:equalWidth="0" w:num="1">
            <w:col w:w="11420"/>
          </w:cols>
          <w:pgMar w:left="240" w:top="230" w:right="239" w:bottom="1440" w:gutter="0" w:footer="0" w:header="0"/>
        </w:sectPr>
      </w:pPr>
    </w:p>
    <w:p>
      <w:pPr>
        <w:spacing w:after="0" w:line="6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Morgan Stanley</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J.P. Morgan</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Keefe, Bruyette &amp; Woods</w:t>
      </w:r>
    </w:p>
    <w:p>
      <w:pPr>
        <w:spacing w:after="0" w:line="64" w:lineRule="exact"/>
        <w:rPr>
          <w:sz w:val="24"/>
          <w:szCs w:val="24"/>
          <w:color w:val="auto"/>
        </w:rPr>
      </w:pPr>
    </w:p>
    <w:p>
      <w:pPr>
        <w:sectPr>
          <w:pgSz w:w="11900" w:h="16838" w:orient="portrait"/>
          <w:cols w:equalWidth="0" w:num="3">
            <w:col w:w="4660" w:space="720"/>
            <w:col w:w="2680" w:space="720"/>
            <w:col w:w="2640"/>
          </w:cols>
          <w:pgMar w:left="240" w:top="230" w:right="239" w:bottom="1440" w:gutter="0" w:footer="0" w:header="0"/>
          <w:type w:val="continuous"/>
        </w:sectPr>
      </w:pPr>
    </w:p>
    <w:p>
      <w:pPr>
        <w:ind w:left="10480"/>
        <w:spacing w:after="0"/>
        <w:rPr>
          <w:sz w:val="20"/>
          <w:szCs w:val="20"/>
          <w:color w:val="auto"/>
        </w:rPr>
      </w:pPr>
      <w:r>
        <w:rPr>
          <w:rFonts w:ascii="Arial" w:cs="Arial" w:eastAsia="Arial" w:hAnsi="Arial"/>
          <w:sz w:val="12"/>
          <w:szCs w:val="12"/>
          <w:i w:val="1"/>
          <w:iCs w:val="1"/>
          <w:color w:val="auto"/>
        </w:rPr>
        <w:t>A Stifel Company</w:t>
      </w:r>
    </w:p>
    <w:p>
      <w:pPr>
        <w:sectPr>
          <w:pgSz w:w="11900" w:h="16838" w:orient="portrait"/>
          <w:cols w:equalWidth="0" w:num="1">
            <w:col w:w="11420"/>
          </w:cols>
          <w:pgMar w:left="240" w:top="230" w:right="239" w:bottom="1440" w:gutter="0" w:footer="0" w:header="0"/>
          <w:type w:val="continuous"/>
        </w:sectPr>
      </w:pPr>
    </w:p>
    <w:p>
      <w:pPr>
        <w:spacing w:after="0" w:line="60"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Janney Montgomery Scott</w:t>
      </w:r>
    </w:p>
    <w:p>
      <w:pPr>
        <w:spacing w:after="0" w:line="20" w:lineRule="exact"/>
        <w:rPr>
          <w:sz w:val="24"/>
          <w:szCs w:val="24"/>
          <w:color w:val="auto"/>
        </w:rPr>
      </w:pPr>
      <w:r>
        <w:rPr>
          <w:sz w:val="24"/>
          <w:szCs w:val="24"/>
          <w:color w:val="auto"/>
        </w:rPr>
        <w:br w:type="column"/>
      </w:r>
    </w:p>
    <w:p>
      <w:pPr>
        <w:spacing w:after="0" w:line="40" w:lineRule="exact"/>
        <w:rPr>
          <w:sz w:val="24"/>
          <w:szCs w:val="24"/>
          <w:color w:val="auto"/>
        </w:rPr>
      </w:pPr>
    </w:p>
    <w:p>
      <w:pPr>
        <w:spacing w:after="0"/>
        <w:rPr>
          <w:sz w:val="20"/>
          <w:szCs w:val="20"/>
          <w:color w:val="auto"/>
        </w:rPr>
      </w:pPr>
      <w:r>
        <w:rPr>
          <w:rFonts w:ascii="Arial" w:cs="Arial" w:eastAsia="Arial" w:hAnsi="Arial"/>
          <w:sz w:val="19"/>
          <w:szCs w:val="19"/>
          <w:b w:val="1"/>
          <w:bCs w:val="1"/>
          <w:color w:val="auto"/>
        </w:rPr>
        <w:t>JMP Securities</w:t>
      </w:r>
    </w:p>
    <w:p>
      <w:pPr>
        <w:spacing w:after="0" w:line="106" w:lineRule="exact"/>
        <w:rPr>
          <w:sz w:val="24"/>
          <w:szCs w:val="24"/>
          <w:color w:val="auto"/>
        </w:rPr>
      </w:pPr>
    </w:p>
    <w:p>
      <w:pPr>
        <w:sectPr>
          <w:pgSz w:w="11900" w:h="16838" w:orient="portrait"/>
          <w:cols w:equalWidth="0" w:num="2">
            <w:col w:w="9300" w:space="720"/>
            <w:col w:w="1400"/>
          </w:cols>
          <w:pgMar w:left="240" w:top="230" w:right="239"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Ladenburg Thalmann &amp; Co.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21"/>
          <w:szCs w:val="21"/>
          <w:b w:val="1"/>
          <w:bCs w:val="1"/>
          <w:color w:val="auto"/>
        </w:rPr>
        <w:t>Maxim</w:t>
      </w:r>
    </w:p>
    <w:p>
      <w:pPr>
        <w:spacing w:after="0" w:line="96" w:lineRule="exact"/>
        <w:rPr>
          <w:sz w:val="24"/>
          <w:szCs w:val="24"/>
          <w:color w:val="auto"/>
        </w:rPr>
      </w:pPr>
    </w:p>
    <w:p>
      <w:pPr>
        <w:sectPr>
          <w:pgSz w:w="11900" w:h="16838" w:orient="portrait"/>
          <w:cols w:equalWidth="0" w:num="2">
            <w:col w:w="10040" w:space="720"/>
            <w:col w:w="660"/>
          </w:cols>
          <w:pgMar w:left="240" w:top="230"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b w:val="1"/>
          <w:bCs w:val="1"/>
          <w:color w:val="auto"/>
        </w:rPr>
        <w:t>The date of this prospectus supplement is July 16, 2013.</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You should rely only on the information contained in this prospectus supplement and the accompanying prospectus when considering whether to purchase any securities offered by this prospectus. We have not authorized anyone to provide you with additional information, or information different from that contained in this prospectus supplement and the accompanying prospectus. If anyone provides you with different or additional information, you should not rely on it. We are offering to sell, and seeking offers to buy, securities only in jurisdictions where offers are permitted. The information contained in this prospectus supplement and the accompanying prospectus is accurate only as of the date of this prospectus supplement and the accompanying prospectus. Our business, financial condition, results of operations and prospects may have changed since then. We will update these documents to reflect material changes only as required by law.</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180" w:type="dxa"/>
            <w:vAlign w:val="bottom"/>
            <w:gridSpan w:val="2"/>
          </w:tcPr>
          <w:p>
            <w:pPr>
              <w:jc w:val="center"/>
              <w:ind w:right="4260"/>
              <w:spacing w:after="0"/>
              <w:rPr>
                <w:sz w:val="20"/>
                <w:szCs w:val="20"/>
                <w:color w:val="auto"/>
              </w:rPr>
            </w:pPr>
            <w:r>
              <w:rPr>
                <w:rFonts w:ascii="Arial" w:cs="Arial" w:eastAsia="Arial" w:hAnsi="Arial"/>
                <w:sz w:val="18"/>
                <w:szCs w:val="18"/>
                <w:b w:val="1"/>
                <w:bCs w:val="1"/>
                <w:color w:val="auto"/>
                <w:w w:val="96"/>
              </w:rPr>
              <w:t>TABLE OF CONTENTS</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7"/>
        </w:trPr>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0" w:type="dxa"/>
            <w:vAlign w:val="bottom"/>
            <w:gridSpan w:val="4"/>
          </w:tcPr>
          <w:p>
            <w:pPr>
              <w:jc w:val="center"/>
              <w:ind w:right="3640"/>
              <w:spacing w:after="0"/>
              <w:rPr>
                <w:sz w:val="20"/>
                <w:szCs w:val="20"/>
                <w:color w:val="auto"/>
              </w:rPr>
            </w:pPr>
            <w:r>
              <w:rPr>
                <w:rFonts w:ascii="Arial" w:cs="Arial" w:eastAsia="Arial" w:hAnsi="Arial"/>
                <w:sz w:val="18"/>
                <w:szCs w:val="18"/>
                <w:b w:val="1"/>
                <w:bCs w:val="1"/>
                <w:color w:val="auto"/>
                <w:w w:val="95"/>
              </w:rPr>
              <w:t>PROSPECTUS SUPPLEMENT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3620" w:type="dxa"/>
            <w:vAlign w:val="bottom"/>
            <w:gridSpan w:val="20"/>
            <w:vMerge w:val="restart"/>
          </w:tcPr>
          <w:p>
            <w:pPr>
              <w:spacing w:after="0"/>
              <w:rPr>
                <w:rFonts w:ascii="Arial" w:cs="Arial" w:eastAsia="Arial" w:hAnsi="Arial"/>
                <w:sz w:val="18"/>
                <w:szCs w:val="18"/>
                <w:b w:val="1"/>
                <w:bCs w:val="1"/>
                <w:color w:val="0000EE"/>
                <w:w w:val="96"/>
              </w:rPr>
            </w:pPr>
            <w:hyperlink w:anchor="page4">
              <w:r>
                <w:rPr>
                  <w:rFonts w:ascii="Arial" w:cs="Arial" w:eastAsia="Arial" w:hAnsi="Arial"/>
                  <w:sz w:val="18"/>
                  <w:szCs w:val="18"/>
                  <w:b w:val="1"/>
                  <w:bCs w:val="1"/>
                  <w:color w:val="0000EE"/>
                  <w:w w:val="96"/>
                </w:rPr>
                <w:t>SUPPLEMENTAL PROSPECTUS SUMMARY</w:t>
              </w:r>
            </w:hyperlink>
          </w:p>
        </w:tc>
        <w:tc>
          <w:tcPr>
            <w:tcW w:w="7320" w:type="dxa"/>
            <w:vAlign w:val="bottom"/>
            <w:gridSpan w:val="8"/>
            <w:vMerge w:val="restart"/>
          </w:tcPr>
          <w:p>
            <w:pPr>
              <w:spacing w:after="0"/>
              <w:rPr>
                <w:sz w:val="24"/>
                <w:szCs w:val="24"/>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1"/>
        </w:trPr>
        <w:tc>
          <w:tcPr>
            <w:tcW w:w="3620" w:type="dxa"/>
            <w:vAlign w:val="bottom"/>
            <w:tcBorders>
              <w:bottom w:val="single" w:sz="8" w:color="0000EE"/>
            </w:tcBorders>
            <w:gridSpan w:val="20"/>
            <w:vMerge w:val="continue"/>
          </w:tcPr>
          <w:p>
            <w:pPr>
              <w:spacing w:after="0"/>
              <w:rPr>
                <w:sz w:val="13"/>
                <w:szCs w:val="13"/>
                <w:color w:val="auto"/>
              </w:rPr>
            </w:pPr>
          </w:p>
        </w:tc>
        <w:tc>
          <w:tcPr>
            <w:tcW w:w="7320" w:type="dxa"/>
            <w:vAlign w:val="bottom"/>
            <w:gridSpan w:val="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840" w:type="dxa"/>
            <w:vAlign w:val="bottom"/>
            <w:tcBorders>
              <w:bottom w:val="single" w:sz="8" w:color="0000EE"/>
            </w:tcBorders>
            <w:gridSpan w:val="10"/>
          </w:tcPr>
          <w:p>
            <w:pPr>
              <w:spacing w:after="0"/>
              <w:rPr>
                <w:rFonts w:ascii="Arial" w:cs="Arial" w:eastAsia="Arial" w:hAnsi="Arial"/>
                <w:sz w:val="18"/>
                <w:szCs w:val="18"/>
                <w:b w:val="1"/>
                <w:bCs w:val="1"/>
                <w:color w:val="0000EE"/>
                <w:w w:val="94"/>
              </w:rPr>
            </w:pPr>
            <w:hyperlink w:anchor="page11">
              <w:r>
                <w:rPr>
                  <w:rFonts w:ascii="Arial" w:cs="Arial" w:eastAsia="Arial" w:hAnsi="Arial"/>
                  <w:sz w:val="18"/>
                  <w:szCs w:val="18"/>
                  <w:b w:val="1"/>
                  <w:bCs w:val="1"/>
                  <w:color w:val="0000EE"/>
                  <w:w w:val="94"/>
                </w:rPr>
                <w:t>FEES AND EXPENSES</w:t>
              </w:r>
            </w:hyperlink>
          </w:p>
        </w:tc>
        <w:tc>
          <w:tcPr>
            <w:tcW w:w="9100" w:type="dxa"/>
            <w:vAlign w:val="bottom"/>
            <w:gridSpan w:val="18"/>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S-8</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FORWARD-LOOKING STATEMENTS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S-11</w:t>
            </w:r>
          </w:p>
        </w:tc>
        <w:tc>
          <w:tcPr>
            <w:tcW w:w="0" w:type="dxa"/>
            <w:vAlign w:val="bottom"/>
          </w:tcPr>
          <w:p>
            <w:pPr>
              <w:spacing w:after="0"/>
              <w:rPr>
                <w:sz w:val="1"/>
                <w:szCs w:val="1"/>
                <w:color w:val="auto"/>
              </w:rPr>
            </w:pPr>
          </w:p>
        </w:tc>
      </w:tr>
      <w:tr>
        <w:trPr>
          <w:trHeight w:val="196"/>
        </w:trPr>
        <w:tc>
          <w:tcPr>
            <w:tcW w:w="3040" w:type="dxa"/>
            <w:vAlign w:val="bottom"/>
            <w:tcBorders>
              <w:top w:val="single" w:sz="8" w:color="0000EE"/>
            </w:tcBorders>
            <w:gridSpan w:val="16"/>
          </w:tcPr>
          <w:p>
            <w:pPr>
              <w:spacing w:after="0" w:line="196" w:lineRule="exact"/>
              <w:rPr>
                <w:rFonts w:ascii="Arial" w:cs="Arial" w:eastAsia="Arial" w:hAnsi="Arial"/>
                <w:sz w:val="18"/>
                <w:szCs w:val="18"/>
                <w:b w:val="1"/>
                <w:bCs w:val="1"/>
                <w:color w:val="0000EE"/>
              </w:rPr>
            </w:pPr>
            <w:hyperlink w:anchor="page16">
              <w:r>
                <w:rPr>
                  <w:rFonts w:ascii="Arial" w:cs="Arial" w:eastAsia="Arial" w:hAnsi="Arial"/>
                  <w:sz w:val="18"/>
                  <w:szCs w:val="18"/>
                  <w:b w:val="1"/>
                  <w:bCs w:val="1"/>
                  <w:color w:val="0000EE"/>
                </w:rPr>
                <w:t>RISK FACTORS</w:t>
              </w:r>
            </w:hyperlink>
          </w:p>
        </w:tc>
        <w:tc>
          <w:tcPr>
            <w:tcW w:w="7900" w:type="dxa"/>
            <w:vAlign w:val="bottom"/>
            <w:gridSpan w:val="1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S-13</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640" w:type="dxa"/>
            <w:vAlign w:val="bottom"/>
            <w:tcBorders>
              <w:bottom w:val="single" w:sz="8" w:color="0000EE"/>
            </w:tcBorders>
            <w:gridSpan w:val="7"/>
          </w:tcPr>
          <w:p>
            <w:pPr>
              <w:spacing w:after="0" w:line="196" w:lineRule="exact"/>
              <w:rPr>
                <w:rFonts w:ascii="Arial" w:cs="Arial" w:eastAsia="Arial" w:hAnsi="Arial"/>
                <w:sz w:val="18"/>
                <w:szCs w:val="18"/>
                <w:b w:val="1"/>
                <w:bCs w:val="1"/>
                <w:color w:val="0000EE"/>
                <w:w w:val="93"/>
              </w:rPr>
            </w:pPr>
            <w:hyperlink w:anchor="page17">
              <w:r>
                <w:rPr>
                  <w:rFonts w:ascii="Arial" w:cs="Arial" w:eastAsia="Arial" w:hAnsi="Arial"/>
                  <w:sz w:val="18"/>
                  <w:szCs w:val="18"/>
                  <w:b w:val="1"/>
                  <w:bCs w:val="1"/>
                  <w:color w:val="0000EE"/>
                  <w:w w:val="93"/>
                </w:rPr>
                <w:t>USE OF PROCEEDS</w:t>
              </w:r>
            </w:hyperlink>
          </w:p>
        </w:tc>
        <w:tc>
          <w:tcPr>
            <w:tcW w:w="9300" w:type="dxa"/>
            <w:vAlign w:val="bottom"/>
            <w:gridSpan w:val="2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S-14</w:t>
            </w:r>
          </w:p>
        </w:tc>
        <w:tc>
          <w:tcPr>
            <w:tcW w:w="0" w:type="dxa"/>
            <w:vAlign w:val="bottom"/>
          </w:tcPr>
          <w:p>
            <w:pPr>
              <w:spacing w:after="0"/>
              <w:rPr>
                <w:sz w:val="1"/>
                <w:szCs w:val="1"/>
                <w:color w:val="auto"/>
              </w:rPr>
            </w:pPr>
          </w:p>
        </w:tc>
      </w:tr>
      <w:tr>
        <w:trPr>
          <w:trHeight w:val="196"/>
        </w:trPr>
        <w:tc>
          <w:tcPr>
            <w:tcW w:w="15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CAPITALIZATION</w:t>
              </w:r>
            </w:hyperlink>
          </w:p>
        </w:tc>
        <w:tc>
          <w:tcPr>
            <w:tcW w:w="9400" w:type="dxa"/>
            <w:vAlign w:val="bottom"/>
            <w:gridSpan w:val="22"/>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S-15</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PRICE RANGE OF COMMON STOCK</w:t>
              </w:r>
            </w:hyperlink>
          </w:p>
        </w:tc>
        <w:tc>
          <w:tcPr>
            <w:tcW w:w="7860" w:type="dxa"/>
            <w:vAlign w:val="bottom"/>
            <w:gridSpan w:val="11"/>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S-16</w:t>
            </w: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8"/>
              </w:rPr>
            </w:pPr>
            <w:hyperlink w:anchor="page20">
              <w:r>
                <w:rPr>
                  <w:rFonts w:ascii="Arial" w:cs="Arial" w:eastAsia="Arial" w:hAnsi="Arial"/>
                  <w:sz w:val="18"/>
                  <w:szCs w:val="18"/>
                  <w:b w:val="1"/>
                  <w:bCs w:val="1"/>
                  <w:color w:val="0000EE"/>
                  <w:w w:val="98"/>
                </w:rPr>
                <w:t>SELECTED FINANCIAL DATA</w:t>
              </w:r>
            </w:hyperlink>
          </w:p>
        </w:tc>
        <w:tc>
          <w:tcPr>
            <w:tcW w:w="8440" w:type="dxa"/>
            <w:vAlign w:val="bottom"/>
            <w:gridSpan w:val="15"/>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S-17</w:t>
            </w: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UNDERWRITING</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S-19</w:t>
            </w: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28">
              <w:r>
                <w:rPr>
                  <w:rFonts w:ascii="Arial" w:cs="Arial" w:eastAsia="Arial" w:hAnsi="Arial"/>
                  <w:sz w:val="18"/>
                  <w:szCs w:val="18"/>
                  <w:b w:val="1"/>
                  <w:bCs w:val="1"/>
                  <w:color w:val="0000EE"/>
                </w:rPr>
                <w:t>LEGAL MATTERS</w:t>
              </w:r>
            </w:hyperlink>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w w:val="94"/>
              </w:rPr>
              <w:t>S-25</w:t>
            </w:r>
          </w:p>
        </w:tc>
        <w:tc>
          <w:tcPr>
            <w:tcW w:w="0" w:type="dxa"/>
            <w:vAlign w:val="bottom"/>
          </w:tcPr>
          <w:p>
            <w:pPr>
              <w:spacing w:after="0"/>
              <w:rPr>
                <w:sz w:val="1"/>
                <w:szCs w:val="1"/>
                <w:color w:val="auto"/>
              </w:rPr>
            </w:pPr>
          </w:p>
        </w:tc>
      </w:tr>
      <w:tr>
        <w:trPr>
          <w:trHeight w:val="559"/>
        </w:trPr>
        <w:tc>
          <w:tcPr>
            <w:tcW w:w="8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180" w:type="dxa"/>
            <w:vAlign w:val="bottom"/>
            <w:gridSpan w:val="2"/>
          </w:tcPr>
          <w:p>
            <w:pPr>
              <w:ind w:left="320"/>
              <w:spacing w:after="0"/>
              <w:rPr>
                <w:sz w:val="20"/>
                <w:szCs w:val="20"/>
                <w:color w:val="auto"/>
              </w:rPr>
            </w:pPr>
            <w:r>
              <w:rPr>
                <w:rFonts w:ascii="Arial" w:cs="Arial" w:eastAsia="Arial" w:hAnsi="Arial"/>
                <w:sz w:val="18"/>
                <w:szCs w:val="18"/>
                <w:b w:val="1"/>
                <w:bCs w:val="1"/>
                <w:color w:val="auto"/>
              </w:rPr>
              <w:t>PROSPECTUS</w:t>
            </w:r>
          </w:p>
        </w:tc>
        <w:tc>
          <w:tcPr>
            <w:tcW w:w="4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1"/>
        </w:trPr>
        <w:tc>
          <w:tcPr>
            <w:tcW w:w="10940" w:type="dxa"/>
            <w:vAlign w:val="bottom"/>
            <w:gridSpan w:val="28"/>
            <w:vMerge w:val="restart"/>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PROSPECTUS SUMMARY</w:t>
              </w:r>
            </w:hyperlink>
          </w:p>
        </w:tc>
        <w:tc>
          <w:tcPr>
            <w:tcW w:w="4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10940" w:type="dxa"/>
            <w:vAlign w:val="bottom"/>
            <w:gridSpan w:val="28"/>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140" w:type="dxa"/>
            <w:vAlign w:val="bottom"/>
            <w:tcBorders>
              <w:top w:val="single" w:sz="8" w:color="0000EE"/>
            </w:tcBorders>
            <w:gridSpan w:val="11"/>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FEES AND EXPENSES</w:t>
              </w:r>
            </w:hyperlink>
          </w:p>
        </w:tc>
        <w:tc>
          <w:tcPr>
            <w:tcW w:w="8800" w:type="dxa"/>
            <w:vAlign w:val="bottom"/>
            <w:gridSpan w:val="17"/>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820" w:type="dxa"/>
            <w:vAlign w:val="bottom"/>
            <w:tcBorders>
              <w:top w:val="single" w:sz="8" w:color="0000EE"/>
            </w:tcBorders>
            <w:gridSpan w:val="9"/>
          </w:tcPr>
          <w:p>
            <w:pPr>
              <w:spacing w:after="0" w:line="196" w:lineRule="exact"/>
              <w:rPr>
                <w:rFonts w:ascii="Arial" w:cs="Arial" w:eastAsia="Arial" w:hAnsi="Arial"/>
                <w:sz w:val="18"/>
                <w:szCs w:val="18"/>
                <w:b w:val="1"/>
                <w:bCs w:val="1"/>
                <w:color w:val="0000EE"/>
              </w:rPr>
            </w:pPr>
            <w:hyperlink w:anchor="page39">
              <w:r>
                <w:rPr>
                  <w:rFonts w:ascii="Arial" w:cs="Arial" w:eastAsia="Arial" w:hAnsi="Arial"/>
                  <w:sz w:val="18"/>
                  <w:szCs w:val="18"/>
                  <w:b w:val="1"/>
                  <w:bCs w:val="1"/>
                  <w:color w:val="0000EE"/>
                </w:rPr>
                <w:t>RISK FACTORS</w:t>
              </w:r>
            </w:hyperlink>
          </w:p>
        </w:tc>
        <w:tc>
          <w:tcPr>
            <w:tcW w:w="9120" w:type="dxa"/>
            <w:vAlign w:val="bottom"/>
            <w:gridSpan w:val="1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FORWARD-LOOKING STATEMENTS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6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b w:val="1"/>
                <w:bCs w:val="1"/>
                <w:color w:val="0000EE"/>
                <w:w w:val="93"/>
              </w:rPr>
            </w:pPr>
            <w:hyperlink w:anchor="page64">
              <w:r>
                <w:rPr>
                  <w:rFonts w:ascii="Arial" w:cs="Arial" w:eastAsia="Arial" w:hAnsi="Arial"/>
                  <w:sz w:val="18"/>
                  <w:szCs w:val="18"/>
                  <w:b w:val="1"/>
                  <w:bCs w:val="1"/>
                  <w:color w:val="0000EE"/>
                  <w:w w:val="93"/>
                </w:rPr>
                <w:t>USE OF PROCEEDS</w:t>
              </w:r>
            </w:hyperlink>
          </w:p>
        </w:tc>
        <w:tc>
          <w:tcPr>
            <w:tcW w:w="1400" w:type="dxa"/>
            <w:vAlign w:val="bottom"/>
            <w:tcBorders>
              <w:top w:val="single" w:sz="8" w:color="0000EE"/>
            </w:tcBorders>
            <w:gridSpan w:val="9"/>
          </w:tcPr>
          <w:p>
            <w:pPr>
              <w:spacing w:after="0"/>
              <w:rPr>
                <w:sz w:val="17"/>
                <w:szCs w:val="17"/>
                <w:color w:val="auto"/>
              </w:rPr>
            </w:pPr>
          </w:p>
        </w:tc>
        <w:tc>
          <w:tcPr>
            <w:tcW w:w="790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500" w:type="dxa"/>
            <w:vAlign w:val="bottom"/>
            <w:tcBorders>
              <w:bottom w:val="single" w:sz="8" w:color="0000EE"/>
            </w:tcBorders>
            <w:gridSpan w:val="13"/>
          </w:tcPr>
          <w:p>
            <w:pPr>
              <w:spacing w:after="0" w:line="196" w:lineRule="exact"/>
              <w:rPr>
                <w:rFonts w:ascii="Arial" w:cs="Arial" w:eastAsia="Arial" w:hAnsi="Arial"/>
                <w:sz w:val="18"/>
                <w:szCs w:val="18"/>
                <w:b w:val="1"/>
                <w:bCs w:val="1"/>
                <w:color w:val="0000EE"/>
                <w:w w:val="98"/>
              </w:rPr>
            </w:pPr>
            <w:hyperlink w:anchor="page65">
              <w:r>
                <w:rPr>
                  <w:rFonts w:ascii="Arial" w:cs="Arial" w:eastAsia="Arial" w:hAnsi="Arial"/>
                  <w:sz w:val="18"/>
                  <w:szCs w:val="18"/>
                  <w:b w:val="1"/>
                  <w:bCs w:val="1"/>
                  <w:color w:val="0000EE"/>
                  <w:w w:val="98"/>
                </w:rPr>
                <w:t>SELECTED FINANCIAL DATA</w:t>
              </w:r>
            </w:hyperlink>
          </w:p>
        </w:tc>
        <w:tc>
          <w:tcPr>
            <w:tcW w:w="8440" w:type="dxa"/>
            <w:vAlign w:val="bottom"/>
            <w:gridSpan w:val="1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80" w:type="dxa"/>
            <w:vAlign w:val="bottom"/>
            <w:tcBorders>
              <w:bottom w:val="single" w:sz="8" w:color="0000EE"/>
            </w:tcBorders>
            <w:gridSpan w:val="27"/>
          </w:tcPr>
          <w:p>
            <w:pPr>
              <w:spacing w:after="0" w:line="196" w:lineRule="exact"/>
              <w:rPr>
                <w:rFonts w:ascii="Arial" w:cs="Arial" w:eastAsia="Arial" w:hAnsi="Arial"/>
                <w:sz w:val="18"/>
                <w:szCs w:val="18"/>
                <w:b w:val="1"/>
                <w:bCs w:val="1"/>
                <w:color w:val="0000EE"/>
                <w:w w:val="97"/>
              </w:rPr>
            </w:pPr>
            <w:hyperlink w:anchor="page67">
              <w:r>
                <w:rPr>
                  <w:rFonts w:ascii="Arial" w:cs="Arial" w:eastAsia="Arial" w:hAnsi="Arial"/>
                  <w:sz w:val="18"/>
                  <w:szCs w:val="18"/>
                  <w:b w:val="1"/>
                  <w:bCs w:val="1"/>
                  <w:color w:val="0000EE"/>
                  <w:w w:val="97"/>
                </w:rPr>
                <w:t>MANAGEMENT’S DISCUSSION AND ANALYSIS OF FINANCIAL CONDITION AND RESULTS OF OPERATIONS</w:t>
              </w:r>
            </w:hyperlink>
          </w:p>
        </w:tc>
        <w:tc>
          <w:tcPr>
            <w:tcW w:w="186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SENIOR SECURITIES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80" w:type="dxa"/>
            <w:vAlign w:val="bottom"/>
            <w:tcBorders>
              <w:bottom w:val="single" w:sz="8" w:color="0000EE"/>
            </w:tcBorders>
            <w:gridSpan w:val="17"/>
          </w:tcPr>
          <w:p>
            <w:pPr>
              <w:spacing w:after="0" w:line="196" w:lineRule="exact"/>
              <w:rPr>
                <w:rFonts w:ascii="Arial" w:cs="Arial" w:eastAsia="Arial" w:hAnsi="Arial"/>
                <w:sz w:val="18"/>
                <w:szCs w:val="18"/>
                <w:b w:val="1"/>
                <w:bCs w:val="1"/>
                <w:color w:val="0000EE"/>
                <w:w w:val="98"/>
              </w:rPr>
            </w:pPr>
            <w:hyperlink w:anchor="page83">
              <w:r>
                <w:rPr>
                  <w:rFonts w:ascii="Arial" w:cs="Arial" w:eastAsia="Arial" w:hAnsi="Arial"/>
                  <w:sz w:val="18"/>
                  <w:szCs w:val="18"/>
                  <w:b w:val="1"/>
                  <w:bCs w:val="1"/>
                  <w:color w:val="0000EE"/>
                  <w:w w:val="98"/>
                </w:rPr>
                <w:t>PRICE RANGE OF COMMON STOCK</w:t>
              </w:r>
            </w:hyperlink>
          </w:p>
        </w:tc>
        <w:tc>
          <w:tcPr>
            <w:tcW w:w="786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6"/>
          </w:tcPr>
          <w:p>
            <w:pPr>
              <w:spacing w:after="0" w:line="196" w:lineRule="exact"/>
              <w:rPr>
                <w:rFonts w:ascii="Arial" w:cs="Arial" w:eastAsia="Arial" w:hAnsi="Arial"/>
                <w:sz w:val="18"/>
                <w:szCs w:val="18"/>
                <w:b w:val="1"/>
                <w:bCs w:val="1"/>
                <w:color w:val="0000EE"/>
                <w:w w:val="96"/>
              </w:rPr>
            </w:pPr>
            <w:hyperlink w:anchor="page84">
              <w:r>
                <w:rPr>
                  <w:rFonts w:ascii="Arial" w:cs="Arial" w:eastAsia="Arial" w:hAnsi="Arial"/>
                  <w:sz w:val="18"/>
                  <w:szCs w:val="18"/>
                  <w:b w:val="1"/>
                  <w:bCs w:val="1"/>
                  <w:color w:val="0000EE"/>
                  <w:w w:val="96"/>
                </w:rPr>
                <w:t>SALES OF COMMON STOCK BELOW NET ASSET VALUE</w:t>
              </w:r>
            </w:hyperlink>
          </w:p>
        </w:tc>
        <w:tc>
          <w:tcPr>
            <w:tcW w:w="618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89">
              <w:r>
                <w:rPr>
                  <w:rFonts w:ascii="Arial" w:cs="Arial" w:eastAsia="Arial" w:hAnsi="Arial"/>
                  <w:sz w:val="18"/>
                  <w:szCs w:val="18"/>
                  <w:b w:val="1"/>
                  <w:bCs w:val="1"/>
                  <w:color w:val="0000EE"/>
                </w:rPr>
                <w:t>DISTRIBUTIONS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60" w:type="dxa"/>
            <w:vAlign w:val="bottom"/>
            <w:tcBorders>
              <w:top w:val="single" w:sz="8" w:color="0000EE"/>
              <w:bottom w:val="single" w:sz="8" w:color="0000EE"/>
            </w:tcBorders>
          </w:tcPr>
          <w:p>
            <w:pPr>
              <w:spacing w:after="0" w:line="196" w:lineRule="exact"/>
              <w:rPr>
                <w:rFonts w:ascii="Arial" w:cs="Arial" w:eastAsia="Arial" w:hAnsi="Arial"/>
                <w:sz w:val="18"/>
                <w:szCs w:val="18"/>
                <w:b w:val="1"/>
                <w:bCs w:val="1"/>
                <w:color w:val="0000EE"/>
                <w:w w:val="91"/>
              </w:rPr>
            </w:pPr>
            <w:hyperlink w:anchor="page91">
              <w:r>
                <w:rPr>
                  <w:rFonts w:ascii="Arial" w:cs="Arial" w:eastAsia="Arial" w:hAnsi="Arial"/>
                  <w:sz w:val="18"/>
                  <w:szCs w:val="18"/>
                  <w:b w:val="1"/>
                  <w:bCs w:val="1"/>
                  <w:color w:val="0000EE"/>
                  <w:w w:val="91"/>
                </w:rPr>
                <w:t>BUSINESS</w:t>
              </w:r>
            </w:hyperlink>
          </w:p>
        </w:tc>
        <w:tc>
          <w:tcPr>
            <w:tcW w:w="580" w:type="dxa"/>
            <w:vAlign w:val="bottom"/>
            <w:tcBorders>
              <w:top w:val="single" w:sz="8" w:color="0000EE"/>
            </w:tcBorders>
            <w:gridSpan w:val="3"/>
          </w:tcPr>
          <w:p>
            <w:pPr>
              <w:spacing w:after="0"/>
              <w:rPr>
                <w:sz w:val="17"/>
                <w:szCs w:val="17"/>
                <w:color w:val="auto"/>
              </w:rPr>
            </w:pPr>
          </w:p>
        </w:tc>
        <w:tc>
          <w:tcPr>
            <w:tcW w:w="9500" w:type="dxa"/>
            <w:vAlign w:val="bottom"/>
            <w:gridSpan w:val="2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Borders>
              <w:bottom w:val="single" w:sz="8" w:color="0000EE"/>
            </w:tcBorders>
            <w:gridSpan w:val="21"/>
          </w:tcPr>
          <w:p>
            <w:pPr>
              <w:spacing w:after="0" w:line="196" w:lineRule="exact"/>
              <w:rPr>
                <w:rFonts w:ascii="Arial" w:cs="Arial" w:eastAsia="Arial" w:hAnsi="Arial"/>
                <w:sz w:val="18"/>
                <w:szCs w:val="18"/>
                <w:b w:val="1"/>
                <w:bCs w:val="1"/>
                <w:color w:val="0000EE"/>
                <w:w w:val="98"/>
              </w:rPr>
            </w:pPr>
            <w:hyperlink w:anchor="page95">
              <w:r>
                <w:rPr>
                  <w:rFonts w:ascii="Arial" w:cs="Arial" w:eastAsia="Arial" w:hAnsi="Arial"/>
                  <w:sz w:val="18"/>
                  <w:szCs w:val="18"/>
                  <w:b w:val="1"/>
                  <w:bCs w:val="1"/>
                  <w:color w:val="0000EE"/>
                  <w:w w:val="98"/>
                </w:rPr>
                <w:t>INVESTMENT OBJECTIVES AND POLICIES</w:t>
              </w:r>
            </w:hyperlink>
          </w:p>
        </w:tc>
        <w:tc>
          <w:tcPr>
            <w:tcW w:w="728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160" w:type="dxa"/>
            <w:vAlign w:val="bottom"/>
            <w:tcBorders>
              <w:bottom w:val="single" w:sz="8" w:color="0000EE"/>
            </w:tcBorders>
            <w:gridSpan w:val="12"/>
          </w:tcPr>
          <w:p>
            <w:pPr>
              <w:spacing w:after="0" w:line="196" w:lineRule="exact"/>
              <w:rPr>
                <w:rFonts w:ascii="Arial" w:cs="Arial" w:eastAsia="Arial" w:hAnsi="Arial"/>
                <w:sz w:val="18"/>
                <w:szCs w:val="18"/>
                <w:b w:val="1"/>
                <w:bCs w:val="1"/>
                <w:color w:val="0000EE"/>
                <w:w w:val="97"/>
              </w:rPr>
            </w:pPr>
            <w:hyperlink w:anchor="page102">
              <w:r>
                <w:rPr>
                  <w:rFonts w:ascii="Arial" w:cs="Arial" w:eastAsia="Arial" w:hAnsi="Arial"/>
                  <w:sz w:val="18"/>
                  <w:szCs w:val="18"/>
                  <w:b w:val="1"/>
                  <w:bCs w:val="1"/>
                  <w:color w:val="0000EE"/>
                  <w:w w:val="97"/>
                </w:rPr>
                <w:t>PORTFOLIO COMPANIES</w:t>
              </w:r>
            </w:hyperlink>
          </w:p>
        </w:tc>
        <w:tc>
          <w:tcPr>
            <w:tcW w:w="878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rPr>
            </w:pPr>
            <w:hyperlink w:anchor="page107">
              <w:r>
                <w:rPr>
                  <w:rFonts w:ascii="Arial" w:cs="Arial" w:eastAsia="Arial" w:hAnsi="Arial"/>
                  <w:sz w:val="18"/>
                  <w:szCs w:val="18"/>
                  <w:b w:val="1"/>
                  <w:bCs w:val="1"/>
                  <w:color w:val="0000EE"/>
                </w:rPr>
                <w:t>MANAGEMENT</w:t>
              </w:r>
            </w:hyperlink>
          </w:p>
        </w:tc>
        <w:tc>
          <w:tcPr>
            <w:tcW w:w="9600" w:type="dxa"/>
            <w:vAlign w:val="bottom"/>
            <w:gridSpan w:val="2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00" w:type="dxa"/>
            <w:vAlign w:val="bottom"/>
            <w:tcBorders>
              <w:bottom w:val="single" w:sz="8" w:color="0000EE"/>
            </w:tcBorders>
            <w:gridSpan w:val="25"/>
          </w:tcPr>
          <w:p>
            <w:pPr>
              <w:spacing w:after="0" w:line="196" w:lineRule="exact"/>
              <w:rPr>
                <w:rFonts w:ascii="Arial" w:cs="Arial" w:eastAsia="Arial" w:hAnsi="Arial"/>
                <w:sz w:val="18"/>
                <w:szCs w:val="18"/>
                <w:b w:val="1"/>
                <w:bCs w:val="1"/>
                <w:color w:val="0000EE"/>
                <w:w w:val="96"/>
              </w:rPr>
            </w:pPr>
            <w:hyperlink w:anchor="page114">
              <w:r>
                <w:rPr>
                  <w:rFonts w:ascii="Arial" w:cs="Arial" w:eastAsia="Arial" w:hAnsi="Arial"/>
                  <w:sz w:val="18"/>
                  <w:szCs w:val="18"/>
                  <w:b w:val="1"/>
                  <w:bCs w:val="1"/>
                  <w:color w:val="0000EE"/>
                  <w:w w:val="96"/>
                </w:rPr>
                <w:t>CONTROL PERSONS AND PRINCIPAL STOCKHOLDERS</w:t>
              </w:r>
            </w:hyperlink>
          </w:p>
        </w:tc>
        <w:tc>
          <w:tcPr>
            <w:tcW w:w="624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0000EE"/>
            </w:tcBorders>
            <w:gridSpan w:val="24"/>
          </w:tcPr>
          <w:p>
            <w:pPr>
              <w:spacing w:after="0" w:line="196" w:lineRule="exact"/>
              <w:rPr>
                <w:rFonts w:ascii="Arial" w:cs="Arial" w:eastAsia="Arial" w:hAnsi="Arial"/>
                <w:sz w:val="18"/>
                <w:szCs w:val="18"/>
                <w:b w:val="1"/>
                <w:bCs w:val="1"/>
                <w:color w:val="0000EE"/>
                <w:w w:val="97"/>
              </w:rPr>
            </w:pPr>
            <w:hyperlink w:anchor="page116">
              <w:r>
                <w:rPr>
                  <w:rFonts w:ascii="Arial" w:cs="Arial" w:eastAsia="Arial" w:hAnsi="Arial"/>
                  <w:sz w:val="18"/>
                  <w:szCs w:val="18"/>
                  <w:b w:val="1"/>
                  <w:bCs w:val="1"/>
                  <w:color w:val="0000EE"/>
                  <w:w w:val="97"/>
                </w:rPr>
                <w:t>CERTAIN RELATIONSHIPS AND TRANSACTIONS</w:t>
              </w:r>
            </w:hyperlink>
          </w:p>
        </w:tc>
        <w:tc>
          <w:tcPr>
            <w:tcW w:w="680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123">
              <w:r>
                <w:rPr>
                  <w:rFonts w:ascii="Arial" w:cs="Arial" w:eastAsia="Arial" w:hAnsi="Arial"/>
                  <w:sz w:val="18"/>
                  <w:szCs w:val="18"/>
                  <w:b w:val="1"/>
                  <w:bCs w:val="1"/>
                  <w:color w:val="0000EE"/>
                </w:rPr>
                <w:t>DETERMINATION OF NET ASSET VALUE</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Borders>
              <w:top w:val="single" w:sz="8" w:color="0000EE"/>
            </w:tcBorders>
            <w:gridSpan w:val="19"/>
          </w:tcPr>
          <w:p>
            <w:pPr>
              <w:spacing w:after="0" w:line="196" w:lineRule="exact"/>
              <w:rPr>
                <w:rFonts w:ascii="Arial" w:cs="Arial" w:eastAsia="Arial" w:hAnsi="Arial"/>
                <w:sz w:val="18"/>
                <w:szCs w:val="18"/>
                <w:b w:val="1"/>
                <w:bCs w:val="1"/>
                <w:color w:val="0000EE"/>
              </w:rPr>
            </w:pPr>
            <w:hyperlink w:anchor="page126">
              <w:r>
                <w:rPr>
                  <w:rFonts w:ascii="Arial" w:cs="Arial" w:eastAsia="Arial" w:hAnsi="Arial"/>
                  <w:sz w:val="18"/>
                  <w:szCs w:val="18"/>
                  <w:b w:val="1"/>
                  <w:bCs w:val="1"/>
                  <w:color w:val="0000EE"/>
                </w:rPr>
                <w:t>DIVIDEND REINVESTMENT PLAN</w:t>
              </w:r>
            </w:hyperlink>
          </w:p>
        </w:tc>
        <w:tc>
          <w:tcPr>
            <w:tcW w:w="748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880" w:type="dxa"/>
            <w:vAlign w:val="bottom"/>
            <w:gridSpan w:val="1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127">
              <w:r>
                <w:rPr>
                  <w:rFonts w:ascii="Arial" w:cs="Arial" w:eastAsia="Arial" w:hAnsi="Arial"/>
                  <w:sz w:val="18"/>
                  <w:szCs w:val="18"/>
                  <w:b w:val="1"/>
                  <w:bCs w:val="1"/>
                  <w:color w:val="0000EE"/>
                </w:rPr>
                <w:t>DESCRIPTION OF OUR CAPITAL STOCK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00" w:type="dxa"/>
            <w:vAlign w:val="bottom"/>
            <w:gridSpan w:val="15"/>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900" w:type="dxa"/>
            <w:vAlign w:val="bottom"/>
            <w:gridSpan w:val="5"/>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940" w:type="dxa"/>
            <w:vAlign w:val="bottom"/>
            <w:gridSpan w:val="28"/>
          </w:tcPr>
          <w:p>
            <w:pPr>
              <w:spacing w:after="0" w:line="196" w:lineRule="exact"/>
              <w:rPr>
                <w:rFonts w:ascii="Arial" w:cs="Arial" w:eastAsia="Arial" w:hAnsi="Arial"/>
                <w:sz w:val="18"/>
                <w:szCs w:val="18"/>
                <w:b w:val="1"/>
                <w:bCs w:val="1"/>
                <w:color w:val="0000EE"/>
              </w:rPr>
            </w:pPr>
            <w:hyperlink w:anchor="page133">
              <w:r>
                <w:rPr>
                  <w:rFonts w:ascii="Arial" w:cs="Arial" w:eastAsia="Arial" w:hAnsi="Arial"/>
                  <w:sz w:val="18"/>
                  <w:szCs w:val="18"/>
                  <w:b w:val="1"/>
                  <w:bCs w:val="1"/>
                  <w:color w:val="0000EE"/>
                </w:rPr>
                <w:t>DESCRIPTION OF OUR PREFERRED STOCK</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0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b w:val="1"/>
                <w:bCs w:val="1"/>
                <w:color w:val="0000EE"/>
                <w:w w:val="96"/>
              </w:rPr>
            </w:pPr>
            <w:hyperlink w:anchor="page134">
              <w:r>
                <w:rPr>
                  <w:rFonts w:ascii="Arial" w:cs="Arial" w:eastAsia="Arial" w:hAnsi="Arial"/>
                  <w:sz w:val="18"/>
                  <w:szCs w:val="18"/>
                  <w:b w:val="1"/>
                  <w:bCs w:val="1"/>
                  <w:color w:val="0000EE"/>
                  <w:w w:val="96"/>
                </w:rPr>
                <w:t>DESCRIPTION OF OUR WARRANTS</w:t>
              </w:r>
            </w:hyperlink>
          </w:p>
        </w:tc>
        <w:tc>
          <w:tcPr>
            <w:tcW w:w="720" w:type="dxa"/>
            <w:vAlign w:val="bottom"/>
            <w:tcBorders>
              <w:top w:val="single" w:sz="8" w:color="0000EE"/>
            </w:tcBorders>
            <w:gridSpan w:val="7"/>
          </w:tcPr>
          <w:p>
            <w:pPr>
              <w:spacing w:after="0"/>
              <w:rPr>
                <w:sz w:val="17"/>
                <w:szCs w:val="17"/>
                <w:color w:val="auto"/>
              </w:rPr>
            </w:pPr>
          </w:p>
        </w:tc>
        <w:tc>
          <w:tcPr>
            <w:tcW w:w="722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040" w:type="dxa"/>
            <w:vAlign w:val="bottom"/>
            <w:tcBorders>
              <w:bottom w:val="single" w:sz="8" w:color="0000EE"/>
            </w:tcBorders>
            <w:gridSpan w:val="23"/>
          </w:tcPr>
          <w:p>
            <w:pPr>
              <w:spacing w:after="0" w:line="196" w:lineRule="exact"/>
              <w:rPr>
                <w:rFonts w:ascii="Arial" w:cs="Arial" w:eastAsia="Arial" w:hAnsi="Arial"/>
                <w:sz w:val="18"/>
                <w:szCs w:val="18"/>
                <w:b w:val="1"/>
                <w:bCs w:val="1"/>
                <w:color w:val="0000EE"/>
                <w:w w:val="97"/>
              </w:rPr>
            </w:pPr>
            <w:hyperlink w:anchor="page136">
              <w:r>
                <w:rPr>
                  <w:rFonts w:ascii="Arial" w:cs="Arial" w:eastAsia="Arial" w:hAnsi="Arial"/>
                  <w:sz w:val="18"/>
                  <w:szCs w:val="18"/>
                  <w:b w:val="1"/>
                  <w:bCs w:val="1"/>
                  <w:color w:val="0000EE"/>
                  <w:w w:val="97"/>
                </w:rPr>
                <w:t>DESCRIPTION OF OUR SUBSCRIPTION RIGHTS</w:t>
              </w:r>
            </w:hyperlink>
          </w:p>
        </w:tc>
        <w:tc>
          <w:tcPr>
            <w:tcW w:w="690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105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80" w:type="dxa"/>
            <w:vAlign w:val="bottom"/>
            <w:gridSpan w:val="4"/>
            <w:vMerge w:val="restart"/>
          </w:tcPr>
          <w:p>
            <w:pPr>
              <w:spacing w:after="0"/>
              <w:rPr>
                <w:rFonts w:ascii="Arial" w:cs="Arial" w:eastAsia="Arial" w:hAnsi="Arial"/>
                <w:sz w:val="18"/>
                <w:szCs w:val="18"/>
                <w:b w:val="1"/>
                <w:bCs w:val="1"/>
                <w:color w:val="0000EE"/>
                <w:w w:val="97"/>
              </w:rPr>
            </w:pPr>
            <w:hyperlink w:anchor="page137">
              <w:r>
                <w:rPr>
                  <w:rFonts w:ascii="Arial" w:cs="Arial" w:eastAsia="Arial" w:hAnsi="Arial"/>
                  <w:sz w:val="18"/>
                  <w:szCs w:val="18"/>
                  <w:b w:val="1"/>
                  <w:bCs w:val="1"/>
                  <w:color w:val="0000EE"/>
                  <w:w w:val="97"/>
                </w:rPr>
                <w:t>DESCRIPTION OF OUR DEBT SECURITIES</w:t>
              </w:r>
            </w:hyperlink>
          </w:p>
        </w:tc>
        <w:tc>
          <w:tcPr>
            <w:tcW w:w="7420" w:type="dxa"/>
            <w:vAlign w:val="bottom"/>
            <w:gridSpan w:val="6"/>
            <w:vMerge w:val="restart"/>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1"/>
        </w:trPr>
        <w:tc>
          <w:tcPr>
            <w:tcW w:w="3580" w:type="dxa"/>
            <w:vAlign w:val="bottom"/>
            <w:tcBorders>
              <w:bottom w:val="single" w:sz="8" w:color="0000EE"/>
            </w:tcBorders>
            <w:gridSpan w:val="4"/>
            <w:vMerge w:val="continue"/>
          </w:tcPr>
          <w:p>
            <w:pPr>
              <w:spacing w:after="0"/>
              <w:rPr>
                <w:sz w:val="13"/>
                <w:szCs w:val="13"/>
                <w:color w:val="auto"/>
              </w:rPr>
            </w:pPr>
          </w:p>
        </w:tc>
        <w:tc>
          <w:tcPr>
            <w:tcW w:w="7420" w:type="dxa"/>
            <w:vAlign w:val="bottom"/>
            <w:gridSpan w:val="6"/>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10"/>
        </w:trPr>
        <w:tc>
          <w:tcPr>
            <w:tcW w:w="1200" w:type="dxa"/>
            <w:vAlign w:val="bottom"/>
            <w:tcBorders>
              <w:bottom w:val="single" w:sz="8" w:color="0000EE"/>
            </w:tcBorders>
          </w:tcPr>
          <w:p>
            <w:pPr>
              <w:spacing w:after="0"/>
              <w:rPr>
                <w:rFonts w:ascii="Arial" w:cs="Arial" w:eastAsia="Arial" w:hAnsi="Arial"/>
                <w:sz w:val="18"/>
                <w:szCs w:val="18"/>
                <w:b w:val="1"/>
                <w:bCs w:val="1"/>
                <w:color w:val="0000EE"/>
                <w:w w:val="99"/>
              </w:rPr>
            </w:pPr>
            <w:hyperlink w:anchor="page150">
              <w:r>
                <w:rPr>
                  <w:rFonts w:ascii="Arial" w:cs="Arial" w:eastAsia="Arial" w:hAnsi="Arial"/>
                  <w:sz w:val="18"/>
                  <w:szCs w:val="18"/>
                  <w:b w:val="1"/>
                  <w:bCs w:val="1"/>
                  <w:color w:val="0000EE"/>
                  <w:w w:val="99"/>
                </w:rPr>
                <w:t>REGULATION</w:t>
              </w:r>
            </w:hyperlink>
          </w:p>
        </w:tc>
        <w:tc>
          <w:tcPr>
            <w:tcW w:w="9800" w:type="dxa"/>
            <w:vAlign w:val="bottom"/>
            <w:gridSpan w:val="9"/>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4640" w:type="dxa"/>
            <w:vAlign w:val="bottom"/>
            <w:tcBorders>
              <w:bottom w:val="single" w:sz="8" w:color="0000EE"/>
            </w:tcBorders>
            <w:gridSpan w:val="6"/>
          </w:tcPr>
          <w:p>
            <w:pPr>
              <w:spacing w:after="0" w:line="196" w:lineRule="exact"/>
              <w:rPr>
                <w:rFonts w:ascii="Arial" w:cs="Arial" w:eastAsia="Arial" w:hAnsi="Arial"/>
                <w:sz w:val="18"/>
                <w:szCs w:val="18"/>
                <w:b w:val="1"/>
                <w:bCs w:val="1"/>
                <w:color w:val="0000EE"/>
                <w:w w:val="97"/>
              </w:rPr>
            </w:pPr>
            <w:hyperlink w:anchor="page155">
              <w:r>
                <w:rPr>
                  <w:rFonts w:ascii="Arial" w:cs="Arial" w:eastAsia="Arial" w:hAnsi="Arial"/>
                  <w:sz w:val="18"/>
                  <w:szCs w:val="18"/>
                  <w:b w:val="1"/>
                  <w:bCs w:val="1"/>
                  <w:color w:val="0000EE"/>
                  <w:w w:val="97"/>
                </w:rPr>
                <w:t>BROKERAGE ALLOCATIONS AND OTHER PRACTICES</w:t>
              </w:r>
            </w:hyperlink>
          </w:p>
        </w:tc>
        <w:tc>
          <w:tcPr>
            <w:tcW w:w="636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5020" w:type="dxa"/>
            <w:vAlign w:val="bottom"/>
            <w:tcBorders>
              <w:bottom w:val="single" w:sz="8" w:color="0000EE"/>
            </w:tcBorders>
            <w:gridSpan w:val="8"/>
          </w:tcPr>
          <w:p>
            <w:pPr>
              <w:spacing w:after="0" w:line="196" w:lineRule="exact"/>
              <w:rPr>
                <w:rFonts w:ascii="Arial" w:cs="Arial" w:eastAsia="Arial" w:hAnsi="Arial"/>
                <w:sz w:val="18"/>
                <w:szCs w:val="18"/>
                <w:b w:val="1"/>
                <w:bCs w:val="1"/>
                <w:color w:val="0000EE"/>
                <w:w w:val="98"/>
              </w:rPr>
            </w:pPr>
            <w:hyperlink w:anchor="page156">
              <w:r>
                <w:rPr>
                  <w:rFonts w:ascii="Arial" w:cs="Arial" w:eastAsia="Arial" w:hAnsi="Arial"/>
                  <w:sz w:val="18"/>
                  <w:szCs w:val="18"/>
                  <w:b w:val="1"/>
                  <w:bCs w:val="1"/>
                  <w:color w:val="0000EE"/>
                  <w:w w:val="98"/>
                </w:rPr>
                <w:t>MATERIAL U.S. FEDERAL INCOME TAX CONSIDERATIONS</w:t>
              </w:r>
            </w:hyperlink>
          </w:p>
        </w:tc>
        <w:tc>
          <w:tcPr>
            <w:tcW w:w="598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212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9"/>
              </w:rPr>
            </w:pPr>
            <w:hyperlink w:anchor="page162">
              <w:r>
                <w:rPr>
                  <w:rFonts w:ascii="Arial" w:cs="Arial" w:eastAsia="Arial" w:hAnsi="Arial"/>
                  <w:sz w:val="18"/>
                  <w:szCs w:val="18"/>
                  <w:b w:val="1"/>
                  <w:bCs w:val="1"/>
                  <w:color w:val="0000EE"/>
                  <w:w w:val="99"/>
                </w:rPr>
                <w:t>PLAN OF DISTRIBUTION</w:t>
              </w:r>
            </w:hyperlink>
          </w:p>
        </w:tc>
        <w:tc>
          <w:tcPr>
            <w:tcW w:w="888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196"/>
        </w:trPr>
        <w:tc>
          <w:tcPr>
            <w:tcW w:w="6060" w:type="dxa"/>
            <w:vAlign w:val="bottom"/>
            <w:tcBorders>
              <w:bottom w:val="single" w:sz="8" w:color="0000EE"/>
            </w:tcBorders>
            <w:gridSpan w:val="9"/>
          </w:tcPr>
          <w:p>
            <w:pPr>
              <w:spacing w:after="0" w:line="196" w:lineRule="exact"/>
              <w:rPr>
                <w:rFonts w:ascii="Arial" w:cs="Arial" w:eastAsia="Arial" w:hAnsi="Arial"/>
                <w:sz w:val="18"/>
                <w:szCs w:val="18"/>
                <w:b w:val="1"/>
                <w:bCs w:val="1"/>
                <w:color w:val="0000EE"/>
                <w:w w:val="97"/>
              </w:rPr>
            </w:pPr>
            <w:hyperlink w:anchor="page164">
              <w:r>
                <w:rPr>
                  <w:rFonts w:ascii="Arial" w:cs="Arial" w:eastAsia="Arial" w:hAnsi="Arial"/>
                  <w:sz w:val="18"/>
                  <w:szCs w:val="18"/>
                  <w:b w:val="1"/>
                  <w:bCs w:val="1"/>
                  <w:color w:val="0000EE"/>
                  <w:w w:val="97"/>
                </w:rPr>
                <w:t>SUB-ADMINISTRATOR, CUSTODIAN, TRANSFER AGENT AND TRUSTEE</w:t>
              </w:r>
            </w:hyperlink>
          </w:p>
        </w:tc>
        <w:tc>
          <w:tcPr>
            <w:tcW w:w="494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11000" w:type="dxa"/>
            <w:vAlign w:val="bottom"/>
            <w:gridSpan w:val="10"/>
          </w:tcPr>
          <w:p>
            <w:pPr>
              <w:spacing w:after="0" w:line="196" w:lineRule="exact"/>
              <w:rPr>
                <w:rFonts w:ascii="Arial" w:cs="Arial" w:eastAsia="Arial" w:hAnsi="Arial"/>
                <w:sz w:val="18"/>
                <w:szCs w:val="18"/>
                <w:b w:val="1"/>
                <w:bCs w:val="1"/>
                <w:color w:val="0000EE"/>
              </w:rPr>
            </w:pPr>
            <w:hyperlink w:anchor="page164">
              <w:r>
                <w:rPr>
                  <w:rFonts w:ascii="Arial" w:cs="Arial" w:eastAsia="Arial" w:hAnsi="Arial"/>
                  <w:sz w:val="18"/>
                  <w:szCs w:val="18"/>
                  <w:b w:val="1"/>
                  <w:bCs w:val="1"/>
                  <w:color w:val="0000EE"/>
                </w:rPr>
                <w:t>LEGAL MATTERS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520" w:type="dxa"/>
            <w:vAlign w:val="bottom"/>
            <w:gridSpan w:val="2"/>
            <w:shd w:val="clear" w:color="auto" w:fill="0000EE"/>
          </w:tcPr>
          <w:p>
            <w:pPr>
              <w:spacing w:after="0" w:line="20" w:lineRule="exact"/>
              <w:rPr>
                <w:sz w:val="1"/>
                <w:szCs w:val="1"/>
                <w:color w:val="auto"/>
              </w:rPr>
            </w:pPr>
          </w:p>
        </w:tc>
        <w:tc>
          <w:tcPr>
            <w:tcW w:w="306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10"/>
          </w:tcPr>
          <w:p>
            <w:pPr>
              <w:spacing w:after="0" w:line="196" w:lineRule="exact"/>
              <w:rPr>
                <w:rFonts w:ascii="Arial" w:cs="Arial" w:eastAsia="Arial" w:hAnsi="Arial"/>
                <w:sz w:val="18"/>
                <w:szCs w:val="18"/>
                <w:b w:val="1"/>
                <w:bCs w:val="1"/>
                <w:color w:val="0000EE"/>
              </w:rPr>
            </w:pPr>
            <w:hyperlink w:anchor="page164">
              <w:r>
                <w:rPr>
                  <w:rFonts w:ascii="Arial" w:cs="Arial" w:eastAsia="Arial" w:hAnsi="Arial"/>
                  <w:sz w:val="18"/>
                  <w:szCs w:val="18"/>
                  <w:b w:val="1"/>
                  <w:bCs w:val="1"/>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960" w:type="dxa"/>
            <w:vAlign w:val="bottom"/>
            <w:tcBorders>
              <w:top w:val="single" w:sz="8" w:color="0000EE"/>
            </w:tcBorders>
            <w:gridSpan w:val="7"/>
          </w:tcPr>
          <w:p>
            <w:pPr>
              <w:spacing w:after="0" w:line="196" w:lineRule="exact"/>
              <w:rPr>
                <w:rFonts w:ascii="Arial" w:cs="Arial" w:eastAsia="Arial" w:hAnsi="Arial"/>
                <w:sz w:val="18"/>
                <w:szCs w:val="18"/>
                <w:b w:val="1"/>
                <w:bCs w:val="1"/>
                <w:color w:val="0000EE"/>
              </w:rPr>
            </w:pPr>
            <w:hyperlink w:anchor="page165">
              <w:r>
                <w:rPr>
                  <w:rFonts w:ascii="Arial" w:cs="Arial" w:eastAsia="Arial" w:hAnsi="Arial"/>
                  <w:sz w:val="18"/>
                  <w:szCs w:val="18"/>
                  <w:b w:val="1"/>
                  <w:bCs w:val="1"/>
                  <w:color w:val="0000EE"/>
                </w:rPr>
                <w:t>INDEX TO CONSOLIDATED FINANCIAL STATEMENTS</w:t>
              </w:r>
            </w:hyperlink>
          </w:p>
        </w:tc>
        <w:tc>
          <w:tcPr>
            <w:tcW w:w="60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r>
        <w:trPr>
          <w:trHeight w:val="20"/>
        </w:trPr>
        <w:tc>
          <w:tcPr>
            <w:tcW w:w="1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459" w:right="3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SUPPLEMENTAL PROSPECTUS SUMMARY</w:t>
      </w:r>
    </w:p>
    <w:p>
      <w:pPr>
        <w:spacing w:after="0" w:line="177" w:lineRule="exact"/>
        <w:rPr>
          <w:sz w:val="20"/>
          <w:szCs w:val="20"/>
          <w:color w:val="auto"/>
        </w:rPr>
      </w:pPr>
    </w:p>
    <w:p>
      <w:pPr>
        <w:ind w:left="200" w:firstLine="443"/>
        <w:spacing w:after="0" w:line="286" w:lineRule="auto"/>
        <w:rPr>
          <w:sz w:val="20"/>
          <w:szCs w:val="20"/>
          <w:color w:val="auto"/>
        </w:rPr>
      </w:pPr>
      <w:r>
        <w:rPr>
          <w:rFonts w:ascii="Arial" w:cs="Arial" w:eastAsia="Arial" w:hAnsi="Arial"/>
          <w:sz w:val="16"/>
          <w:szCs w:val="16"/>
          <w:i w:val="1"/>
          <w:iCs w:val="1"/>
          <w:color w:val="auto"/>
        </w:rPr>
        <w:t>This summary highlights some of the information in this prospectus supplement and the accompanying prospectus. It is not complete and may not contain all of the information that you may want to consider in making an investment decision. References to our portfolio and investments include investments we make through our consolidated subsidiary. Some of the statements in this prospectus supplement and the accompanying prospectus constitute forward-looking statements, which apply to both us and any consolidated subsidiaries, as applicable, and relate to future events, future performance or future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supplement and the accompanying prospectus. You should read carefully the more detailed information set forth under “Risk Factors” and the other information included in this prospectus supplement and the accompanying prospectus. In this prospectus supplement and the accompanying prospectus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220" w:firstLine="443"/>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2"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We believe that Floating Rate Loans to U.S. middle-market private companies offer attractive risk-adjusted returns due to a limited amount of capital available for such companies and the potential for rising interest rates. We use the term “middle-market” to refer to companies with annual revenues between $50 million and $1 billion. We may also invest in public middle-market U.S.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left="200" w:right="120" w:firstLine="443"/>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investments purposes, will be invested in Floating Rate Loans and other investments bearing a variable-rate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20" w:lineRule="exact"/>
        <w:rPr>
          <w:sz w:val="20"/>
          <w:szCs w:val="20"/>
          <w:color w:val="auto"/>
        </w:rPr>
      </w:pPr>
    </w:p>
    <w:p>
      <w:pPr>
        <w:ind w:left="200" w:right="140" w:firstLine="443"/>
        <w:spacing w:after="0" w:line="268"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w:t>
      </w:r>
    </w:p>
    <w:p>
      <w:pPr>
        <w:spacing w:after="0" w:line="2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240"/>
          </w:cols>
          <w:pgMar w:left="240" w:top="459" w:right="41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723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6465" cy="572389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440"/>
        <w:spacing w:after="0" w:line="259" w:lineRule="auto"/>
        <w:rPr>
          <w:sz w:val="20"/>
          <w:szCs w:val="20"/>
          <w:color w:val="auto"/>
        </w:rPr>
      </w:pPr>
      <w:r>
        <w:rPr>
          <w:rFonts w:ascii="Arial" w:cs="Arial" w:eastAsia="Arial" w:hAnsi="Arial"/>
          <w:sz w:val="18"/>
          <w:szCs w:val="18"/>
          <w:color w:val="auto"/>
        </w:rPr>
        <w:t>economic environment and the competitive environment for the types of investments we make. We have used, and expect to continue to use, our credit facility, or the Credit Facility, proceeds from the rotation of our portfolio and proceeds from public and private offerings of securities to finance our investment objectives.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left="200" w:right="160" w:firstLine="443"/>
        <w:spacing w:after="0" w:line="306" w:lineRule="auto"/>
        <w:rPr>
          <w:sz w:val="20"/>
          <w:szCs w:val="20"/>
          <w:color w:val="auto"/>
        </w:rPr>
      </w:pPr>
      <w:r>
        <w:rPr>
          <w:rFonts w:ascii="Arial" w:cs="Arial" w:eastAsia="Arial" w:hAnsi="Arial"/>
          <w:sz w:val="16"/>
          <w:szCs w:val="16"/>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regulated investment company, or RIC, under the Internal Revenue Code of 1986, as amended, or the Code.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over $1.7 billion in debt and equity capital and has invested approximately $2.5 billion in 244 companies with 110 different financial sponsors through its managed funds.</w:t>
      </w:r>
    </w:p>
    <w:p>
      <w:pPr>
        <w:spacing w:after="0" w:line="120"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in the accompanying prospectus for more information.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We believe that the limited amount of capital available to the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1060" w:right="200" w:hanging="431"/>
        <w:spacing w:after="0" w:line="301" w:lineRule="auto"/>
        <w:tabs>
          <w:tab w:leader="none" w:pos="1060" w:val="left"/>
        </w:tabs>
        <w:numPr>
          <w:ilvl w:val="0"/>
          <w:numId w:val="2"/>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increasing difficulty in raising debt through the capital markets. </w:t>
      </w:r>
      <w:r>
        <w:rPr>
          <w:rFonts w:ascii="Arial" w:cs="Arial" w:eastAsia="Arial" w:hAnsi="Arial"/>
          <w:sz w:val="16"/>
          <w:szCs w:val="16"/>
          <w:color w:val="auto"/>
        </w:rPr>
        <w:t>While many middle-market companies were formerly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debt securities.</w:t>
      </w:r>
    </w:p>
    <w:p>
      <w:pPr>
        <w:spacing w:after="0" w:line="22" w:lineRule="exact"/>
        <w:rPr>
          <w:rFonts w:ascii="Arial" w:cs="Arial" w:eastAsia="Arial" w:hAnsi="Arial"/>
          <w:sz w:val="16"/>
          <w:szCs w:val="16"/>
          <w:color w:val="auto"/>
        </w:rPr>
      </w:pPr>
    </w:p>
    <w:p>
      <w:pPr>
        <w:ind w:left="1060" w:right="180" w:hanging="431"/>
        <w:spacing w:after="0" w:line="262" w:lineRule="auto"/>
        <w:tabs>
          <w:tab w:leader="none" w:pos="10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difficulty raising debt in private markets. </w:t>
      </w:r>
      <w:r>
        <w:rPr>
          <w:rFonts w:ascii="Arial" w:cs="Arial" w:eastAsia="Arial" w:hAnsi="Arial"/>
          <w:sz w:val="18"/>
          <w:szCs w:val="18"/>
          <w:color w:val="auto"/>
        </w:rPr>
        <w:t>Banks, finance companies, hedge funds and</w:t>
      </w:r>
      <w:r>
        <w:rPr>
          <w:rFonts w:ascii="Arial" w:cs="Arial" w:eastAsia="Arial" w:hAnsi="Arial"/>
          <w:sz w:val="18"/>
          <w:szCs w:val="18"/>
          <w:b w:val="1"/>
          <w:bCs w:val="1"/>
          <w:color w:val="auto"/>
        </w:rPr>
        <w:t xml:space="preserve"> </w:t>
      </w:r>
      <w:r>
        <w:rPr>
          <w:rFonts w:ascii="Arial" w:cs="Arial" w:eastAsia="Arial" w:hAnsi="Arial"/>
          <w:sz w:val="18"/>
          <w:szCs w:val="18"/>
          <w:color w:val="auto"/>
        </w:rPr>
        <w:t>collateralized loan obligation, or CLO, funds have withdrawn capital from the middle-market resulting in opportunities for alternative funding sources.</w:t>
      </w:r>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524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6465" cy="555244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1060" w:right="480" w:hanging="431"/>
        <w:spacing w:after="0" w:line="338" w:lineRule="auto"/>
        <w:tabs>
          <w:tab w:leader="none" w:pos="1060" w:val="left"/>
        </w:tabs>
        <w:numPr>
          <w:ilvl w:val="0"/>
          <w:numId w:val="3"/>
        </w:numPr>
        <w:rPr>
          <w:rFonts w:ascii="Arial" w:cs="Arial" w:eastAsia="Arial" w:hAnsi="Arial"/>
          <w:sz w:val="15"/>
          <w:szCs w:val="15"/>
          <w:color w:val="auto"/>
        </w:rPr>
      </w:pPr>
      <w:r>
        <w:rPr>
          <w:rFonts w:ascii="Arial" w:cs="Arial" w:eastAsia="Arial" w:hAnsi="Arial"/>
          <w:sz w:val="15"/>
          <w:szCs w:val="15"/>
          <w:b w:val="1"/>
          <w:bCs w:val="1"/>
          <w:color w:val="auto"/>
        </w:rPr>
        <w:t xml:space="preserve">We believe that the current credit market dislocation for middle-market companies improves the risk-adjusted returns of our investments. </w:t>
      </w:r>
      <w:r>
        <w:rPr>
          <w:rFonts w:ascii="Arial" w:cs="Arial" w:eastAsia="Arial" w:hAnsi="Arial"/>
          <w:sz w:val="15"/>
          <w:szCs w:val="15"/>
          <w:color w:val="auto"/>
        </w:rPr>
        <w:t>In the current credit environment, market participants have reduced lending to middle-market and non-investment grade</w:t>
      </w:r>
      <w:r>
        <w:rPr>
          <w:rFonts w:ascii="Arial" w:cs="Arial" w:eastAsia="Arial" w:hAnsi="Arial"/>
          <w:sz w:val="15"/>
          <w:szCs w:val="15"/>
          <w:b w:val="1"/>
          <w:bCs w:val="1"/>
          <w:color w:val="auto"/>
        </w:rPr>
        <w:t xml:space="preserve"> </w:t>
      </w:r>
      <w:r>
        <w:rPr>
          <w:rFonts w:ascii="Arial" w:cs="Arial" w:eastAsia="Arial" w:hAnsi="Arial"/>
          <w:sz w:val="15"/>
          <w:szCs w:val="15"/>
          <w:color w:val="auto"/>
        </w:rPr>
        <w:t>borrowers. As a result, there is less competition in our market, more conservative capital structures, higher yields and stronger covenants.</w:t>
      </w:r>
    </w:p>
    <w:p>
      <w:pPr>
        <w:ind w:left="1060" w:right="20" w:hanging="431"/>
        <w:spacing w:after="0" w:line="296"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w:t>
      </w:r>
      <w:r>
        <w:rPr>
          <w:rFonts w:ascii="Arial" w:cs="Arial" w:eastAsia="Arial" w:hAnsi="Arial"/>
          <w:sz w:val="16"/>
          <w:szCs w:val="16"/>
          <w:b w:val="1"/>
          <w:bCs w:val="1"/>
          <w:color w:val="auto"/>
        </w:rPr>
        <w:t xml:space="preserve"> </w:t>
      </w:r>
      <w:r>
        <w:rPr>
          <w:rFonts w:ascii="Arial" w:cs="Arial" w:eastAsia="Arial" w:hAnsi="Arial"/>
          <w:sz w:val="16"/>
          <w:szCs w:val="16"/>
          <w:color w:val="auto"/>
        </w:rPr>
        <w:t>private 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1060" w:right="40" w:hanging="431"/>
        <w:spacing w:after="0" w:line="296" w:lineRule="auto"/>
        <w:tabs>
          <w:tab w:leader="none" w:pos="106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substantial supply of opportunities. </w:t>
      </w:r>
      <w:r>
        <w:rPr>
          <w:rFonts w:ascii="Arial" w:cs="Arial" w:eastAsia="Arial" w:hAnsi="Arial"/>
          <w:sz w:val="16"/>
          <w:szCs w:val="16"/>
          <w:color w:val="auto"/>
        </w:rPr>
        <w:t>A high volume of financings will come due in the next few years. Additionally,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64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left="200" w:right="60" w:firstLine="443"/>
        <w:spacing w:after="0" w:line="298"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20 years of experience in mezzanine lending, leveraged finance, distressed debt and private equity businesses. The senior investment professionals have been involved in originating, structuring, negotiating, managing and monitoring investments in each of these businesses across economic and market cycles. We believe this extensive experience and history has resulted in a strong reputation across the capital markets.</w:t>
      </w:r>
    </w:p>
    <w:p>
      <w:pPr>
        <w:spacing w:after="0" w:line="113"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color w:val="auto"/>
        </w:rPr>
        <w:t>Lending to middle-market companies requires in depth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224"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left="200" w:firstLine="443"/>
        <w:spacing w:after="0" w:line="255" w:lineRule="auto"/>
        <w:rPr>
          <w:sz w:val="20"/>
          <w:szCs w:val="20"/>
          <w:color w:val="auto"/>
        </w:rPr>
      </w:pPr>
      <w:r>
        <w:rPr>
          <w:rFonts w:ascii="Arial" w:cs="Arial" w:eastAsia="Arial" w:hAnsi="Arial"/>
          <w:sz w:val="18"/>
          <w:szCs w:val="18"/>
          <w:color w:val="auto"/>
        </w:rPr>
        <w:t>We employ a disciplined approach in selecting investments that meet the long-standing, consistent value-oriented investment criteria employed by our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43" w:lineRule="exact"/>
        <w:rPr>
          <w:sz w:val="20"/>
          <w:szCs w:val="20"/>
          <w:color w:val="auto"/>
        </w:rPr>
      </w:pPr>
    </w:p>
    <w:p>
      <w:pPr>
        <w:ind w:left="200" w:right="80" w:firstLine="443"/>
        <w:spacing w:after="0" w:line="268"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w:t>
      </w:r>
    </w:p>
    <w:p>
      <w:pPr>
        <w:spacing w:after="0" w:line="29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200"/>
          </w:cols>
          <w:pgMar w:left="24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981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6465" cy="539813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right="120"/>
        <w:spacing w:after="0" w:line="259" w:lineRule="auto"/>
        <w:rPr>
          <w:sz w:val="20"/>
          <w:szCs w:val="20"/>
          <w:color w:val="auto"/>
        </w:rPr>
      </w:pPr>
      <w:r>
        <w:rPr>
          <w:rFonts w:ascii="Arial" w:cs="Arial" w:eastAsia="Arial" w:hAnsi="Arial"/>
          <w:sz w:val="18"/>
          <w:szCs w:val="18"/>
          <w:color w:val="auto"/>
        </w:rPr>
        <w:t>Investment Adviser’s experience, industry expertise and network of contacts. Among other things, our due diligence is designed to ensure that each prospective portfolio company will be able to meet its debt service obligations. See “Investment Objectives and Policies—Investment Selection Criteria” in the accompanying prospectus for more information.</w:t>
      </w:r>
    </w:p>
    <w:p>
      <w:pPr>
        <w:spacing w:after="0" w:line="140" w:lineRule="exact"/>
        <w:rPr>
          <w:sz w:val="20"/>
          <w:szCs w:val="20"/>
          <w:color w:val="auto"/>
        </w:rPr>
      </w:pPr>
    </w:p>
    <w:p>
      <w:pPr>
        <w:ind w:left="64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840" w:hanging="211"/>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840" w:hanging="211"/>
        <w:spacing w:after="0"/>
        <w:tabs>
          <w:tab w:leader="none" w:pos="840" w:val="left"/>
        </w:tabs>
        <w:numPr>
          <w:ilvl w:val="1"/>
          <w:numId w:val="4"/>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spacing w:after="0"/>
        <w:rPr>
          <w:rFonts w:ascii="Arial" w:cs="Arial" w:eastAsia="Arial" w:hAnsi="Arial"/>
          <w:sz w:val="18"/>
          <w:szCs w:val="18"/>
          <w:color w:val="auto"/>
        </w:rPr>
      </w:pPr>
      <w:r>
        <w:rPr>
          <w:rFonts w:ascii="Arial" w:cs="Arial" w:eastAsia="Arial" w:hAnsi="Arial"/>
          <w:sz w:val="16"/>
          <w:szCs w:val="16"/>
          <w:b w:val="1"/>
          <w:bCs w:val="1"/>
          <w:i w:val="1"/>
          <w:iCs w:val="1"/>
          <w:color w:val="auto"/>
        </w:rPr>
        <w:t>c. Ability to Source and Evaluate Transactions through our Investment Adviser’s Research Capability and Established Network</w:t>
      </w:r>
    </w:p>
    <w:p>
      <w:pPr>
        <w:spacing w:after="0" w:line="113" w:lineRule="exact"/>
        <w:rPr>
          <w:rFonts w:ascii="Arial" w:cs="Arial" w:eastAsia="Arial" w:hAnsi="Arial"/>
          <w:sz w:val="18"/>
          <w:szCs w:val="18"/>
          <w:color w:val="auto"/>
        </w:rPr>
      </w:pPr>
    </w:p>
    <w:p>
      <w:pPr>
        <w:ind w:left="640"/>
        <w:spacing w:after="0"/>
        <w:rPr>
          <w:rFonts w:ascii="Arial" w:cs="Arial" w:eastAsia="Arial" w:hAnsi="Arial"/>
          <w:sz w:val="18"/>
          <w:szCs w:val="18"/>
          <w:color w:val="auto"/>
        </w:rPr>
      </w:pPr>
      <w:r>
        <w:rPr>
          <w:rFonts w:ascii="Arial" w:cs="Arial" w:eastAsia="Arial" w:hAnsi="Arial"/>
          <w:sz w:val="15"/>
          <w:szCs w:val="15"/>
          <w:color w:val="auto"/>
        </w:rPr>
        <w:t>The management team of the Investment Adviser has long-term relationships with financial sponsors, management consultants and management teams</w:t>
      </w:r>
    </w:p>
    <w:p>
      <w:pPr>
        <w:spacing w:after="0" w:line="50" w:lineRule="exact"/>
        <w:rPr>
          <w:sz w:val="20"/>
          <w:szCs w:val="20"/>
          <w:color w:val="auto"/>
        </w:rPr>
      </w:pPr>
    </w:p>
    <w:p>
      <w:pPr>
        <w:ind w:left="200" w:right="160"/>
        <w:spacing w:after="0" w:line="254" w:lineRule="auto"/>
        <w:rPr>
          <w:sz w:val="20"/>
          <w:szCs w:val="20"/>
          <w:color w:val="auto"/>
        </w:rPr>
      </w:pPr>
      <w:r>
        <w:rPr>
          <w:rFonts w:ascii="Arial" w:cs="Arial" w:eastAsia="Arial" w:hAnsi="Arial"/>
          <w:sz w:val="18"/>
          <w:szCs w:val="18"/>
          <w:color w:val="auto"/>
        </w:rPr>
        <w:t>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senior investment professionals of our Investment Adviser have long-term relationships.</w:t>
      </w: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left="200" w:right="400" w:firstLine="443"/>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left="200" w:right="20" w:firstLine="443"/>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left="200" w:right="280" w:firstLine="443"/>
        <w:spacing w:after="0" w:line="332" w:lineRule="auto"/>
        <w:rPr>
          <w:sz w:val="20"/>
          <w:szCs w:val="20"/>
          <w:color w:val="auto"/>
        </w:rPr>
      </w:pPr>
      <w:r>
        <w:rPr>
          <w:rFonts w:ascii="Arial" w:cs="Arial" w:eastAsia="Arial" w:hAnsi="Arial"/>
          <w:sz w:val="16"/>
          <w:szCs w:val="16"/>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160"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80" w:firstLine="443"/>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27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1260"/>
          </w:cols>
          <w:pgMar w:left="240" w:top="459" w:right="3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2095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6465" cy="520954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right="60" w:firstLine="443"/>
        <w:spacing w:after="0" w:line="254" w:lineRule="auto"/>
        <w:rPr>
          <w:sz w:val="20"/>
          <w:szCs w:val="20"/>
          <w:color w:val="auto"/>
        </w:rPr>
      </w:pPr>
      <w:r>
        <w:rPr>
          <w:rFonts w:ascii="Arial" w:cs="Arial" w:eastAsia="Arial" w:hAnsi="Arial"/>
          <w:sz w:val="18"/>
          <w:szCs w:val="18"/>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Factors—Risks Relating to our Business and Structure—We operate in a highly competitive market for investment opportunities” in the accompanying prospectus for more information.</w:t>
      </w:r>
    </w:p>
    <w:p>
      <w:pPr>
        <w:spacing w:after="0" w:line="21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right="80" w:firstLine="443"/>
        <w:spacing w:after="0" w:line="253" w:lineRule="auto"/>
        <w:rPr>
          <w:sz w:val="20"/>
          <w:szCs w:val="20"/>
          <w:color w:val="auto"/>
        </w:rPr>
      </w:pPr>
      <w:r>
        <w:rPr>
          <w:rFonts w:ascii="Arial" w:cs="Arial" w:eastAsia="Arial" w:hAnsi="Arial"/>
          <w:sz w:val="18"/>
          <w:szCs w:val="18"/>
          <w:color w:val="auto"/>
        </w:rPr>
        <w:t>We maintain a five-year, $125.0 million Credit Facility, which matures in May 2018, with SunTrust Bank, or the Lender. Through May 14, 2016, or the revolving period, the Credit Facility bears interest at LIBOR plus 200 basis points, and after the revolving period, the rate sets to LIBOR plus 425 basis points for the remaining two years. The Credit Facility is secured by all of the assets held by Funding I, under which we had drawn $34.2 million and $85.6 million outstanding with an annual interest rate of 2.21% and 2.20%, excluding the undrawn commitment fee of 0.375%, as of March 31, 2013 and June 30, 2013, respectively. We believe that our capital resources provide us with the flexibility to take advantage of market opportunities when they arise. See “Management’s Discussion and Analysis of Financial Condition and Results of Operations—Liquidity and Capital Resources” in the accompanying prospectus for more information.</w:t>
      </w:r>
    </w:p>
    <w:p>
      <w:pPr>
        <w:spacing w:after="0" w:line="22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firstLine="443"/>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in the accompanying prospectus for more information.</w:t>
      </w:r>
    </w:p>
    <w:p>
      <w:pPr>
        <w:spacing w:after="0" w:line="113" w:lineRule="exact"/>
        <w:rPr>
          <w:sz w:val="20"/>
          <w:szCs w:val="20"/>
          <w:color w:val="auto"/>
        </w:rPr>
      </w:pPr>
    </w:p>
    <w:p>
      <w:pPr>
        <w:ind w:left="200" w:right="140" w:firstLine="443"/>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in the accompanying prospectus for more information.</w:t>
      </w:r>
    </w:p>
    <w:p>
      <w:pPr>
        <w:spacing w:after="0" w:line="143" w:lineRule="exact"/>
        <w:rPr>
          <w:sz w:val="20"/>
          <w:szCs w:val="20"/>
          <w:color w:val="auto"/>
        </w:rPr>
      </w:pPr>
    </w:p>
    <w:p>
      <w:pPr>
        <w:jc w:val="both"/>
        <w:ind w:left="200" w:right="120" w:firstLine="443"/>
        <w:spacing w:after="0" w:line="335" w:lineRule="auto"/>
        <w:rPr>
          <w:sz w:val="20"/>
          <w:szCs w:val="20"/>
          <w:color w:val="auto"/>
        </w:rPr>
      </w:pPr>
      <w:r>
        <w:rPr>
          <w:rFonts w:ascii="Arial" w:cs="Arial" w:eastAsia="Arial" w:hAnsi="Arial"/>
          <w:sz w:val="15"/>
          <w:szCs w:val="15"/>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88" w:lineRule="exact"/>
        <w:rPr>
          <w:sz w:val="20"/>
          <w:szCs w:val="20"/>
          <w:color w:val="auto"/>
        </w:rPr>
      </w:pPr>
    </w:p>
    <w:p>
      <w:pPr>
        <w:ind w:left="200" w:right="20" w:firstLine="443"/>
        <w:spacing w:after="0" w:line="256" w:lineRule="auto"/>
        <w:rPr>
          <w:sz w:val="20"/>
          <w:szCs w:val="20"/>
          <w:color w:val="auto"/>
        </w:rPr>
      </w:pPr>
      <w:r>
        <w:rPr>
          <w:rFonts w:ascii="Arial" w:cs="Arial" w:eastAsia="Arial" w:hAnsi="Arial"/>
          <w:sz w:val="18"/>
          <w:szCs w:val="18"/>
          <w:color w:val="auto"/>
        </w:rPr>
        <w:t>As a BDC, we are required to comply with certain regulatory requirements. Also, while we are permitted to finance investments using debt, our ability to use debt is limited in certain significant respects. See “Regulation” in the accompanying prospectus for more information. We have elected, and intend to qualify annually, to be treated for federal income tax purposes under the Code as a RIC. See “Material U.S. Federal Income Tax Considerations” in the accompanying prospectus for more information.</w:t>
      </w:r>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240"/>
          </w:cols>
          <w:pgMar w:left="240" w:top="459" w:right="4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62903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6465" cy="629031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jc w:val="both"/>
        <w:ind w:left="200" w:firstLine="443"/>
        <w:spacing w:after="0" w:line="298"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to invest in new or existing portfolio companies or for other general corporate or strategic purposes. See “Use of Proceeds” in this prospectus supplement for information regarding our outstanding borrowings as of March 31, 2013 and June 30, 2013, the corresponding interest rate charged on such borrowings as of that date and the length of time that it may take us to invest any proceeds in new or existing portfolio companies.</w:t>
      </w:r>
    </w:p>
    <w:p>
      <w:pPr>
        <w:spacing w:after="0" w:line="1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right="80" w:firstLine="443"/>
        <w:spacing w:after="0" w:line="259" w:lineRule="auto"/>
        <w:rPr>
          <w:sz w:val="20"/>
          <w:szCs w:val="20"/>
          <w:color w:val="auto"/>
        </w:rPr>
      </w:pPr>
      <w:r>
        <w:rPr>
          <w:rFonts w:ascii="Arial" w:cs="Arial" w:eastAsia="Arial" w:hAnsi="Arial"/>
          <w:sz w:val="18"/>
          <w:szCs w:val="18"/>
          <w:color w:val="auto"/>
        </w:rPr>
        <w:t>We intend to continue our monthly distributions to our common stockholders. Our monthly distributions, if any, are determined by our board of directors. See “Distributions” in the accompanying prospectus and “Price Range of Common Stock” in this prospectus supplement and in the accompanying prospectus for more information.</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jc w:val="both"/>
        <w:ind w:left="200" w:right="220" w:firstLine="44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 distributions automatically reinvested in additional shares of our common stock rather than receiving the cash dividends. Registered stockholders must notify our transfer agent in writing if they wish to ‘opt-out’ of the dividend reinvestment plan. See “Dividend Reinvestment Plan” in the accompanying prospectus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right="160" w:firstLine="443"/>
        <w:spacing w:after="0" w:line="268" w:lineRule="auto"/>
        <w:rPr>
          <w:sz w:val="20"/>
          <w:szCs w:val="20"/>
          <w:color w:val="auto"/>
        </w:rPr>
      </w:pPr>
      <w:r>
        <w:rPr>
          <w:rFonts w:ascii="Arial" w:cs="Arial" w:eastAsia="Arial" w:hAnsi="Arial"/>
          <w:sz w:val="18"/>
          <w:szCs w:val="18"/>
          <w:color w:val="auto"/>
        </w:rPr>
        <w:t>On July 1, 2013 we declared a dividend of $0.0875 per share payable August 1, 2013 to shareholders of record as of July 19, 2013. Shares purchased in this offering will be entitled to the dividend to be paid on August 1, 2013.</w:t>
      </w:r>
    </w:p>
    <w:p>
      <w:pPr>
        <w:spacing w:after="0" w:line="132" w:lineRule="exact"/>
        <w:rPr>
          <w:sz w:val="20"/>
          <w:szCs w:val="20"/>
          <w:color w:val="auto"/>
        </w:rPr>
      </w:pPr>
    </w:p>
    <w:p>
      <w:pPr>
        <w:ind w:left="200" w:right="100" w:firstLine="443"/>
        <w:spacing w:after="0" w:line="255" w:lineRule="auto"/>
        <w:rPr>
          <w:sz w:val="20"/>
          <w:szCs w:val="20"/>
          <w:color w:val="auto"/>
        </w:rPr>
      </w:pPr>
      <w:r>
        <w:rPr>
          <w:rFonts w:ascii="Arial" w:cs="Arial" w:eastAsia="Arial" w:hAnsi="Arial"/>
          <w:sz w:val="18"/>
          <w:szCs w:val="18"/>
          <w:color w:val="auto"/>
        </w:rPr>
        <w:t>Set forth below are certain preliminary estimates of our financial condition for the period ended June 30, 2013. These estimates are subject to the completion of our financial closing procedures and are not a comprehensive statement of our financial results for the three and nine months ended June 30, 2013. We advise you that our actual results may differ materially from these estimates as a result of the completion of our financial closing procedures, final adjustments and other developments arising between now and the time that our financial results for the three and nine months ended June 30, 2013 are finalized.</w:t>
      </w:r>
    </w:p>
    <w:p>
      <w:pPr>
        <w:spacing w:after="0" w:line="1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Net asset value as of June 30, 2013 is estimated to be between $13.95 and $14.00 per share.</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As of June 30, 2013, we had $85.6 million in borrowings outstanding under our $125.0 million Credit Facility.</w:t>
      </w:r>
    </w:p>
    <w:p>
      <w:pPr>
        <w:spacing w:after="0" w:line="171" w:lineRule="exact"/>
        <w:rPr>
          <w:sz w:val="20"/>
          <w:szCs w:val="20"/>
          <w:color w:val="auto"/>
        </w:rPr>
      </w:pPr>
    </w:p>
    <w:p>
      <w:pPr>
        <w:ind w:left="200" w:right="100" w:firstLine="443"/>
        <w:spacing w:after="0" w:line="268" w:lineRule="auto"/>
        <w:rPr>
          <w:sz w:val="20"/>
          <w:szCs w:val="20"/>
          <w:color w:val="auto"/>
        </w:rPr>
      </w:pPr>
      <w:r>
        <w:rPr>
          <w:rFonts w:ascii="Arial" w:cs="Arial" w:eastAsia="Arial" w:hAnsi="Arial"/>
          <w:sz w:val="18"/>
          <w:szCs w:val="18"/>
          <w:color w:val="auto"/>
        </w:rPr>
        <w:t>We intend to announce final results of operations for the three and nine months ended June 30, 2013 on August 8, 2013 after the close of the financial markets.</w:t>
      </w:r>
    </w:p>
    <w:p>
      <w:pPr>
        <w:spacing w:after="0" w:line="132" w:lineRule="exact"/>
        <w:rPr>
          <w:sz w:val="20"/>
          <w:szCs w:val="20"/>
          <w:color w:val="auto"/>
        </w:rPr>
      </w:pPr>
    </w:p>
    <w:p>
      <w:pPr>
        <w:ind w:left="200" w:right="320" w:firstLine="443"/>
        <w:spacing w:after="0" w:line="306" w:lineRule="auto"/>
        <w:rPr>
          <w:sz w:val="20"/>
          <w:szCs w:val="20"/>
          <w:color w:val="auto"/>
        </w:rPr>
      </w:pPr>
      <w:r>
        <w:rPr>
          <w:rFonts w:ascii="Arial" w:cs="Arial" w:eastAsia="Arial" w:hAnsi="Arial"/>
          <w:sz w:val="16"/>
          <w:szCs w:val="16"/>
          <w:color w:val="auto"/>
        </w:rPr>
        <w:t>The preliminary financial data included herein have been prepared by, and is the responsibility of, management. Our independent registered public accounting firm, has not audited, reviewed, compiled or performed any procedures with respect to the accompanying preliminary financial data. Accordingly, our independent registered public accounting firm does not express an opinion or any other form of assurance with respect thereto.</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right="20" w:firstLine="443"/>
        <w:spacing w:after="0" w:line="306"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supplement or the</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60"/>
          </w:cols>
          <w:pgMar w:left="240" w:top="459" w:right="3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922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6465" cy="92202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ind w:left="200"/>
        <w:spacing w:after="0" w:line="255" w:lineRule="auto"/>
        <w:rPr>
          <w:sz w:val="20"/>
          <w:szCs w:val="20"/>
          <w:color w:val="auto"/>
        </w:rPr>
      </w:pPr>
      <w:r>
        <w:rPr>
          <w:rFonts w:ascii="Arial" w:cs="Arial" w:eastAsia="Arial" w:hAnsi="Arial"/>
          <w:sz w:val="18"/>
          <w:szCs w:val="18"/>
          <w:color w:val="auto"/>
        </w:rPr>
        <w:t xml:space="preserve">accompanying prospectus, and you should not consider information contained on our website to be part of this prospectus supplement or accompanying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that contains material that we file with the SEC on the EDGAR Database.</w:t>
      </w:r>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220"/>
          </w:cols>
          <w:pgMar w:left="24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supplement or the accompanying prospectus contains a reference to fees or expenses paid by “you” or “us” or that “we” will pay fees or expenses,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the offering price)</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Sales load</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0.75%</w:t>
            </w: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0.48%</w:t>
            </w:r>
            <w:r>
              <w:rPr>
                <w:rFonts w:ascii="Arial" w:cs="Arial" w:eastAsia="Arial" w:hAnsi="Arial"/>
                <w:sz w:val="11"/>
                <w:szCs w:val="11"/>
                <w:color w:val="auto"/>
              </w:rPr>
              <w:t>(2)</w:t>
            </w:r>
          </w:p>
        </w:tc>
        <w:tc>
          <w:tcPr>
            <w:tcW w:w="0" w:type="dxa"/>
            <w:vAlign w:val="bottom"/>
          </w:tcPr>
          <w:p>
            <w:pPr>
              <w:spacing w:after="0"/>
              <w:rPr>
                <w:sz w:val="1"/>
                <w:szCs w:val="1"/>
                <w:color w:val="auto"/>
              </w:rPr>
            </w:pPr>
          </w:p>
        </w:tc>
      </w:tr>
      <w:tr>
        <w:trPr>
          <w:trHeight w:val="20"/>
        </w:trPr>
        <w:tc>
          <w:tcPr>
            <w:tcW w:w="10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stockholder transaction expenses</w:t>
            </w: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600" w:type="dxa"/>
            <w:vAlign w:val="bottom"/>
            <w:gridSpan w:val="2"/>
            <w:vMerge w:val="continue"/>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0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Management fees</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1.46%</w:t>
            </w:r>
            <w:r>
              <w:rPr>
                <w:rFonts w:ascii="Arial" w:cs="Arial" w:eastAsia="Arial" w:hAnsi="Arial"/>
                <w:sz w:val="11"/>
                <w:szCs w:val="11"/>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1.49%</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1.64%</w:t>
            </w:r>
            <w:r>
              <w:rPr>
                <w:rFonts w:ascii="Arial" w:cs="Arial" w:eastAsia="Arial" w:hAnsi="Arial"/>
                <w:sz w:val="11"/>
                <w:szCs w:val="11"/>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58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8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1.21%</w:t>
            </w:r>
            <w:r>
              <w:rPr>
                <w:rFonts w:ascii="Arial" w:cs="Arial" w:eastAsia="Arial" w:hAnsi="Arial"/>
                <w:sz w:val="11"/>
                <w:szCs w:val="11"/>
                <w:color w:val="auto"/>
              </w:rPr>
              <w:t>(7)</w:t>
            </w:r>
          </w:p>
        </w:tc>
        <w:tc>
          <w:tcPr>
            <w:tcW w:w="0" w:type="dxa"/>
            <w:vAlign w:val="bottom"/>
          </w:tcPr>
          <w:p>
            <w:pPr>
              <w:spacing w:after="0"/>
              <w:rPr>
                <w:sz w:val="1"/>
                <w:szCs w:val="1"/>
                <w:color w:val="auto"/>
              </w:rPr>
            </w:pPr>
          </w:p>
        </w:tc>
      </w:tr>
      <w:tr>
        <w:trPr>
          <w:trHeight w:val="20"/>
        </w:trPr>
        <w:tc>
          <w:tcPr>
            <w:tcW w:w="106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estimated annual expenses</w:t>
            </w:r>
          </w:p>
        </w:tc>
        <w:tc>
          <w:tcPr>
            <w:tcW w:w="3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10600" w:type="dxa"/>
            <w:vAlign w:val="bottom"/>
            <w:gridSpan w:val="2"/>
            <w:vMerge w:val="continue"/>
          </w:tcPr>
          <w:p>
            <w:pPr>
              <w:spacing w:after="0"/>
              <w:rPr>
                <w:sz w:val="19"/>
                <w:szCs w:val="19"/>
                <w:color w:val="auto"/>
              </w:rPr>
            </w:pPr>
          </w:p>
        </w:tc>
        <w:tc>
          <w:tcPr>
            <w:tcW w:w="820" w:type="dxa"/>
            <w:vAlign w:val="bottom"/>
            <w:gridSpan w:val="2"/>
          </w:tcPr>
          <w:p>
            <w:pPr>
              <w:ind w:left="60"/>
              <w:spacing w:after="0"/>
              <w:rPr>
                <w:sz w:val="20"/>
                <w:szCs w:val="20"/>
                <w:color w:val="auto"/>
              </w:rPr>
            </w:pPr>
            <w:r>
              <w:rPr>
                <w:rFonts w:ascii="Arial" w:cs="Arial" w:eastAsia="Arial" w:hAnsi="Arial"/>
                <w:sz w:val="18"/>
                <w:szCs w:val="18"/>
                <w:color w:val="auto"/>
              </w:rPr>
              <w:t>5.80%</w:t>
            </w:r>
            <w:r>
              <w:rPr>
                <w:rFonts w:ascii="Arial" w:cs="Arial" w:eastAsia="Arial" w:hAnsi="Arial"/>
                <w:sz w:val="11"/>
                <w:szCs w:val="11"/>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80" w:hanging="452"/>
        <w:spacing w:after="0" w:line="286"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will pay a portion of the underwriting discount and commission (sales load), which is a one-time fee, of 0.75% of the offering price. Our Investment Adviser has agreed to pay another 2.25% of the sale load. We are not obligated to repay the sales load paid by our Investment Adviser.</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reflects estimated offering expenses of approximately $300,000.</w:t>
      </w:r>
    </w:p>
    <w:p>
      <w:pPr>
        <w:spacing w:after="0" w:line="9" w:lineRule="exact"/>
        <w:rPr>
          <w:rFonts w:ascii="Arial" w:cs="Arial" w:eastAsia="Arial" w:hAnsi="Arial"/>
          <w:sz w:val="18"/>
          <w:szCs w:val="18"/>
          <w:color w:val="auto"/>
        </w:rPr>
      </w:pPr>
    </w:p>
    <w:p>
      <w:pPr>
        <w:jc w:val="both"/>
        <w:ind w:left="460" w:right="4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March 31, 2013, plus net proceeds from 450,000 shares issued pursuant to an over allotment option that was exercised on April 8, 2013 in connection with our March 2013 equity offering plus the anticipated net proceeds from this offering but excluding the underwriters’ overallotment option.</w:t>
      </w:r>
    </w:p>
    <w:p>
      <w:pPr>
        <w:spacing w:after="0" w:line="1" w:lineRule="exact"/>
        <w:rPr>
          <w:rFonts w:ascii="Arial" w:cs="Arial" w:eastAsia="Arial" w:hAnsi="Arial"/>
          <w:sz w:val="18"/>
          <w:szCs w:val="18"/>
          <w:color w:val="auto"/>
        </w:rPr>
      </w:pPr>
    </w:p>
    <w:p>
      <w:pPr>
        <w:ind w:left="460" w:right="68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contractual management fee is calculated at an annual rate of 1.00% of our average adjusted gross total assets. See “Certain Relationships and Transactions—Investment Management Agreement” in the accompanying prospectus for more information.</w:t>
      </w:r>
    </w:p>
    <w:p>
      <w:pPr>
        <w:spacing w:after="0" w:line="1" w:lineRule="exact"/>
        <w:rPr>
          <w:rFonts w:ascii="Arial" w:cs="Arial" w:eastAsia="Arial" w:hAnsi="Arial"/>
          <w:sz w:val="16"/>
          <w:szCs w:val="16"/>
          <w:color w:val="auto"/>
        </w:rPr>
      </w:pPr>
    </w:p>
    <w:p>
      <w:pPr>
        <w:ind w:left="460" w:right="20" w:hanging="452"/>
        <w:spacing w:after="0" w:line="286"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and payable under our Investment Management Agreement during the three months ended March 31,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2013, our cumulative realized and unrealized capital gains exceeded our cumulative realized and unrealized capital losses and we accrued a capital gains incentive fee of $0.3 million in accordance with U.S. generally accepted accounting principles, or GAAP. However, “Incentive fees” does not include an accrual for capital gains incentive fee for the three months ended March 31, 2013 since no capital gains incentive fee was payable under our Investment Management Agreement as of March 31, 2013. As we cannot predict our</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200"/>
        <w:spacing w:after="0" w:line="253" w:lineRule="auto"/>
        <w:rPr>
          <w:sz w:val="20"/>
          <w:szCs w:val="20"/>
          <w:color w:val="auto"/>
        </w:rPr>
      </w:pPr>
      <w:r>
        <w:rPr>
          <w:rFonts w:ascii="Arial" w:cs="Arial" w:eastAsia="Arial" w:hAnsi="Arial"/>
          <w:sz w:val="18"/>
          <w:szCs w:val="18"/>
          <w:color w:val="auto"/>
        </w:rPr>
        <w:t>future net investment income or capital gains, the incentive fee paid in future periods, if any, may be substantially different than the fee earned during the three months ended March 31, 2013. For more detailed information about the incentive fee, please see “Certain Relationships and Transactions— Investment Management Agreement” in the accompanying prospectus for more information.</w:t>
      </w:r>
    </w:p>
    <w:p>
      <w:pPr>
        <w:ind w:left="460" w:right="100" w:hanging="452"/>
        <w:spacing w:after="0" w:line="281" w:lineRule="auto"/>
        <w:tabs>
          <w:tab w:leader="none" w:pos="46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 of March 31, 2013, we had $34.2 million in borrowings outstanding under our $125.0 million Credit Facility. We may use the net proceeds of this offering to repay outstanding obligations under our Credit Facility. After completing this offering, we may continue to borrow under our Credit Facility to finance our investment objectives. We have estimated the annual interest expense on borrowed funds and caution you that our actual interest expense will depend on prevailing interest rates and our rate of borrowing, which may be substantially higher than the estimate provided in this table. See “Risk Factors —Risks Relating To Our Business and Structure—We currently use borrowed funds to make investments and are exposed to the typical risks associated with leverage” in the accompanying prospectus for more information.</w:t>
      </w:r>
    </w:p>
    <w:p>
      <w:pPr>
        <w:spacing w:after="0" w:line="4" w:lineRule="exact"/>
        <w:rPr>
          <w:rFonts w:ascii="Arial" w:cs="Arial" w:eastAsia="Arial" w:hAnsi="Arial"/>
          <w:sz w:val="16"/>
          <w:szCs w:val="16"/>
          <w:color w:val="auto"/>
        </w:rPr>
      </w:pPr>
    </w:p>
    <w:p>
      <w:pPr>
        <w:ind w:left="460" w:right="80" w:hanging="452"/>
        <w:spacing w:after="0" w:line="250"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2013, annualized for a full year. See the Consolidated Statement of Operations in our Consolidated Financial Statements in this prospectus supplement and in the accompanying prospectus for more information.</w:t>
      </w:r>
    </w:p>
    <w:p>
      <w:pPr>
        <w:spacing w:after="0" w:line="2" w:lineRule="exact"/>
        <w:rPr>
          <w:rFonts w:ascii="Arial" w:cs="Arial" w:eastAsia="Arial" w:hAnsi="Arial"/>
          <w:sz w:val="18"/>
          <w:szCs w:val="18"/>
          <w:color w:val="auto"/>
        </w:rPr>
      </w:pPr>
    </w:p>
    <w:p>
      <w:pPr>
        <w:ind w:left="460" w:right="180" w:hanging="452"/>
        <w:spacing w:after="0" w:line="315" w:lineRule="auto"/>
        <w:tabs>
          <w:tab w:leader="none" w:pos="460" w:val="left"/>
        </w:tabs>
        <w:numPr>
          <w:ilvl w:val="0"/>
          <w:numId w:val="6"/>
        </w:numPr>
        <w:rPr>
          <w:rFonts w:ascii="Arial" w:cs="Arial" w:eastAsia="Arial" w:hAnsi="Arial"/>
          <w:sz w:val="15"/>
          <w:szCs w:val="15"/>
          <w:color w:val="auto"/>
        </w:rPr>
      </w:pPr>
      <w:r>
        <w:rPr>
          <w:rFonts w:ascii="Arial" w:cs="Arial" w:eastAsia="Arial" w:hAnsi="Arial"/>
          <w:sz w:val="15"/>
          <w:szCs w:val="15"/>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net assets (defined as total assets less indebtedness) rather than total assets, which include assets that have been funded with borrowed money. For a presentation and calculation of total estimated annual expenses based on average total assets, see page 38 of the accompanying prospectus.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260" w:firstLine="456"/>
        <w:spacing w:after="0" w:line="305" w:lineRule="auto"/>
        <w:rPr>
          <w:sz w:val="20"/>
          <w:szCs w:val="20"/>
          <w:color w:val="auto"/>
        </w:rPr>
      </w:pPr>
      <w:r>
        <w:rPr>
          <w:rFonts w:ascii="Arial" w:cs="Arial" w:eastAsia="Arial" w:hAnsi="Arial"/>
          <w:sz w:val="15"/>
          <w:szCs w:val="15"/>
          <w:color w:val="auto"/>
        </w:rPr>
        <w:t>The following example illustrates the projected dollar amount of total cumulative expenses that you would pay on a $1,000 hypothetical investment in common shares, assuming (1) a 0.75% sales load (underwriting discounts and commissions) (see note 1 above) and included offering expenses totaling 0.48%,</w:t>
      </w:r>
    </w:p>
    <w:p>
      <w:pPr>
        <w:ind w:right="40" w:firstLine="8"/>
        <w:spacing w:after="0" w:line="261" w:lineRule="auto"/>
        <w:tabs>
          <w:tab w:leader="none" w:pos="249"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net estimated annual expenses of 4.31% of average net assets attributable to common shares as set forth in the table above (other than performance-based incentive fees) and (3) a 5% annual return: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1 Year</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600" w:type="dxa"/>
            <w:vAlign w:val="bottom"/>
            <w:gridSpan w:val="3"/>
          </w:tcPr>
          <w:p>
            <w:pPr>
              <w:ind w:left="20"/>
              <w:spacing w:after="0"/>
              <w:rPr>
                <w:sz w:val="20"/>
                <w:szCs w:val="20"/>
                <w:color w:val="auto"/>
              </w:rPr>
            </w:pPr>
            <w:r>
              <w:rPr>
                <w:rFonts w:ascii="Arial" w:cs="Arial" w:eastAsia="Arial" w:hAnsi="Arial"/>
                <w:sz w:val="14"/>
                <w:szCs w:val="14"/>
                <w:b w:val="1"/>
                <w:bCs w:val="1"/>
                <w:color w:val="auto"/>
                <w:w w:val="97"/>
              </w:rPr>
              <w:t>10 Years</w:t>
            </w:r>
          </w:p>
        </w:tc>
      </w:tr>
      <w:tr>
        <w:trPr>
          <w:trHeight w:val="188"/>
        </w:trPr>
        <w:tc>
          <w:tcPr>
            <w:tcW w:w="7600" w:type="dxa"/>
            <w:vAlign w:val="bottom"/>
            <w:tcBorders>
              <w:top w:val="single" w:sz="8" w:color="CCEEFF"/>
            </w:tcBorders>
            <w:shd w:val="clear" w:color="auto" w:fill="CCEEFF"/>
          </w:tcPr>
          <w:p>
            <w:pPr>
              <w:spacing w:after="0" w:line="188" w:lineRule="exact"/>
              <w:rPr>
                <w:sz w:val="20"/>
                <w:szCs w:val="20"/>
                <w:color w:val="auto"/>
              </w:rPr>
            </w:pPr>
            <w:r>
              <w:rPr>
                <w:rFonts w:ascii="Arial" w:cs="Arial" w:eastAsia="Arial" w:hAnsi="Arial"/>
                <w:sz w:val="18"/>
                <w:szCs w:val="18"/>
                <w:color w:val="auto"/>
                <w:w w:val="93"/>
              </w:rPr>
              <w:t>You would pay the following expenses on a $1,000 common stock investment, assuming a 5% annual</w:t>
            </w:r>
          </w:p>
        </w:tc>
        <w:tc>
          <w:tcPr>
            <w:tcW w:w="4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spacing w:after="0"/>
              <w:rPr>
                <w:sz w:val="16"/>
                <w:szCs w:val="16"/>
                <w:color w:val="auto"/>
              </w:rPr>
            </w:pPr>
          </w:p>
        </w:tc>
        <w:tc>
          <w:tcPr>
            <w:tcW w:w="50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24"/>
        </w:trPr>
        <w:tc>
          <w:tcPr>
            <w:tcW w:w="7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return</w:t>
            </w:r>
            <w:r>
              <w:rPr>
                <w:rFonts w:ascii="Arial" w:cs="Arial" w:eastAsia="Arial" w:hAnsi="Arial"/>
                <w:sz w:val="11"/>
                <w:szCs w:val="11"/>
                <w:color w:val="auto"/>
              </w:rPr>
              <w:t>(1)</w:t>
            </w:r>
          </w:p>
        </w:tc>
        <w:tc>
          <w:tcPr>
            <w:tcW w:w="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55</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$ 141</w:t>
            </w:r>
          </w:p>
        </w:tc>
        <w:tc>
          <w:tcPr>
            <w:tcW w:w="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$ 229</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100" w:type="dxa"/>
            <w:vAlign w:val="bottom"/>
            <w:shd w:val="clear" w:color="auto" w:fill="CCEEFF"/>
          </w:tcPr>
          <w:p>
            <w:pPr>
              <w:spacing w:after="0"/>
              <w:rPr>
                <w:sz w:val="19"/>
                <w:szCs w:val="19"/>
                <w:color w:val="auto"/>
              </w:rPr>
            </w:pPr>
          </w:p>
        </w:tc>
      </w:tr>
      <w:tr>
        <w:trPr>
          <w:trHeight w:val="208"/>
        </w:trPr>
        <w:tc>
          <w:tcPr>
            <w:tcW w:w="7600" w:type="dxa"/>
            <w:vAlign w:val="bottom"/>
          </w:tcPr>
          <w:p>
            <w:pPr>
              <w:spacing w:after="0"/>
              <w:rPr>
                <w:sz w:val="20"/>
                <w:szCs w:val="20"/>
                <w:color w:val="auto"/>
              </w:rPr>
            </w:pPr>
            <w:r>
              <w:rPr>
                <w:rFonts w:ascii="Arial" w:cs="Arial" w:eastAsia="Arial" w:hAnsi="Arial"/>
                <w:sz w:val="18"/>
                <w:szCs w:val="18"/>
                <w:color w:val="auto"/>
                <w:w w:val="93"/>
              </w:rPr>
              <w:t>You would pay the following expenses on a $1,000 common stock investment, assuming a 5% annual</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7600" w:type="dxa"/>
            <w:vAlign w:val="bottom"/>
          </w:tcPr>
          <w:p>
            <w:pPr>
              <w:ind w:left="220"/>
              <w:spacing w:after="0"/>
              <w:rPr>
                <w:sz w:val="20"/>
                <w:szCs w:val="20"/>
                <w:color w:val="auto"/>
              </w:rPr>
            </w:pPr>
            <w:r>
              <w:rPr>
                <w:rFonts w:ascii="Arial" w:cs="Arial" w:eastAsia="Arial" w:hAnsi="Arial"/>
                <w:sz w:val="18"/>
                <w:szCs w:val="18"/>
                <w:color w:val="auto"/>
              </w:rPr>
              <w:t>return</w:t>
            </w:r>
            <w:r>
              <w:rPr>
                <w:rFonts w:ascii="Arial" w:cs="Arial" w:eastAsia="Arial" w:hAnsi="Arial"/>
                <w:sz w:val="11"/>
                <w:szCs w:val="11"/>
                <w:color w:val="auto"/>
              </w:rPr>
              <w:t>(2)</w:t>
            </w:r>
          </w:p>
        </w:tc>
        <w:tc>
          <w:tcPr>
            <w:tcW w:w="5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520"/>
              <w:spacing w:after="0"/>
              <w:rPr>
                <w:sz w:val="20"/>
                <w:szCs w:val="20"/>
                <w:color w:val="auto"/>
              </w:rPr>
            </w:pPr>
            <w:r>
              <w:rPr>
                <w:rFonts w:ascii="Arial" w:cs="Arial" w:eastAsia="Arial" w:hAnsi="Arial"/>
                <w:sz w:val="18"/>
                <w:szCs w:val="18"/>
                <w:color w:val="auto"/>
              </w:rPr>
              <w:t>65</w:t>
            </w:r>
          </w:p>
        </w:tc>
        <w:tc>
          <w:tcPr>
            <w:tcW w:w="940" w:type="dxa"/>
            <w:vAlign w:val="bottom"/>
            <w:gridSpan w:val="2"/>
          </w:tcPr>
          <w:p>
            <w:pPr>
              <w:spacing w:after="0"/>
              <w:rPr>
                <w:sz w:val="20"/>
                <w:szCs w:val="20"/>
                <w:color w:val="auto"/>
              </w:rPr>
            </w:pPr>
            <w:r>
              <w:rPr>
                <w:rFonts w:ascii="Arial" w:cs="Arial" w:eastAsia="Arial" w:hAnsi="Arial"/>
                <w:sz w:val="18"/>
                <w:szCs w:val="18"/>
                <w:color w:val="auto"/>
              </w:rPr>
              <w:t>$ 169</w:t>
            </w:r>
          </w:p>
        </w:tc>
        <w:tc>
          <w:tcPr>
            <w:tcW w:w="940" w:type="dxa"/>
            <w:vAlign w:val="bottom"/>
            <w:gridSpan w:val="2"/>
          </w:tcPr>
          <w:p>
            <w:pPr>
              <w:spacing w:after="0"/>
              <w:rPr>
                <w:sz w:val="20"/>
                <w:szCs w:val="20"/>
                <w:color w:val="auto"/>
              </w:rPr>
            </w:pPr>
            <w:r>
              <w:rPr>
                <w:rFonts w:ascii="Arial" w:cs="Arial" w:eastAsia="Arial" w:hAnsi="Arial"/>
                <w:sz w:val="18"/>
                <w:szCs w:val="18"/>
                <w:color w:val="auto"/>
              </w:rPr>
              <w:t>$ 273</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529</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Assumes that we will not realize any capital gains computed net of all realized capital losses and unrealized capital appreciation and depreciation.</w:t>
      </w:r>
    </w:p>
    <w:p>
      <w:pPr>
        <w:spacing w:after="0" w:line="38" w:lineRule="exact"/>
        <w:rPr>
          <w:rFonts w:ascii="Arial" w:cs="Arial" w:eastAsia="Arial" w:hAnsi="Arial"/>
          <w:sz w:val="16"/>
          <w:szCs w:val="16"/>
          <w:color w:val="auto"/>
        </w:rPr>
      </w:pPr>
    </w:p>
    <w:p>
      <w:pPr>
        <w:ind w:left="460" w:right="100" w:hanging="452"/>
        <w:spacing w:after="0" w:line="261"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Assumes no unrealized capital appreciation or depreciation and 5% annual return resulting entirely from net realized capital gains (and therefore subject to the capital gains incentive fee).</w:t>
      </w:r>
    </w:p>
    <w:p>
      <w:pPr>
        <w:spacing w:after="0" w:line="13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to assist you in understanding the various costs and expenses that an investor in our common stock will bear directly or indirectly. While the example assumes, as required by the SEC, a 5% annual return, our performance will vary and may result in a return greater or less than 5%. Assuming a 5% annual return, the incentive fee under our Investment Management Agreement would not be earned or payable and is not included in the example. If we achieve sufficient returns on our investments, including through the realization of capital gains, to trigger an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incentive fee of a material amount, our expenses, and returns to our investors, would be higher. The example assumes that all dividends and distributions are reinvested at net asset value. Depending upon the market value of our common stock, reinvestment of dividends and distributions under our dividend reinvestment plan may occur at a price per share that differs from, and which could be lower than, net asset value. See “Distributions” and additional information regarding our dividend reinvestment plan in the accompanying prospectus for more information.</w:t>
      </w:r>
    </w:p>
    <w:p>
      <w:pPr>
        <w:spacing w:after="0" w:line="9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340"/>
          </w:cols>
          <w:pgMar w:left="240" w:top="459" w:right="31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This prospectus supplement contains statements that constitute forward-looking statements, which relate to us and our consolidated subsidiary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prospectus supplement involve risks and uncertainties, including statements as to:</w:t>
      </w:r>
    </w:p>
    <w:p>
      <w:pPr>
        <w:spacing w:after="0" w:line="3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the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use words such as “anticipates,” “believes,” “expects,” “intends,” “seeks,” “plans,” “estimates” and similar expressions to identify forward-looking statements. You should not place undue reliance on the forward-looking statements as our actual results could differ materially from those projected in the forward-looking statements for any reason, including the factors set forth in the accompanying prospectus under “Risk Factors” and elsewhere in this prospectus supplement and the accompanying prospectus.</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supplement should not be regarded as a representation by us that our plans and objectives will be achieved.</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supplement on information available to us on the date of this prospectus supplement, and we assume no obligation to update any such forward-looking statements. Although we undertake no obligation to revise or update any forward-looking statements in this prospectus supplement, whether as a result of new information, future events or otherwise, you are advised to consult any additional disclosures that we may make directly to you or in the future that we may file with the SEC, including annual and quarterly reports on Form 10-K/Q and current reports on Form 8-K.</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You should understand that, under Section 27A(b)(2)(B) of the Securities Act of 1933, as amended, or the Securities Act, and Section 21E(b)(2)(B) of the Securities Exchange Act of 1934, as amended, or the Exchange Act, the “safe harbor” provisions of the Private Securities Litigation Reform Act of 1995, do not apply to statements made in connection with any offering of securities pursuant to this prospectus supplement or in periodic reports we file under the Exchange Act.</w:t>
      </w:r>
    </w:p>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280"/>
          </w:cols>
          <w:pgMar w:left="240" w:top="459" w:right="3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RISK FACTORS</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i w:val="1"/>
          <w:iCs w:val="1"/>
          <w:color w:val="auto"/>
        </w:rPr>
        <w:t>Before you invest in our securities, you should be aware of various risks, including those described below and in the accompanying prospectus. You should carefully consider these risk factors, together with all of the other information included in this prospectus supplement and the accompanying prospectus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may decline, and you may lose all or part of your investment.</w:t>
      </w:r>
    </w:p>
    <w:p>
      <w:pPr>
        <w:spacing w:after="0" w:line="20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There are material limitations with making preliminary estimates of our financial results for the period ended June 30, 2013 prior to the completion of our financial procedures for such period</w:t>
      </w:r>
    </w:p>
    <w:p>
      <w:pPr>
        <w:spacing w:after="0" w:line="51"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preliminary financial estimates contained in “Supplemental Prospectus Summary—Recent Developments” are not a comprehensive statement of our financial results for the period ended June 30, 2013 and have not been audited by our independent registered public accounting firm. Our consolidated financial statements for the period ended June 30, 2013 will not be available until after this offering is completed and, consequently, will not be available to you prior to investing in this offering. Our actual financial results for the period ended June 30, 2013 may differ materially from the preliminary financial estimates we have provided as a result of the completion of our financial closing procedures, final adjustments and other developments arising between now and the time that our financial results for the period ended June 30, 2013 are finalized. The preliminary financial data included herein have been prepared by, and are the responsibility of management. Our independent registered public accounting firm, has not audited, reviewed, compiled or performed any procedures with respect to such preliminary estimates. Accordingly, our independent registered public accounting firm does not express an opinion or any other form of assurance with respect thereto.</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estimate that the net proceeds we will receive from the sale of 4,400,000 shares of our common stock in this offering will be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$61.7 million (or approximately $71.0 million if the underwriters fully exercise their overallotment option), in each case based on a public offering price of</w:t>
      </w:r>
    </w:p>
    <w:p>
      <w:pPr>
        <w:spacing w:after="0" w:line="3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$14.20 per share, including the underwriting discounts and commissions of approximately $0.5 million (or approximately $0.5 million if the underwriters fully exercise their overallotment option) and estimated offering expenses of approximately $300,000 payable by us. The Investment Adviser has agreed to pay another $1.4 million of underwriting discounts and commissions in connection with this offering (or approximately $1.6 million if the underwriters fully exercise their overallotment option).</w:t>
      </w:r>
    </w:p>
    <w:p>
      <w:pPr>
        <w:spacing w:after="0" w:line="144"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We may use the net proceeds from selling securities pursuant to this prospectus supplement to reduce outstanding obligations under our Credit Facility, invest in new or existing portfolio companies or for other general corporate or strategic purposes. Affiliates of certain of the underwriters serve as lenders under our Credit Facility and thereby may receive proceeds from this offering that are used to reduce our outstanding obligations under our Credit Facility.</w:t>
      </w:r>
    </w:p>
    <w:p>
      <w:pPr>
        <w:spacing w:after="0" w:line="10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As of March 31, 2013 and June 30, 2013, we had $34.2 million and $85.6 million, respectively, in borrowings outstanding under our $125.0 million Credit Facility. Borrowings under our Credit Facility bear interest at an annual rate equal to LIBOR plus 200 basis points per annum during the revolving period, and the rate resets to LIBOR plus 425 basis points per annum for the remaining two years. At March 31, 2013 and June 30, 2013, we had an annual interest rate on our Credit Facility at the time of 2.21% and 2.20%, respectively, excluding the 0.375% undrawn commitment fee. The Credit Facility is a revolving facility that matures in May 2018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the accompanying prospectus for more information.</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invest the net proceeds from selling securities pursuant to this prospectus supplement in new or existing portfolio companies, and such investments may take up to a year from the closing of this offering, in part because privately negotiated investments in illiquid securities or private middle-market companies require substantial due diligence and structuring. During this period, we may use the net proceeds from this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securities. See “Regulation—Temporary Investments” in the accompanying prospectus for more information.</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following table sets forth our cash and capitalization on March 31, 2013 (1) on an actual basis and (2) on an as-adjusted basis to reflect the effects of the sale of 4,400,000 shares of our common stock in this offering at an offering price of $14.20 per share, including the estimated underwriting discounts and commissions of approximately $0.5 million, which is 0.75% of the offering price, and including estimated offering expenses of $300,000. The as-adjusted information is illustrative only; our capitalization following the completion of this offering is subject to further adjustments. You should read this table together with “Use of Proceeds” set forth in this prospectus supplement and in the accompanying prospectus. You should also read this table with our Consolidated Financial Statements and related notes thereto, in conjunction with “Management’s Discussion and Analysis of Financial Condition and Results of Operations” in the accompanying prospectus for more information.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As of March 31, 2013</w:t>
            </w:r>
          </w:p>
        </w:tc>
      </w:tr>
      <w:tr>
        <w:trPr>
          <w:trHeight w:val="161"/>
        </w:trPr>
        <w:tc>
          <w:tcPr>
            <w:tcW w:w="8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(unaudited)</w:t>
            </w:r>
          </w:p>
        </w:tc>
      </w:tr>
      <w:tr>
        <w:trPr>
          <w:trHeight w:val="115"/>
        </w:trPr>
        <w:tc>
          <w:tcPr>
            <w:tcW w:w="84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spacing w:after="0" w:line="115" w:lineRule="exact"/>
              <w:rPr>
                <w:sz w:val="20"/>
                <w:szCs w:val="20"/>
                <w:color w:val="auto"/>
              </w:rPr>
            </w:pPr>
            <w:r>
              <w:rPr>
                <w:rFonts w:ascii="Arial" w:cs="Arial" w:eastAsia="Arial" w:hAnsi="Arial"/>
                <w:sz w:val="12"/>
                <w:szCs w:val="12"/>
                <w:b w:val="1"/>
                <w:bCs w:val="1"/>
                <w:color w:val="auto"/>
              </w:rPr>
              <w:t>As-adjusted for</w:t>
            </w:r>
          </w:p>
        </w:tc>
        <w:tc>
          <w:tcPr>
            <w:tcW w:w="100" w:type="dxa"/>
            <w:vAlign w:val="bottom"/>
          </w:tcPr>
          <w:p>
            <w:pPr>
              <w:spacing w:after="0"/>
              <w:rPr>
                <w:sz w:val="10"/>
                <w:szCs w:val="10"/>
                <w:color w:val="auto"/>
              </w:rPr>
            </w:pPr>
          </w:p>
        </w:tc>
      </w:tr>
      <w:tr>
        <w:trPr>
          <w:trHeight w:val="176"/>
        </w:trPr>
        <w:tc>
          <w:tcPr>
            <w:tcW w:w="8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5"/>
                <w:szCs w:val="15"/>
                <w:color w:val="auto"/>
              </w:rPr>
            </w:pPr>
          </w:p>
        </w:tc>
        <w:tc>
          <w:tcPr>
            <w:tcW w:w="1060" w:type="dxa"/>
            <w:vAlign w:val="bottom"/>
            <w:gridSpan w:val="2"/>
          </w:tcPr>
          <w:p>
            <w:pPr>
              <w:jc w:val="right"/>
              <w:ind w:right="220"/>
              <w:spacing w:after="0" w:line="176" w:lineRule="exact"/>
              <w:rPr>
                <w:sz w:val="20"/>
                <w:szCs w:val="20"/>
                <w:color w:val="auto"/>
              </w:rPr>
            </w:pPr>
            <w:r>
              <w:rPr>
                <w:rFonts w:ascii="Arial" w:cs="Arial" w:eastAsia="Arial" w:hAnsi="Arial"/>
                <w:sz w:val="13"/>
                <w:szCs w:val="13"/>
                <w:b w:val="1"/>
                <w:bCs w:val="1"/>
                <w:color w:val="auto"/>
                <w:w w:val="89"/>
              </w:rPr>
              <w:t xml:space="preserve">the offering </w:t>
            </w:r>
            <w:r>
              <w:rPr>
                <w:rFonts w:ascii="Arial" w:cs="Arial" w:eastAsia="Arial" w:hAnsi="Arial"/>
                <w:sz w:val="20"/>
                <w:szCs w:val="20"/>
                <w:b w:val="1"/>
                <w:bCs w:val="1"/>
                <w:color w:val="auto"/>
                <w:w w:val="89"/>
                <w:vertAlign w:val="superscript"/>
              </w:rPr>
              <w:t>(1)</w:t>
            </w:r>
          </w:p>
        </w:tc>
      </w:tr>
      <w:tr>
        <w:trPr>
          <w:trHeight w:val="210"/>
        </w:trPr>
        <w:tc>
          <w:tcPr>
            <w:tcW w:w="84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Cash equivalents</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2,725,248</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70,736,648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Total assets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187,876,844</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255,888,244</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Borrowings under the Credit Facility (cost—$34,200,000)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7"/>
              </w:rPr>
              <w:t>34,200,000</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34,200,000</w:t>
            </w:r>
          </w:p>
        </w:tc>
      </w:tr>
      <w:tr>
        <w:trPr>
          <w:trHeight w:val="322"/>
        </w:trPr>
        <w:tc>
          <w:tcPr>
            <w:tcW w:w="84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w w:val="90"/>
              </w:rPr>
              <w:t>Common stock, 9,851,151 and 14,701,151 shares, as-adjusted, are issued and outstanding, respectively. Par value is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$0.001 per share and 100,000,000 shares are authorized</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9,851</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14,701</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Paid in capital in excess of par value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136,796,167</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204,802,717</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net investment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(1,030,705)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(1,030,705)</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rPr>
              <w:t>2,771,383</w:t>
            </w:r>
          </w:p>
        </w:tc>
        <w:tc>
          <w:tcPr>
            <w:tcW w:w="1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2,771,383</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 on investments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332,789</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332,789</w:t>
            </w:r>
          </w:p>
        </w:tc>
      </w:tr>
      <w:tr>
        <w:trPr>
          <w:trHeight w:val="216"/>
        </w:trPr>
        <w:tc>
          <w:tcPr>
            <w:tcW w:w="846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84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7"/>
              </w:rPr>
              <w:t>138,879,485</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206,890,885</w:t>
            </w:r>
          </w:p>
        </w:tc>
      </w:tr>
      <w:tr>
        <w:trPr>
          <w:trHeight w:val="222"/>
        </w:trPr>
        <w:tc>
          <w:tcPr>
            <w:tcW w:w="8460" w:type="dxa"/>
            <w:vAlign w:val="bottom"/>
          </w:tcPr>
          <w:p>
            <w:pPr>
              <w:spacing w:after="0"/>
              <w:rPr>
                <w:sz w:val="20"/>
                <w:szCs w:val="20"/>
                <w:color w:val="auto"/>
              </w:rPr>
            </w:pPr>
            <w:r>
              <w:rPr>
                <w:rFonts w:ascii="Arial" w:cs="Arial" w:eastAsia="Arial" w:hAnsi="Arial"/>
                <w:sz w:val="18"/>
                <w:szCs w:val="18"/>
                <w:color w:val="auto"/>
              </w:rPr>
              <w:t>Total capitalization</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173,079,485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241,090,885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jc w:val="both"/>
        <w:ind w:left="460" w:right="4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450,000 shares issued pursuant to an overallotment option that was exercised on April 8, 2013 in connection with our March 2013 equity offering. Does not include the underwriters’ overallotment option in connection with this offering and any shares issued pursuant to our dividend reinvestment plan.</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“PFLT.” The following table lists the high and low closing sale price for our common stock, the closing sale price as a percentage of net asset value, or NAV, and monthly dividends per share since April 8, 2011 (initial public offering). On July 15, 2013, the last reported closing price of our common stock was $14.60 per share.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Premium/</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Premium/</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(Discount) of</w:t>
            </w:r>
          </w:p>
        </w:tc>
        <w:tc>
          <w:tcPr>
            <w:tcW w:w="10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(Discount) of</w:t>
            </w: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40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940" w:type="dxa"/>
            <w:vAlign w:val="bottom"/>
            <w:gridSpan w:val="4"/>
          </w:tcPr>
          <w:p>
            <w:pPr>
              <w:ind w:left="180"/>
              <w:spacing w:after="0"/>
              <w:rPr>
                <w:sz w:val="20"/>
                <w:szCs w:val="20"/>
                <w:color w:val="auto"/>
              </w:rPr>
            </w:pPr>
            <w:r>
              <w:rPr>
                <w:rFonts w:ascii="Arial" w:cs="Arial" w:eastAsia="Arial" w:hAnsi="Arial"/>
                <w:sz w:val="14"/>
                <w:szCs w:val="14"/>
                <w:b w:val="1"/>
                <w:bCs w:val="1"/>
                <w:color w:val="auto"/>
              </w:rPr>
              <w:t>Closing Sales Price</w:t>
            </w: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High Sales</w:t>
            </w: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4"/>
              </w:rPr>
              <w:t>Low Sales</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2"/>
        </w:trPr>
        <w:tc>
          <w:tcPr>
            <w:tcW w:w="400" w:type="dxa"/>
            <w:vAlign w:val="bottom"/>
          </w:tcPr>
          <w:p>
            <w:pPr>
              <w:spacing w:after="0"/>
              <w:rPr>
                <w:sz w:val="8"/>
                <w:szCs w:val="8"/>
                <w:color w:val="auto"/>
              </w:rPr>
            </w:pPr>
          </w:p>
        </w:tc>
        <w:tc>
          <w:tcPr>
            <w:tcW w:w="4800" w:type="dxa"/>
            <w:vAlign w:val="bottom"/>
          </w:tcPr>
          <w:p>
            <w:pPr>
              <w:spacing w:after="0"/>
              <w:rPr>
                <w:sz w:val="8"/>
                <w:szCs w:val="8"/>
                <w:color w:val="auto"/>
              </w:rPr>
            </w:pPr>
          </w:p>
        </w:tc>
        <w:tc>
          <w:tcPr>
            <w:tcW w:w="9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2"/>
              </w:rPr>
              <w:t>NAV</w:t>
            </w:r>
            <w:r>
              <w:rPr>
                <w:rFonts w:ascii="Arial" w:cs="Arial" w:eastAsia="Arial" w:hAnsi="Arial"/>
                <w:sz w:val="22"/>
                <w:szCs w:val="22"/>
                <w:b w:val="1"/>
                <w:bCs w:val="1"/>
                <w:color w:val="auto"/>
                <w:w w:val="92"/>
                <w:vertAlign w:val="superscript"/>
              </w:rPr>
              <w:t>(1)</w:t>
            </w:r>
          </w:p>
        </w:tc>
        <w:tc>
          <w:tcPr>
            <w:tcW w:w="50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1280" w:type="dxa"/>
            <w:vAlign w:val="bottom"/>
            <w:gridSpan w:val="2"/>
          </w:tcPr>
          <w:p>
            <w:pPr>
              <w:jc w:val="center"/>
              <w:ind w:right="520"/>
              <w:spacing w:after="0" w:line="102" w:lineRule="exact"/>
              <w:rPr>
                <w:sz w:val="20"/>
                <w:szCs w:val="20"/>
                <w:color w:val="auto"/>
              </w:rPr>
            </w:pPr>
            <w:r>
              <w:rPr>
                <w:rFonts w:ascii="Arial" w:cs="Arial" w:eastAsia="Arial" w:hAnsi="Arial"/>
                <w:sz w:val="11"/>
                <w:szCs w:val="11"/>
                <w:b w:val="1"/>
                <w:bCs w:val="1"/>
                <w:color w:val="auto"/>
              </w:rPr>
              <w:t>Price to</w:t>
            </w:r>
          </w:p>
        </w:tc>
        <w:tc>
          <w:tcPr>
            <w:tcW w:w="1080" w:type="dxa"/>
            <w:vAlign w:val="bottom"/>
            <w:gridSpan w:val="2"/>
          </w:tcPr>
          <w:p>
            <w:pPr>
              <w:jc w:val="center"/>
              <w:ind w:right="340"/>
              <w:spacing w:after="0" w:line="102" w:lineRule="exact"/>
              <w:rPr>
                <w:sz w:val="20"/>
                <w:szCs w:val="20"/>
                <w:color w:val="auto"/>
              </w:rPr>
            </w:pPr>
            <w:r>
              <w:rPr>
                <w:rFonts w:ascii="Arial" w:cs="Arial" w:eastAsia="Arial" w:hAnsi="Arial"/>
                <w:sz w:val="11"/>
                <w:szCs w:val="11"/>
                <w:b w:val="1"/>
                <w:bCs w:val="1"/>
                <w:color w:val="auto"/>
              </w:rPr>
              <w:t>Price to</w:t>
            </w:r>
          </w:p>
        </w:tc>
        <w:tc>
          <w:tcPr>
            <w:tcW w:w="180" w:type="dxa"/>
            <w:vAlign w:val="bottom"/>
          </w:tcPr>
          <w:p>
            <w:pPr>
              <w:spacing w:after="0"/>
              <w:rPr>
                <w:sz w:val="8"/>
                <w:szCs w:val="8"/>
                <w:color w:val="auto"/>
              </w:rPr>
            </w:pPr>
          </w:p>
        </w:tc>
        <w:tc>
          <w:tcPr>
            <w:tcW w:w="760" w:type="dxa"/>
            <w:vAlign w:val="bottom"/>
            <w:gridSpan w:val="2"/>
          </w:tcPr>
          <w:p>
            <w:pPr>
              <w:jc w:val="right"/>
              <w:ind w:right="180"/>
              <w:spacing w:after="0" w:line="102" w:lineRule="exact"/>
              <w:rPr>
                <w:sz w:val="20"/>
                <w:szCs w:val="20"/>
                <w:color w:val="auto"/>
              </w:rPr>
            </w:pPr>
            <w:r>
              <w:rPr>
                <w:rFonts w:ascii="Arial" w:cs="Arial" w:eastAsia="Arial" w:hAnsi="Arial"/>
                <w:sz w:val="11"/>
                <w:szCs w:val="11"/>
                <w:b w:val="1"/>
                <w:bCs w:val="1"/>
                <w:color w:val="auto"/>
              </w:rPr>
              <w:t>Dividends</w:t>
            </w:r>
          </w:p>
        </w:tc>
        <w:tc>
          <w:tcPr>
            <w:tcW w:w="0" w:type="dxa"/>
            <w:vAlign w:val="bottom"/>
          </w:tcPr>
          <w:p>
            <w:pPr>
              <w:spacing w:after="0"/>
              <w:rPr>
                <w:sz w:val="1"/>
                <w:szCs w:val="1"/>
                <w:color w:val="auto"/>
              </w:rPr>
            </w:pPr>
          </w:p>
        </w:tc>
      </w:tr>
      <w:tr>
        <w:trPr>
          <w:trHeight w:val="182"/>
        </w:trPr>
        <w:tc>
          <w:tcPr>
            <w:tcW w:w="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Period</w:t>
            </w:r>
          </w:p>
        </w:tc>
        <w:tc>
          <w:tcPr>
            <w:tcW w:w="48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b w:val="1"/>
                <w:bCs w:val="1"/>
                <w:color w:val="auto"/>
              </w:rPr>
              <w:t>High</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Low</w:t>
            </w:r>
          </w:p>
        </w:tc>
        <w:tc>
          <w:tcPr>
            <w:tcW w:w="1280" w:type="dxa"/>
            <w:vAlign w:val="bottom"/>
            <w:gridSpan w:val="2"/>
          </w:tcPr>
          <w:p>
            <w:pPr>
              <w:jc w:val="center"/>
              <w:ind w:right="520"/>
              <w:spacing w:after="0" w:line="162" w:lineRule="exact"/>
              <w:rPr>
                <w:sz w:val="20"/>
                <w:szCs w:val="20"/>
                <w:color w:val="auto"/>
              </w:rPr>
            </w:pPr>
            <w:r>
              <w:rPr>
                <w:rFonts w:ascii="Arial" w:cs="Arial" w:eastAsia="Arial" w:hAnsi="Arial"/>
                <w:sz w:val="12"/>
                <w:szCs w:val="12"/>
                <w:b w:val="1"/>
                <w:bCs w:val="1"/>
                <w:color w:val="auto"/>
              </w:rPr>
              <w:t xml:space="preserve">NAV </w:t>
            </w:r>
            <w:r>
              <w:rPr>
                <w:rFonts w:ascii="Arial" w:cs="Arial" w:eastAsia="Arial" w:hAnsi="Arial"/>
                <w:sz w:val="18"/>
                <w:szCs w:val="18"/>
                <w:b w:val="1"/>
                <w:bCs w:val="1"/>
                <w:color w:val="auto"/>
                <w:vertAlign w:val="superscript"/>
              </w:rPr>
              <w:t>(2)</w:t>
            </w:r>
          </w:p>
        </w:tc>
        <w:tc>
          <w:tcPr>
            <w:tcW w:w="1080" w:type="dxa"/>
            <w:vAlign w:val="bottom"/>
            <w:gridSpan w:val="2"/>
          </w:tcPr>
          <w:p>
            <w:pPr>
              <w:jc w:val="center"/>
              <w:ind w:right="340"/>
              <w:spacing w:after="0" w:line="162" w:lineRule="exact"/>
              <w:rPr>
                <w:sz w:val="20"/>
                <w:szCs w:val="20"/>
                <w:color w:val="auto"/>
              </w:rPr>
            </w:pPr>
            <w:r>
              <w:rPr>
                <w:rFonts w:ascii="Arial" w:cs="Arial" w:eastAsia="Arial" w:hAnsi="Arial"/>
                <w:sz w:val="12"/>
                <w:szCs w:val="12"/>
                <w:b w:val="1"/>
                <w:bCs w:val="1"/>
                <w:color w:val="auto"/>
                <w:w w:val="96"/>
              </w:rPr>
              <w:t xml:space="preserve">NAV </w:t>
            </w:r>
            <w:r>
              <w:rPr>
                <w:rFonts w:ascii="Arial" w:cs="Arial" w:eastAsia="Arial" w:hAnsi="Arial"/>
                <w:sz w:val="18"/>
                <w:szCs w:val="18"/>
                <w:b w:val="1"/>
                <w:bCs w:val="1"/>
                <w:color w:val="auto"/>
                <w:w w:val="96"/>
                <w:vertAlign w:val="superscript"/>
              </w:rPr>
              <w:t>(2)</w:t>
            </w:r>
          </w:p>
        </w:tc>
        <w:tc>
          <w:tcPr>
            <w:tcW w:w="180" w:type="dxa"/>
            <w:vAlign w:val="bottom"/>
          </w:tcPr>
          <w:p>
            <w:pPr>
              <w:spacing w:after="0"/>
              <w:rPr>
                <w:sz w:val="15"/>
                <w:szCs w:val="15"/>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1"/>
              </w:rPr>
              <w:t>Declared</w:t>
            </w:r>
          </w:p>
        </w:tc>
        <w:tc>
          <w:tcPr>
            <w:tcW w:w="0" w:type="dxa"/>
            <w:vAlign w:val="bottom"/>
          </w:tcPr>
          <w:p>
            <w:pPr>
              <w:spacing w:after="0"/>
              <w:rPr>
                <w:sz w:val="1"/>
                <w:szCs w:val="1"/>
                <w:color w:val="auto"/>
              </w:rPr>
            </w:pPr>
          </w:p>
        </w:tc>
      </w:tr>
      <w:tr>
        <w:trPr>
          <w:trHeight w:val="190"/>
        </w:trPr>
        <w:tc>
          <w:tcPr>
            <w:tcW w:w="52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2013</w:t>
            </w: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80" w:type="dxa"/>
            <w:vAlign w:val="bottom"/>
            <w:tcBorders>
              <w:top w:val="single" w:sz="8" w:color="CCEEFF"/>
            </w:tcBorders>
            <w:shd w:val="clear" w:color="auto" w:fill="CCEEFF"/>
          </w:tcPr>
          <w:p>
            <w:pPr>
              <w:spacing w:after="0"/>
              <w:rPr>
                <w:sz w:val="16"/>
                <w:szCs w:val="16"/>
                <w:color w:val="auto"/>
              </w:rPr>
            </w:pPr>
          </w:p>
        </w:tc>
        <w:tc>
          <w:tcPr>
            <w:tcW w:w="50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520" w:type="dxa"/>
            <w:vAlign w:val="bottom"/>
            <w:tcBorders>
              <w:top w:val="single" w:sz="8" w:color="CCEEFF"/>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3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Fourth quarter (through July 15, 2013)</w:t>
            </w:r>
          </w:p>
        </w:tc>
        <w:tc>
          <w:tcPr>
            <w:tcW w:w="980" w:type="dxa"/>
            <w:vAlign w:val="bottom"/>
            <w:gridSpan w:val="2"/>
          </w:tcPr>
          <w:p>
            <w:pPr>
              <w:jc w:val="right"/>
              <w:ind w:right="480"/>
              <w:spacing w:after="0"/>
              <w:rPr>
                <w:sz w:val="20"/>
                <w:szCs w:val="20"/>
                <w:color w:val="auto"/>
              </w:rPr>
            </w:pPr>
            <w:r>
              <w:rPr>
                <w:rFonts w:ascii="Arial" w:cs="Arial" w:eastAsia="Arial" w:hAnsi="Arial"/>
                <w:sz w:val="18"/>
                <w:szCs w:val="18"/>
                <w:color w:val="auto"/>
              </w:rPr>
              <w:t>$ N/A</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$14.60</w:t>
            </w:r>
          </w:p>
        </w:tc>
        <w:tc>
          <w:tcPr>
            <w:tcW w:w="4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$14.05</w:t>
            </w:r>
          </w:p>
        </w:tc>
        <w:tc>
          <w:tcPr>
            <w:tcW w:w="1280" w:type="dxa"/>
            <w:vAlign w:val="bottom"/>
            <w:gridSpan w:val="2"/>
          </w:tcPr>
          <w:p>
            <w:pPr>
              <w:ind w:left="460"/>
              <w:spacing w:after="0"/>
              <w:rPr>
                <w:sz w:val="20"/>
                <w:szCs w:val="20"/>
                <w:color w:val="auto"/>
              </w:rPr>
            </w:pPr>
            <w:r>
              <w:rPr>
                <w:rFonts w:ascii="Arial" w:cs="Arial" w:eastAsia="Arial" w:hAnsi="Arial"/>
                <w:sz w:val="18"/>
                <w:szCs w:val="18"/>
                <w:color w:val="auto"/>
              </w:rPr>
              <w:t>N/A%</w:t>
            </w:r>
          </w:p>
        </w:tc>
        <w:tc>
          <w:tcPr>
            <w:tcW w:w="1080" w:type="dxa"/>
            <w:vAlign w:val="bottom"/>
            <w:gridSpan w:val="2"/>
          </w:tcPr>
          <w:p>
            <w:pPr>
              <w:ind w:left="440"/>
              <w:spacing w:after="0"/>
              <w:rPr>
                <w:sz w:val="20"/>
                <w:szCs w:val="20"/>
                <w:color w:val="auto"/>
              </w:rPr>
            </w:pPr>
            <w:r>
              <w:rPr>
                <w:rFonts w:ascii="Arial" w:cs="Arial" w:eastAsia="Arial" w:hAnsi="Arial"/>
                <w:sz w:val="18"/>
                <w:szCs w:val="18"/>
                <w:color w:val="auto"/>
              </w:rPr>
              <w:t>N/A%</w:t>
            </w:r>
          </w:p>
        </w:tc>
        <w:tc>
          <w:tcPr>
            <w:tcW w:w="940" w:type="dxa"/>
            <w:vAlign w:val="bottom"/>
            <w:gridSpan w:val="3"/>
          </w:tcPr>
          <w:p>
            <w:pPr>
              <w:jc w:val="right"/>
              <w:ind w:right="40"/>
              <w:spacing w:after="0"/>
              <w:rPr>
                <w:sz w:val="20"/>
                <w:szCs w:val="20"/>
                <w:color w:val="auto"/>
              </w:rPr>
            </w:pPr>
            <w:r>
              <w:rPr>
                <w:rFonts w:ascii="Arial" w:cs="Arial" w:eastAsia="Arial" w:hAnsi="Arial"/>
                <w:sz w:val="18"/>
                <w:szCs w:val="18"/>
                <w:color w:val="auto"/>
              </w:rPr>
              <w:t>$0.0875</w:t>
            </w:r>
            <w:r>
              <w:rPr>
                <w:rFonts w:ascii="Arial" w:cs="Arial" w:eastAsia="Arial" w:hAnsi="Arial"/>
                <w:sz w:val="11"/>
                <w:szCs w:val="11"/>
                <w:color w:val="auto"/>
              </w:rPr>
              <w:t>(3)</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N/A</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13.82</w:t>
            </w:r>
          </w:p>
        </w:tc>
        <w:tc>
          <w:tcPr>
            <w:tcW w:w="12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N/A</w:t>
            </w:r>
          </w:p>
        </w:tc>
        <w:tc>
          <w:tcPr>
            <w:tcW w:w="10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N/A</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0.2625</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14.10</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14.43</w:t>
            </w:r>
          </w:p>
        </w:tc>
        <w:tc>
          <w:tcPr>
            <w:tcW w:w="4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12.94</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(8)</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0.2550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12.35</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0.2475</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13.03</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11.85</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0.2400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13.94</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11.93</w:t>
            </w:r>
          </w:p>
        </w:tc>
        <w:tc>
          <w:tcPr>
            <w:tcW w:w="4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11.46</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(14)</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0.2350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10.52</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0.2250</w:t>
            </w: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13.68</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11.03</w:t>
            </w:r>
          </w:p>
        </w:tc>
        <w:tc>
          <w:tcPr>
            <w:tcW w:w="4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10.01</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(19)</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(27)</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0.2100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13.44</w:t>
            </w: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12.85</w:t>
            </w:r>
          </w:p>
        </w:tc>
        <w:tc>
          <w:tcPr>
            <w:tcW w:w="4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10.34</w:t>
            </w:r>
          </w:p>
        </w:tc>
        <w:tc>
          <w:tcPr>
            <w:tcW w:w="128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(23)</w:t>
            </w:r>
          </w:p>
        </w:tc>
        <w:tc>
          <w:tcPr>
            <w:tcW w:w="940" w:type="dxa"/>
            <w:vAlign w:val="bottom"/>
            <w:gridSpan w:val="3"/>
          </w:tcPr>
          <w:p>
            <w:pPr>
              <w:jc w:val="right"/>
              <w:ind w:right="180"/>
              <w:spacing w:after="0"/>
              <w:rPr>
                <w:sz w:val="20"/>
                <w:szCs w:val="20"/>
                <w:color w:val="auto"/>
              </w:rPr>
            </w:pPr>
            <w:r>
              <w:rPr>
                <w:rFonts w:ascii="Arial" w:cs="Arial" w:eastAsia="Arial" w:hAnsi="Arial"/>
                <w:sz w:val="18"/>
                <w:szCs w:val="18"/>
                <w:color w:val="auto"/>
              </w:rPr>
              <w:t>0.2000</w:t>
            </w:r>
          </w:p>
        </w:tc>
        <w:tc>
          <w:tcPr>
            <w:tcW w:w="0" w:type="dxa"/>
            <w:vAlign w:val="bottom"/>
          </w:tcPr>
          <w:p>
            <w:pPr>
              <w:spacing w:after="0"/>
              <w:rPr>
                <w:sz w:val="1"/>
                <w:szCs w:val="1"/>
                <w:color w:val="auto"/>
              </w:rPr>
            </w:pPr>
          </w:p>
        </w:tc>
      </w:tr>
      <w:tr>
        <w:trPr>
          <w:trHeight w:val="216"/>
        </w:trPr>
        <w:tc>
          <w:tcPr>
            <w:tcW w:w="5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w:t>
            </w:r>
          </w:p>
        </w:tc>
        <w:tc>
          <w:tcPr>
            <w:tcW w:w="4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4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12.27</w:t>
            </w:r>
          </w:p>
        </w:tc>
        <w:tc>
          <w:tcPr>
            <w:tcW w:w="12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w:t>
            </w:r>
          </w:p>
        </w:tc>
        <w:tc>
          <w:tcPr>
            <w:tcW w:w="9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0.0500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80" w:hanging="452"/>
        <w:spacing w:after="0" w:line="253"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in the accompanying prospectus for more information.</w:t>
      </w: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quarter-end NAV.</w:t>
      </w:r>
    </w:p>
    <w:p>
      <w:pPr>
        <w:spacing w:after="0" w:line="9" w:lineRule="exact"/>
        <w:rPr>
          <w:rFonts w:ascii="Arial" w:cs="Arial" w:eastAsia="Arial" w:hAnsi="Arial"/>
          <w:sz w:val="18"/>
          <w:szCs w:val="18"/>
          <w:color w:val="auto"/>
        </w:rPr>
      </w:pPr>
    </w:p>
    <w:p>
      <w:pPr>
        <w:ind w:left="460" w:right="120" w:hanging="452"/>
        <w:spacing w:after="0" w:line="250"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Represents a dividend of $0.0875 per share payable August 1, 2013 to shareholders of record as of July 19, 2013. Shares purchased in this offering will be entitled to the dividend to be paid August 1, 2013.</w:t>
      </w:r>
    </w:p>
    <w:p>
      <w:pPr>
        <w:spacing w:after="0" w:line="1"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From April 8, 2011 (initial public offering) to June 30, 2011.</w:t>
      </w:r>
    </w:p>
    <w:p>
      <w:pPr>
        <w:spacing w:after="0" w:line="16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below our NAV. Our shares traded on the NASDAQ Global Select Market at $13.96 and $12.67 as of March 31, 2013 and September 30, 2012, respectively. Our NAV was $14.10 and $13.98 per share, as of March 31,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 ended September 30, 2012, and for the period from March 4, 2011 (commencement of operation) to September 30, 2011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 in the accompanying prospectus. Interim results as of and for the six months ended March 31, 2013, are not necessarily indicative of the results that may be expected for the year ending September 30, 2013. The unaudited selected financial data for the six months ended March 31, 2013 and 2012, should be read in conjunction with our consolidated financial statements and related notes thereto and “Management’s Discussion and Analysis of Financial Condition and Results of Operations” in the accompanying prospectus.</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920" w:type="dxa"/>
            <w:vAlign w:val="bottom"/>
            <w:gridSpan w:val="5"/>
          </w:tcPr>
          <w:p>
            <w:pPr>
              <w:jc w:val="right"/>
              <w:ind w:right="1320"/>
              <w:spacing w:after="0" w:line="149" w:lineRule="exact"/>
              <w:rPr>
                <w:sz w:val="20"/>
                <w:szCs w:val="20"/>
                <w:color w:val="auto"/>
              </w:rPr>
            </w:pPr>
            <w:r>
              <w:rPr>
                <w:rFonts w:ascii="Arial" w:cs="Arial" w:eastAsia="Arial" w:hAnsi="Arial"/>
                <w:sz w:val="14"/>
                <w:szCs w:val="14"/>
                <w:b w:val="1"/>
                <w:bCs w:val="1"/>
                <w:color w:val="auto"/>
              </w:rPr>
              <w:t>Six Months Ended</w:t>
            </w:r>
          </w:p>
        </w:tc>
        <w:tc>
          <w:tcPr>
            <w:tcW w:w="16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10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640" w:type="dxa"/>
            <w:vAlign w:val="bottom"/>
          </w:tcPr>
          <w:p>
            <w:pPr>
              <w:spacing w:after="0"/>
              <w:rPr>
                <w:sz w:val="12"/>
                <w:szCs w:val="12"/>
                <w:color w:val="auto"/>
              </w:rPr>
            </w:pPr>
          </w:p>
        </w:tc>
        <w:tc>
          <w:tcPr>
            <w:tcW w:w="660" w:type="dxa"/>
            <w:vAlign w:val="bottom"/>
            <w:tcBorders>
              <w:top w:val="single" w:sz="8" w:color="auto"/>
            </w:tcBorders>
          </w:tcPr>
          <w:p>
            <w:pPr>
              <w:jc w:val="right"/>
              <w:ind w:right="60"/>
              <w:spacing w:after="0" w:line="142" w:lineRule="exact"/>
              <w:rPr>
                <w:sz w:val="20"/>
                <w:szCs w:val="20"/>
                <w:color w:val="auto"/>
              </w:rPr>
            </w:pPr>
            <w:r>
              <w:rPr>
                <w:rFonts w:ascii="Arial" w:cs="Arial" w:eastAsia="Arial" w:hAnsi="Arial"/>
                <w:sz w:val="11"/>
                <w:szCs w:val="11"/>
                <w:b w:val="1"/>
                <w:bCs w:val="1"/>
                <w:color w:val="auto"/>
              </w:rPr>
              <w:t>2013</w:t>
            </w:r>
            <w:r>
              <w:rPr>
                <w:rFonts w:ascii="Arial" w:cs="Arial" w:eastAsia="Arial" w:hAnsi="Arial"/>
                <w:sz w:val="16"/>
                <w:szCs w:val="16"/>
                <w:b w:val="1"/>
                <w:bCs w:val="1"/>
                <w:color w:val="auto"/>
                <w:vertAlign w:val="superscript"/>
              </w:rPr>
              <w:t>(1)</w:t>
            </w:r>
          </w:p>
        </w:tc>
        <w:tc>
          <w:tcPr>
            <w:tcW w:w="74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120"/>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80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78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5100" w:type="dxa"/>
            <w:vAlign w:val="bottom"/>
            <w:gridSpan w:val="4"/>
            <w:vMerge w:val="continue"/>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80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5"/>
        </w:trPr>
        <w:tc>
          <w:tcPr>
            <w:tcW w:w="20" w:type="dxa"/>
            <w:vAlign w:val="bottom"/>
            <w:vMerge w:val="restart"/>
          </w:tcPr>
          <w:p>
            <w:pPr>
              <w:spacing w:after="0"/>
              <w:rPr>
                <w:sz w:val="4"/>
                <w:szCs w:val="4"/>
                <w:color w:val="auto"/>
              </w:rPr>
            </w:pPr>
          </w:p>
        </w:tc>
        <w:tc>
          <w:tcPr>
            <w:tcW w:w="1140" w:type="dxa"/>
            <w:vAlign w:val="bottom"/>
            <w:gridSpan w:val="2"/>
          </w:tcPr>
          <w:p>
            <w:pPr>
              <w:spacing w:after="0"/>
              <w:rPr>
                <w:sz w:val="4"/>
                <w:szCs w:val="4"/>
                <w:color w:val="auto"/>
              </w:rPr>
            </w:pPr>
          </w:p>
        </w:tc>
        <w:tc>
          <w:tcPr>
            <w:tcW w:w="39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Total investment income</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  8,103</w:t>
            </w:r>
          </w:p>
        </w:tc>
        <w:tc>
          <w:tcPr>
            <w:tcW w:w="1520" w:type="dxa"/>
            <w:vAlign w:val="bottom"/>
            <w:gridSpan w:val="3"/>
          </w:tcPr>
          <w:p>
            <w:pPr>
              <w:jc w:val="right"/>
              <w:ind w:right="800"/>
              <w:spacing w:after="0"/>
              <w:rPr>
                <w:sz w:val="20"/>
                <w:szCs w:val="20"/>
                <w:color w:val="auto"/>
              </w:rPr>
            </w:pPr>
            <w:r>
              <w:rPr>
                <w:rFonts w:ascii="Arial" w:cs="Arial" w:eastAsia="Arial" w:hAnsi="Arial"/>
                <w:sz w:val="18"/>
                <w:szCs w:val="18"/>
                <w:color w:val="auto"/>
              </w:rPr>
              <w:t>$  5,411</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   12,099</w:t>
            </w:r>
          </w:p>
        </w:tc>
        <w:tc>
          <w:tcPr>
            <w:tcW w:w="780" w:type="dxa"/>
            <w:vAlign w:val="bottom"/>
          </w:tcPr>
          <w:p>
            <w:pPr>
              <w:spacing w:after="0"/>
              <w:rPr>
                <w:sz w:val="18"/>
                <w:szCs w:val="18"/>
                <w:color w:val="auto"/>
              </w:rPr>
            </w:pP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Total expenses after Credit Facility debt issuance and excise taxes</w:t>
            </w:r>
          </w:p>
        </w:tc>
        <w:tc>
          <w:tcPr>
            <w:tcW w:w="204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4,378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5,789</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2,626</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Net investment income</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3,725</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2,920</w:t>
            </w: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6,310</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204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1,246</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5,651</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4,971</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7,630</w:t>
            </w: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11,961</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gridSpan w:val="2"/>
          </w:tcPr>
          <w:p>
            <w:pPr>
              <w:spacing w:after="0"/>
              <w:rPr>
                <w:sz w:val="5"/>
                <w:szCs w:val="5"/>
                <w:color w:val="auto"/>
              </w:rPr>
            </w:pPr>
          </w:p>
        </w:tc>
        <w:tc>
          <w:tcPr>
            <w:tcW w:w="39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Net asset value (at period end)</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14.10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14.12</w:t>
            </w: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13.98</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204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0.54</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Net realized and unrealized (loss) gain</w:t>
            </w:r>
            <w:r>
              <w:rPr>
                <w:rFonts w:ascii="Arial" w:cs="Arial" w:eastAsia="Arial" w:hAnsi="Arial"/>
                <w:sz w:val="11"/>
                <w:szCs w:val="11"/>
                <w:color w:val="auto"/>
              </w:rPr>
              <w:t>(2)</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0.18</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0.69</w:t>
            </w: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0.83</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 xml:space="preserve">Net increase (decrease) in net assets resulting from operations </w:t>
            </w:r>
            <w:r>
              <w:rPr>
                <w:rFonts w:ascii="Arial" w:cs="Arial" w:eastAsia="Arial" w:hAnsi="Arial"/>
                <w:sz w:val="11"/>
                <w:szCs w:val="11"/>
                <w:color w:val="auto"/>
                <w:w w:val="97"/>
              </w:rPr>
              <w:t>(2)</w:t>
            </w:r>
          </w:p>
        </w:tc>
        <w:tc>
          <w:tcPr>
            <w:tcW w:w="204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0.72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(2),(3)</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0.50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0.44</w:t>
            </w: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0.91</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gridSpan w:val="2"/>
          </w:tcPr>
          <w:p>
            <w:pPr>
              <w:spacing w:after="0"/>
              <w:rPr>
                <w:sz w:val="5"/>
                <w:szCs w:val="5"/>
                <w:color w:val="auto"/>
              </w:rPr>
            </w:pPr>
          </w:p>
        </w:tc>
        <w:tc>
          <w:tcPr>
            <w:tcW w:w="39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08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b w:val="1"/>
                <w:bCs w:val="1"/>
                <w:color w:val="auto"/>
              </w:rPr>
              <w:t>Statement of Assets and Liabilities</w:t>
            </w:r>
          </w:p>
        </w:tc>
        <w:tc>
          <w:tcPr>
            <w:tcW w:w="6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94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data (at period end):</w:t>
            </w:r>
          </w:p>
        </w:tc>
        <w:tc>
          <w:tcPr>
            <w:tcW w:w="64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187,877</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151,174</w:t>
            </w: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178,367</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121,075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investment portfolio</w:t>
            </w:r>
          </w:p>
        </w:tc>
        <w:tc>
          <w:tcPr>
            <w:tcW w:w="204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183,870</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146,188</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171,834</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Credit Facility payable, at fair value</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34,200</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47,561</w:t>
            </w:r>
          </w:p>
        </w:tc>
        <w:tc>
          <w:tcPr>
            <w:tcW w:w="8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75,123</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Payable for investments purchased and unfunded investments</w:t>
            </w:r>
          </w:p>
        </w:tc>
        <w:tc>
          <w:tcPr>
            <w:tcW w:w="204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11,852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Total net asset value</w:t>
            </w:r>
          </w:p>
        </w:tc>
        <w:tc>
          <w:tcPr>
            <w:tcW w:w="2040" w:type="dxa"/>
            <w:vAlign w:val="bottom"/>
            <w:gridSpan w:val="3"/>
          </w:tcPr>
          <w:p>
            <w:pPr>
              <w:jc w:val="right"/>
              <w:ind w:right="672"/>
              <w:spacing w:after="0"/>
              <w:rPr>
                <w:sz w:val="20"/>
                <w:szCs w:val="20"/>
                <w:color w:val="auto"/>
              </w:rPr>
            </w:pPr>
            <w:r>
              <w:rPr>
                <w:rFonts w:ascii="Arial" w:cs="Arial" w:eastAsia="Arial" w:hAnsi="Arial"/>
                <w:sz w:val="18"/>
                <w:szCs w:val="18"/>
                <w:color w:val="auto"/>
              </w:rPr>
              <w:t>138,879</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96,722</w:t>
            </w:r>
          </w:p>
        </w:tc>
        <w:tc>
          <w:tcPr>
            <w:tcW w:w="8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95,744</w:t>
            </w: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92,072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1140" w:type="dxa"/>
            <w:vAlign w:val="bottom"/>
            <w:gridSpan w:val="2"/>
          </w:tcPr>
          <w:p>
            <w:pPr>
              <w:spacing w:after="0"/>
              <w:rPr>
                <w:sz w:val="5"/>
                <w:szCs w:val="5"/>
                <w:color w:val="auto"/>
              </w:rPr>
            </w:pPr>
          </w:p>
        </w:tc>
        <w:tc>
          <w:tcPr>
            <w:tcW w:w="39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6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2040" w:type="dxa"/>
            <w:vAlign w:val="bottom"/>
            <w:gridSpan w:val="3"/>
          </w:tcPr>
          <w:p>
            <w:pPr>
              <w:jc w:val="right"/>
              <w:ind w:right="512"/>
              <w:spacing w:after="0"/>
              <w:rPr>
                <w:sz w:val="20"/>
                <w:szCs w:val="20"/>
                <w:color w:val="auto"/>
              </w:rPr>
            </w:pPr>
            <w:r>
              <w:rPr>
                <w:rFonts w:ascii="Arial" w:cs="Arial" w:eastAsia="Arial" w:hAnsi="Arial"/>
                <w:sz w:val="18"/>
                <w:szCs w:val="18"/>
                <w:color w:val="auto"/>
              </w:rPr>
              <w:t>14.34%</w:t>
            </w: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15.75%</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29.43%</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(1)</w:t>
            </w:r>
          </w:p>
        </w:tc>
        <w:tc>
          <w:tcPr>
            <w:tcW w:w="2040" w:type="dxa"/>
            <w:vAlign w:val="bottom"/>
            <w:gridSpan w:val="3"/>
            <w:shd w:val="clear" w:color="auto" w:fill="CCEEFF"/>
          </w:tcPr>
          <w:p>
            <w:pPr>
              <w:jc w:val="right"/>
              <w:ind w:right="672"/>
              <w:spacing w:after="0"/>
              <w:rPr>
                <w:sz w:val="20"/>
                <w:szCs w:val="20"/>
                <w:color w:val="auto"/>
              </w:rPr>
            </w:pPr>
            <w:r>
              <w:rPr>
                <w:rFonts w:ascii="Arial" w:cs="Arial" w:eastAsia="Arial" w:hAnsi="Arial"/>
                <w:sz w:val="18"/>
                <w:szCs w:val="18"/>
                <w:color w:val="auto"/>
              </w:rPr>
              <w:t>63</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gridSpan w:val="3"/>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(1)</w:t>
            </w:r>
          </w:p>
        </w:tc>
        <w:tc>
          <w:tcPr>
            <w:tcW w:w="2040" w:type="dxa"/>
            <w:vAlign w:val="bottom"/>
            <w:gridSpan w:val="3"/>
          </w:tcPr>
          <w:p>
            <w:pPr>
              <w:jc w:val="right"/>
              <w:ind w:right="512"/>
              <w:spacing w:after="0"/>
              <w:rPr>
                <w:sz w:val="20"/>
                <w:szCs w:val="20"/>
                <w:color w:val="auto"/>
              </w:rPr>
            </w:pPr>
            <w:r>
              <w:rPr>
                <w:rFonts w:ascii="Arial" w:cs="Arial" w:eastAsia="Arial" w:hAnsi="Arial"/>
                <w:sz w:val="18"/>
                <w:szCs w:val="18"/>
                <w:color w:val="auto"/>
              </w:rPr>
              <w:t>8.8%</w:t>
            </w:r>
          </w:p>
        </w:tc>
        <w:tc>
          <w:tcPr>
            <w:tcW w:w="1520" w:type="dxa"/>
            <w:vAlign w:val="bottom"/>
            <w:gridSpan w:val="3"/>
          </w:tcPr>
          <w:p>
            <w:pPr>
              <w:jc w:val="right"/>
              <w:ind w:right="640"/>
              <w:spacing w:after="0"/>
              <w:rPr>
                <w:sz w:val="20"/>
                <w:szCs w:val="20"/>
                <w:color w:val="auto"/>
              </w:rPr>
            </w:pPr>
            <w:r>
              <w:rPr>
                <w:rFonts w:ascii="Arial" w:cs="Arial" w:eastAsia="Arial" w:hAnsi="Arial"/>
                <w:sz w:val="18"/>
                <w:szCs w:val="18"/>
                <w:color w:val="auto"/>
              </w:rPr>
              <w:t>8.6%</w:t>
            </w:r>
          </w:p>
        </w:tc>
        <w:tc>
          <w:tcPr>
            <w:tcW w:w="1600" w:type="dxa"/>
            <w:vAlign w:val="bottom"/>
            <w:gridSpan w:val="2"/>
          </w:tcPr>
          <w:p>
            <w:pPr>
              <w:jc w:val="right"/>
              <w:ind w:right="64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102"/>
        </w:trPr>
        <w:tc>
          <w:tcPr>
            <w:tcW w:w="160" w:type="dxa"/>
            <w:vAlign w:val="bottom"/>
            <w:tcBorders>
              <w:bottom w:val="single" w:sz="8" w:color="auto"/>
            </w:tcBorders>
            <w:gridSpan w:val="2"/>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39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160" w:type="dxa"/>
            <w:vAlign w:val="bottom"/>
            <w:gridSpan w:val="2"/>
          </w:tcPr>
          <w:p>
            <w:pPr>
              <w:spacing w:after="0"/>
              <w:rPr>
                <w:sz w:val="20"/>
                <w:szCs w:val="20"/>
                <w:color w:val="auto"/>
              </w:rPr>
            </w:pPr>
            <w:r>
              <w:rPr>
                <w:rFonts w:ascii="Arial" w:cs="Arial" w:eastAsia="Arial" w:hAnsi="Arial"/>
                <w:sz w:val="18"/>
                <w:szCs w:val="18"/>
                <w:color w:val="auto"/>
              </w:rPr>
              <w:t>*</w:t>
            </w:r>
          </w:p>
        </w:tc>
        <w:tc>
          <w:tcPr>
            <w:tcW w:w="4940" w:type="dxa"/>
            <w:vAlign w:val="bottom"/>
            <w:gridSpan w:val="2"/>
          </w:tcPr>
          <w:p>
            <w:pPr>
              <w:ind w:left="300"/>
              <w:spacing w:after="0"/>
              <w:rPr>
                <w:sz w:val="20"/>
                <w:szCs w:val="20"/>
                <w:color w:val="auto"/>
              </w:rPr>
            </w:pPr>
            <w:r>
              <w:rPr>
                <w:rFonts w:ascii="Arial" w:cs="Arial" w:eastAsia="Arial" w:hAnsi="Arial"/>
                <w:sz w:val="18"/>
                <w:szCs w:val="18"/>
                <w:color w:val="auto"/>
              </w:rPr>
              <w:t>Not annualized for a period of less than a year.</w:t>
            </w:r>
          </w:p>
        </w:tc>
        <w:tc>
          <w:tcPr>
            <w:tcW w:w="6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040" w:type="dxa"/>
            <w:vAlign w:val="bottom"/>
            <w:gridSpan w:val="3"/>
          </w:tcPr>
          <w:p>
            <w:pPr>
              <w:jc w:val="right"/>
              <w:ind w:right="1192"/>
              <w:spacing w:after="0"/>
              <w:rPr>
                <w:sz w:val="20"/>
                <w:szCs w:val="20"/>
                <w:color w:val="auto"/>
              </w:rPr>
            </w:pPr>
            <w:r>
              <w:rPr>
                <w:rFonts w:ascii="Arial" w:cs="Arial" w:eastAsia="Arial" w:hAnsi="Arial"/>
                <w:sz w:val="18"/>
                <w:szCs w:val="18"/>
                <w:color w:val="auto"/>
              </w:rPr>
              <w:t>S-17</w:t>
            </w: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Unaudited.</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respective periods.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32" w:lineRule="exact"/>
        <w:rPr>
          <w:rFonts w:ascii="Arial" w:cs="Arial" w:eastAsia="Arial" w:hAnsi="Arial"/>
          <w:sz w:val="16"/>
          <w:szCs w:val="16"/>
          <w:color w:val="auto"/>
        </w:rPr>
      </w:pPr>
    </w:p>
    <w:p>
      <w:pPr>
        <w:ind w:left="460" w:hanging="452"/>
        <w:spacing w:after="0" w:line="250"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w:t>
      </w: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start-up and organizational costs.</w:t>
      </w:r>
    </w:p>
    <w:p>
      <w:pPr>
        <w:spacing w:after="0" w:line="151"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40"/>
          </w:cols>
          <w:pgMar w:left="240" w:top="459" w:right="51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177"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We intend to offer the shares through the underwriters named in the table below. Morgan Stanley &amp; Co. LLC, J.P. Morgan Securities LLC and Keefe, Bruyette &amp; Woods, Inc. are acting as joint bookrunners and representatives of the several underwriters. Subject to the terms and conditions described in an underwriting agreement among us and the underwriters, we have agreed to sell to the underwriters, and each underwriter has severally agreed to purchase from us, the number of shares set forth opposite the underwriter’s name.</w:t>
      </w:r>
    </w:p>
    <w:p>
      <w:pPr>
        <w:spacing w:after="0" w:line="16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240" w:type="dxa"/>
            <w:vAlign w:val="bottom"/>
            <w:vMerge w:val="restart"/>
          </w:tcPr>
          <w:p>
            <w:pPr>
              <w:spacing w:after="0"/>
              <w:rPr>
                <w:sz w:val="20"/>
                <w:szCs w:val="20"/>
                <w:color w:val="auto"/>
              </w:rPr>
            </w:pPr>
            <w:r>
              <w:rPr>
                <w:rFonts w:ascii="Arial" w:cs="Arial" w:eastAsia="Arial" w:hAnsi="Arial"/>
                <w:sz w:val="14"/>
                <w:szCs w:val="14"/>
                <w:b w:val="1"/>
                <w:bCs w:val="1"/>
                <w:color w:val="auto"/>
                <w:w w:val="95"/>
              </w:rPr>
              <w:t>Underwriter Names</w:t>
            </w:r>
          </w:p>
        </w:tc>
        <w:tc>
          <w:tcPr>
            <w:tcW w:w="8300" w:type="dxa"/>
            <w:vAlign w:val="bottom"/>
            <w:vMerge w:val="restart"/>
          </w:tcPr>
          <w:p>
            <w:pPr>
              <w:spacing w:after="0"/>
              <w:rPr>
                <w:sz w:val="14"/>
                <w:szCs w:val="14"/>
                <w:color w:val="auto"/>
              </w:rPr>
            </w:pPr>
          </w:p>
        </w:tc>
        <w:tc>
          <w:tcPr>
            <w:tcW w:w="9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68"/>
        </w:trPr>
        <w:tc>
          <w:tcPr>
            <w:tcW w:w="1240" w:type="dxa"/>
            <w:vAlign w:val="bottom"/>
            <w:tcBorders>
              <w:bottom w:val="single" w:sz="8" w:color="auto"/>
            </w:tcBorders>
            <w:vMerge w:val="continue"/>
          </w:tcPr>
          <w:p>
            <w:pPr>
              <w:spacing w:after="0"/>
              <w:rPr>
                <w:sz w:val="14"/>
                <w:szCs w:val="14"/>
                <w:color w:val="auto"/>
              </w:rPr>
            </w:pPr>
          </w:p>
        </w:tc>
        <w:tc>
          <w:tcPr>
            <w:tcW w:w="8300" w:type="dxa"/>
            <w:vAlign w:val="bottom"/>
            <w:vMerge w:val="continue"/>
          </w:tcPr>
          <w:p>
            <w:pPr>
              <w:spacing w:after="0"/>
              <w:rPr>
                <w:sz w:val="14"/>
                <w:szCs w:val="14"/>
                <w:color w:val="auto"/>
              </w:rPr>
            </w:pPr>
          </w:p>
        </w:tc>
        <w:tc>
          <w:tcPr>
            <w:tcW w:w="960" w:type="dxa"/>
            <w:vAlign w:val="bottom"/>
            <w:gridSpan w:val="3"/>
          </w:tcPr>
          <w:p>
            <w:pPr>
              <w:jc w:val="center"/>
              <w:ind w:right="100"/>
              <w:spacing w:after="0" w:line="148" w:lineRule="exact"/>
              <w:rPr>
                <w:sz w:val="20"/>
                <w:szCs w:val="20"/>
                <w:color w:val="auto"/>
              </w:rPr>
            </w:pPr>
            <w:r>
              <w:rPr>
                <w:rFonts w:ascii="Arial" w:cs="Arial" w:eastAsia="Arial" w:hAnsi="Arial"/>
                <w:sz w:val="14"/>
                <w:szCs w:val="14"/>
                <w:b w:val="1"/>
                <w:bCs w:val="1"/>
                <w:color w:val="auto"/>
                <w:w w:val="81"/>
              </w:rPr>
              <w:t>Shares</w:t>
            </w:r>
          </w:p>
        </w:tc>
        <w:tc>
          <w:tcPr>
            <w:tcW w:w="0" w:type="dxa"/>
            <w:vAlign w:val="bottom"/>
          </w:tcPr>
          <w:p>
            <w:pPr>
              <w:spacing w:after="0"/>
              <w:rPr>
                <w:sz w:val="1"/>
                <w:szCs w:val="1"/>
                <w:color w:val="auto"/>
              </w:rPr>
            </w:pPr>
          </w:p>
        </w:tc>
      </w:tr>
      <w:tr>
        <w:trPr>
          <w:trHeight w:val="203"/>
        </w:trPr>
        <w:tc>
          <w:tcPr>
            <w:tcW w:w="95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Morgan Stanley &amp; Co. LLC</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2,261,248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624,756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Keefe, Bruyette &amp; Woods, Inc.</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615,956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Janney Montgomery Scott LLC</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313,940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JMP Securities LLC</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337,700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tcPr>
          <w:p>
            <w:pPr>
              <w:spacing w:after="0"/>
              <w:rPr>
                <w:sz w:val="20"/>
                <w:szCs w:val="20"/>
                <w:color w:val="auto"/>
              </w:rPr>
            </w:pPr>
            <w:r>
              <w:rPr>
                <w:rFonts w:ascii="Arial" w:cs="Arial" w:eastAsia="Arial" w:hAnsi="Arial"/>
                <w:sz w:val="18"/>
                <w:szCs w:val="18"/>
                <w:color w:val="auto"/>
              </w:rPr>
              <w:t>Ladenburg Thalmann &amp; Co. Inc.</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123,200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Maxim Group LLC</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123,200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540" w:type="dxa"/>
            <w:vAlign w:val="bottom"/>
            <w:gridSpan w:val="2"/>
          </w:tcPr>
          <w:p>
            <w:pPr>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4,400,000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8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The underwriting agreement provides that the obligations of the underwriters to purchase the shares included in this offering are subject to certain conditions precedent, including the absence of any material adverse change in our business and the receipt of certain certificates, opinions and letters from us, our counsel and our independent registered public accounting firm. The underwriters are committed to purchase all shares included in this offering, other than those shares covered by the option to purchase additional shares described below, if they purchase any of the shares. The underwriters reserve the right to withdraw, cancel or modify offers to the public and to reject orders in whole or in part.</w:t>
      </w:r>
    </w:p>
    <w:p>
      <w:pPr>
        <w:spacing w:after="0" w:line="11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agreed to indemnify the several underwriters against certain liabilities, including liabilities under the Securities Act, or to contribute to payments the underwriters may be required to make in respect of those liabilities.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underwriters have advised us that they propose initially to offer the shares to the public at the public offering price on the cover page of this prospectus supplement and to dealers at that price less a concession not in excess of $0.25560 per share. After the public offering, the public offering price, concession and discount may be changed.</w:t>
      </w:r>
    </w:p>
    <w:p>
      <w:pPr>
        <w:spacing w:after="0" w:line="14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following table shows the per share and total underwriting discounts and commissions we will pay to the underwriters assuming both no exercise and full exercise of the underwriters’ overallotment option to purchase up to an additional 660,000 shares.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Without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With</w:t>
            </w:r>
          </w:p>
        </w:tc>
      </w:tr>
      <w:tr>
        <w:trPr>
          <w:trHeight w:val="149"/>
        </w:trPr>
        <w:tc>
          <w:tcPr>
            <w:tcW w:w="72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1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Overallotment</w:t>
            </w:r>
          </w:p>
        </w:tc>
        <w:tc>
          <w:tcPr>
            <w:tcW w:w="22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9"/>
              </w:rPr>
              <w:t>Overallotment</w:t>
            </w:r>
          </w:p>
        </w:tc>
      </w:tr>
      <w:tr>
        <w:trPr>
          <w:trHeight w:val="161"/>
        </w:trPr>
        <w:tc>
          <w:tcPr>
            <w:tcW w:w="72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Per Share</w:t>
            </w:r>
          </w:p>
        </w:tc>
        <w:tc>
          <w:tcPr>
            <w:tcW w:w="80" w:type="dxa"/>
            <w:vAlign w:val="bottom"/>
          </w:tcPr>
          <w:p>
            <w:pPr>
              <w:spacing w:after="0"/>
              <w:rPr>
                <w:sz w:val="14"/>
                <w:szCs w:val="14"/>
                <w:color w:val="auto"/>
              </w:rPr>
            </w:pPr>
          </w:p>
        </w:tc>
        <w:tc>
          <w:tcPr>
            <w:tcW w:w="10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Option</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8"/>
              </w:rPr>
              <w:t>Option</w:t>
            </w:r>
          </w:p>
        </w:tc>
      </w:tr>
      <w:tr>
        <w:trPr>
          <w:trHeight w:val="210"/>
        </w:trPr>
        <w:tc>
          <w:tcPr>
            <w:tcW w:w="72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8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14.20</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62,480,000</w:t>
            </w: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71,852,000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Underwriting discount</w:t>
            </w:r>
            <w:r>
              <w:rPr>
                <w:rFonts w:ascii="Arial" w:cs="Arial" w:eastAsia="Arial" w:hAnsi="Arial"/>
                <w:sz w:val="11"/>
                <w:szCs w:val="11"/>
                <w:color w:val="auto"/>
              </w:rPr>
              <w:t>(1)</w:t>
            </w:r>
          </w:p>
        </w:tc>
        <w:tc>
          <w:tcPr>
            <w:tcW w:w="98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40"/>
              <w:spacing w:after="0"/>
              <w:rPr>
                <w:sz w:val="20"/>
                <w:szCs w:val="20"/>
                <w:color w:val="auto"/>
              </w:rPr>
            </w:pPr>
            <w:r>
              <w:rPr>
                <w:rFonts w:ascii="Arial" w:cs="Arial" w:eastAsia="Arial" w:hAnsi="Arial"/>
                <w:sz w:val="18"/>
                <w:szCs w:val="18"/>
                <w:color w:val="auto"/>
              </w:rPr>
              <w:t>0.11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468,600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538,890</w:t>
            </w:r>
          </w:p>
        </w:tc>
        <w:tc>
          <w:tcPr>
            <w:tcW w:w="100" w:type="dxa"/>
            <w:vAlign w:val="bottom"/>
          </w:tcPr>
          <w:p>
            <w:pPr>
              <w:spacing w:after="0"/>
              <w:rPr>
                <w:sz w:val="18"/>
                <w:szCs w:val="18"/>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w w:val="99"/>
              </w:rPr>
              <w:t>Proceeds to PennantPark Floating Rate Capital Ltd. (before offering expenses of $300,000)</w:t>
            </w:r>
          </w:p>
        </w:tc>
        <w:tc>
          <w:tcPr>
            <w:tcW w:w="98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3"/>
              </w:rPr>
              <w:t>14.09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62,011,400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71,313,110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340" w:hanging="452"/>
        <w:spacing w:after="0" w:line="306" w:lineRule="auto"/>
        <w:tabs>
          <w:tab w:leader="none" w:pos="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investment adviser, PennantPark Investment Advisers, LLC, has agreed to pay to the underwriters another $1.4 million, or $0.32 per share (or $1.6 million, or $0.32 per share, if the overallotment option is fully exercised) of the sales load in connection with this offering, which is not reflected in the above table. All other expenses of the offering, including the sales load not paid by our investment adviser will be borne by us.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Overallotment Option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We have granted an option to the underwriters to purchase up to 660,000 additional shares at the public offering price less the underwriting discount solely to cover overallotments. The underwriters may exercise this overallotment option for 30 days from the date of this prospectus supplement. If the underwriters exercise this option, they will be obligated, subject to conditions contained in the underwriting agreement, to purchase the additional shares approximately proportionate to that underwriter’s initial purchase commitment.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96"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We have agreed, with exceptions, not to sell or transfer any common stock for 90 days after the date of this prospectus without first obtaining the written consent of Morgan Stanley &amp; Co. LLC.</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executive officers and directors, PennantPark Investment Advisers, LLC, and Pennant Park Investment Administration, LLC have agreed, with exceptions, not to sell or transfer any common stock for 90 days after the date of this prospectus supplement without first obtaining the written consent of Morgan Stanley &amp; Co. LLC. Specifically, we and these other individuals and entities have agreed not to directly or indirectly:</w:t>
      </w:r>
    </w:p>
    <w:p>
      <w:pPr>
        <w:spacing w:after="0" w:line="26" w:lineRule="exact"/>
        <w:rPr>
          <w:sz w:val="20"/>
          <w:szCs w:val="20"/>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related to the common stock; or</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Quotation on the NASDAQ Global Select Market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quoted on The NASDAQ Global Select Market under the symbol “PFLT.”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and Short Positions</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Until the distribution of the shares is completed, SEC rules may limit the underwriters from bidding for and purchasing our common stock. However, the underwriters may engage in transactions that stabilize the price of the common stock, such as bids or purchases to peg, fix or maintain that price.</w:t>
      </w:r>
    </w:p>
    <w:p>
      <w:pPr>
        <w:spacing w:after="0" w:line="85"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the underwriters create a short position in the common stock in connection with the offering, (i.e., if they sell more shares than are listed on the cover of this prospectus supplement), the underwriters may reduce that short position by purchasing shares in the open market. The underwriters may also elect to reduce any short position by exercising all or part of the option to purchase additional shares described above. In making this determination, the underwriters will consider, among other things, the price of shares available for purchase in the open market compared to the price at which the underwriters may purchase shares through the option to purchase additional shares. Purchases of the common stock to stabilize its price or to reduce a short position may cause the price of the common stock to be higher than it might be in the absence of such purchases.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0" w:firstLine="456"/>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4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Neither we nor the underwriters make any representation or prediction as to the magnitude of any effect that the transactions described above may have on the price of the common stock. In addition, neither we nor the underwriters make any representation that the underwriters will engage in these transactions or that these transactions, once commenced, will not be discontinued without notice.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Delivery</w:t>
      </w:r>
    </w:p>
    <w:p>
      <w:pPr>
        <w:spacing w:after="0" w:line="9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The underwriters may make prospectuses available in electronic (PDF) format. A prospectus in electronic (PDF) format may be made available on a web site maintained by the underwriters, and the underwriters may distribute such prospectuses electronically. The underwriters may allocate a limited number of shares for sale to their online brokerage customers.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have provided in the past to the Company and may provide from time to time in the future in the ordinary course of their business certain commercial banking, financial advisory, investment banking and other services to us for which they received or will receive customary fees and expenses. In particular, the underwriters or their affiliates may execute transactions with or on behalf of the Company. In addition, the underwriters or their affiliates may act as arrangers, underwriters or placement agents for companies whose securities are sold to us.</w:t>
      </w:r>
    </w:p>
    <w:p>
      <w:pPr>
        <w:spacing w:after="0" w:line="120"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In the ordinary course of their various business activities, the underwriters or their affiliates may also trade in our securities, securities of our portfolio companies or other financial instruments related thereto for their own accounts or for the account of others and may extend loans or financing directly or through derivative transactions to us or any of our portfolio companies. The underwriters and their respective affiliates may also make investment recommendations and/or publish or express independent research views in respect of such securities or instruments and may at any time hold, or recommend to clients that they acquire, long and/or short positions in such securities and instruments.</w:t>
      </w:r>
    </w:p>
    <w:p>
      <w:pPr>
        <w:spacing w:after="0" w:line="116"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color w:val="auto"/>
        </w:rPr>
        <w:t>We may purchase securities of third parties from the underwriters or their affiliates after the offering. However, we have not entered into any agreement or arrangement regarding the acquisition of any such securities, and we may not purchase any such securities. We would only purchase any such securities if, among other things, we identified securities that satisfied our investment needs and completed our due diligence review of such securities.</w:t>
      </w:r>
    </w:p>
    <w:p>
      <w:pPr>
        <w:spacing w:after="0" w:line="10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After the date of this prospectus supplement, the underwriters and their affiliates may from time to time obtain information regarding specific portfolio companies or us that may not be available to the general public. Any such information is obtained by the underwriters and their affiliates in the ordinary course of its business and not in connection with the offering of the common stock. In addition, after the offering period for the sale of our common stock, the underwriters or their affiliates may develop analyses or opinions related to PennantPark Floating Rate Capital Ltd. or our portfolio companies and buy or sell interests in one or more of our portfolio companies on behalf of their proprietary or client accounts and may engage in competitive activities. There is no obligation on behalf of these parties to disclose their respective analyses, opinions or purchase and sale activities regarding any portfolio company or regarding PennantPark Floating Rate Capital Ltd. to our stockholders.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Affiliates of certain of the underwriters may serve as lenders under any future credit facility. Some of the underwriters and their affiliates were underwriters in connection with our initial public offering and subsequent follow-on equity offerings for which they received customary fees.</w:t>
      </w:r>
    </w:p>
    <w:p>
      <w:pPr>
        <w:spacing w:after="0" w:line="85"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 xml:space="preserve">The principal business addresses of the underwriters are: Morgan Stanley &amp; Co. LLC, 1585 Broadway, New York, NY 10036; J.P. Morgan Securities LLC, 383 Madison Avenue, New York, NY 10179; Keefe, Bruyette &amp; Woods, Inc., 787 Seventh Avenue, 4 </w:t>
      </w:r>
      <w:r>
        <w:rPr>
          <w:rFonts w:ascii="Arial" w:cs="Arial" w:eastAsia="Arial" w:hAnsi="Arial"/>
          <w:sz w:val="10"/>
          <w:szCs w:val="10"/>
          <w:color w:val="auto"/>
        </w:rPr>
        <w:t>th</w:t>
      </w:r>
      <w:r>
        <w:rPr>
          <w:rFonts w:ascii="Arial" w:cs="Arial" w:eastAsia="Arial" w:hAnsi="Arial"/>
          <w:sz w:val="16"/>
          <w:szCs w:val="16"/>
          <w:color w:val="auto"/>
        </w:rPr>
        <w:t xml:space="preserve"> Floor, New York, NY 10019.</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9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In relation to each member state of the European Economic Area that has implemented the Prospectus Directive (each, a relevant member state), with effect from and including the date on which the Prospectus Directive is implemented in that relevant member state (the relevant implementation date), an offer of warrants and shares of common stock described in this prospectus may not be made to the public in that relevant member state prior to the publication of a prospectus in relation to the shares of common stock that has been approved by the competent authority in that relevant member state or, where appropriate, approved in another relevant member state and notified to the competent authority in that relevant member state, all in accordance with the Prospectus Directive, except that, with effect from and including the relevant implementation date, an offer of warrants may be made to the public in that relevant member state at any time:</w:t>
      </w:r>
    </w:p>
    <w:p>
      <w:pPr>
        <w:spacing w:after="0" w:line="66" w:lineRule="exact"/>
        <w:rPr>
          <w:sz w:val="20"/>
          <w:szCs w:val="20"/>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9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relevant Manager or Managers nominated by the Issuer for any such offer; or</w:t>
      </w:r>
    </w:p>
    <w:p>
      <w:pPr>
        <w:spacing w:after="0" w:line="25" w:lineRule="exact"/>
        <w:rPr>
          <w:rFonts w:ascii="Arial" w:cs="Arial" w:eastAsia="Arial" w:hAnsi="Arial"/>
          <w:sz w:val="16"/>
          <w:szCs w:val="16"/>
          <w:color w:val="auto"/>
        </w:rPr>
      </w:pPr>
    </w:p>
    <w:p>
      <w:pPr>
        <w:ind w:left="900" w:hanging="446"/>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17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For purposes of this provision, the expression an “offer of shares to the public” in any relevant member state means the communication in any form and by any means of sufficient information on the terms of the offer and the shares to be offered so as to enable an investor to decide to purchase the shares, as the expression may be varied in that member state by any measure implementing the Prospectus Directive in that member state, and the expression “Prospectus Directive” means Directive 2003/71/EC (and amendments thereto, including the 2010 PD Amending Directive, to the extent implemented in the Relevant Member State), and includes any relevant implementing measure in each relevant member state and the expression 2010 PD Amending Directive means Directive 2010/73/EU.</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EEA selling restriction is in addition to any other selling restrictions set out in this Prospectus.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This prospectus is only being distributed to, and is only directed at, persons in the United Kingdom that are (i) investment professionals falling within Article 19(5) of the Financial Services and Markets Act 2000 (Financial Promotion) Order 2005 (the “Order”) or (ii) high net worth entities, and other persons to whom it may lawfully be communicated, falling within Article 49(2)(a) to (d) of the Order (each such person being referred to as a “relevant person”). The shares of common stock are only available to, and any invitation, offer or agreement to subscribe, purchase or otherwise acquire such shares of common stock will be engaged in only with, relevant persons.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9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This prospectus does not constitute an issue prospectus pursuant to Article 652a or Article 1156 of the Swiss Code of Obligations (“CO”) and the shares will not be listed on the SIX Swiss Exchange. Therefore, this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prospectus may not comply with the disclosure standards of the CO and/or the listing rules (including any prospectus schemes) of the SIX Swiss Exchange. Accordingly, the shares may not be offered to the public in or from Switzerland, but only to a selected and limited circle of investors, which do not subscribe to the shares with a view to distribution.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This prospectus is not a formal disclosure document and has not been, nor will be, lodged with the Australian Securities and Investments Commission. It does not purport to contain all information that an investor or their professional advisers would expect to find in a prospectus or other disclosure document (as defined in the Corporations Act 2001 (Australia)) for the purposes of Part 6D.2 of the Corporations Act 2001 (Australia) or in a product disclosure statement for the purposes of Part 7.9 of the Corporations Act 2001 (Australia), in either case, in relation to the securities.</w:t>
      </w:r>
    </w:p>
    <w:p>
      <w:pPr>
        <w:spacing w:after="0" w:line="113"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The securities are not being offered in Australia to “retail clients” as defined in sections 761G and 761GA of the Corporations Act 2001 (Australia). This offering is being made in Australia solely to “wholesale clients” for the purposes of section 761G of the Corporations Act 2001 (Australia) and, as such, no prospectus, product disclosure statement or other disclosure document in relation to the securities has been, or will be, prepared.</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prospectus does not constitute an offer in Australia other than to wholesale clients. By submitting an application for our securities, you represent and warrant to us that you are a wholesale client for the purposes of section 761G of the Corporations Act 2001 (Australia). If any recipient of this prospectus is not a wholesale client, no offer of, or invitation to apply for, our securities shall be deemed to be made to such recipient and no applications for our securities will be accepted from such recipient. Any offer to a recipient in Australia. and any agreement arising from acceptance of such offer, is personal and may only be accepted by the recipient. In addition, by applying for our securities you undertake to us that, for a period of 12 months from the date of issue of the securities, you will not transfer any interest in the securities to any person in Australia other than to a wholesale client.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96"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securities may not be offered or sold in Hong Kong, by means of this prospectus or any document other than (i) to “professional investors” within the meaning of the Securities and Futures Ordinance (Cap.571, Laws of Hong Kong) and any rules made thereunder, or (ii) in circumstances which do not constitute an offer to the public within the meaning of the Companies Ordinance (Cap.32, Laws of Hong Kong), or (iii) in other circumstances which do not result in the document being a “prospectus” within the meaning of the Companies Ordinance (Cap.32, Laws of Hong Kong). No advertisement, invitation or document relating to our securities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the securities which are or are intended to be disposed of only to persons outside Hong Kong or only to “professional investors” within the meaning of the Securities and Futures Ordinance (Cap. 571, Laws of Hong Kong) and any rules made thereunder.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9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securities have not been and will not be registered under the Financial Instruments and Exchange Law of Japan (the Financial Instruments and Exchange Law) and our securities will not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a resident of Japan, except pursuant to an exemption from the registration requirements of, and otherwise in compliance with, the Financial Instruments and Exchange Law and any other applicable laws, regulations and ministerial guidelines of Japan.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This document has not been registered as a prospectus with the Monetary Authority of Singapore and in Singapore, the offer and sale of our securities is made pursuant to exemptions provided in sections 274 and 275 of the Securities and Futures Act, Chapter 289 of Singapore (“SFA”). Accordingly, this prospectus and any other document or material in connection with the offer or sale, or invitation for subscription or purchase, of our securities may not be circulated or distributed, nor may our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compliance with the conditions (if any) set forth in the SFA. Moreover, this document is not a prospectus as defined in the SFA. Accordingly, statutory liability under the SFA in relation to the content of prospectuses would not apply. Prospective investors in Singapore should consider carefully whether an investment in our securities is suitable for them.</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our securities are subscribed or purchased under Section 275 of the SFA by a relevant person which is:</w:t>
      </w:r>
    </w:p>
    <w:p>
      <w:pPr>
        <w:spacing w:after="0" w:line="90" w:lineRule="exact"/>
        <w:rPr>
          <w:sz w:val="20"/>
          <w:szCs w:val="20"/>
          <w:color w:val="auto"/>
        </w:rPr>
      </w:pPr>
    </w:p>
    <w:p>
      <w:pPr>
        <w:ind w:left="460" w:right="180" w:firstLine="443"/>
        <w:spacing w:after="0" w:line="268" w:lineRule="auto"/>
        <w:tabs>
          <w:tab w:leader="none" w:pos="1137" w:val="left"/>
        </w:tabs>
        <w:numPr>
          <w:ilvl w:val="0"/>
          <w:numId w:val="17"/>
        </w:numPr>
        <w:rPr>
          <w:rFonts w:ascii="Arial" w:cs="Arial" w:eastAsia="Arial" w:hAnsi="Arial"/>
          <w:sz w:val="18"/>
          <w:szCs w:val="18"/>
          <w:color w:val="auto"/>
        </w:rPr>
      </w:pPr>
      <w:r>
        <w:rPr>
          <w:rFonts w:ascii="Arial" w:cs="Arial" w:eastAsia="Arial" w:hAnsi="Arial"/>
          <w:sz w:val="18"/>
          <w:szCs w:val="18"/>
          <w:color w:val="auto"/>
        </w:rPr>
        <w:t>by 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0" w:lineRule="exact"/>
        <w:rPr>
          <w:rFonts w:ascii="Arial" w:cs="Arial" w:eastAsia="Arial" w:hAnsi="Arial"/>
          <w:sz w:val="18"/>
          <w:szCs w:val="18"/>
          <w:color w:val="auto"/>
        </w:rPr>
      </w:pPr>
    </w:p>
    <w:p>
      <w:pPr>
        <w:ind w:left="460" w:right="540" w:firstLine="443"/>
        <w:spacing w:after="0" w:line="268" w:lineRule="auto"/>
        <w:tabs>
          <w:tab w:leader="none" w:pos="1147"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a trust (where the trustee is not an accredited investor) whose sole purpose is to hold investments and each beneficiary of the trust is an individual who is an accredited investor,</w:t>
      </w:r>
    </w:p>
    <w:p>
      <w:pPr>
        <w:spacing w:after="0" w:line="51" w:lineRule="exact"/>
        <w:rPr>
          <w:sz w:val="20"/>
          <w:szCs w:val="20"/>
          <w:color w:val="auto"/>
        </w:rPr>
      </w:pPr>
    </w:p>
    <w:p>
      <w:pPr>
        <w:ind w:left="460" w:right="480"/>
        <w:spacing w:after="0" w:line="268" w:lineRule="auto"/>
        <w:rPr>
          <w:sz w:val="20"/>
          <w:szCs w:val="20"/>
          <w:color w:val="auto"/>
        </w:rPr>
      </w:pPr>
      <w:r>
        <w:rPr>
          <w:rFonts w:ascii="Arial" w:cs="Arial" w:eastAsia="Arial" w:hAnsi="Arial"/>
          <w:sz w:val="18"/>
          <w:szCs w:val="18"/>
          <w:color w:val="auto"/>
        </w:rPr>
        <w:t>shares of that corporation or the beneficiaries’ rights and interest (howsoever described) in that trust shall not be transferable for six months after that corporation or that trust has acquired the shares under Section 275 of the SFA, except:</w:t>
      </w:r>
    </w:p>
    <w:p>
      <w:pPr>
        <w:spacing w:after="0" w:line="51" w:lineRule="exact"/>
        <w:rPr>
          <w:sz w:val="20"/>
          <w:szCs w:val="20"/>
          <w:color w:val="auto"/>
        </w:rPr>
      </w:pPr>
    </w:p>
    <w:p>
      <w:pPr>
        <w:ind w:left="460" w:right="120" w:firstLine="443"/>
        <w:spacing w:after="0" w:line="298" w:lineRule="auto"/>
        <w:tabs>
          <w:tab w:leader="none" w:pos="1147" w:val="left"/>
        </w:tabs>
        <w:numPr>
          <w:ilvl w:val="0"/>
          <w:numId w:val="18"/>
        </w:numPr>
        <w:rPr>
          <w:rFonts w:ascii="Arial" w:cs="Arial" w:eastAsia="Arial" w:hAnsi="Arial"/>
          <w:sz w:val="16"/>
          <w:szCs w:val="16"/>
          <w:color w:val="auto"/>
        </w:rPr>
      </w:pPr>
      <w:r>
        <w:rPr>
          <w:rFonts w:ascii="Arial" w:cs="Arial" w:eastAsia="Arial" w:hAnsi="Arial"/>
          <w:sz w:val="16"/>
          <w:szCs w:val="16"/>
          <w:color w:val="auto"/>
        </w:rPr>
        <w:t>to an institutional investor (for corporations under Section 274 of the SFA) or to a relevant person defined in Section 275(2) of the SFA, or any person pursuant to an offer that is made on terms that such shares of that corporation or such rights and interest in that trust are acquired at a consideration of not less than $200,000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31" w:lineRule="exact"/>
        <w:rPr>
          <w:rFonts w:ascii="Arial" w:cs="Arial" w:eastAsia="Arial" w:hAnsi="Arial"/>
          <w:sz w:val="16"/>
          <w:szCs w:val="16"/>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no consideration is given for the transfer; or</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addition, investors in Singapore should note that the securities acquired by them are subject to resale and transfer restrictions specified under Section 276 of the SFA, and they, therefore, should seek their own legal advice before effecting any resale or transfer of their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Certain legal matters regarding the securities offered by this prospectus supplement will be passed upon for PennantPark Floating Rate Capital Ltd. by Dechert LLP, Washington, D.C., and Venable LLP, Baltimore, Maryland. Dechert LLP has from time to time represented the underwriters, PennantPark Floating Rate Capital Ltd. and the Investment Adviser on unrelated matters. Certain legal matters in connection with the offering will be passed upon for the underwriters by Fried, Frank, Harris, Shriver &amp; Jacobson LLP, New York, NY.</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300"/>
          </w:cols>
          <w:pgMar w:left="24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$150,000,000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75105" cy="3175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75105" cy="317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Preferred Stock</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Rights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Debt Securities</w:t>
      </w:r>
    </w:p>
    <w:p>
      <w:pPr>
        <w:spacing w:after="0" w:line="96"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PennantPark Floating Rate Capital Ltd. is a closed-end, externally managed, non-diversified investment company that has elected to be treated as a business development company, or BDC, under the Investment Company Act of 1940, as amended, or the 1940 Act.</w:t>
      </w:r>
    </w:p>
    <w:p>
      <w:pPr>
        <w:spacing w:after="0" w:line="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Our investment objectives are to generate current income and capital appreciation by investing primarily in Floating Rate Loans and other investments made to U.S. middle-market private companies. Floating Rate Loans or variable-rate investments pay interest at variable-rates, which are determined periodically, on the basis of a floating base lending rate such as the London Interbank Offered Rate, or LIBOR, with or without a floor plus a fixed spread. We can offer no assurances that we will achieve our investment objectives.</w:t>
      </w:r>
    </w:p>
    <w:p>
      <w:pPr>
        <w:spacing w:after="0" w:line="6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managed by PennantPark Investment Advisers, LLC. PennantPark Investment Administration, LLC provides the administrative services necessary for us to operate.</w:t>
      </w:r>
    </w:p>
    <w:p>
      <w:pPr>
        <w:spacing w:after="0" w:line="51"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may offer, from time to time, in one or more offerings or series, together or separately, up to $150,000,000 of our common stock, preferred stock, warrants representing rights to purchase shares of our common stock, preferred stock or debt securities, subscription rights, or debt securities, which we refer to, collectively, as the securities.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to be described in one or more supplements to this prospectus. In the event we offer common stock, the offering price per share of our common stock exclusive of any underwriting commissions or discounts will not be less than the net asset value per share of our common stock at the time we make the offering except (1) in connection with a rights offering to our existing stockholders, (2) with the consent of the majority of our common stockholders and approval of our board of directors, or (3) under such circumstances as the Securities and Exchange Commission, or the SEC, may permit. See “Risk Factors” on page 8 and “Sales of Common Stock Below Net Asset Value” on page 53 of this prospectus for more information.</w:t>
      </w:r>
    </w:p>
    <w:p>
      <w:pPr>
        <w:spacing w:after="0" w:line="42"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Our common stock has been approved for quotation on the NASDAQ Global Select Market under the symbol “PFLT.” The last reported closing price for our common stock on July 1, 2013 was $14.22 per share, and our net asset value on March 31, 2013 was $14.10 per share.</w:t>
      </w:r>
    </w:p>
    <w:p>
      <w:pPr>
        <w:spacing w:after="0" w:line="5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This prospectus and any accompanying prospectus supplement contain important information you should know before investing in our securities. Please read them before you invest in our securities and keep them for future reference. We file annual, quarterly and current reports, proxy statements and other information with the SEC. You may also obtain such information free of charge or make stockholder inquiries by contacting us in writing at 590 Madison Avenue, New York, NY 10022, by calling us collect at (212) 905-1000 or by visiting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i w:val="1"/>
          <w:iCs w:val="1"/>
          <w:color w:val="auto"/>
        </w:rPr>
        <w:t>.</w:t>
      </w:r>
      <w:r>
        <w:rPr>
          <w:rFonts w:ascii="Arial" w:cs="Arial" w:eastAsia="Arial" w:hAnsi="Arial"/>
          <w:sz w:val="16"/>
          <w:szCs w:val="16"/>
          <w:color w:val="auto"/>
        </w:rPr>
        <w:t xml:space="preserve"> The information on our website is not incorporated by reference into this prospectus. The SEC also maintains a website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such information free of charge.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86995</wp:posOffset>
            </wp:positionV>
            <wp:extent cx="1517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98" w:lineRule="exact"/>
        <w:rPr>
          <w:sz w:val="20"/>
          <w:szCs w:val="20"/>
          <w:color w:val="auto"/>
        </w:rPr>
      </w:pPr>
    </w:p>
    <w:p>
      <w:pPr>
        <w:ind w:right="240"/>
        <w:spacing w:after="0" w:line="339" w:lineRule="auto"/>
        <w:rPr>
          <w:rFonts w:ascii="Arial" w:cs="Arial" w:eastAsia="Arial" w:hAnsi="Arial"/>
          <w:sz w:val="16"/>
          <w:szCs w:val="16"/>
          <w:b w:val="1"/>
          <w:bCs w:val="1"/>
          <w:color w:val="auto"/>
        </w:rPr>
      </w:pPr>
      <w:r>
        <w:rPr>
          <w:rFonts w:ascii="Arial" w:cs="Arial" w:eastAsia="Arial" w:hAnsi="Arial"/>
          <w:sz w:val="16"/>
          <w:szCs w:val="16"/>
          <w:b w:val="1"/>
          <w:bCs w:val="1"/>
          <w:color w:val="auto"/>
        </w:rPr>
        <w:t>Investing in our securities involves a high degree of risk, including the risk of the use of leverage. Before buying any of our securities, you should read the discussion of the material risks of investing in us in “</w:t>
      </w:r>
      <w:hyperlink w:anchor="page39">
        <w:r>
          <w:rPr>
            <w:rFonts w:ascii="Arial" w:cs="Arial" w:eastAsia="Arial" w:hAnsi="Arial"/>
            <w:sz w:val="16"/>
            <w:szCs w:val="16"/>
            <w:b w:val="1"/>
            <w:bCs w:val="1"/>
            <w:u w:val="single" w:color="auto"/>
            <w:color w:val="0000EE"/>
          </w:rPr>
          <w:t>Risk Factors</w:t>
        </w:r>
      </w:hyperlink>
      <w:r>
        <w:rPr>
          <w:rFonts w:ascii="Arial" w:cs="Arial" w:eastAsia="Arial" w:hAnsi="Arial"/>
          <w:sz w:val="16"/>
          <w:szCs w:val="16"/>
          <w:b w:val="1"/>
          <w:bCs w:val="1"/>
          <w:color w:val="auto"/>
        </w:rPr>
        <w:t>” beginning on page 8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right="78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56515</wp:posOffset>
            </wp:positionV>
            <wp:extent cx="151765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This prospectus may not be used to consummate sales of securities unless accompanied by a prospectus supplement.</w:t>
      </w:r>
    </w:p>
    <w:p>
      <w:pPr>
        <w:spacing w:after="0" w:line="9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Prospectus dated July 5, 2013</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You should rely only on the information contained in this prospectus and any accompanying prospectus supplement when considering whether to purchase any securities offered by this prospectus. We have not authorized anyone to provide you with additional information, or information different from that contained in this prospectus and any accompanying prospectus supplement. If anyone provides you with different or additional information, you should not rely on it. We are offering to sell and seeking offers to buy securities only in jurisdictions where offers are permitted. The information contained in or incorporated by reference in this prospectus and any accompanying prospectus supplement is accurate only as of the date of this prospectus or such prospectus supplement. We will update these documents to reflect material changes only as required by law. Our business, financial condition, results of operations and prospects may have changed since then.</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8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40" w:type="dxa"/>
            <w:vAlign w:val="bottom"/>
            <w:gridSpan w:val="3"/>
          </w:tcPr>
          <w:p>
            <w:pPr>
              <w:ind w:left="20"/>
              <w:spacing w:after="0"/>
              <w:rPr>
                <w:sz w:val="20"/>
                <w:szCs w:val="20"/>
                <w:color w:val="auto"/>
              </w:rPr>
            </w:pPr>
            <w:r>
              <w:rPr>
                <w:rFonts w:ascii="Arial" w:cs="Arial" w:eastAsia="Arial" w:hAnsi="Arial"/>
                <w:sz w:val="18"/>
                <w:szCs w:val="18"/>
                <w:b w:val="1"/>
                <w:bCs w:val="1"/>
                <w:color w:val="auto"/>
              </w:rPr>
              <w:t>TABLE OF CONTENTS</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3"/>
        </w:trPr>
        <w:tc>
          <w:tcPr>
            <w:tcW w:w="11000" w:type="dxa"/>
            <w:vAlign w:val="bottom"/>
            <w:gridSpan w:val="32"/>
            <w:vMerge w:val="restart"/>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PROSPECTUS SUMMARY</w:t>
              </w:r>
            </w:hyperlink>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000" w:type="dxa"/>
            <w:vAlign w:val="bottom"/>
            <w:gridSpan w:val="32"/>
            <w:vMerge w:val="continue"/>
          </w:tcPr>
          <w:p>
            <w:pPr>
              <w:spacing w:after="0"/>
              <w:rPr>
                <w:sz w:val="13"/>
                <w:szCs w:val="13"/>
                <w:color w:val="auto"/>
              </w:rPr>
            </w:pPr>
          </w:p>
        </w:tc>
        <w:tc>
          <w:tcPr>
            <w:tcW w:w="32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176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FEES AND EXPENSES</w:t>
              </w:r>
            </w:hyperlink>
          </w:p>
        </w:tc>
        <w:tc>
          <w:tcPr>
            <w:tcW w:w="280" w:type="dxa"/>
            <w:vAlign w:val="bottom"/>
            <w:tcBorders>
              <w:top w:val="single" w:sz="8" w:color="0000EE"/>
            </w:tcBorders>
            <w:gridSpan w:val="2"/>
          </w:tcPr>
          <w:p>
            <w:pPr>
              <w:spacing w:after="0"/>
              <w:rPr>
                <w:sz w:val="18"/>
                <w:szCs w:val="18"/>
                <w:color w:val="auto"/>
              </w:rPr>
            </w:pPr>
          </w:p>
        </w:tc>
        <w:tc>
          <w:tcPr>
            <w:tcW w:w="8960" w:type="dxa"/>
            <w:vAlign w:val="bottom"/>
            <w:gridSpan w:val="21"/>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RISK FACTORS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FORWARD-LOOKING STATEMENTS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USE OF PROCEEDS</w:t>
              </w:r>
            </w:hyperlink>
          </w:p>
        </w:tc>
        <w:tc>
          <w:tcPr>
            <w:tcW w:w="8140" w:type="dxa"/>
            <w:vAlign w:val="bottom"/>
            <w:gridSpan w:val="1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380" w:type="dxa"/>
            <w:vAlign w:val="bottom"/>
            <w:tcBorders>
              <w:bottom w:val="single" w:sz="8" w:color="0000EE"/>
            </w:tcBorders>
            <w:gridSpan w:val="12"/>
          </w:tcPr>
          <w:p>
            <w:pPr>
              <w:spacing w:after="0" w:line="196" w:lineRule="exact"/>
              <w:rPr>
                <w:rFonts w:ascii="Arial" w:cs="Arial" w:eastAsia="Arial" w:hAnsi="Arial"/>
                <w:sz w:val="18"/>
                <w:szCs w:val="18"/>
                <w:color w:val="0000EE"/>
                <w:w w:val="95"/>
              </w:rPr>
            </w:pPr>
            <w:hyperlink w:anchor="page65">
              <w:r>
                <w:rPr>
                  <w:rFonts w:ascii="Arial" w:cs="Arial" w:eastAsia="Arial" w:hAnsi="Arial"/>
                  <w:sz w:val="18"/>
                  <w:szCs w:val="18"/>
                  <w:color w:val="0000EE"/>
                  <w:w w:val="95"/>
                </w:rPr>
                <w:t>SELECTED FINANCIAL DATA</w:t>
              </w:r>
            </w:hyperlink>
          </w:p>
        </w:tc>
        <w:tc>
          <w:tcPr>
            <w:tcW w:w="8620" w:type="dxa"/>
            <w:vAlign w:val="bottom"/>
            <w:gridSpan w:val="2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MANAGEMENT’S DISCUSSION AND ANALYSIS OF FINANCIAL CONDITION AND RESULTS OF OPERATIONS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87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SENIOR SECURITIES</w:t>
              </w:r>
            </w:hyperlink>
          </w:p>
        </w:tc>
        <w:tc>
          <w:tcPr>
            <w:tcW w:w="2300" w:type="dxa"/>
            <w:vAlign w:val="bottom"/>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8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90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83">
              <w:r>
                <w:rPr>
                  <w:rFonts w:ascii="Arial" w:cs="Arial" w:eastAsia="Arial" w:hAnsi="Arial"/>
                  <w:sz w:val="18"/>
                  <w:szCs w:val="18"/>
                  <w:color w:val="0000EE"/>
                  <w:w w:val="92"/>
                </w:rPr>
                <w:t>PRICE RANGE OF COMMON STOCK</w:t>
              </w:r>
            </w:hyperlink>
          </w:p>
        </w:tc>
        <w:tc>
          <w:tcPr>
            <w:tcW w:w="8100" w:type="dxa"/>
            <w:vAlign w:val="bottom"/>
            <w:gridSpan w:val="1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0000EE"/>
            </w:tcBorders>
            <w:gridSpan w:val="27"/>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SALES OF COMMON STOCK BELOW NET ASSET VALUE</w:t>
              </w:r>
            </w:hyperlink>
          </w:p>
        </w:tc>
        <w:tc>
          <w:tcPr>
            <w:tcW w:w="6460" w:type="dxa"/>
            <w:vAlign w:val="bottom"/>
            <w:gridSpan w:val="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96"/>
        </w:trPr>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94"/>
              </w:rPr>
            </w:pPr>
            <w:hyperlink w:anchor="page89">
              <w:r>
                <w:rPr>
                  <w:rFonts w:ascii="Arial" w:cs="Arial" w:eastAsia="Arial" w:hAnsi="Arial"/>
                  <w:sz w:val="18"/>
                  <w:szCs w:val="18"/>
                  <w:color w:val="0000EE"/>
                  <w:w w:val="94"/>
                </w:rPr>
                <w:t>DISTRIBUTIONS</w:t>
              </w:r>
            </w:hyperlink>
          </w:p>
        </w:tc>
        <w:tc>
          <w:tcPr>
            <w:tcW w:w="9660" w:type="dxa"/>
            <w:vAlign w:val="bottom"/>
            <w:gridSpan w:val="2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96"/>
        </w:trPr>
        <w:tc>
          <w:tcPr>
            <w:tcW w:w="84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91">
              <w:r>
                <w:rPr>
                  <w:rFonts w:ascii="Arial" w:cs="Arial" w:eastAsia="Arial" w:hAnsi="Arial"/>
                  <w:sz w:val="18"/>
                  <w:szCs w:val="18"/>
                  <w:color w:val="0000EE"/>
                  <w:w w:val="90"/>
                </w:rPr>
                <w:t>BUSINESS</w:t>
              </w:r>
            </w:hyperlink>
          </w:p>
        </w:tc>
        <w:tc>
          <w:tcPr>
            <w:tcW w:w="10160" w:type="dxa"/>
            <w:vAlign w:val="bottom"/>
            <w:gridSpan w:val="3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INVESTMENT OBJECTIVES AND POLICIES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6"/>
        </w:trPr>
        <w:tc>
          <w:tcPr>
            <w:tcW w:w="344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02">
              <w:r>
                <w:rPr>
                  <w:rFonts w:ascii="Arial" w:cs="Arial" w:eastAsia="Arial" w:hAnsi="Arial"/>
                  <w:sz w:val="18"/>
                  <w:szCs w:val="18"/>
                  <w:color w:val="0000EE"/>
                </w:rPr>
                <w:t>PORTFOLIO COMPANIES</w:t>
              </w:r>
            </w:hyperlink>
          </w:p>
        </w:tc>
        <w:tc>
          <w:tcPr>
            <w:tcW w:w="7560" w:type="dxa"/>
            <w:vAlign w:val="bottom"/>
            <w:gridSpan w:val="1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196"/>
        </w:trPr>
        <w:tc>
          <w:tcPr>
            <w:tcW w:w="12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7"/>
              </w:rPr>
            </w:pPr>
            <w:hyperlink w:anchor="page107">
              <w:r>
                <w:rPr>
                  <w:rFonts w:ascii="Arial" w:cs="Arial" w:eastAsia="Arial" w:hAnsi="Arial"/>
                  <w:sz w:val="18"/>
                  <w:szCs w:val="18"/>
                  <w:color w:val="0000EE"/>
                  <w:w w:val="97"/>
                </w:rPr>
                <w:t>MANAGEMENT</w:t>
              </w:r>
            </w:hyperlink>
          </w:p>
        </w:tc>
        <w:tc>
          <w:tcPr>
            <w:tcW w:w="720" w:type="dxa"/>
            <w:vAlign w:val="bottom"/>
            <w:tcBorders>
              <w:top w:val="single" w:sz="8" w:color="0000EE"/>
            </w:tcBorders>
            <w:gridSpan w:val="6"/>
          </w:tcPr>
          <w:p>
            <w:pPr>
              <w:spacing w:after="0"/>
              <w:rPr>
                <w:sz w:val="17"/>
                <w:szCs w:val="17"/>
                <w:color w:val="auto"/>
              </w:rPr>
            </w:pPr>
          </w:p>
        </w:tc>
        <w:tc>
          <w:tcPr>
            <w:tcW w:w="9000" w:type="dxa"/>
            <w:vAlign w:val="bottom"/>
            <w:gridSpan w:val="2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0000EE"/>
            </w:tcBorders>
            <w:gridSpan w:val="26"/>
          </w:tcPr>
          <w:p>
            <w:pPr>
              <w:spacing w:after="0" w:line="196" w:lineRule="exact"/>
              <w:rPr>
                <w:rFonts w:ascii="Arial" w:cs="Arial" w:eastAsia="Arial" w:hAnsi="Arial"/>
                <w:sz w:val="18"/>
                <w:szCs w:val="18"/>
                <w:color w:val="0000EE"/>
                <w:w w:val="92"/>
              </w:rPr>
            </w:pPr>
            <w:hyperlink w:anchor="page114">
              <w:r>
                <w:rPr>
                  <w:rFonts w:ascii="Arial" w:cs="Arial" w:eastAsia="Arial" w:hAnsi="Arial"/>
                  <w:sz w:val="18"/>
                  <w:szCs w:val="18"/>
                  <w:color w:val="0000EE"/>
                  <w:w w:val="92"/>
                </w:rPr>
                <w:t>CONTROL PERSONS AND PRINCIPAL STOCKHOLDERS</w:t>
              </w:r>
            </w:hyperlink>
          </w:p>
        </w:tc>
        <w:tc>
          <w:tcPr>
            <w:tcW w:w="6560" w:type="dxa"/>
            <w:vAlign w:val="bottom"/>
            <w:gridSpan w:val="6"/>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116">
              <w:r>
                <w:rPr>
                  <w:rFonts w:ascii="Arial" w:cs="Arial" w:eastAsia="Arial" w:hAnsi="Arial"/>
                  <w:sz w:val="18"/>
                  <w:szCs w:val="18"/>
                  <w:color w:val="0000EE"/>
                </w:rPr>
                <w:t>CERTAIN RELATIONSHIPS AND TRANSACTIONS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196"/>
        </w:trPr>
        <w:tc>
          <w:tcPr>
            <w:tcW w:w="330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4"/>
              </w:rPr>
            </w:pPr>
            <w:hyperlink w:anchor="page123">
              <w:r>
                <w:rPr>
                  <w:rFonts w:ascii="Arial" w:cs="Arial" w:eastAsia="Arial" w:hAnsi="Arial"/>
                  <w:sz w:val="18"/>
                  <w:szCs w:val="18"/>
                  <w:color w:val="0000EE"/>
                  <w:w w:val="94"/>
                </w:rPr>
                <w:t>DETERMINATION OF NET ASSET VALUE</w:t>
              </w:r>
            </w:hyperlink>
          </w:p>
        </w:tc>
        <w:tc>
          <w:tcPr>
            <w:tcW w:w="620" w:type="dxa"/>
            <w:vAlign w:val="bottom"/>
            <w:tcBorders>
              <w:top w:val="single" w:sz="8" w:color="0000EE"/>
            </w:tcBorders>
            <w:gridSpan w:val="5"/>
          </w:tcPr>
          <w:p>
            <w:pPr>
              <w:spacing w:after="0"/>
              <w:rPr>
                <w:sz w:val="17"/>
                <w:szCs w:val="17"/>
                <w:color w:val="auto"/>
              </w:rPr>
            </w:pPr>
          </w:p>
        </w:tc>
        <w:tc>
          <w:tcPr>
            <w:tcW w:w="7080" w:type="dxa"/>
            <w:vAlign w:val="bottom"/>
            <w:gridSpan w:val="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196"/>
        </w:trPr>
        <w:tc>
          <w:tcPr>
            <w:tcW w:w="2760" w:type="dxa"/>
            <w:vAlign w:val="bottom"/>
            <w:tcBorders>
              <w:bottom w:val="single" w:sz="8" w:color="0000EE"/>
            </w:tcBorders>
            <w:gridSpan w:val="13"/>
          </w:tcPr>
          <w:p>
            <w:pPr>
              <w:spacing w:after="0" w:line="196" w:lineRule="exact"/>
              <w:rPr>
                <w:rFonts w:ascii="Arial" w:cs="Arial" w:eastAsia="Arial" w:hAnsi="Arial"/>
                <w:sz w:val="18"/>
                <w:szCs w:val="18"/>
                <w:color w:val="0000EE"/>
                <w:w w:val="96"/>
              </w:rPr>
            </w:pPr>
            <w:hyperlink w:anchor="page126">
              <w:r>
                <w:rPr>
                  <w:rFonts w:ascii="Arial" w:cs="Arial" w:eastAsia="Arial" w:hAnsi="Arial"/>
                  <w:sz w:val="18"/>
                  <w:szCs w:val="18"/>
                  <w:color w:val="0000EE"/>
                  <w:w w:val="96"/>
                </w:rPr>
                <w:t>DIVIDEND REINVESTMENT PLAN</w:t>
              </w:r>
            </w:hyperlink>
          </w:p>
        </w:tc>
        <w:tc>
          <w:tcPr>
            <w:tcW w:w="8240" w:type="dxa"/>
            <w:vAlign w:val="bottom"/>
            <w:gridSpan w:val="19"/>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196"/>
        </w:trPr>
        <w:tc>
          <w:tcPr>
            <w:tcW w:w="3220" w:type="dxa"/>
            <w:vAlign w:val="bottom"/>
            <w:tcBorders>
              <w:bottom w:val="single" w:sz="8" w:color="0000EE"/>
            </w:tcBorders>
            <w:gridSpan w:val="17"/>
          </w:tcPr>
          <w:p>
            <w:pPr>
              <w:spacing w:after="0" w:line="196" w:lineRule="exact"/>
              <w:rPr>
                <w:rFonts w:ascii="Arial" w:cs="Arial" w:eastAsia="Arial" w:hAnsi="Arial"/>
                <w:sz w:val="18"/>
                <w:szCs w:val="18"/>
                <w:color w:val="0000EE"/>
                <w:w w:val="92"/>
              </w:rPr>
            </w:pPr>
            <w:hyperlink w:anchor="page127">
              <w:r>
                <w:rPr>
                  <w:rFonts w:ascii="Arial" w:cs="Arial" w:eastAsia="Arial" w:hAnsi="Arial"/>
                  <w:sz w:val="18"/>
                  <w:szCs w:val="18"/>
                  <w:color w:val="0000EE"/>
                  <w:w w:val="92"/>
                </w:rPr>
                <w:t>DESCRIPTION OF OUR CAPITAL STOCK</w:t>
              </w:r>
            </w:hyperlink>
          </w:p>
        </w:tc>
        <w:tc>
          <w:tcPr>
            <w:tcW w:w="7780" w:type="dxa"/>
            <w:vAlign w:val="bottom"/>
            <w:gridSpan w:val="15"/>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133">
              <w:r>
                <w:rPr>
                  <w:rFonts w:ascii="Arial" w:cs="Arial" w:eastAsia="Arial" w:hAnsi="Arial"/>
                  <w:sz w:val="18"/>
                  <w:szCs w:val="18"/>
                  <w:color w:val="0000EE"/>
                </w:rPr>
                <w:t>DESCRIPTION OF OUR PREFERRED STOCK</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102</w:t>
            </w:r>
          </w:p>
        </w:tc>
        <w:tc>
          <w:tcPr>
            <w:tcW w:w="0" w:type="dxa"/>
            <w:vAlign w:val="bottom"/>
          </w:tcPr>
          <w:p>
            <w:pPr>
              <w:spacing w:after="0"/>
              <w:rPr>
                <w:sz w:val="1"/>
                <w:szCs w:val="1"/>
                <w:color w:val="auto"/>
              </w:rPr>
            </w:pPr>
          </w:p>
        </w:tc>
      </w:tr>
      <w:tr>
        <w:trPr>
          <w:trHeight w:val="196"/>
        </w:trPr>
        <w:tc>
          <w:tcPr>
            <w:tcW w:w="348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134">
              <w:r>
                <w:rPr>
                  <w:rFonts w:ascii="Arial" w:cs="Arial" w:eastAsia="Arial" w:hAnsi="Arial"/>
                  <w:sz w:val="18"/>
                  <w:szCs w:val="18"/>
                  <w:color w:val="0000EE"/>
                </w:rPr>
                <w:t>DESCRIPTION OF OUR WARRANTS</w:t>
              </w:r>
            </w:hyperlink>
          </w:p>
        </w:tc>
        <w:tc>
          <w:tcPr>
            <w:tcW w:w="7520" w:type="dxa"/>
            <w:vAlign w:val="bottom"/>
            <w:gridSpan w:val="11"/>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103</w:t>
            </w:r>
          </w:p>
        </w:tc>
        <w:tc>
          <w:tcPr>
            <w:tcW w:w="0" w:type="dxa"/>
            <w:vAlign w:val="bottom"/>
          </w:tcPr>
          <w:p>
            <w:pPr>
              <w:spacing w:after="0"/>
              <w:rPr>
                <w:sz w:val="1"/>
                <w:szCs w:val="1"/>
                <w:color w:val="auto"/>
              </w:rPr>
            </w:pPr>
          </w:p>
        </w:tc>
      </w:tr>
      <w:tr>
        <w:trPr>
          <w:trHeight w:val="20"/>
        </w:trPr>
        <w:tc>
          <w:tcPr>
            <w:tcW w:w="1120" w:type="dxa"/>
            <w:vAlign w:val="bottom"/>
            <w:gridSpan w:val="2"/>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136">
              <w:r>
                <w:rPr>
                  <w:rFonts w:ascii="Arial" w:cs="Arial" w:eastAsia="Arial" w:hAnsi="Arial"/>
                  <w:sz w:val="18"/>
                  <w:szCs w:val="18"/>
                  <w:color w:val="0000EE"/>
                </w:rPr>
                <w:t>DESCRIPTION OF OUR SUBSCRIPTION RIGHTS</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105</w:t>
            </w:r>
          </w:p>
        </w:tc>
        <w:tc>
          <w:tcPr>
            <w:tcW w:w="0" w:type="dxa"/>
            <w:vAlign w:val="bottom"/>
          </w:tcPr>
          <w:p>
            <w:pPr>
              <w:spacing w:after="0"/>
              <w:rPr>
                <w:sz w:val="1"/>
                <w:szCs w:val="1"/>
                <w:color w:val="auto"/>
              </w:rPr>
            </w:pPr>
          </w:p>
        </w:tc>
      </w:tr>
      <w:tr>
        <w:trPr>
          <w:trHeight w:val="196"/>
        </w:trPr>
        <w:tc>
          <w:tcPr>
            <w:tcW w:w="338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92"/>
              </w:rPr>
            </w:pPr>
            <w:hyperlink w:anchor="page137">
              <w:r>
                <w:rPr>
                  <w:rFonts w:ascii="Arial" w:cs="Arial" w:eastAsia="Arial" w:hAnsi="Arial"/>
                  <w:sz w:val="18"/>
                  <w:szCs w:val="18"/>
                  <w:color w:val="0000EE"/>
                  <w:w w:val="92"/>
                </w:rPr>
                <w:t>DESCRIPTION OF OUR DEBT SECURITIES</w:t>
              </w:r>
            </w:hyperlink>
          </w:p>
        </w:tc>
        <w:tc>
          <w:tcPr>
            <w:tcW w:w="420" w:type="dxa"/>
            <w:vAlign w:val="bottom"/>
            <w:tcBorders>
              <w:top w:val="single" w:sz="8" w:color="0000EE"/>
            </w:tcBorders>
            <w:gridSpan w:val="3"/>
          </w:tcPr>
          <w:p>
            <w:pPr>
              <w:spacing w:after="0"/>
              <w:rPr>
                <w:sz w:val="17"/>
                <w:szCs w:val="17"/>
                <w:color w:val="auto"/>
              </w:rPr>
            </w:pPr>
          </w:p>
        </w:tc>
        <w:tc>
          <w:tcPr>
            <w:tcW w:w="7200" w:type="dxa"/>
            <w:vAlign w:val="bottom"/>
            <w:gridSpan w:val="1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106</w:t>
            </w:r>
          </w:p>
        </w:tc>
        <w:tc>
          <w:tcPr>
            <w:tcW w:w="0" w:type="dxa"/>
            <w:vAlign w:val="bottom"/>
          </w:tcPr>
          <w:p>
            <w:pPr>
              <w:spacing w:after="0"/>
              <w:rPr>
                <w:sz w:val="1"/>
                <w:szCs w:val="1"/>
                <w:color w:val="auto"/>
              </w:rPr>
            </w:pPr>
          </w:p>
        </w:tc>
      </w:tr>
      <w:tr>
        <w:trPr>
          <w:trHeight w:val="196"/>
        </w:trPr>
        <w:tc>
          <w:tcPr>
            <w:tcW w:w="112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150">
              <w:r>
                <w:rPr>
                  <w:rFonts w:ascii="Arial" w:cs="Arial" w:eastAsia="Arial" w:hAnsi="Arial"/>
                  <w:sz w:val="18"/>
                  <w:szCs w:val="18"/>
                  <w:color w:val="0000EE"/>
                  <w:w w:val="93"/>
                </w:rPr>
                <w:t>REGULATION</w:t>
              </w:r>
            </w:hyperlink>
          </w:p>
        </w:tc>
        <w:tc>
          <w:tcPr>
            <w:tcW w:w="9880" w:type="dxa"/>
            <w:vAlign w:val="bottom"/>
            <w:gridSpan w:val="30"/>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119</w:t>
            </w:r>
          </w:p>
        </w:tc>
        <w:tc>
          <w:tcPr>
            <w:tcW w:w="0" w:type="dxa"/>
            <w:vAlign w:val="bottom"/>
          </w:tcPr>
          <w:p>
            <w:pPr>
              <w:spacing w:after="0"/>
              <w:rPr>
                <w:sz w:val="1"/>
                <w:szCs w:val="1"/>
                <w:color w:val="auto"/>
              </w:rPr>
            </w:pPr>
          </w:p>
        </w:tc>
      </w:tr>
      <w:tr>
        <w:trPr>
          <w:trHeight w:val="196"/>
        </w:trPr>
        <w:tc>
          <w:tcPr>
            <w:tcW w:w="4380" w:type="dxa"/>
            <w:vAlign w:val="bottom"/>
            <w:tcBorders>
              <w:bottom w:val="single" w:sz="8" w:color="0000EE"/>
            </w:tcBorders>
            <w:gridSpan w:val="25"/>
          </w:tcPr>
          <w:p>
            <w:pPr>
              <w:spacing w:after="0" w:line="196" w:lineRule="exact"/>
              <w:rPr>
                <w:rFonts w:ascii="Arial" w:cs="Arial" w:eastAsia="Arial" w:hAnsi="Arial"/>
                <w:sz w:val="18"/>
                <w:szCs w:val="18"/>
                <w:color w:val="0000EE"/>
                <w:w w:val="93"/>
              </w:rPr>
            </w:pPr>
            <w:hyperlink w:anchor="page155">
              <w:r>
                <w:rPr>
                  <w:rFonts w:ascii="Arial" w:cs="Arial" w:eastAsia="Arial" w:hAnsi="Arial"/>
                  <w:sz w:val="18"/>
                  <w:szCs w:val="18"/>
                  <w:color w:val="0000EE"/>
                  <w:w w:val="93"/>
                </w:rPr>
                <w:t>BROKERAGE ALLOCATIONS AND OTHER PRACTICES</w:t>
              </w:r>
            </w:hyperlink>
          </w:p>
        </w:tc>
        <w:tc>
          <w:tcPr>
            <w:tcW w:w="6620" w:type="dxa"/>
            <w:vAlign w:val="bottom"/>
            <w:gridSpan w:val="7"/>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124</w:t>
            </w:r>
          </w:p>
        </w:tc>
        <w:tc>
          <w:tcPr>
            <w:tcW w:w="0" w:type="dxa"/>
            <w:vAlign w:val="bottom"/>
          </w:tcPr>
          <w:p>
            <w:pPr>
              <w:spacing w:after="0"/>
              <w:rPr>
                <w:sz w:val="1"/>
                <w:szCs w:val="1"/>
                <w:color w:val="auto"/>
              </w:rPr>
            </w:pPr>
          </w:p>
        </w:tc>
      </w:tr>
      <w:tr>
        <w:trPr>
          <w:trHeight w:val="196"/>
        </w:trPr>
        <w:tc>
          <w:tcPr>
            <w:tcW w:w="4760" w:type="dxa"/>
            <w:vAlign w:val="bottom"/>
            <w:tcBorders>
              <w:bottom w:val="single" w:sz="8" w:color="0000EE"/>
            </w:tcBorders>
            <w:gridSpan w:val="29"/>
          </w:tcPr>
          <w:p>
            <w:pPr>
              <w:spacing w:after="0" w:line="196" w:lineRule="exact"/>
              <w:rPr>
                <w:rFonts w:ascii="Arial" w:cs="Arial" w:eastAsia="Arial" w:hAnsi="Arial"/>
                <w:sz w:val="18"/>
                <w:szCs w:val="18"/>
                <w:color w:val="0000EE"/>
                <w:w w:val="94"/>
              </w:rPr>
            </w:pPr>
            <w:hyperlink w:anchor="page156">
              <w:r>
                <w:rPr>
                  <w:rFonts w:ascii="Arial" w:cs="Arial" w:eastAsia="Arial" w:hAnsi="Arial"/>
                  <w:sz w:val="18"/>
                  <w:szCs w:val="18"/>
                  <w:color w:val="0000EE"/>
                  <w:w w:val="94"/>
                </w:rPr>
                <w:t>MATERIAL U.S. FEDERAL INCOME TAX CONSIDERATIONS</w:t>
              </w:r>
            </w:hyperlink>
          </w:p>
        </w:tc>
        <w:tc>
          <w:tcPr>
            <w:tcW w:w="6240" w:type="dxa"/>
            <w:vAlign w:val="bottom"/>
            <w:gridSpan w:val="3"/>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125</w:t>
            </w:r>
          </w:p>
        </w:tc>
        <w:tc>
          <w:tcPr>
            <w:tcW w:w="0" w:type="dxa"/>
            <w:vAlign w:val="bottom"/>
          </w:tcPr>
          <w:p>
            <w:pPr>
              <w:spacing w:after="0"/>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162">
              <w:r>
                <w:rPr>
                  <w:rFonts w:ascii="Arial" w:cs="Arial" w:eastAsia="Arial" w:hAnsi="Arial"/>
                  <w:sz w:val="18"/>
                  <w:szCs w:val="18"/>
                  <w:color w:val="0000EE"/>
                </w:rPr>
                <w:t>PLAN OF DISTRIBUTION</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131</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2360" w:type="dxa"/>
            <w:vAlign w:val="bottom"/>
            <w:gridSpan w:val="1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52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SUB-ADMINISTRATOR, CUSTODIAN, TRANSFER AGENT AND TRUSTEE</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5800" w:type="dxa"/>
            <w:vAlign w:val="bottom"/>
            <w:tcBorders>
              <w:top w:val="single" w:sz="8" w:color="0000EE"/>
            </w:tcBorders>
            <w:gridSpan w:val="30"/>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LEGAL MATTERS</w:t>
              </w:r>
            </w:hyperlink>
          </w:p>
        </w:tc>
        <w:tc>
          <w:tcPr>
            <w:tcW w:w="5200" w:type="dxa"/>
            <w:vAlign w:val="bottom"/>
            <w:gridSpan w:val="2"/>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20"/>
        </w:trPr>
        <w:tc>
          <w:tcPr>
            <w:tcW w:w="1420" w:type="dxa"/>
            <w:vAlign w:val="bottom"/>
            <w:gridSpan w:val="6"/>
            <w:shd w:val="clear" w:color="auto" w:fill="0000EE"/>
          </w:tcPr>
          <w:p>
            <w:pPr>
              <w:spacing w:after="0" w:line="20" w:lineRule="exact"/>
              <w:rPr>
                <w:sz w:val="1"/>
                <w:szCs w:val="1"/>
                <w:color w:val="auto"/>
              </w:rPr>
            </w:pPr>
          </w:p>
        </w:tc>
        <w:tc>
          <w:tcPr>
            <w:tcW w:w="2940" w:type="dxa"/>
            <w:vAlign w:val="bottom"/>
            <w:gridSpan w:val="18"/>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320" w:type="dxa"/>
            <w:vAlign w:val="bottom"/>
            <w:gridSpan w:val="4"/>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0" w:type="dxa"/>
            <w:vAlign w:val="bottom"/>
            <w:gridSpan w:val="32"/>
          </w:tcPr>
          <w:p>
            <w:pPr>
              <w:spacing w:after="0" w:line="196" w:lineRule="exact"/>
              <w:rPr>
                <w:rFonts w:ascii="Arial" w:cs="Arial" w:eastAsia="Arial" w:hAnsi="Arial"/>
                <w:sz w:val="18"/>
                <w:szCs w:val="18"/>
                <w:color w:val="0000EE"/>
              </w:rPr>
            </w:pPr>
            <w:hyperlink w:anchor="page164">
              <w:r>
                <w:rPr>
                  <w:rFonts w:ascii="Arial" w:cs="Arial" w:eastAsia="Arial" w:hAnsi="Arial"/>
                  <w:sz w:val="18"/>
                  <w:szCs w:val="18"/>
                  <w:color w:val="0000EE"/>
                </w:rPr>
                <w:t>INDEPENDENT REGISTERED PUBLIC ACCOUNTING FIRM</w:t>
              </w:r>
            </w:hyperlink>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w w:val="99"/>
              </w:rPr>
              <w:t>133</w:t>
            </w:r>
          </w:p>
        </w:tc>
        <w:tc>
          <w:tcPr>
            <w:tcW w:w="0" w:type="dxa"/>
            <w:vAlign w:val="bottom"/>
          </w:tcPr>
          <w:p>
            <w:pPr>
              <w:spacing w:after="0"/>
              <w:rPr>
                <w:sz w:val="1"/>
                <w:szCs w:val="1"/>
                <w:color w:val="auto"/>
              </w:rPr>
            </w:pPr>
          </w:p>
        </w:tc>
      </w:tr>
      <w:tr>
        <w:trPr>
          <w:trHeight w:val="196"/>
        </w:trPr>
        <w:tc>
          <w:tcPr>
            <w:tcW w:w="4360" w:type="dxa"/>
            <w:vAlign w:val="bottom"/>
            <w:tcBorders>
              <w:top w:val="single" w:sz="8" w:color="0000EE"/>
              <w:bottom w:val="single" w:sz="8" w:color="0000EE"/>
            </w:tcBorders>
            <w:gridSpan w:val="24"/>
          </w:tcPr>
          <w:p>
            <w:pPr>
              <w:spacing w:after="0" w:line="196" w:lineRule="exact"/>
              <w:rPr>
                <w:rFonts w:ascii="Arial" w:cs="Arial" w:eastAsia="Arial" w:hAnsi="Arial"/>
                <w:sz w:val="18"/>
                <w:szCs w:val="18"/>
                <w:color w:val="0000EE"/>
                <w:w w:val="94"/>
              </w:rPr>
            </w:pPr>
            <w:hyperlink w:anchor="page165">
              <w:r>
                <w:rPr>
                  <w:rFonts w:ascii="Arial" w:cs="Arial" w:eastAsia="Arial" w:hAnsi="Arial"/>
                  <w:sz w:val="18"/>
                  <w:szCs w:val="18"/>
                  <w:color w:val="0000EE"/>
                  <w:w w:val="94"/>
                </w:rPr>
                <w:t>INDEX TO CONSOLIDATED FINANCIAL STATEMENTS</w:t>
              </w:r>
            </w:hyperlink>
          </w:p>
        </w:tc>
        <w:tc>
          <w:tcPr>
            <w:tcW w:w="320" w:type="dxa"/>
            <w:vAlign w:val="bottom"/>
            <w:tcBorders>
              <w:top w:val="single" w:sz="8" w:color="0000EE"/>
            </w:tcBorders>
            <w:gridSpan w:val="4"/>
          </w:tcPr>
          <w:p>
            <w:pPr>
              <w:spacing w:after="0"/>
              <w:rPr>
                <w:sz w:val="17"/>
                <w:szCs w:val="17"/>
                <w:color w:val="auto"/>
              </w:rPr>
            </w:pPr>
          </w:p>
        </w:tc>
        <w:tc>
          <w:tcPr>
            <w:tcW w:w="6320" w:type="dxa"/>
            <w:vAlign w:val="bottom"/>
            <w:gridSpan w:val="4"/>
          </w:tcPr>
          <w:p>
            <w:pPr>
              <w:spacing w:after="0"/>
              <w:rPr>
                <w:sz w:val="17"/>
                <w:szCs w:val="17"/>
                <w:color w:val="auto"/>
              </w:rPr>
            </w:pP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F-1</w:t>
            </w:r>
          </w:p>
        </w:tc>
        <w:tc>
          <w:tcPr>
            <w:tcW w:w="0" w:type="dxa"/>
            <w:vAlign w:val="bottom"/>
          </w:tcPr>
          <w:p>
            <w:pPr>
              <w:spacing w:after="0"/>
              <w:rPr>
                <w:sz w:val="1"/>
                <w:szCs w:val="1"/>
                <w:color w:val="auto"/>
              </w:rPr>
            </w:pPr>
          </w:p>
        </w:tc>
      </w:tr>
    </w:tbl>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40"/>
          </w:cols>
          <w:pgMar w:left="240" w:top="459" w:right="31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ABOUT THIS PROSPECTUS</w:t>
      </w:r>
    </w:p>
    <w:p>
      <w:pPr>
        <w:spacing w:after="0" w:line="17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This prospectus is part of a registration statement that we have filed with the SEC using the “shelf” registration process. Under the shelf registration process, we may offer from time to time up to $150,000,000 of our common stock, preferred stock, warrants representing rights to purchase shares of our common stock, preferred stock or debt securities, subscription rights, or debt securities, on the terms to be determined at the time of the offering. We may sell our securities through underwriters or dealers, “at-the-market” to or through a market maker, into an existing trading market or otherwise directly to one or more purchasers or through agents or through a combination of methods of sale. The identities of such underwriters, dealers, market makers or agents, as the case may be, will be described in one or more supplements to this prospectus. The securities may be offered at prices and on terms described in one or more supplements to this prospectus. This prospectus provides you with a general description of the securities that we may offer. The information contained in this prospectus is accurate only as of the date on the front of this prospectus and our business, financial condition, results of operations and prospectus may have changed since that date. Each time we use this prospectus to offer securities, we will provide a prospectus supplement that will contain specific information about the terms of that offering. The prospectus supplement may also add, update or change information contained in this prospectus. Please carefully read this prospectus and any prospectus supplement, together with any exhibits, before you make an investment decision.</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380"/>
          </w:cols>
          <w:pgMar w:left="240" w:top="459" w:right="27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3809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6465" cy="53809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PROSPECTUS SUMMARY</w:t>
      </w:r>
    </w:p>
    <w:p>
      <w:pPr>
        <w:spacing w:after="0" w:line="177" w:lineRule="exact"/>
        <w:rPr>
          <w:sz w:val="20"/>
          <w:szCs w:val="20"/>
          <w:color w:val="auto"/>
        </w:rPr>
      </w:pPr>
    </w:p>
    <w:p>
      <w:pPr>
        <w:ind w:left="200" w:firstLine="443"/>
        <w:spacing w:after="0" w:line="287" w:lineRule="auto"/>
        <w:rPr>
          <w:sz w:val="20"/>
          <w:szCs w:val="20"/>
          <w:color w:val="auto"/>
        </w:rPr>
      </w:pPr>
      <w:r>
        <w:rPr>
          <w:rFonts w:ascii="Arial" w:cs="Arial" w:eastAsia="Arial" w:hAnsi="Arial"/>
          <w:sz w:val="16"/>
          <w:szCs w:val="16"/>
          <w:i w:val="1"/>
          <w:iCs w:val="1"/>
          <w:color w:val="auto"/>
        </w:rPr>
        <w:t>This summary highlights some of the information in this prospectus. It is not complete and may not contain all of the information that you may want to consider. Some of the statements in this prospectus constitute forward-looking statements, which apply to both us and any consolidated subsidiaries, as applicable, and relate to future events, future performance or financial condition. The forward-looking statements involve risks and uncertainties on a consolidated basis and actual results could differ materially from those projected in the forward-looking statements for many reasons, including those factors discussed in “Risk Factors” and elsewhere in this prospectus. You should read carefully the more detailed information set forth under “Risk Factors” and the other information included in this prospectus. In this prospectus and any accompanying prospectus supplement, if any, except where the context suggests otherwise: the terms “we,” “us,” “our” and “Company” refer to PennantPark Floating Rate Capital Ltd. and its consolidated subsidiary; “Funding I” or “our subsidiary” refers to our consolidated subsidiary, PennantPark Floating Rate Funding I, LLC; “PennantPark Investment Advisers” or “Investment Adviser” refers to PennantPark Investment Advisers, LLC; and “PennantPark Investment Administration” or “Administrator” refers to PennantPark Investment Administration, LLC.</w:t>
      </w:r>
    </w:p>
    <w:p>
      <w:pPr>
        <w:spacing w:after="0" w:line="19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General Business of PennantPark Floating Rate Capital Ltd.</w:t>
      </w:r>
    </w:p>
    <w:p>
      <w:pPr>
        <w:spacing w:after="0" w:line="96" w:lineRule="exact"/>
        <w:rPr>
          <w:sz w:val="20"/>
          <w:szCs w:val="20"/>
          <w:color w:val="auto"/>
        </w:rPr>
      </w:pPr>
    </w:p>
    <w:p>
      <w:pPr>
        <w:ind w:left="200" w:right="240" w:firstLine="443"/>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2" w:lineRule="exact"/>
        <w:rPr>
          <w:sz w:val="20"/>
          <w:szCs w:val="20"/>
          <w:color w:val="auto"/>
        </w:rPr>
      </w:pPr>
    </w:p>
    <w:p>
      <w:pPr>
        <w:ind w:left="200" w:right="20" w:firstLine="443"/>
        <w:spacing w:after="0" w:line="288" w:lineRule="auto"/>
        <w:rPr>
          <w:sz w:val="20"/>
          <w:szCs w:val="20"/>
          <w:color w:val="auto"/>
        </w:rPr>
      </w:pPr>
      <w:r>
        <w:rPr>
          <w:rFonts w:ascii="Arial" w:cs="Arial" w:eastAsia="Arial" w:hAnsi="Arial"/>
          <w:sz w:val="16"/>
          <w:szCs w:val="16"/>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left="200" w:right="180" w:firstLine="443"/>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instruments bearing a variable rate of interest. We generally expect that senior secured loans, or first lien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20" w:lineRule="exact"/>
        <w:rPr>
          <w:sz w:val="20"/>
          <w:szCs w:val="20"/>
          <w:color w:val="auto"/>
        </w:rPr>
      </w:pPr>
    </w:p>
    <w:p>
      <w:pPr>
        <w:ind w:left="200" w:right="160" w:firstLine="443"/>
        <w:spacing w:after="0" w:line="298" w:lineRule="auto"/>
        <w:rPr>
          <w:sz w:val="20"/>
          <w:szCs w:val="20"/>
          <w:color w:val="auto"/>
        </w:rPr>
      </w:pPr>
      <w:r>
        <w:rPr>
          <w:rFonts w:ascii="Arial" w:cs="Arial" w:eastAsia="Arial" w:hAnsi="Arial"/>
          <w:sz w:val="16"/>
          <w:szCs w:val="16"/>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as amended, or the Credit Facility, proceeds from the rotation of our portfolio and proceeds from public and private offerings of securities to finance our investment objectives.</w:t>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60"/>
          </w:cols>
          <w:pgMar w:left="240" w:top="459" w:right="39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left="200" w:right="160" w:firstLine="443"/>
        <w:spacing w:after="0" w:line="306" w:lineRule="auto"/>
        <w:rPr>
          <w:sz w:val="20"/>
          <w:szCs w:val="20"/>
          <w:color w:val="auto"/>
        </w:rPr>
      </w:pPr>
      <w:r>
        <w:rPr>
          <w:rFonts w:ascii="Arial" w:cs="Arial" w:eastAsia="Arial" w:hAnsi="Arial"/>
          <w:sz w:val="16"/>
          <w:szCs w:val="16"/>
          <w:color w:val="auto"/>
        </w:rPr>
        <w:t>PennantPark Floating Rate Capital Ltd., a Maryland corporation organized in October 2010, is a closed-end, externally managed, non-diversified investment company that has elected to be treated as a BDC under the 1940 Act. In addition, for federal income tax purposes we have elected to be treated, and intend to qualify annually, as a regulated investment company, or RIC, under the Internal Revenue Code of 1986, as amended, or the Code.</w:t>
      </w:r>
    </w:p>
    <w:p>
      <w:pPr>
        <w:spacing w:after="0" w:line="18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left="200" w:firstLine="443"/>
        <w:spacing w:after="0" w:line="288" w:lineRule="auto"/>
        <w:rPr>
          <w:sz w:val="20"/>
          <w:szCs w:val="20"/>
          <w:color w:val="auto"/>
        </w:rPr>
      </w:pPr>
      <w:r>
        <w:rPr>
          <w:rFonts w:ascii="Arial" w:cs="Arial" w:eastAsia="Arial" w:hAnsi="Arial"/>
          <w:sz w:val="16"/>
          <w:szCs w:val="16"/>
          <w:color w:val="auto"/>
        </w:rPr>
        <w:t>We utilize the investing experience and contacts of PennantPark Investment Advisers in developing what we believe is an attractive and diversified portfolio. The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have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$1.7 billion in debt and equity capital and has invested approximately $2.5 billion in 244 companies with 110 different financial sponsors through its managed funds.</w:t>
      </w:r>
    </w:p>
    <w:p>
      <w:pPr>
        <w:spacing w:after="0" w:line="120" w:lineRule="exact"/>
        <w:rPr>
          <w:sz w:val="20"/>
          <w:szCs w:val="20"/>
          <w:color w:val="auto"/>
        </w:rPr>
      </w:pPr>
    </w:p>
    <w:p>
      <w:pPr>
        <w:ind w:left="200" w:right="20" w:firstLine="443"/>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and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left="200" w:right="180" w:firstLine="443"/>
        <w:spacing w:after="0" w:line="291" w:lineRule="auto"/>
        <w:rPr>
          <w:sz w:val="20"/>
          <w:szCs w:val="20"/>
          <w:color w:val="auto"/>
        </w:rPr>
      </w:pPr>
      <w:r>
        <w:rPr>
          <w:rFonts w:ascii="Arial" w:cs="Arial" w:eastAsia="Arial" w:hAnsi="Arial"/>
          <w:sz w:val="16"/>
          <w:szCs w:val="16"/>
          <w:color w:val="auto"/>
        </w:rPr>
        <w:t>We believe that the limited amount of capital available to the middle-market companies, coupled with the desire of these companies for flexible sources of capital, creates an attractive investment environment for us. From our perspective, middle market companies have faced difficulty raising debt capital in both the capital markets and private markets. As a result of the difficulties in the credit markets and fewer sources of capital for middle market companies, we see opportunities for improved risk-adjusted returns. Furthermore, we believe with a large pool of uninvested private equity capital seeking debt capital to complete transactions and a substantial supply of refinancing opportunities, there is an opportunity to attain appealing risk-adjusted returns with debt investments. See “Business” for more information.</w:t>
      </w:r>
    </w:p>
    <w:p>
      <w:pPr>
        <w:spacing w:after="0" w:line="19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200" w:right="420" w:firstLine="443"/>
        <w:spacing w:after="0" w:line="323" w:lineRule="auto"/>
        <w:rPr>
          <w:sz w:val="20"/>
          <w:szCs w:val="20"/>
          <w:color w:val="auto"/>
        </w:rPr>
      </w:pPr>
      <w:r>
        <w:rPr>
          <w:rFonts w:ascii="Arial" w:cs="Arial" w:eastAsia="Arial" w:hAnsi="Arial"/>
          <w:sz w:val="15"/>
          <w:szCs w:val="15"/>
          <w:color w:val="auto"/>
        </w:rPr>
        <w:t>We believe that we have competitive advantages over other capital providers in middle-market companies, such as a management team with an average of over 20 years of experience, a disciplined investment approach with strong value orientation, an ability to source and evaluate transactions through our Investment Adviser’s research capability and established network and flexible transaction structuring that allows for us to invest across the capital structure coupled with a longer investment horizon with an attractive publicly traded model. See “Business” for more information.</w:t>
      </w:r>
    </w:p>
    <w:p>
      <w:pPr>
        <w:spacing w:after="0" w:line="26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240" w:top="459" w:right="4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5352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6465" cy="553529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left="200" w:right="20" w:firstLine="443"/>
        <w:spacing w:after="0" w:line="254" w:lineRule="auto"/>
        <w:rPr>
          <w:sz w:val="20"/>
          <w:szCs w:val="20"/>
          <w:color w:val="auto"/>
        </w:rPr>
      </w:pPr>
      <w:r>
        <w:rPr>
          <w:rFonts w:ascii="Arial" w:cs="Arial" w:eastAsia="Arial" w:hAnsi="Arial"/>
          <w:sz w:val="18"/>
          <w:szCs w:val="18"/>
          <w:color w:val="auto"/>
        </w:rPr>
        <w:t>Our primary competitors provide financing to middle-market companies and include other BDCs, commercial and investment banks, commercial finance companies, collateralized loan obligation, or CLO, funds and, to the extent they provide an alternative form of financing, private equity funds. Additionally, alternative investment vehicles, such as hedge funds, frequently invest in middle-market companies. As a result, competition for investment opportunities in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44" w:lineRule="exact"/>
        <w:rPr>
          <w:sz w:val="20"/>
          <w:szCs w:val="20"/>
          <w:color w:val="auto"/>
        </w:rPr>
      </w:pPr>
    </w:p>
    <w:p>
      <w:pPr>
        <w:jc w:val="both"/>
        <w:ind w:left="200" w:right="80" w:firstLine="443"/>
        <w:spacing w:after="0" w:line="294" w:lineRule="auto"/>
        <w:rPr>
          <w:sz w:val="20"/>
          <w:szCs w:val="20"/>
          <w:color w:val="auto"/>
        </w:rPr>
      </w:pPr>
      <w:r>
        <w:rPr>
          <w:rFonts w:ascii="Arial" w:cs="Arial" w:eastAsia="Arial" w:hAnsi="Arial"/>
          <w:sz w:val="16"/>
          <w:szCs w:val="16"/>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See “Risk Factors—Risk Relating to our Business and Structure—We operate in a highly competitive market for investment opportunities”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We maintain a $125 million Credit Facility, which matures in May 2018, with SunTrust Bank, or the Lender. During the Credit Facility’s period to and including May 14, 2016, or the revolving period, it bears interest at LIBOR plus 200 basis points, and after the revolving period, the rate sets to LIBOR plus 425 basis points for the remaining two years. The Credit Facility is secured by all of the assets held by Funding I, under which we had $34.2 million outstanding with an annual interest rate of 2.21%, excluding the undrawn commitment fee of 0.375%, as of March 31, 2013.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 See “Management’s Discussion and Analysis of Financial Condition and Results of Operations—Liquidity and Capital Resources” for more information.</w:t>
      </w:r>
    </w:p>
    <w:p>
      <w:pPr>
        <w:spacing w:after="0" w:line="19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Operating and Regulatory Structure</w:t>
      </w:r>
    </w:p>
    <w:p>
      <w:pPr>
        <w:spacing w:after="0" w:line="96" w:lineRule="exact"/>
        <w:rPr>
          <w:sz w:val="20"/>
          <w:szCs w:val="20"/>
          <w:color w:val="auto"/>
        </w:rPr>
      </w:pPr>
    </w:p>
    <w:p>
      <w:pPr>
        <w:ind w:left="200" w:right="20" w:firstLine="443"/>
        <w:spacing w:after="0" w:line="298" w:lineRule="auto"/>
        <w:rPr>
          <w:sz w:val="20"/>
          <w:szCs w:val="20"/>
          <w:color w:val="auto"/>
        </w:rPr>
      </w:pPr>
      <w:r>
        <w:rPr>
          <w:rFonts w:ascii="Arial" w:cs="Arial" w:eastAsia="Arial" w:hAnsi="Arial"/>
          <w:sz w:val="16"/>
          <w:szCs w:val="16"/>
          <w:color w:val="auto"/>
        </w:rPr>
        <w:t>Our investment activities are managed by PennantPark Investment Advisers and supervised by our board of directors, a majority of whom are independent of us. Under our investment management agreement, or the Investment Management Agreement, we have agreed to pay our Investment Adviser an annual base management fee based on our average adjusted gross assets as well as an incentive fee based on our investment performance. See “Certain Relationships and Transactions—Investment Management Agreement” for more information.</w:t>
      </w:r>
    </w:p>
    <w:p>
      <w:pPr>
        <w:spacing w:after="0" w:line="113" w:lineRule="exact"/>
        <w:rPr>
          <w:sz w:val="20"/>
          <w:szCs w:val="20"/>
          <w:color w:val="auto"/>
        </w:rPr>
      </w:pPr>
    </w:p>
    <w:p>
      <w:pPr>
        <w:ind w:left="200" w:right="160" w:firstLine="443"/>
        <w:spacing w:after="0" w:line="255" w:lineRule="auto"/>
        <w:rPr>
          <w:sz w:val="20"/>
          <w:szCs w:val="20"/>
          <w:color w:val="auto"/>
        </w:rPr>
      </w:pPr>
      <w:r>
        <w:rPr>
          <w:rFonts w:ascii="Arial" w:cs="Arial" w:eastAsia="Arial" w:hAnsi="Arial"/>
          <w:sz w:val="18"/>
          <w:szCs w:val="18"/>
          <w:color w:val="auto"/>
        </w:rPr>
        <w:t>We have also entered into an administration agreement, or the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See “Certain Relationships and Transactions—Administration Agreement” for more information.</w:t>
      </w:r>
    </w:p>
    <w:p>
      <w:pPr>
        <w:spacing w:after="0" w:line="143" w:lineRule="exact"/>
        <w:rPr>
          <w:sz w:val="20"/>
          <w:szCs w:val="20"/>
          <w:color w:val="auto"/>
        </w:rPr>
      </w:pPr>
    </w:p>
    <w:p>
      <w:pPr>
        <w:jc w:val="both"/>
        <w:ind w:left="200" w:right="40" w:firstLine="443"/>
        <w:spacing w:after="0" w:line="306" w:lineRule="auto"/>
        <w:rPr>
          <w:sz w:val="20"/>
          <w:szCs w:val="20"/>
          <w:color w:val="auto"/>
        </w:rPr>
      </w:pPr>
      <w:r>
        <w:rPr>
          <w:rFonts w:ascii="Arial" w:cs="Arial" w:eastAsia="Arial" w:hAnsi="Arial"/>
          <w:sz w:val="16"/>
          <w:szCs w:val="16"/>
          <w:color w:val="auto"/>
        </w:rPr>
        <w:t>As a BDC, we are required to comply with certain regulatory requirements. Also, while we are permitted to finance investments using debt, our ability to use debt is limited in certain significant respects. See “Regulation” for more information. We have elected, and intend to qualify annually, to be treated for federal income tax purposes under the Code as a RIC. See “Material U.S. Federal Income Tax Considerations” for more information.</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60"/>
          </w:cols>
          <w:pgMar w:left="240" w:top="459" w:right="3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56724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6465" cy="56724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Use of Proceeds</w:t>
      </w:r>
    </w:p>
    <w:p>
      <w:pPr>
        <w:spacing w:after="0" w:line="96" w:lineRule="exact"/>
        <w:rPr>
          <w:sz w:val="20"/>
          <w:szCs w:val="20"/>
          <w:color w:val="auto"/>
        </w:rPr>
      </w:pPr>
    </w:p>
    <w:p>
      <w:pPr>
        <w:ind w:left="200" w:right="20" w:firstLine="443"/>
        <w:spacing w:after="0" w:line="255"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capitalize a subsidiary or for other general corporate or strategic purposes. Any supplements to this prospectus relating to an offering will more fully identify the use of the proceeds from such offering. See “Use of Proceeds” for information regarding our outstanding borrowings as of March 31, 2013, the corresponding interest rate charged on such borrowings as of that date and the length of time that it may take us to invest any proceeds in new or existing portfolio companies.</w:t>
      </w:r>
    </w:p>
    <w:p>
      <w:pPr>
        <w:spacing w:after="0" w:line="21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left="200" w:right="100" w:firstLine="443"/>
        <w:spacing w:after="0" w:line="259" w:lineRule="auto"/>
        <w:rPr>
          <w:sz w:val="20"/>
          <w:szCs w:val="20"/>
          <w:color w:val="auto"/>
        </w:rPr>
      </w:pPr>
      <w:r>
        <w:rPr>
          <w:rFonts w:ascii="Arial" w:cs="Arial" w:eastAsia="Arial" w:hAnsi="Arial"/>
          <w:sz w:val="18"/>
          <w:szCs w:val="18"/>
          <w:color w:val="auto"/>
        </w:rPr>
        <w:t>On April 8, 2013, we sold an additional 450,000 shares of common stock pursuant to the exercise of the underwriters’ overallotment option that we granted in our March 2013 equity offering at a public offering price of $14.00 per share, generating gross proceeds of $6.3 million. Our Investment Adviser paid the entire sales load of $0.2 million in connection with the sale of these shares.</w:t>
      </w:r>
    </w:p>
    <w:p>
      <w:pPr>
        <w:spacing w:after="0" w:line="21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Common Stock</w:t>
      </w:r>
    </w:p>
    <w:p>
      <w:pPr>
        <w:spacing w:after="0" w:line="96" w:lineRule="exact"/>
        <w:rPr>
          <w:sz w:val="20"/>
          <w:szCs w:val="20"/>
          <w:color w:val="auto"/>
        </w:rPr>
      </w:pPr>
    </w:p>
    <w:p>
      <w:pPr>
        <w:ind w:left="200" w:right="520" w:firstLine="443"/>
        <w:spacing w:after="0" w:line="268" w:lineRule="auto"/>
        <w:rPr>
          <w:sz w:val="20"/>
          <w:szCs w:val="20"/>
          <w:color w:val="auto"/>
        </w:rPr>
      </w:pPr>
      <w:r>
        <w:rPr>
          <w:rFonts w:ascii="Arial" w:cs="Arial" w:eastAsia="Arial" w:hAnsi="Arial"/>
          <w:sz w:val="18"/>
          <w:szCs w:val="18"/>
          <w:color w:val="auto"/>
        </w:rPr>
        <w:t>We intend to continue our monthly distributions to our common stockholders. Our monthly distributions, if any, are determined by our board of directors. See “Distributions” and “Price Range of Common Stock”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Dividends on Preferred Stock</w:t>
      </w:r>
    </w:p>
    <w:p>
      <w:pPr>
        <w:spacing w:after="0" w:line="96" w:lineRule="exact"/>
        <w:rPr>
          <w:sz w:val="20"/>
          <w:szCs w:val="20"/>
          <w:color w:val="auto"/>
        </w:rPr>
      </w:pPr>
    </w:p>
    <w:p>
      <w:pPr>
        <w:ind w:left="200" w:right="60" w:firstLine="443"/>
        <w:spacing w:after="0" w:line="294" w:lineRule="auto"/>
        <w:rPr>
          <w:sz w:val="20"/>
          <w:szCs w:val="20"/>
          <w:color w:val="auto"/>
        </w:rPr>
      </w:pPr>
      <w:r>
        <w:rPr>
          <w:rFonts w:ascii="Arial" w:cs="Arial" w:eastAsia="Arial" w:hAnsi="Arial"/>
          <w:sz w:val="16"/>
          <w:szCs w:val="16"/>
          <w:color w:val="auto"/>
        </w:rPr>
        <w:t>We may issue preferred stock from time to time, although we have no immediate intention to do so. Any such preferred stock will be a senior security for purposes of the 1940 Act and, accordingly, subject to the leverage test under that Act.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weekly to quarterly and is subject to extension. The dividend rate could be variable and determined for each dividend period. See “Risk Factors—Risks Relating To Our Business and Structure”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Dividend Reinvestment Plan</w:t>
      </w:r>
    </w:p>
    <w:p>
      <w:pPr>
        <w:spacing w:after="0" w:line="96" w:lineRule="exact"/>
        <w:rPr>
          <w:sz w:val="20"/>
          <w:szCs w:val="20"/>
          <w:color w:val="auto"/>
        </w:rPr>
      </w:pPr>
    </w:p>
    <w:p>
      <w:pPr>
        <w:ind w:left="200" w:firstLine="443"/>
        <w:spacing w:after="0" w:line="294" w:lineRule="auto"/>
        <w:rPr>
          <w:sz w:val="20"/>
          <w:szCs w:val="20"/>
          <w:color w:val="auto"/>
        </w:rPr>
      </w:pPr>
      <w:r>
        <w:rPr>
          <w:rFonts w:ascii="Arial" w:cs="Arial" w:eastAsia="Arial" w:hAnsi="Arial"/>
          <w:sz w:val="16"/>
          <w:szCs w:val="16"/>
          <w:color w:val="auto"/>
        </w:rPr>
        <w:t>We have adopted an “opt-out” dividend reinvestment plan that provides for reinvestment of our distributions on behalf of our stockholders unless a stockholder elects to receive cash. As a result, if our board of directors authorizes, and we declare, a cash distribution, then our stockholders who have not ‘opted out’ of our dividend reinvestment plan will have their cash distributions automatically reinvested in additional shares of our common stock rather than receiving the cash distribution. Registered stockholders must notify our transfer agent in writing if they wish to ‘opt-out’ of the dividend reinvestment plan. See “Dividend Reinvestment Plan” for more information.</w:t>
      </w:r>
    </w:p>
    <w:p>
      <w:pPr>
        <w:spacing w:after="0" w:line="1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200" w:right="300" w:firstLine="443"/>
        <w:spacing w:after="0" w:line="268" w:lineRule="auto"/>
        <w:rPr>
          <w:sz w:val="20"/>
          <w:szCs w:val="20"/>
          <w:color w:val="auto"/>
        </w:rPr>
      </w:pPr>
      <w:r>
        <w:rPr>
          <w:rFonts w:ascii="Arial" w:cs="Arial" w:eastAsia="Arial" w:hAnsi="Arial"/>
          <w:sz w:val="18"/>
          <w:szCs w:val="18"/>
          <w:color w:val="auto"/>
        </w:rPr>
        <w:t>We may offer, from time to time, up to $150 million of our securities, on terms to be determined at the time of each such offering and set forth in a supplement to this prospectus.</w:t>
      </w:r>
    </w:p>
    <w:p>
      <w:pPr>
        <w:spacing w:after="0" w:line="132" w:lineRule="exact"/>
        <w:rPr>
          <w:sz w:val="20"/>
          <w:szCs w:val="20"/>
          <w:color w:val="auto"/>
        </w:rPr>
      </w:pPr>
    </w:p>
    <w:p>
      <w:pPr>
        <w:ind w:left="200" w:right="340" w:firstLine="443"/>
        <w:spacing w:after="0" w:line="306" w:lineRule="auto"/>
        <w:rPr>
          <w:sz w:val="20"/>
          <w:szCs w:val="20"/>
          <w:color w:val="auto"/>
        </w:rPr>
      </w:pPr>
      <w:r>
        <w:rPr>
          <w:rFonts w:ascii="Arial" w:cs="Arial" w:eastAsia="Arial" w:hAnsi="Arial"/>
          <w:sz w:val="16"/>
          <w:szCs w:val="16"/>
          <w:color w:val="auto"/>
        </w:rPr>
        <w:t>Securities may be offered at prices and on terms described in one or more supplements to this prospectus. We may sell our securities through underwriters or dealers, “at-the-market” to or through a market maker, into an existing trading market or otherwise directly to one or more purchasers or through agents or through a combination of methods of sale. The supplement to this prospectus relating to the offering will identify any</w:t>
      </w:r>
    </w:p>
    <w:p>
      <w:pPr>
        <w:spacing w:after="0" w:line="26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240" w:top="459" w:right="41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246507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6465" cy="2465070"/>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both"/>
        <w:ind w:left="200"/>
        <w:spacing w:after="0" w:line="298" w:lineRule="auto"/>
        <w:rPr>
          <w:sz w:val="20"/>
          <w:szCs w:val="20"/>
          <w:color w:val="auto"/>
        </w:rPr>
      </w:pPr>
      <w:r>
        <w:rPr>
          <w:rFonts w:ascii="Arial" w:cs="Arial" w:eastAsia="Arial" w:hAnsi="Arial"/>
          <w:sz w:val="16"/>
          <w:szCs w:val="16"/>
          <w:color w:val="auto"/>
        </w:rPr>
        <w:t>agents or underwriters involved in the sale of our securities, and will set forth any applicable purchase price, fee and commission or discount arrangement or the basis upon which such amount may be calculated. In compliance with the guidelines of the Financial Industry Regulatory Authority, Inc., or FINRA, the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13" w:lineRule="exact"/>
        <w:rPr>
          <w:sz w:val="20"/>
          <w:szCs w:val="20"/>
          <w:color w:val="auto"/>
        </w:rPr>
      </w:pPr>
    </w:p>
    <w:p>
      <w:pPr>
        <w:jc w:val="both"/>
        <w:ind w:left="200" w:right="20" w:firstLine="443"/>
        <w:spacing w:after="0" w:line="268" w:lineRule="auto"/>
        <w:rPr>
          <w:sz w:val="20"/>
          <w:szCs w:val="20"/>
          <w:color w:val="auto"/>
        </w:rPr>
      </w:pPr>
      <w:r>
        <w:rPr>
          <w:rFonts w:ascii="Arial" w:cs="Arial" w:eastAsia="Arial" w:hAnsi="Arial"/>
          <w:sz w:val="18"/>
          <w:szCs w:val="18"/>
          <w:color w:val="auto"/>
        </w:rPr>
        <w:t>We may not sell securities pursuant to this prospectus without delivering a prospectus supplement describing the terms of the particular securities to be offered and the method of the offering of such securities. See “Plan of Distribution” for more information.</w:t>
      </w:r>
    </w:p>
    <w:p>
      <w:pPr>
        <w:spacing w:after="0" w:line="207"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Corporate Information</w:t>
      </w:r>
    </w:p>
    <w:p>
      <w:pPr>
        <w:spacing w:after="0" w:line="96" w:lineRule="exact"/>
        <w:rPr>
          <w:sz w:val="20"/>
          <w:szCs w:val="20"/>
          <w:color w:val="auto"/>
        </w:rPr>
      </w:pPr>
    </w:p>
    <w:p>
      <w:pPr>
        <w:ind w:left="200" w:firstLine="443"/>
        <w:spacing w:after="0" w:line="290" w:lineRule="auto"/>
        <w:rPr>
          <w:sz w:val="20"/>
          <w:szCs w:val="20"/>
          <w:color w:val="auto"/>
        </w:rPr>
      </w:pPr>
      <w:r>
        <w:rPr>
          <w:rFonts w:ascii="Arial" w:cs="Arial" w:eastAsia="Arial" w:hAnsi="Arial"/>
          <w:sz w:val="16"/>
          <w:szCs w:val="16"/>
          <w:color w:val="auto"/>
        </w:rPr>
        <w:t xml:space="preserve">Our administrative and principal executive offices are located at 590 Madison Avenue, 15th Floor, New York, NY 10022. Our common stock is quoted on the NASDAQ Global Select Market under the symbol “PFLT.” Our phone number is (212) 905-1000, and our Internet website address is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Information contained on our website is not incorporated by reference into this prospectus or any supplements to this prospectus,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you should not consider information contained on our website to be part of this prospectus or any supplements to this prospectus. We file periodic reports, proxy statements and other information with the SEC. You may read and copy the materials that we file with the SEC at the SEC’s Public Reference Room at 100 F Street, N.E., Washington, D.C. 20549. You may obtain information on the operation of the Public Reference Room by calling the SEC at 1-800-SEC-0330. In addition, the SEC maintains an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that contains material that we file with the SEC on the EDGAR Database.</w:t>
      </w:r>
    </w:p>
    <w:p>
      <w:pPr>
        <w:spacing w:after="0" w:line="28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60"/>
          </w:cols>
          <w:pgMar w:left="240" w:top="459" w:right="3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FEES AND EXPENSES</w:t>
      </w:r>
    </w:p>
    <w:p>
      <w:pPr>
        <w:spacing w:after="0" w:line="177" w:lineRule="exact"/>
        <w:rPr>
          <w:sz w:val="20"/>
          <w:szCs w:val="20"/>
          <w:color w:val="auto"/>
        </w:rPr>
      </w:pPr>
    </w:p>
    <w:p>
      <w:pPr>
        <w:ind w:right="220" w:firstLine="456"/>
        <w:spacing w:after="0" w:line="255" w:lineRule="auto"/>
        <w:rPr>
          <w:sz w:val="20"/>
          <w:szCs w:val="20"/>
          <w:color w:val="auto"/>
        </w:rPr>
      </w:pPr>
      <w:r>
        <w:rPr>
          <w:rFonts w:ascii="Arial" w:cs="Arial" w:eastAsia="Arial" w:hAnsi="Arial"/>
          <w:sz w:val="18"/>
          <w:szCs w:val="18"/>
          <w:color w:val="auto"/>
        </w:rPr>
        <w:t>The following table will assist you in understanding the various costs and expenses that an investor in shares of our common stock will bear directly or indirectly. However, we caution you that some of the percentages indicated in the table below are estimates and may vary. The following table should not be considered a representation of our future expenses. Actual expenses may be greater or less than shown. Except where the context suggests otherwise, whenever this prospectus contains a reference to fees or expenses paid by “you” or “us” or that “we” will pay, stockholders will indirectly bear such fees or expenses as investors in us.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transaction expenses (as a percentage of offering price)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Sales load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(1)</w:t>
            </w: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Offering expenses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(2)</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Total stockholder expenses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rPr>
              <w:t>%</w:t>
            </w: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Estimated annual expenses (as a percentage of average net assets attributable to common shares)</w:t>
            </w:r>
            <w:r>
              <w:rPr>
                <w:rFonts w:ascii="Arial" w:cs="Arial" w:eastAsia="Arial" w:hAnsi="Arial"/>
                <w:sz w:val="11"/>
                <w:szCs w:val="11"/>
                <w:b w:val="1"/>
                <w:bCs w:val="1"/>
                <w:color w:val="auto"/>
              </w:rPr>
              <w:t>(3)</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Management fees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1.67</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(4)</w:t>
            </w: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Incentive fees</w:t>
            </w: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2.05</w:t>
            </w: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(5)</w:t>
            </w:r>
          </w:p>
        </w:tc>
      </w:tr>
      <w:tr>
        <w:trPr>
          <w:trHeight w:val="216"/>
        </w:trPr>
        <w:tc>
          <w:tcPr>
            <w:tcW w:w="1036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2.25</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(6)</w:t>
            </w:r>
          </w:p>
        </w:tc>
      </w:tr>
      <w:tr>
        <w:trPr>
          <w:trHeight w:val="216"/>
        </w:trPr>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Other expenses</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(7)</w:t>
            </w:r>
          </w:p>
        </w:tc>
      </w:tr>
      <w:tr>
        <w:trPr>
          <w:trHeight w:val="221"/>
        </w:trPr>
        <w:tc>
          <w:tcPr>
            <w:tcW w:w="10360" w:type="dxa"/>
            <w:vAlign w:val="bottom"/>
          </w:tcPr>
          <w:p>
            <w:pPr>
              <w:spacing w:after="0"/>
              <w:rPr>
                <w:sz w:val="20"/>
                <w:szCs w:val="20"/>
                <w:color w:val="auto"/>
              </w:rPr>
            </w:pPr>
            <w:r>
              <w:rPr>
                <w:rFonts w:ascii="Arial" w:cs="Arial" w:eastAsia="Arial" w:hAnsi="Arial"/>
                <w:sz w:val="18"/>
                <w:szCs w:val="18"/>
                <w:b w:val="1"/>
                <w:bCs w:val="1"/>
                <w:color w:val="auto"/>
              </w:rPr>
              <w:t>Total estimated annual expenses</w:t>
            </w: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7.64</w:t>
            </w:r>
          </w:p>
        </w:tc>
        <w:tc>
          <w:tcPr>
            <w:tcW w:w="500" w:type="dxa"/>
            <w:vAlign w:val="bottom"/>
          </w:tcPr>
          <w:p>
            <w:pPr>
              <w:ind w:left="180"/>
              <w:spacing w:after="0"/>
              <w:rPr>
                <w:sz w:val="20"/>
                <w:szCs w:val="20"/>
                <w:color w:val="auto"/>
              </w:rPr>
            </w:pPr>
            <w:r>
              <w:rPr>
                <w:rFonts w:ascii="Arial" w:cs="Arial" w:eastAsia="Arial" w:hAnsi="Arial"/>
                <w:sz w:val="18"/>
                <w:szCs w:val="18"/>
                <w:color w:val="auto"/>
              </w:rPr>
              <w:t>%</w:t>
            </w:r>
            <w:r>
              <w:rPr>
                <w:rFonts w:ascii="Arial" w:cs="Arial" w:eastAsia="Arial" w:hAnsi="Arial"/>
                <w:sz w:val="11"/>
                <w:szCs w:val="11"/>
                <w:color w:val="auto"/>
              </w:rPr>
              <w:t>(8)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260" w:hanging="452"/>
        <w:spacing w:after="0" w:line="254"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the event that the securities to which this prospectus relates are sold to or through underwriters or agents, a corresponding prospectus supplement will disclose the applicable sales load.</w:t>
      </w:r>
    </w:p>
    <w:p>
      <w:pPr>
        <w:ind w:left="460" w:right="2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related prospectus supplement will disclose the estimated amount of offering expenses, the offering price and the offering expenses borne by us as a percentage of the offering price.</w:t>
      </w: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Net assets attributable to common shares equals average net assets as of March 31, 2013.</w:t>
      </w:r>
    </w:p>
    <w:p>
      <w:pPr>
        <w:spacing w:after="0" w:line="9" w:lineRule="exact"/>
        <w:rPr>
          <w:rFonts w:ascii="Arial" w:cs="Arial" w:eastAsia="Arial" w:hAnsi="Arial"/>
          <w:sz w:val="18"/>
          <w:szCs w:val="18"/>
          <w:color w:val="auto"/>
        </w:rPr>
      </w:pPr>
    </w:p>
    <w:p>
      <w:pPr>
        <w:ind w:left="460" w:right="960" w:hanging="452"/>
        <w:spacing w:after="0" w:line="250"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on March 31, 2013. See “Certain Relationships and Transactions—Investment Management Agreement” for more information.</w:t>
      </w:r>
    </w:p>
    <w:p>
      <w:pPr>
        <w:ind w:left="460" w:right="60" w:hanging="452"/>
        <w:spacing w:after="0" w:line="281"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and payable under our Investment Management Agreement during the three months ended March 31,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2013, our unrealized capital gains exceeded our cumulative realized and unrealized capital losses and we accrued a capital gains incentive fee of $0.3 million in accordance with U.S. generally accepted accounting principles, or GAAP. However, “Incentive fees” includes an accrual for capital gains incentive fee for the three months ended March 31, 2013 even though no capital gains incentive fee was payable under our Investment Management Agreement as of March 31, 2013. As we cannot predict our future net investment income or capital gains, the incentive fee paid in future periods, if any, may be substantially different than the fee earned during the three months ended March 31, 2013, and we cannot assure you that we will recognize capital gains for the calendar year ending December 31, 2013 in amounts consistent with the accrual for the same period. For more detailed information about the incentive fee, please see “Certain Relationships and Transactions—Investment Management Agreement” for more information.</w:t>
      </w:r>
    </w:p>
    <w:p>
      <w:pPr>
        <w:spacing w:after="0" w:line="9" w:lineRule="exact"/>
        <w:rPr>
          <w:rFonts w:ascii="Arial" w:cs="Arial" w:eastAsia="Arial" w:hAnsi="Arial"/>
          <w:sz w:val="16"/>
          <w:szCs w:val="16"/>
          <w:color w:val="auto"/>
        </w:rPr>
      </w:pPr>
    </w:p>
    <w:p>
      <w:pPr>
        <w:ind w:left="460" w:right="80" w:hanging="452"/>
        <w:spacing w:after="0" w:line="255"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As of March 31, 2013, we had $34.2 million in borrowings outstanding under our $125.0 million Credit Facility. We may use proceeds of an offering of securities under this registration statement to repay outstanding obligations under our Credit Facility. After completing any such offering, we may continue to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100"/>
        <w:spacing w:after="0" w:line="252" w:lineRule="auto"/>
        <w:rPr>
          <w:sz w:val="20"/>
          <w:szCs w:val="20"/>
          <w:color w:val="auto"/>
        </w:rPr>
      </w:pPr>
      <w:r>
        <w:rPr>
          <w:rFonts w:ascii="Arial" w:cs="Arial" w:eastAsia="Arial" w:hAnsi="Arial"/>
          <w:sz w:val="18"/>
          <w:szCs w:val="18"/>
          <w:color w:val="auto"/>
        </w:rPr>
        <w:t>borrow under our Credit Facility to finance our investment objectives. We have estimated the annual interest expense on borrowed funds, which includes actual (unannualized) amendment costs incurred in connection with amending our Credit Facility, and caution you that our actual interest expense will depend on prevailing interest rates and our rate of borrowing, which may be substantially higher than the estimate provided in this table. See “Risk Factors —Risks Relating To Our Business and Structure—We currently use borrowed funds to make investments and are exposed to the typical risks associated with leverage” for more information.</w:t>
      </w:r>
    </w:p>
    <w:p>
      <w:pPr>
        <w:ind w:left="460" w:right="540" w:hanging="452"/>
        <w:spacing w:after="0" w:line="281"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2013 annualized for a full year. See the Consolidated Statement of Operations in our Consolidated Financial Statements.</w:t>
      </w:r>
    </w:p>
    <w:p>
      <w:pPr>
        <w:spacing w:after="0" w:line="2" w:lineRule="exact"/>
        <w:rPr>
          <w:rFonts w:ascii="Arial" w:cs="Arial" w:eastAsia="Arial" w:hAnsi="Arial"/>
          <w:sz w:val="16"/>
          <w:szCs w:val="16"/>
          <w:color w:val="auto"/>
        </w:rPr>
      </w:pPr>
    </w:p>
    <w:p>
      <w:pPr>
        <w:ind w:left="460" w:right="180" w:hanging="452"/>
        <w:spacing w:after="0" w:line="292"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“Total estimated annual expenses” as a percentage of average net assets attributable to common shares, to the extent we borrow money to make investments, are higher than the total estimated annual expenses percentage would be for a company that is not leveraged. We may borrow money to leverage our net assets and increase our total assets. The SEC requires that the “total estimated annual expenses” percentage be calculated as a percentage of average net assets (defined as total assets less indebtedness) rather than total assets, which include assets that have been funded with borrowed money. For a presentation and calculation of total estimated annual expenses based on average total assets, see page 38 of this prospectus.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following example illustrates the projected dollar amount of total cumulative expenses that you would pay on a $1,000 hypothetical investment in common shares, assuming (1) a 3.00% sales load (underwriting discounts and commissions) and offering expenses totaling 0.83%, (2) total net annual expenses of 5.59% of average net assets attributable to common shares as set forth in the table above (other than performance-based incentive fees) and (3) a 5% annual return.</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1 year</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3 years</w:t>
            </w:r>
          </w:p>
        </w:tc>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5 years</w:t>
            </w:r>
          </w:p>
        </w:tc>
        <w:tc>
          <w:tcPr>
            <w:tcW w:w="220" w:type="dxa"/>
            <w:vAlign w:val="bottom"/>
          </w:tcPr>
          <w:p>
            <w:pPr>
              <w:spacing w:after="0"/>
              <w:rPr>
                <w:sz w:val="14"/>
                <w:szCs w:val="14"/>
                <w:color w:val="auto"/>
              </w:rPr>
            </w:pPr>
          </w:p>
        </w:tc>
        <w:tc>
          <w:tcPr>
            <w:tcW w:w="580" w:type="dxa"/>
            <w:vAlign w:val="bottom"/>
            <w:gridSpan w:val="3"/>
          </w:tcPr>
          <w:p>
            <w:pPr>
              <w:spacing w:after="0"/>
              <w:rPr>
                <w:sz w:val="20"/>
                <w:szCs w:val="20"/>
                <w:color w:val="auto"/>
              </w:rPr>
            </w:pPr>
            <w:r>
              <w:rPr>
                <w:rFonts w:ascii="Arial" w:cs="Arial" w:eastAsia="Arial" w:hAnsi="Arial"/>
                <w:sz w:val="14"/>
                <w:szCs w:val="14"/>
                <w:b w:val="1"/>
                <w:bCs w:val="1"/>
                <w:color w:val="auto"/>
                <w:w w:val="99"/>
              </w:rPr>
              <w:t>10 years</w:t>
            </w:r>
          </w:p>
        </w:tc>
      </w:tr>
      <w:tr>
        <w:trPr>
          <w:trHeight w:val="210"/>
        </w:trPr>
        <w:tc>
          <w:tcPr>
            <w:tcW w:w="8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w w:val="91"/>
                <w:shd w:val="clear" w:color="auto" w:fill="CCEEFF"/>
              </w:rPr>
              <w:t>You would pay the following expenses on a $1,000 common stock investment, assuming a 5% annual return</w:t>
            </w:r>
            <w:r>
              <w:rPr>
                <w:rFonts w:ascii="Arial" w:cs="Arial" w:eastAsia="Arial" w:hAnsi="Arial"/>
                <w:sz w:val="11"/>
                <w:szCs w:val="11"/>
                <w:color w:val="auto"/>
                <w:w w:val="91"/>
                <w:shd w:val="clear" w:color="auto" w:fill="CCEEFF"/>
              </w:rPr>
              <w:t>(1)</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shd w:val="clear" w:color="auto" w:fill="CCEEFF"/>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shd w:val="clear" w:color="auto" w:fill="CCEEFF"/>
              </w:rPr>
              <w:t>92</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$ 198</w:t>
            </w:r>
          </w:p>
        </w:tc>
        <w:tc>
          <w:tcPr>
            <w:tcW w:w="4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shd w:val="clear" w:color="auto" w:fill="CCEEFF"/>
              </w:rPr>
              <w:t>$ 303</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shd w:val="clear" w:color="auto" w:fill="CCEEFF"/>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shd w:val="clear" w:color="auto" w:fill="CCEEFF"/>
              </w:rPr>
              <w:t>560</w:t>
            </w:r>
          </w:p>
        </w:tc>
        <w:tc>
          <w:tcPr>
            <w:tcW w:w="100" w:type="dxa"/>
            <w:vAlign w:val="bottom"/>
            <w:tcBorders>
              <w:top w:val="single" w:sz="8" w:color="CCEEFF"/>
            </w:tcBorders>
            <w:shd w:val="clear" w:color="auto" w:fill="CCEEFF"/>
          </w:tcPr>
          <w:p>
            <w:pPr>
              <w:spacing w:after="0"/>
              <w:rPr>
                <w:sz w:val="18"/>
                <w:szCs w:val="18"/>
                <w:color w:val="auto"/>
              </w:rPr>
            </w:pPr>
          </w:p>
        </w:tc>
      </w:tr>
      <w:tr>
        <w:trPr>
          <w:trHeight w:val="222"/>
        </w:trPr>
        <w:tc>
          <w:tcPr>
            <w:tcW w:w="8060" w:type="dxa"/>
            <w:vAlign w:val="bottom"/>
          </w:tcPr>
          <w:p>
            <w:pPr>
              <w:spacing w:after="0"/>
              <w:rPr>
                <w:sz w:val="20"/>
                <w:szCs w:val="20"/>
                <w:color w:val="auto"/>
              </w:rPr>
            </w:pPr>
            <w:r>
              <w:rPr>
                <w:rFonts w:ascii="Arial" w:cs="Arial" w:eastAsia="Arial" w:hAnsi="Arial"/>
                <w:sz w:val="18"/>
                <w:szCs w:val="18"/>
                <w:color w:val="auto"/>
                <w:w w:val="91"/>
              </w:rPr>
              <w:t>You would pay the following expenses on a $1,000 common stock investment, assuming a 5% annual return</w:t>
            </w:r>
            <w:r>
              <w:rPr>
                <w:rFonts w:ascii="Arial" w:cs="Arial" w:eastAsia="Arial" w:hAnsi="Arial"/>
                <w:sz w:val="11"/>
                <w:szCs w:val="11"/>
                <w:color w:val="auto"/>
                <w:w w:val="91"/>
              </w:rPr>
              <w:t>(2)</w:t>
            </w:r>
          </w:p>
        </w:tc>
        <w:tc>
          <w:tcPr>
            <w:tcW w:w="420" w:type="dxa"/>
            <w:vAlign w:val="bottom"/>
            <w:gridSpan w:val="2"/>
          </w:tcPr>
          <w:p>
            <w:pPr>
              <w:ind w:left="32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420"/>
              <w:spacing w:after="0"/>
              <w:rPr>
                <w:sz w:val="20"/>
                <w:szCs w:val="20"/>
                <w:color w:val="auto"/>
              </w:rPr>
            </w:pPr>
            <w:r>
              <w:rPr>
                <w:rFonts w:ascii="Arial" w:cs="Arial" w:eastAsia="Arial" w:hAnsi="Arial"/>
                <w:sz w:val="18"/>
                <w:szCs w:val="18"/>
                <w:color w:val="auto"/>
                <w:w w:val="79"/>
              </w:rPr>
              <w:t>101</w:t>
            </w:r>
          </w:p>
        </w:tc>
        <w:tc>
          <w:tcPr>
            <w:tcW w:w="420" w:type="dxa"/>
            <w:vAlign w:val="bottom"/>
          </w:tcPr>
          <w:p>
            <w:pPr>
              <w:spacing w:after="0"/>
              <w:rPr>
                <w:sz w:val="20"/>
                <w:szCs w:val="20"/>
                <w:color w:val="auto"/>
              </w:rPr>
            </w:pPr>
            <w:r>
              <w:rPr>
                <w:rFonts w:ascii="Arial" w:cs="Arial" w:eastAsia="Arial" w:hAnsi="Arial"/>
                <w:sz w:val="18"/>
                <w:szCs w:val="18"/>
                <w:color w:val="auto"/>
                <w:w w:val="88"/>
              </w:rPr>
              <w:t>$ 224</w:t>
            </w:r>
          </w:p>
        </w:tc>
        <w:tc>
          <w:tcPr>
            <w:tcW w:w="420" w:type="dxa"/>
            <w:vAlign w:val="bottom"/>
          </w:tcPr>
          <w:p>
            <w:pPr>
              <w:spacing w:after="0"/>
              <w:rPr>
                <w:sz w:val="19"/>
                <w:szCs w:val="19"/>
                <w:color w:val="auto"/>
              </w:rPr>
            </w:pPr>
          </w:p>
        </w:tc>
        <w:tc>
          <w:tcPr>
            <w:tcW w:w="620" w:type="dxa"/>
            <w:vAlign w:val="bottom"/>
            <w:gridSpan w:val="2"/>
          </w:tcPr>
          <w:p>
            <w:pPr>
              <w:spacing w:after="0"/>
              <w:rPr>
                <w:sz w:val="20"/>
                <w:szCs w:val="20"/>
                <w:color w:val="auto"/>
              </w:rPr>
            </w:pPr>
            <w:r>
              <w:rPr>
                <w:rFonts w:ascii="Arial" w:cs="Arial" w:eastAsia="Arial" w:hAnsi="Arial"/>
                <w:sz w:val="18"/>
                <w:szCs w:val="18"/>
                <w:color w:val="auto"/>
              </w:rPr>
              <w:t>$ 343</w:t>
            </w: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624</w:t>
            </w:r>
          </w:p>
        </w:tc>
        <w:tc>
          <w:tcPr>
            <w:tcW w:w="1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Assumes that we will not realize any capital gains computed net of all realized capital losses and unrealized capital appreciation and depreciation.</w:t>
      </w:r>
    </w:p>
    <w:p>
      <w:pPr>
        <w:spacing w:after="0" w:line="38" w:lineRule="exact"/>
        <w:rPr>
          <w:rFonts w:ascii="Arial" w:cs="Arial" w:eastAsia="Arial" w:hAnsi="Arial"/>
          <w:sz w:val="16"/>
          <w:szCs w:val="16"/>
          <w:color w:val="auto"/>
        </w:rPr>
      </w:pPr>
    </w:p>
    <w:p>
      <w:pPr>
        <w:ind w:left="460" w:right="100" w:hanging="452"/>
        <w:spacing w:after="0" w:line="261"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Assumes no unrealized capital appreciation or depreciation and 5% annual return resulting entirely from net realized capital gains (and therefore subject to the capital gains incentive fee).</w:t>
      </w:r>
    </w:p>
    <w:p>
      <w:pPr>
        <w:spacing w:after="0" w:line="13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This example and the expenses in the table above should not be considered a representation of our future expenses. Actual expenses may be greater or less than those assumed. The table above is provided to assist you in understanding the various costs and expenses that an investor in our common stock will bear directly or indirectly. While the example assumes, as required by the SEC, a 5% annual return, our performance will vary and may result in a return greater or less than 5%. If we were to earn an annual return of less than 5% on net investment income, the incentive fee under our Investment Management Agreement would not be earned or payable. If we were to earn any amount on net realized gains from our inception to date, our expenses, and returns to investors, would be higher. The example assumes that all dividends and distributions are reinvested at net asset value. Under certain circumstances, reinvestment of dividends and distributions under our dividend reinvestment plan may occur at a price per share that differs from net asset value. See “Distributions” for more information.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i w:val="1"/>
          <w:iCs w:val="1"/>
          <w:color w:val="auto"/>
        </w:rPr>
        <w:t>Before you invest in our securities, you should be aware of various risks, including those described below. You should carefully consider these risk factors, together with all of the other information included in this prospectus and the accompanying prospectus supplement, if any, before you decide whether to make an investment in our securities. The risks set out below are not the only risks we face. Additional risks and uncertainties not currently known to us or that we currently deem to be immaterial also may materially adversely affect our business, financial condition and/or operating results. If any of the following events occur, our business, financial condition and results of operations could be materially adversely affected. In such case, our net asset value and the trading price of our common stock could decline or the value of our preferred stock, warrants, subscription rights or debt securities, may decline, and you may lose all or part of your investment.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 AND STRUCTURE</w:t>
      </w:r>
    </w:p>
    <w:p>
      <w:pPr>
        <w:spacing w:after="0" w:line="90"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b w:val="1"/>
          <w:bCs w:val="1"/>
          <w:color w:val="auto"/>
        </w:rPr>
        <w:t>Global capital markets could enter a period of severe disruption and instability. These market conditions have historically and could again have a material adverse effect on debt and equity capital markets in the United States, which could have a materially negative impact on our business, financial condition and results of operations.</w:t>
      </w:r>
    </w:p>
    <w:p>
      <w:pPr>
        <w:spacing w:after="0" w:line="5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U.S. capital markets have experienced a period of disruption characterized by the freezing of credit, a lack of liquidity in the debt capital markets, significant losses in the principal value of investments, the re-pricing of credit risk in the broadly syndicated credit market and the failure of major financial institutions. During this period of disruption, general economic conditions deteriorated with material and adverse consequences for the broader financial and credit markets, and the availability of debt and equity capital for the market as a whole, and financial services firms in particular, was reduced significantly. These conditions may reoccur for a prolonged period of time or materially worsen in the future. We may in the future have difficulty accessing debt and equity capital, and a severe disruption in the global financial markets, deterioration in credit and financing conditions or uncertainty regarding U.S. government spending and deficit levels, including the recent U.S. government spending cuts that took effect March 1, 2013,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Volatility or a prolonged disruption in the credit markets could materially damage our business.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are required to record our assets at fair value, as determined in good faith by our board of directors in accordance with our valuation policy. As a result, volatility in the capital markets may materially adversely affect our valuations and our net asset value, even if we intend to hold investments to maturity. Volatility or dislocation in the capital markets may depress our stock price below our net asset value per share and create a challenging environment in which to raise debt and equity capital. As a BDC, we are generally not able to issue additional shares of our common stock at a price less than our net asset value without first obtaining approval for such issuance from our stockholders and our independent directors. Additionally, our ability to incur indebtedness is limited by our asset coverage, as defined in the 1940 Act, which we refer to as the asset coverage ratio. Declining portfolio values negatively impact our ability to borrow additional funds under our Credit Facility because our net asset value is reduced for purposes of the asset coverage ratio. If the fair value of our assets declines substantially, we may fail to maintain the asset coverage ratio stipulated by the 1940 Act, which could, in turn, cause us to lose our status as a BDC and materially impair our business operations. A protracted disruption in the credit markets could also materially decrease demand for our investments.</w:t>
      </w:r>
    </w:p>
    <w:p>
      <w:pPr>
        <w:spacing w:after="0" w:line="120"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The significant disruption in the capital markets experienced in the past may in the future have a negative effect on the valuations of our investments and on the potential for liquidity events involving our investments. The debt capital that will be available to us may be at a higher cost and/or on less favorable terms and conditions than those currently in effect. If our financing costs increase and we have no increase in interest income, then our net investment income will decrease. A prolonged inability to raise capital may require us to reduce the volume of loans we originate and could have a material adverse impact on our business, financial condition or results of</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operations. This may also increase the probability that other structural risks negatively impact us. These situations may arise due to circumstances that we may be unable to control, such as a protracted disruption in the credit markets, a severe decline in the value of the U.S. dollar, a sharp economic downturn or an operational problem that affects third parties or us, and could materially damage our business, financial condition or results of operations.</w:t>
      </w:r>
    </w:p>
    <w:p>
      <w:pPr>
        <w:spacing w:after="0" w:line="182"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b w:val="1"/>
          <w:bCs w:val="1"/>
          <w:color w:val="auto"/>
        </w:rPr>
        <w:t>Any unrealized losses we experience on our investment portfolio may be an indication of future realized losses, which could reduce our income available for distribution.</w:t>
      </w:r>
    </w:p>
    <w:p>
      <w:pPr>
        <w:spacing w:after="0" w:line="45" w:lineRule="exact"/>
        <w:rPr>
          <w:sz w:val="20"/>
          <w:szCs w:val="20"/>
          <w:color w:val="auto"/>
        </w:rPr>
      </w:pPr>
    </w:p>
    <w:p>
      <w:pPr>
        <w:ind w:right="140" w:firstLine="456"/>
        <w:spacing w:after="0" w:line="253" w:lineRule="auto"/>
        <w:rPr>
          <w:sz w:val="20"/>
          <w:szCs w:val="20"/>
          <w:color w:val="auto"/>
        </w:rPr>
      </w:pPr>
      <w:r>
        <w:rPr>
          <w:rFonts w:ascii="Arial" w:cs="Arial" w:eastAsia="Arial" w:hAnsi="Arial"/>
          <w:sz w:val="18"/>
          <w:szCs w:val="18"/>
          <w:color w:val="auto"/>
        </w:rPr>
        <w:t>As a BDC, we are required to carry our investments at fair value, which is derived from a market value or, if no market value is ascertainable or if market value does not reflect the fair value of such investment in the bona fide determination of our board of directors, then we carry our investments at fair value as determined in good faith by or under the direction of our board of directors. Decreases in the market values or fair values of our investments are recorded as unrealized depreciation or loss. Unrealized losses of any given portfolio company could be an indication of such company’s inability in the future to meet its repayment obligations to us. If the fair value of our portfolio companies reflects future realized losses, this would ultimately result in reductions of our income available for distribution in future periods and could materially harm our results of operations and cause a material decline in the value of our publicly traded common stock.</w:t>
      </w:r>
    </w:p>
    <w:p>
      <w:pPr>
        <w:spacing w:after="0" w:line="222"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Following periods of volatility in the market price of a company’s securities, securities class action litigation has often been brought against that company.</w:t>
      </w:r>
    </w:p>
    <w:p>
      <w:pPr>
        <w:spacing w:after="0" w:line="45" w:lineRule="exact"/>
        <w:rPr>
          <w:sz w:val="20"/>
          <w:szCs w:val="20"/>
          <w:color w:val="auto"/>
        </w:rPr>
      </w:pPr>
    </w:p>
    <w:p>
      <w:pPr>
        <w:ind w:right="80" w:firstLine="456"/>
        <w:spacing w:after="0" w:line="370" w:lineRule="auto"/>
        <w:rPr>
          <w:sz w:val="20"/>
          <w:szCs w:val="20"/>
          <w:color w:val="auto"/>
        </w:rPr>
      </w:pPr>
      <w:r>
        <w:rPr>
          <w:rFonts w:ascii="Arial" w:cs="Arial" w:eastAsia="Arial" w:hAnsi="Arial"/>
          <w:sz w:val="15"/>
          <w:szCs w:val="15"/>
          <w:color w:val="auto"/>
        </w:rPr>
        <w:t>If our stock price fluctuates significantly, we may be the target of securities litigation in the future. Securities litigation could result in substantial costs and divert management’s attention and resources from our business and cause a material adverse effect on our business, financial condition or results of operations.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borrowers may default on their payments, which may have a materially negative effect on our financial performance.</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Our primary business exposes us to credit risk, and the quality of our portfolio has a significant impact on our earnings. Credit risk is a component of our valuation of our portfolio companies. Negative credit events will lead to a decrease in the fair value of our portfolio companies.</w:t>
      </w:r>
    </w:p>
    <w:p>
      <w:pPr>
        <w:spacing w:after="0" w:line="8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In addition, current market conditions have affected consumer confidence levels, which may harm the business of our portfolio companies and result in adverse changes in payment patterns. If interest rates rise, some of our portfolio companies may not be able to pay the escalating interest on our loans and may default. Increased delinquencies and default rates would negatively impact our results of operations. Deterioration in the quality of our credit portfolio could have a material adverse effect on our business, financial condition and results of operations.</w:t>
      </w:r>
    </w:p>
    <w:p>
      <w:pPr>
        <w:spacing w:after="0" w:line="11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make long-term loans and debt investments, which may involve a high degree of repayment risk. We invest in companies that may have limited financial resources, may be highly leveraged and may be unable to obtain financing from traditional sources. Accordingly, a general economic downturn or severe tightening in the credit markets could materially impact the ability of our borrowers to repay their loans, which could significantly damage our business. Numerous other factors may affect a borrower’s ability to repay its loan, including the failure to meet its business plan or a downturn in its industry. A portfolio company’s failure to satisfy financial or operating covenants imposed by us or other lenders could lead to defaults and, potentially, termination of its loans or foreclosure on the secured assets. This could trigger cross-defaults under other agreements and jeopardize our portfolio company’s ability to meet its obligations under the loans or debt investments that we hold. In addition, our portfolio companies may have, or may be permitted to incur, other debt that ranks senior to or equally with our securities. This means that payments on such senior-ranking securities may have to be made before we receive any payments on our subordinated loans or debt investments. Deterioration in a borrower’s financial condition and prospects may be accompanied by deterioration in any related collateral and may have a material adverse effect on our financial condition and results of operations.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b w:val="1"/>
          <w:bCs w:val="1"/>
          <w:color w:val="auto"/>
        </w:rPr>
        <w:t>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5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depend on the diligence, skill and network of business contacts of the investment professionals of our Investment Adviser. We also depend, to a significant extent, on PennantPark Investment Advisers’ access to the investment information and deal flow generated by these investment professionals and any others that may be hired by PennantPark Investment Advisers. Managers of the Investment Adviser evaluate, negotiate, structure, close and monitor our investments. Our future success depends on the continued service of management personnel of our Investment Adviser. The departure of managers of PennantPark Investment Advisers could have a material adverse effect on our ability to achieve our investment objectives. In addition, we can offer no assurance that PennantPark Investment Advisers will remain our Investment Adviser. The Investment Adviser has the right, under the Investment Management Agreement, to resign at any time upon 60 days’ written notice, whether we have found a replacement or not.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condition and results of operation depend on our ability to manage future growth effectively.</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Our ability to achieve our investment objectives depends on our ability to grow, which depends, in turn, on our Investment Adviser’s ability to identify, invest in and monitor companies that meet our investment criteria. Accomplishing this result on a cost-effective basis is largely a function of our Investment Adviser’s structuring of the investment process, its ability to provide competent, attentive and efficient services to us and our access to financing on acceptable terms. The management team of PennantPark Investment Advisers has substantial responsibilities under the Investment Management Agreement. In order to grow, our Investment Adviser will need to hire, train, supervise and manage new employees. However, we can offer no assurance that any such employees will contribute effectively to the work of the Investment Adviser. We caution you that the principals of the Investment Adviser or Administrator may also be called upon to provide and currently do provide managerial assistance to portfolio companies and other investment vehicles, including other BDCs, which are managed by the Investment Adviser. Such demands on their time may distract them or slow our rate of investment. Any failure to manage our future growth effectively could have a material adverse effect on our business, financial condition and results of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market for investment opportunities.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 number of entities compete with us to make the types of investments that we make in middle-market companies. We compete with public and private funds, including other BDCs, commercial and investment banks, commercial financing companies, CLO funds and, to the extent they provide an alternative form of financing, private equity funds. Additionally, alternative investment vehicles, such as hedge funds, also invest in middle-market companies. As a result, competition for investment opportunities at middle-market companies can be intense. Many of our potential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 Furthermore, many of our competitors are not subject to the regulatory restrictions that the 1940 Act imposes on us as a BDC. We cannot assure you that the competitive pressures we face will not have a material adverse effect on our business, financial condition and results of operations. Also, as a result of this competition, we may not be able to take advantage of attractive investment opportunities from time to time, and we can offer no assurance that we will be able to identify and make investments that are consistent with our investment objectives.</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Participants in our industry compete on several factors, including price, flexibility in transaction structuring, customer service, reputation, market knowledge and speed in decision-making. We do not seek to compete primarily based on the interest rates we offer, and we believe that some of our competitors may make loans with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interest rates that are lower than the rates we offer. We may lose investment opportunities if we do not match our competitors’ pricing, terms and structure.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if we match our competitors’ pricing, terms and structure, we may experience decreased net interest income and increased risk of credit loss.</w:t>
      </w:r>
    </w:p>
    <w:p>
      <w:pPr>
        <w:spacing w:after="0" w:line="2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not replicate the historical performance of other investment companies with which our investment professionals have been affiliated.</w:t>
      </w:r>
    </w:p>
    <w:p>
      <w:pPr>
        <w:spacing w:after="0" w:line="119"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The 1940 Act imposes numerous constraints on the investment activities of BDCs. For example, BDCs are required to invest at least 70% of their total assets primarily in securities of U.S. private companies or thinly traded public companies (public companies with a market capitalization of less than $250 million), cash, cash equivalents, U.S. government securities and high-quality debt investments that mature in one year or less. These constraints may hinder the Investment Adviser’s ability to take advantage of attractive investment opportunities and to achieve our investment objectives. Current market conditions and the depressed economic cycle present significant challenges to us that have not been present in recent years, if ever. In addition, the investment philosophy and techniques used by the Investment Adviser may differ from those used by other investment companies advised by the Investment Adviser. Accordingly, we can offer no assurance that we will replicate the historical performance of other investment companies with which our investment professionals have been affiliated, and we caution that our investment returns could be substantially lower than the returns achieved by such other companies.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failure on our part to maintain our status as a business development company would reduce our operating flexibility.</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we do not remain a BDC, we might be regulated as a closed-end investment company under the 1940 Act, which would subject us to substantially more regulatory restrictions under the 1940 Act and correspondingly decrease our operating flexibility, which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of RIC tax status would substantially reduce net assets and income available for debt service and dividends.</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operated and continue to operate so as to maintain our election to be taxed as a RIC under Subchapter M of the Code. If we meet source of income, quarterly asset diversification, and distribution requirements, we generally will not be subject to corporate-level income taxation on income we timely distribute, or deem to distribute, to our stockholders as dividends. We would cease to qualify for such tax treatment if we were unable to comply with these requirements. In addition, we may have difficulty meeting the requirement to make distributions to our stockholders because in certain cases we may recognize income before or without receiving cash representing such income. If we fail to qualify as a RIC, we will have to pay corporate-level taxes on all of our income whether or not we distribute it, which would substantially reduce the amount of income available for debt service as well as reduce and/or affect the character and amount of our distributions to our stockholders. Even if we qualify as a RIC, we generally will be subject to an excise tax if we do not distribute an amount at least equal to the sum of (1) 98% of our net ordinary income (for the calendar year) plus (2) 98.2% of the sum of our net realized capital gains (during each 12-month period ending on October 31). We generally will be required to pay an excise tax on amounts carried over and distributed to stockholders in the next year equal to 4% of the undistributed amount.</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have difficulty paying our required distributions if we recognize income before or without receiving cash representing such income.</w:t>
      </w:r>
    </w:p>
    <w:p>
      <w:pPr>
        <w:spacing w:after="0" w:line="11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For federal income tax purposes, we include in income certain amounts that we have not yet received in cash, such as original issue discount, or OID, or contractual payment-in-kind, or PIK, interest, which represents interest added to the loan balance and due at the end of the loan term. OID, which could be significant relative to</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our overall investment assets, and increases in loan balances as a result of PIK interest will be included in income before we receive any corresponding cash payments. We also may be required to include in income certain other amounts that we will not receive in cash.</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part of the incentive fee payable by us that relates to our net investment income is computed and paid on income that may include interest that has been accrued but not yet received in cash. If a portfolio company defaults on a loan that is structured to provide accrued interest, it is possible that accrued interest previously used in the calculation of the incentive fee will become uncollectible.</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In some cases we may recognize income before or without receiving cash representing such income. As a result, we may have difficulty meeting the tax requirement to distribute at least 90% of the sum of our ordinary income and realized net short-term capital gains, if any, to obtain RIC tax benefits. Accordingly, we may have to sell some of our investments at times we would not consider advantageous, raise additional debt or equity capital or reduce new investment originations to meet these distribution requirements, which could have a material adverse effect on our business, financial condition and results of operations. If we are not able to obtain cash from other sources, we may fail to qualify for RIC tax benefits and thus be subject to corporate level income tax.</w:t>
      </w:r>
    </w:p>
    <w:p>
      <w:pPr>
        <w:spacing w:after="0" w:line="191" w:lineRule="exact"/>
        <w:rPr>
          <w:sz w:val="20"/>
          <w:szCs w:val="20"/>
          <w:color w:val="auto"/>
        </w:rPr>
      </w:pPr>
    </w:p>
    <w:p>
      <w:pPr>
        <w:jc w:val="both"/>
        <w:ind w:right="480"/>
        <w:spacing w:after="0" w:line="361" w:lineRule="auto"/>
        <w:rPr>
          <w:sz w:val="20"/>
          <w:szCs w:val="20"/>
          <w:color w:val="auto"/>
        </w:rPr>
      </w:pPr>
      <w:r>
        <w:rPr>
          <w:rFonts w:ascii="Arial" w:cs="Arial" w:eastAsia="Arial" w:hAnsi="Arial"/>
          <w:sz w:val="15"/>
          <w:szCs w:val="15"/>
          <w:b w:val="1"/>
          <w:bCs w:val="1"/>
          <w:color w:val="auto"/>
        </w:rPr>
        <w:t>Because we intend to distribute substantially all of our income to our stockholders to maintain our status as a RIC, we will need to raise additional capital to finance our growth. If funds are not available to us, we may need to curtail new investments, and our common stock value could decline.</w:t>
      </w:r>
    </w:p>
    <w:p>
      <w:pPr>
        <w:ind w:right="60" w:firstLine="456"/>
        <w:spacing w:after="0" w:line="290" w:lineRule="auto"/>
        <w:rPr>
          <w:sz w:val="20"/>
          <w:szCs w:val="20"/>
          <w:color w:val="auto"/>
        </w:rPr>
      </w:pPr>
      <w:r>
        <w:rPr>
          <w:rFonts w:ascii="Arial" w:cs="Arial" w:eastAsia="Arial" w:hAnsi="Arial"/>
          <w:sz w:val="16"/>
          <w:szCs w:val="16"/>
          <w:color w:val="auto"/>
        </w:rPr>
        <w:t>In order to satisfy the requirements applicable to a RIC, we intend to distribute to our stockholders substantially all of our net ordinary income and net capital gains except for certain net long-term capital gains, some or all of which we may retain, pay applicable income taxes with respect thereto and elect to treat as deemed distributions to our stockholders. As a BDC, we generally are required to meet an asset coverage ratio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18" w:lineRule="exact"/>
        <w:rPr>
          <w:sz w:val="20"/>
          <w:szCs w:val="20"/>
          <w:color w:val="auto"/>
        </w:rPr>
      </w:pPr>
    </w:p>
    <w:p>
      <w:pPr>
        <w:jc w:val="both"/>
        <w:ind w:right="80" w:firstLine="456"/>
        <w:spacing w:after="0" w:line="298" w:lineRule="auto"/>
        <w:rPr>
          <w:sz w:val="20"/>
          <w:szCs w:val="20"/>
          <w:color w:val="auto"/>
        </w:rPr>
      </w:pPr>
      <w:r>
        <w:rPr>
          <w:rFonts w:ascii="Arial" w:cs="Arial" w:eastAsia="Arial" w:hAnsi="Arial"/>
          <w:sz w:val="16"/>
          <w:szCs w:val="16"/>
          <w:color w:val="auto"/>
        </w:rPr>
        <w:t>We will be partially dependent on our subsidiary Funding I for cash distributions to enable us to meet the RIC distribution requirements. Funding I may be limited by its covenants from making certain distributions to us that may be necessary to maintain our status as a RIC. We may have to request a waiver of these covenant’s restrictions for Funding I to make certain distributions to maintain our RIC status. We cannot assure you that Funding I will be granted such a waivers and if Funding I is unable to obtain a waiver, compliance with the covenants may result in a corporate-level income tax on us.</w:t>
      </w:r>
    </w:p>
    <w:p>
      <w:pPr>
        <w:spacing w:after="0" w:line="188" w:lineRule="exact"/>
        <w:rPr>
          <w:sz w:val="20"/>
          <w:szCs w:val="20"/>
          <w:color w:val="auto"/>
        </w:rPr>
      </w:pPr>
    </w:p>
    <w:p>
      <w:pPr>
        <w:jc w:val="center"/>
        <w:ind w:right="360"/>
        <w:spacing w:after="0"/>
        <w:rPr>
          <w:sz w:val="20"/>
          <w:szCs w:val="20"/>
          <w:color w:val="auto"/>
        </w:rPr>
      </w:pPr>
      <w:r>
        <w:rPr>
          <w:rFonts w:ascii="Arial" w:cs="Arial" w:eastAsia="Arial" w:hAnsi="Arial"/>
          <w:sz w:val="15"/>
          <w:szCs w:val="15"/>
          <w:b w:val="1"/>
          <w:bCs w:val="1"/>
          <w:color w:val="auto"/>
        </w:rPr>
        <w:t>Regulations governing our operation as a business development company will affect our ability to, and the way in which we, raise additional capital.</w:t>
      </w:r>
    </w:p>
    <w:p>
      <w:pPr>
        <w:spacing w:after="0" w:line="131"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Our business requires a substantial amount of capital. We may acquire additional capital from the issuance of additional senior securities or other indebtedness, the issuance of additional shares of our common stock, the issuance of warrants or subscription rights to purchase certain of our securities, or from securitization transactions. However, we may not be able to raise additional capital in the future on favorable terms or at all. We may issue additional debt securities or preferred securities, which we refer to collectively as “senior securities,” and we may borrow money from banks, or other financial institutions, up to the maximum amount permitted by the 1940 Act. The 1940 Act permits us to issue senior securities or incur indebtedness only in amounts permissable under the asset coverage definition under the 1940 Act. Our ability to pay dividends or issue additional senior securities would be restricted if our asset coverage were not met. If the value of our assets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60"/>
        <w:spacing w:after="0" w:line="332" w:lineRule="auto"/>
        <w:rPr>
          <w:sz w:val="20"/>
          <w:szCs w:val="20"/>
          <w:color w:val="auto"/>
        </w:rPr>
      </w:pPr>
      <w:r>
        <w:rPr>
          <w:rFonts w:ascii="Arial" w:cs="Arial" w:eastAsia="Arial" w:hAnsi="Arial"/>
          <w:sz w:val="16"/>
          <w:szCs w:val="16"/>
          <w:color w:val="auto"/>
        </w:rPr>
        <w:t>declines, we may be unable to satisfy this test. If that happens, we may be required to liquidate a portion of our investments and repay a portion of our indebtedness at a time when such sales may be disadvantageous, which could materially damage our business.</w:t>
      </w:r>
    </w:p>
    <w:p>
      <w:pPr>
        <w:spacing w:after="0" w:line="4" w:lineRule="exact"/>
        <w:rPr>
          <w:sz w:val="20"/>
          <w:szCs w:val="20"/>
          <w:color w:val="auto"/>
        </w:rPr>
      </w:pPr>
    </w:p>
    <w:p>
      <w:pPr>
        <w:ind w:left="900" w:hanging="446"/>
        <w:spacing w:after="0" w:line="291"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Senior Securities. </w:t>
      </w:r>
      <w:r>
        <w:rPr>
          <w:rFonts w:ascii="Arial" w:cs="Arial" w:eastAsia="Arial" w:hAnsi="Arial"/>
          <w:sz w:val="16"/>
          <w:szCs w:val="16"/>
          <w:color w:val="auto"/>
        </w:rPr>
        <w:t>As a result of issuing senior securities, we are exposed to typical risks associated with leverage, including an increased risk of loss.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we issue preferred securities, they would rank “senior” to common stock in our capital structure. Preferred stockholders would have separate voting rights and may have rights, preferences or privileges more favorable than those of holders of our common stock. Furthermore, the issuance of preferred securities could have the effect of delaying, deferring or preventing a transaction or a change of control that might involve a premium price for our common stockholders or otherwise be in your best interest. Our senior securities may include conversion features that cause them to bear risks more closely associated with an investment in our common stock.</w:t>
      </w:r>
    </w:p>
    <w:p>
      <w:pPr>
        <w:spacing w:after="0" w:line="39" w:lineRule="exact"/>
        <w:rPr>
          <w:rFonts w:ascii="Arial" w:cs="Arial" w:eastAsia="Arial" w:hAnsi="Arial"/>
          <w:sz w:val="16"/>
          <w:szCs w:val="16"/>
          <w:color w:val="auto"/>
        </w:rPr>
      </w:pPr>
    </w:p>
    <w:p>
      <w:pPr>
        <w:ind w:left="900" w:right="20" w:hanging="446"/>
        <w:spacing w:after="0" w:line="286"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Additional Common Stock. </w:t>
      </w:r>
      <w:r>
        <w:rPr>
          <w:rFonts w:ascii="Arial" w:cs="Arial" w:eastAsia="Arial" w:hAnsi="Arial"/>
          <w:sz w:val="16"/>
          <w:szCs w:val="16"/>
          <w:color w:val="auto"/>
        </w:rPr>
        <w:t>Our board of directors may decide to issue common stock to finance our operations rather than issuing debt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senior securities. As a BDC, we are generally not able to issue our common stock at a price below net asset value without first obtaining required approvals from our stockholders and our board of directors. Also, subject to the requirements of the 1940 Act, we may issue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 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file a post-effective amendment that is declared effective by the SEC with respect to such issuance and the common stock to be purchased in connection with such rights represents no more than one-third of our outstanding common stock at the time such rights are issued. In addition, we note that for us to file a post-effective amendment on Form N-2, we must then be qualified to register our securities under the requirements of Form S-3. We may actually issue shares above or below a future net asset value. If we raise additional funds by issuing more common stock or warrants or senior securities convertible into, or exchangeable for, our common stock, the percentage ownership of our common stockholders at that time would decrease, and our common stockholders may experience voting dilution.</w:t>
      </w:r>
    </w:p>
    <w:p>
      <w:pPr>
        <w:spacing w:after="0" w:line="39" w:lineRule="exact"/>
        <w:rPr>
          <w:rFonts w:ascii="Arial" w:cs="Arial" w:eastAsia="Arial" w:hAnsi="Arial"/>
          <w:sz w:val="16"/>
          <w:szCs w:val="16"/>
          <w:color w:val="auto"/>
        </w:rPr>
      </w:pPr>
    </w:p>
    <w:p>
      <w:pPr>
        <w:ind w:left="900" w:hanging="446"/>
        <w:spacing w:after="0" w:line="285" w:lineRule="auto"/>
        <w:tabs>
          <w:tab w:leader="none" w:pos="90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Securitization. </w:t>
      </w:r>
      <w:r>
        <w:rPr>
          <w:rFonts w:ascii="Arial" w:cs="Arial" w:eastAsia="Arial" w:hAnsi="Arial"/>
          <w:sz w:val="16"/>
          <w:szCs w:val="16"/>
          <w:color w:val="auto"/>
        </w:rPr>
        <w:t>In addition to issuing securities to raise capital as described above, we anticipate that in the future, as market conditions permit,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securitize our loans to generate cash for funding new investments. To securitize loans, we may create a wholly-owned subsidiary, contribute a pool of loans to the subsidiary and have the subsidiary issue primarily investment grade debt securities to purchasers who we would expect to be willing to accept a substantially lower interest rate than the loans earn. Even though we expect the pool of loans that we contribute to any such securitization vehicle to be rated below investment grade, because the securitization vehicle’s portfolio of loans would secure all of the debt issued by such vehicle, a portion of such debt may be rated investment grade, subject in each case to market conditions that may require such portion of the debt to be over collateralized and various other restrictions. If applicable accounting pronouncements or SEC staff guidance requires us to consolidate the securitization vehicle’s financial statements with our financial statements any debt issued by it would be generally treated as if it were issued by us for purposes of the asset coverage ratio applicable to us. In such case, we would expect to retain all or a portion of the equity and/or subordinated notes in the securitization vehicle. Our retained equity would be exposed to any losses on the portfolio of loans before any of the debt securities would be exposed to such losses. Accordingly, if the pool of loans experienced a low level of losses due to defaults, we would earn an incremental amount of income on our retained equity but we would be exposed, up to the amount of equity we retained, to that proportion of any losses we would have experienced if we had continued to hold the loans in our portfolio. We may hold subordinated debentures in any such securitization vehicle and, if</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56" w:lineRule="auto"/>
        <w:rPr>
          <w:sz w:val="20"/>
          <w:szCs w:val="20"/>
          <w:color w:val="auto"/>
        </w:rPr>
      </w:pPr>
      <w:r>
        <w:rPr>
          <w:rFonts w:ascii="Arial" w:cs="Arial" w:eastAsia="Arial" w:hAnsi="Arial"/>
          <w:sz w:val="18"/>
          <w:szCs w:val="18"/>
          <w:color w:val="auto"/>
        </w:rPr>
        <w:t>so, we would not consider such securities to be senior securities. An inability to successfully securitize our loan portfolio could limit our ability to grow our business and fully execute our business strategy and adversely affect our earnings, if any. Moreover, the successful securitization of a portion of our loan portfolio might expose us to losses as the residual loans in which we do not sell interests will tend to be those that are riskier and less liquid.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currently use borrowed funds to make investments and are exposed to the typical risks associated with leverage.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Because we borrow funds, through Funding I, to make investments we are exposed to increased risk of loss due to our use of debt to make investments. A decrease in the value of our investments will have a greater negative impact on the net asset value attributable to our common stock than it would if we did not use debt. Our ability to pay distributions is restricted when our asset coverage ratio, is not met, and any amounts that we use to service our indebtedness are not available for distribution to our common stockholders.</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current debt is governed by the terms of the Credit Facility and may in the future be governed by an indenture or other instrument containing covenants restricting our operating flexibility. We, and indirectly our stockholders, bear the cost of issuing and servicing debt. Any convertible or exchangeable securities that we issue in the future may have rights, preferences and privileges more favorable than those of our common stock.</w:t>
      </w:r>
    </w:p>
    <w:p>
      <w:pPr>
        <w:spacing w:after="0" w:line="182"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Funding I may fail to meet certain asset coverage tests, which would have an adverse effect on the timing of payments to us, or otherwise fail to satisfy various covenants.</w:t>
      </w:r>
    </w:p>
    <w:p>
      <w:pPr>
        <w:spacing w:after="0" w:line="4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Under the documents governing the Credit Facility, there are two coverage tests applicable to Funding I. For example, the income coverage test compares the amount of interest received on the portfolio loans held by Funding I to the amount of interest payable to the Lender and certain other expenses. To meet this test, the aggregate amount of interest received on the portfolio loans must equal at least 125% of the interest payable in respect to the Lender and other parties. If these coverage tests are not satisfied on any date on which compliance is measured, Funding I will be required to apply any available funds to the repayment of principal under the Credit Facility to the extent necessary to satisfy the applicable coverage tests.</w:t>
      </w:r>
    </w:p>
    <w:p>
      <w:pPr>
        <w:spacing w:after="0" w:line="116" w:lineRule="exact"/>
        <w:rPr>
          <w:sz w:val="20"/>
          <w:szCs w:val="20"/>
          <w:color w:val="auto"/>
        </w:rPr>
      </w:pPr>
    </w:p>
    <w:p>
      <w:pPr>
        <w:jc w:val="both"/>
        <w:ind w:right="280" w:firstLine="456"/>
        <w:spacing w:after="0" w:line="298" w:lineRule="auto"/>
        <w:rPr>
          <w:sz w:val="20"/>
          <w:szCs w:val="20"/>
          <w:color w:val="auto"/>
        </w:rPr>
      </w:pPr>
      <w:r>
        <w:rPr>
          <w:rFonts w:ascii="Arial" w:cs="Arial" w:eastAsia="Arial" w:hAnsi="Arial"/>
          <w:sz w:val="16"/>
          <w:szCs w:val="16"/>
          <w:color w:val="auto"/>
        </w:rPr>
        <w:t>In addition to the applicable asset coverage test that restricts our ability to borrow under Funding I’s Credit Facility, the various covenants which, if not complied with, could accelerate repayment under the Credit Facility, thereby materially and adversely affecting our liquidity, financial condition and results of operations. Funding I’s borrowings under the Credit Facility are collateralized by the assets in Funding I’s investment portfolio. The agreements governing the Credit Facility require Funding I to comply with certain financial and operational covenants. These covenants include:</w:t>
      </w:r>
    </w:p>
    <w:p>
      <w:pPr>
        <w:spacing w:after="0" w:line="32" w:lineRule="exact"/>
        <w:rPr>
          <w:sz w:val="20"/>
          <w:szCs w:val="20"/>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to retain our status as a BDC;</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requirement to maintain a minimum amount of stockholder’s equity;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requirement that our outstanding borrowings under the Credit Facility not exceed a certain percentage of the values of our portfolio companies.</w:t>
      </w:r>
    </w:p>
    <w:p>
      <w:pPr>
        <w:spacing w:after="0" w:line="194" w:lineRule="exact"/>
        <w:rPr>
          <w:sz w:val="20"/>
          <w:szCs w:val="20"/>
          <w:color w:val="auto"/>
        </w:rPr>
      </w:pPr>
    </w:p>
    <w:p>
      <w:pPr>
        <w:jc w:val="both"/>
        <w:ind w:right="20" w:firstLine="456"/>
        <w:spacing w:after="0" w:line="298" w:lineRule="auto"/>
        <w:rPr>
          <w:sz w:val="20"/>
          <w:szCs w:val="20"/>
          <w:color w:val="auto"/>
        </w:rPr>
      </w:pPr>
      <w:r>
        <w:rPr>
          <w:rFonts w:ascii="Arial" w:cs="Arial" w:eastAsia="Arial" w:hAnsi="Arial"/>
          <w:sz w:val="16"/>
          <w:szCs w:val="16"/>
          <w:color w:val="auto"/>
        </w:rPr>
        <w:t>Our continued compliance with these covenants depends on many factors, some of which are beyond our control. A material decrease in our net asset value in connection with additional borrowings could result in an inability to comply with our obligation to restrict the level of indebtedness that we are able to incur in relation to the value of our assets or to maintain a minimum level of stockholders’ equity. This could have a material adverse effect on our operations, as it would reduce availability under the Credit Facility and could trigger mandatory pre-payment obligations under the terms of the Credit Facility.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incur additional debt, it could increase the risk of investing in our shares.</w:t>
      </w:r>
    </w:p>
    <w:p>
      <w:pPr>
        <w:spacing w:after="0" w:line="96"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We have indebtedness outstanding pursuant to our Credit Facility and expect in the future to borrow additional amounts under our Credit Facility and, subject to market availability and satisfaction of certain conditions, to increase the size of our Credit Facility. Lenders have fixed dollar claims on our assets that have priority over the claims of our common stockholders or preferred stockholders, if any, and we have granted a security interest in Funding I’s assets in connection with our Credit Facility borrowings. In the case of a liquidation event, those lenders would receive proceeds before our stockholders. Any future debt issuance will increase our leverage and may be subordinate to our Credit Facility. In addition, borrowings or debt issuances, also known as leverage, magnify the potential for gain or loss on amounts invested and, therefore, increase the risk associated with investing in our securities. Leverage is generally considered a speculative investment technique. If the value of our assets decreases, leveraging would cause the net asset value attributable to our common stock to decline more than it otherwise would have had we not utilized leverage. Similarly, any decrease in our revenue would cause our net income to decline more than it would have had we not borrowed funds and could negatively affect our ability to make distributions on our common or preferred stock. Our ability to service any debt that we incur depends largely on our financial performance and is subject to prevailing economic conditions and competitive pressures.</w:t>
      </w:r>
    </w:p>
    <w:p>
      <w:pPr>
        <w:spacing w:after="0" w:line="12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March 31, 2013, we had outstanding borrowings of $34.2 million under our Credit Facility with a weighted average annual interest rate of 2.21% exclusive of the fees on the undrawn commitment of 0.375%. Accordingly, to cover the annual interest on our borrowings outstanding at March 31, 2013, at the then current rate, we would have to receive an annual yield of at least 0.42%. This example is for illustrative purposes only, and actual interest rates on our Credit Facility or any future borrowings are likely to fluctuate. The costs associated with our borrowings, including any increase in the management fee payable to our Investment Adviser, are and will be borne by our common stockholders.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following table is designed to illustrate the effect on return to a holder of our common stock of the leverage created by our use of borrowing at March 31, 2013 of 18% of total assets (including such borrowed funds), at a weighted average rate at the time of 2.21%, and assuming hypothetical annual returns on our portfolio of minus 10 to plus 10 percent. The table also assumes that we will maintain a constant level and weighted average rate of leverage. The amount of leverage and cost of borrowing that we use will vary from time to time. As can be seen, leverage generally increases the return to stockholders when the portfolio return is positive and decreases return when the portfolio return is negative. Actual returns may be greater or less than those appearing in the table.</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Assumed return on portfolio (net of expenses)</w:t>
            </w:r>
            <w:r>
              <w:rPr>
                <w:rFonts w:ascii="Arial" w:cs="Arial" w:eastAsia="Arial" w:hAnsi="Arial"/>
                <w:sz w:val="11"/>
                <w:szCs w:val="11"/>
                <w:color w:val="auto"/>
              </w:rPr>
              <w:t>(1)</w:t>
            </w:r>
          </w:p>
        </w:tc>
        <w:tc>
          <w:tcPr>
            <w:tcW w:w="272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(10.0)%</w:t>
            </w:r>
          </w:p>
        </w:tc>
        <w:tc>
          <w:tcPr>
            <w:tcW w:w="88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(5.0)%</w:t>
            </w:r>
          </w:p>
        </w:tc>
        <w:tc>
          <w:tcPr>
            <w:tcW w:w="88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5.0%</w:t>
            </w:r>
          </w:p>
        </w:tc>
        <w:tc>
          <w:tcPr>
            <w:tcW w:w="7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10.0%</w:t>
            </w:r>
          </w:p>
        </w:tc>
      </w:tr>
      <w:tr>
        <w:trPr>
          <w:trHeight w:val="222"/>
        </w:trPr>
        <w:tc>
          <w:tcPr>
            <w:tcW w:w="5400" w:type="dxa"/>
            <w:vAlign w:val="bottom"/>
          </w:tcPr>
          <w:p>
            <w:pPr>
              <w:spacing w:after="0"/>
              <w:rPr>
                <w:sz w:val="20"/>
                <w:szCs w:val="20"/>
                <w:color w:val="auto"/>
              </w:rPr>
            </w:pPr>
            <w:r>
              <w:rPr>
                <w:rFonts w:ascii="Arial" w:cs="Arial" w:eastAsia="Arial" w:hAnsi="Arial"/>
                <w:sz w:val="18"/>
                <w:szCs w:val="18"/>
                <w:color w:val="auto"/>
              </w:rPr>
              <w:t>Corresponding return to common stockholders</w:t>
            </w:r>
            <w:r>
              <w:rPr>
                <w:rFonts w:ascii="Arial" w:cs="Arial" w:eastAsia="Arial" w:hAnsi="Arial"/>
                <w:sz w:val="11"/>
                <w:szCs w:val="11"/>
                <w:color w:val="auto"/>
              </w:rPr>
              <w:t>(2)</w:t>
            </w:r>
          </w:p>
        </w:tc>
        <w:tc>
          <w:tcPr>
            <w:tcW w:w="2720" w:type="dxa"/>
            <w:vAlign w:val="bottom"/>
          </w:tcPr>
          <w:p>
            <w:pPr>
              <w:jc w:val="right"/>
              <w:ind w:right="92"/>
              <w:spacing w:after="0"/>
              <w:rPr>
                <w:sz w:val="20"/>
                <w:szCs w:val="20"/>
                <w:color w:val="auto"/>
              </w:rPr>
            </w:pPr>
            <w:r>
              <w:rPr>
                <w:rFonts w:ascii="Arial" w:cs="Arial" w:eastAsia="Arial" w:hAnsi="Arial"/>
                <w:sz w:val="18"/>
                <w:szCs w:val="18"/>
                <w:color w:val="auto"/>
              </w:rPr>
              <w:t>(14.1)%</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(7.3)%</w:t>
            </w:r>
          </w:p>
        </w:tc>
        <w:tc>
          <w:tcPr>
            <w:tcW w:w="88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780" w:type="dxa"/>
            <w:vAlign w:val="bottom"/>
          </w:tcPr>
          <w:p>
            <w:pPr>
              <w:jc w:val="right"/>
              <w:ind w:right="132"/>
              <w:spacing w:after="0"/>
              <w:rPr>
                <w:sz w:val="20"/>
                <w:szCs w:val="20"/>
                <w:color w:val="auto"/>
              </w:rPr>
            </w:pPr>
            <w:r>
              <w:rPr>
                <w:rFonts w:ascii="Arial" w:cs="Arial" w:eastAsia="Arial" w:hAnsi="Arial"/>
                <w:sz w:val="18"/>
                <w:szCs w:val="18"/>
                <w:color w:val="auto"/>
              </w:rPr>
              <w:t>6.2%</w:t>
            </w: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assumed portfolio return is required by regulation of the SEC and is not a prediction of, and does not represent, our projected or actual performance.</w:t>
      </w:r>
    </w:p>
    <w:p>
      <w:pPr>
        <w:spacing w:after="0" w:line="38" w:lineRule="exact"/>
        <w:rPr>
          <w:rFonts w:ascii="Arial" w:cs="Arial" w:eastAsia="Arial" w:hAnsi="Arial"/>
          <w:sz w:val="16"/>
          <w:szCs w:val="16"/>
          <w:color w:val="auto"/>
        </w:rPr>
      </w:pPr>
    </w:p>
    <w:p>
      <w:pPr>
        <w:jc w:val="both"/>
        <w:ind w:left="460" w:right="60" w:hanging="452"/>
        <w:spacing w:after="0" w:line="295"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order to compute the “corresponding return to common stockholders,” the “assumed return on portfolio” is multiplied by the total value of our assets at the beginning of the period to obtain an assumed return to us. From this amount, all interest expense expected to be accrued during the period is subtracted to determine the return available to stockholders. The return available to stockholders is then divided by the total value of our net assets as of the beginning of the period to determine the “corresponding return to common stockholders.”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risks associated with changes in interest rates that may affect our cost of capital and net investment income.</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Since we borrow money to make investments, our net investment income depends, in part, upon the difference between the rate at which we borrow funds and the rate at which we invest those funds. As a result, we can offer no assurance that a significant change in market interest rates will not have a material adverse effect 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our net investment income. In periods of rising interest rates, our cost of funds will increase, which could reduce our net investment income. We may use interest rate risk management techniques, such as total return swaps and interest rate swaps, in an effort to limit our exposure to interest rate fluctuations. These techniques may include various interest rate hedging activities to the extent permitted by the 1940 Act and applicable commodities laws. These activities may limit our ability to participate in the benefits of lower interest rates with respect to the hedged portfolio. Adverse developments resulting from changes in interest rates or hedging transactions could have a material adverse effect on our business, financial condition and results of operations. Also, we have limited experience in entering into hedging transactions, and we will initially have to purchase or develop such expertise. See “Management Discussion and Analysis of Financial Condition and Results of Operations—Quantitative and Qualitative Disclosures about Market Risk” for more information.</w:t>
      </w:r>
    </w:p>
    <w:p>
      <w:pPr>
        <w:spacing w:after="0" w:line="118"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A rise in the general level of interest rates can be expected to lead to higher interest rates applicable to our debt investments. Accordingly, an increase in interest rates would make it easier for us to meet or exceed the incentive fee hurdle and may result in a substantial increase of the amount of incentive fees payable to our Investment Adviser with respect to Pre-Incentive Fee Net Investment Income.</w:t>
      </w:r>
    </w:p>
    <w:p>
      <w:pPr>
        <w:spacing w:after="0" w:line="107"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General interest rate fluctuations may have a substantial negative impact on our investments, the value of our common stock and our rate of return on invested capital. A reduction in the interest rates on new investments relative to interest rates on current investments could also have an adverse impact on our net interest income. An increase in interest rates could decrease the value of any investments we hold which earn fixed interest rates and also could increase our interest expense, thereby decreasing our net income. Also, an increase in interest rates available to investors could make investment in our common stock less attractive if we are not able to increase our dividend rate, which could reduce the value of our common stock.</w:t>
      </w:r>
    </w:p>
    <w:p>
      <w:pPr>
        <w:spacing w:after="0" w:line="191"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debt securities, which would magnify the potential for loss and the risks of investing in us in the same way as our borrowings.</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a result of any issuance of debt securities, we would be exposed to typical risks associated with leverage, including an increased risk of loss and an increase in expenses, which are ultimately borne by our common stockholders. Payment of interest on such debt securities must take preference over any other dividends or other payments to our common stockholders. If we issue debt securities, it is likely that such securities will be governed by an indenture or other instrument containing covenants restricting our operating flexibility. In addition, such securities may be rated by rating agencies, and in obtaining a rating for such securities, we may be required to abide by operating and investment guidelines that could further restrict our operating flexibility. Furthermore, any amounts that we use to service our indebtedness would not be available for distributions to our common stockholders.</w:t>
      </w:r>
    </w:p>
    <w:p>
      <w:pPr>
        <w:spacing w:after="0" w:line="195"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We may in the future determine to fund a portion of our investments with preferred stock, which would magnify the potential for loss and the risks of investing in us in the same way as our borrowings.</w:t>
      </w:r>
    </w:p>
    <w:p>
      <w:pPr>
        <w:spacing w:after="0" w:line="45" w:lineRule="exact"/>
        <w:rPr>
          <w:sz w:val="20"/>
          <w:szCs w:val="20"/>
          <w:color w:val="auto"/>
        </w:rPr>
      </w:pPr>
    </w:p>
    <w:p>
      <w:pPr>
        <w:ind w:right="160" w:firstLine="456"/>
        <w:spacing w:after="0" w:line="290" w:lineRule="auto"/>
        <w:rPr>
          <w:sz w:val="20"/>
          <w:szCs w:val="20"/>
          <w:color w:val="auto"/>
        </w:rPr>
      </w:pPr>
      <w:r>
        <w:rPr>
          <w:rFonts w:ascii="Arial" w:cs="Arial" w:eastAsia="Arial" w:hAnsi="Arial"/>
          <w:sz w:val="16"/>
          <w:szCs w:val="16"/>
          <w:color w:val="auto"/>
        </w:rPr>
        <w:t>Preferred stock, which is another form of leverage, has the same risks to our common stockholders as borrowings because the dividends on any preferred stock we issue must be cumulative. If we issue preferred securities they would rank “senior” to common stock in our capital structure. Payment of dividends on, and repayment of the liquidation preference of, such preferred stock would typically take preference over any dividends or other payments to our common stockholders. Also, preferred stockholders are not, typically, subject to any of our expenses or losses and are not entitled to participate in any income or appreciation in excess of their stated preference. Furthermore, preferred stockholders would have separate voting rights and may have rights, preferences or privileges more favorable than those of our common stock. Also, the issuance of preferred securities could have the effect of delaying, deferring or preventing a transaction or a change of control that might involve a premium price for our common stockholders or otherwise be in your best interest.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interests in Funding I are subordinated.</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own 100% of the equity interests in Funding I. We consolidate Funding I in our Consolidated Financial Statements and treat the indebtedness of Funding I as our leverage. Our interests in Funding I (other than the management fees that the Investment Adviser has irrevocably directed to be paid to us) are subordinate in priority of payment to every other obligation of Funding I and are subject to certain payment restrictions set forth in the Credit Facility documents. We may receive cash distributions on our equity interests in Funding I only after it has made all (1)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w:t>
      </w:r>
    </w:p>
    <w:p>
      <w:pPr>
        <w:spacing w:after="0" w:line="12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equity interests in Funding I are subordinate to all of the secured and unsecured creditors, known or unknown, of Funding I, including the Lender. Consequently, to the extent that the value of Funding I’s portfolio of loan investments has been reduced as a result of conditions in the credit markets, defaulted loans, capital losses exceed gains on the underlying assets, prepayments or changes in interest rates, the return on our investment in Funding I could be reduced. Accordingly, our investment in Funding I is subject to loss of principal.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receive cash on our equity interests from Funding I.</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Except for management fees that PennantPark Investment Advisers has irrevocably directed to be paid to us, we receive cash from Funding I only to the extent that we receive distributions on our equity interests in Funding I. Funding I may make equity distributions on such interests only to the extent permitted by the payment priority provisions of the Credit Facility. The Credit Facility generally provides that payments on such interests may not be made on any payment date unless all amounts owing to the Lender and other secured parties are paid in full. In the event that we fail to receive cash from Funding I, we could be unable to make distributions to our stockholders in amounts sufficient to qualify as a RIC. We also could be forced to sell investments in portfolio companies at less than their fair value in order to continue making such distributions.</w:t>
      </w:r>
    </w:p>
    <w:p>
      <w:pPr>
        <w:spacing w:after="0" w:line="19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If we issue preferred stock, debt securities or convertible debt securities the net asset value and market value of our common stock may become more volatile.</w:t>
      </w:r>
    </w:p>
    <w:p>
      <w:pPr>
        <w:spacing w:after="0" w:line="4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cannot assure you that the issuance of preferred stock and/or debt securities would result in a higher yield or return to the holders of our common stock. The issuance of preferred stock, debt securities and/or convertible debt would likely cause the net asset value and market value of our common stock to become more volatile. If the dividend rate on the preferred stock, or the interest rate on the debt securities, were to approach the net rate of return on our investment portfolio, the benefit of leverage to the holders of our common stock would be reduced. If the dividend rate on the preferred stock, or the interest rate on the debt securities, were to exceed the net rate of return on our portfolio, the use of leverage would result in a lower rate of return to the holders of common stock than if we had not issued the preferred stock or debt securities. Any decline in the net asset value of our investment would be borne entirely by the holders of our common stock. Therefore, if the market value of our portfolio were to decline, the leverage would result in a greater decrease in net asset value to the holders of our common stock than if we were not leveraged through the issuance of preferred stock. This decline in net asset value would also tend to cause a greater decline in the market price for our common stock.</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There is also a risk that, in the event of a sharp decline in the value of our net assets, we would be in danger of failing to maintain required asset coverage ratios which may be required by the preferred stock, debt securities and/or convertible debt or of a downgrade in the ratings of the preferred stock, debt securities and/or convertible debt or our current investment income might not be sufficient to meet the dividend requirements on the preferred stock or the interest payments on the debt securities. In order to counteract such an event, we might need to liquidate investments in order to fund redemption of some or all of the preferred stock, debt securities and/or convertible debt. In addition, we would pay (and the holders of our common stock would bear) all costs and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370" w:lineRule="auto"/>
        <w:rPr>
          <w:sz w:val="20"/>
          <w:szCs w:val="20"/>
          <w:color w:val="auto"/>
        </w:rPr>
      </w:pPr>
      <w:r>
        <w:rPr>
          <w:rFonts w:ascii="Arial" w:cs="Arial" w:eastAsia="Arial" w:hAnsi="Arial"/>
          <w:sz w:val="15"/>
          <w:szCs w:val="15"/>
          <w:color w:val="auto"/>
        </w:rPr>
        <w:t>expenses relating to the issuance and ongoing maintenance of the preferred stock, debt securities and/or convertible debt. Holders of preferred stock, debt securities and/or convertible debt may have different interests than holders of common stock and may at times have disproportionate influence over our affairs.</w:t>
      </w:r>
    </w:p>
    <w:p>
      <w:pPr>
        <w:spacing w:after="0" w:line="137" w:lineRule="exact"/>
        <w:rPr>
          <w:sz w:val="20"/>
          <w:szCs w:val="20"/>
          <w:color w:val="auto"/>
        </w:rPr>
      </w:pPr>
    </w:p>
    <w:p>
      <w:pPr>
        <w:ind w:right="240"/>
        <w:spacing w:after="0" w:line="275" w:lineRule="auto"/>
        <w:rPr>
          <w:sz w:val="20"/>
          <w:szCs w:val="20"/>
          <w:color w:val="auto"/>
        </w:rPr>
      </w:pPr>
      <w:r>
        <w:rPr>
          <w:rFonts w:ascii="Arial" w:cs="Arial" w:eastAsia="Arial" w:hAnsi="Arial"/>
          <w:sz w:val="18"/>
          <w:szCs w:val="18"/>
          <w:b w:val="1"/>
          <w:bCs w:val="1"/>
          <w:color w:val="auto"/>
        </w:rPr>
        <w:t>Holders of any preferred stock that we may issue will have the right to elect members of the board of directors and have class voting rights on certain matters.</w:t>
      </w:r>
    </w:p>
    <w:p>
      <w:pPr>
        <w:spacing w:after="0" w:line="45"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The 1940 Act requires that holders of shares of preferred stock must be entitled as a class to elect two directors at all times and to elect a majority of the directors if dividends on such preferred stock are in arrears by two years or more, until such arrearage is eliminated. In addition, certain matters under the 1940 Act require the separate vote of the holders of any issued and outstanding preferred stock, including changes in fundamental investment restrictions and conversion to open-end status and, accordingly, preferred stockholders could veto any such changes. Restrictions imposed on the declarations and payment of dividends or other distributions to the holders of our common stock and preferred stock, both by the 1940 Act and by requirements imposed by rating agencies, might impair our ability to maintain our qualification as a RIC for U.S. federal income tax purposes, which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 the future issue securities for which there is no public market and for which we expect no public market to develop.</w:t>
      </w:r>
    </w:p>
    <w:p>
      <w:pPr>
        <w:spacing w:after="0" w:line="96"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In order to raise additional capital, we may issue debt or other securities for which no public market exists, and for which no public market is expected to develop. If we issue shares of our common stock as a component of a unit security, we would expect the common stock to separate from the other securities in such unit after a period of time or upon occurrence of an event and to trade publicly on the NASDAQ Global Select Market, which may cause volatility in our publicly traded common stock. To the extent we issue securities for which no public market exists and for which no public market develops, a purchaser of such securities may not be able to liquidate the investment without considerable delay, if at all. If a market should develop for our debt and other securities, the price may be highly volatile, and our debt and other securities may lose value.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are significant potential conflicts of interest which could impact our investment returns.</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professionals of the Investment Adviser and Administrator may serve as officers, directors or principals of entities that operate in the same or a related line of business as we do or of investment funds managed by affiliates of PennantPark Floating Rate Capital Ltd. that currently exist or may be formed in the future. The Investment Adviser and Administrator may be engaged by such funds at any time and without the prior approval of our stockholders or our board of directors. Our board of directors monitors any potential conflict that may arise upon such a development. Accordingly, if this occurs, they may have obligations to investors in those entities, the fulfillment of which might not be in the best interests of us or our stockholders. Currently, the executive officers and directors, as well as the current senior investment professionals of the Investment Adviser, may serve as officers and directors of our affiliated funds. In addition, we note that any affiliated investment vehicles currently formed or formed in the future and managed by the Investment Adviser or its affiliates may have overlapping investment objectives with our own and, accordingly, may invest in asset classes similar to those targeted by us. As a result, the Investment Adviser may face conflicts in allocating investment opportunities between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an investment manager affiliated with the Investment Adviser. In any such case, when the Investment Adviser identifies an investment, it is forced to choose which investment fund should make the investment. We may co-invest on a concurrent basis with any other affiliates that the Investment Adviser currently has or forms in the future, subject to compliance with applicable regulations and regulatory guidance and our allocation procedures. In certain circumstances, negotiated co-investments may be made only if we receive an order from the SEC permitting us to do so. There can be no assurance that any such order will be obtained.</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In the ordinary course of our investing activities, we will pay investment advisory and incentive fees to the Investment Adviser, and will reimburse the Investment Adviser for certain expenses it incurs. As a result, investors in our common stock will invest on a “gross” basis and receive distributions on a “net” basis after expenses, resulting in a lower rate of return than an investor might achieve through direct investments. Accordingly, there may be times when the management team of the Investment Adviser has interests that differ from those of our stockholders, giving rise to a conflict.</w:t>
      </w:r>
    </w:p>
    <w:p>
      <w:pPr>
        <w:spacing w:after="0" w:line="113"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entered into a license agreement, or the Licence Agreement, with PennantPark Investment Advisers, pursuant to which the Investment Adviser has agreed to grant us a royalty-free non-exclusive license to use the name “PennantPark.” The License Agreement will expire (i) upon expiration or termination of the Investment Management Agreement, (ii) if the Investment Adviser ceases to serve as our investment adviser, (iii) by either party upon sixty days’ written notice or (iv) by the Investment Adviser at any time in the event we assign or attempt to assign or sublicense the License Agreement or any of our rights or duties thereunder without the prior written consent of the Investment Adviser. Other than with respect to this limited license, we have no legal right to the “PennantPark” name. In addition, we pay PennantPark Investment Administration, an affiliate of the Investment Adviser, our allocable portion of overhead and other expenses incurred by PennantPark Investment Administration in performing its obligations under the Administration Agreement, including rent and our allocable portion of the cost of our Chief Financial Officer and Chief Compliance Officer and their respective staffs. These arrangements may create conflicts of interest that our board of directors must monitor.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ability to sell investments held by Funding I is limited.</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Credit Facility place restrictions on the collateral manager’s ability to sell investments. As a result, there may be times or circumstances during which the collateral manager is unable to sell investments or take other actions that might be in our best interests.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market or market value of any publicly issued debt securities or convertible debt may be volatile.</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If we publicly issue debt securities or convertible debt, they may or may not have an established trading market. We cannot assure investors that a trading market for our publicly issued debt or convertible debt securities would develop or be maintained if developed. In addition to our creditworthiness, many factors may materially adversely affect the trading market for, and market value of, our publicly issued debt or convertible debt securities. These factors include the following:</w:t>
      </w:r>
    </w:p>
    <w:p>
      <w:pPr>
        <w:spacing w:after="0" w:line="62" w:lineRule="exact"/>
        <w:rPr>
          <w:sz w:val="20"/>
          <w:szCs w:val="20"/>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time remaining to the maturity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outstanding principal amount of debt securities with terms identical to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supply of debt securities trading in the secondary market,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redemption, repayment or convertible features, if any, of these debt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level, direction and volatility of market interest rates generally;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market rates of interest higher or lower than rates borne by the debt securities.</w:t>
      </w:r>
    </w:p>
    <w:p>
      <w:pPr>
        <w:spacing w:after="0" w:line="17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There also may be a limited number of buyers for our debt securities. This too may materially adversely affect the market value of the debt securities or the trading market for the debt securities. Our debt securities may include convertible features that cause them to more closely bear risks associated with an investment in our common stock.</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credit ratings may not reflect all risks of an investment in debt securities.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Our credit ratings, if any, are an assessment of our ability to pay our obligations. Consequently, real or anticipated changes in our credit ratings will generally affect the market value of any publicly issued debt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securities. Our credit ratings, however, may not reflect the potential impact of risks related to market conditions generally or other factors discussed above on the market value of, or trading market for, any publicly issued debt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relating to redemption may have a material adverse effect on the return on any debt securities.</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If we issue debt securities that are redeemable at our option, we may choose to redeem the debt securities at times when prevailing interest rates are lower than the interest rate paid on the debt securities. In addition, if the debt securities are subject to mandatory redemption, we may be required to redeem the debt securities at times when prevailing interest rates are lower than the interest rate paid on the debt securities. In this circumstance, a holder of our debt securities may not be able to reinvest the redemption proceeds in a comparable security at an effective interest rate as high as the debt securities being redeemed.</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If we issue subscription rights or warrants for our common stock, your interest in us may be diluted as a result of such rights or warrants offering.</w:t>
      </w:r>
    </w:p>
    <w:p>
      <w:pPr>
        <w:spacing w:after="0" w:line="119" w:lineRule="exact"/>
        <w:rPr>
          <w:sz w:val="20"/>
          <w:szCs w:val="20"/>
          <w:color w:val="auto"/>
        </w:rPr>
      </w:pPr>
    </w:p>
    <w:p>
      <w:pPr>
        <w:jc w:val="both"/>
        <w:ind w:right="140" w:firstLine="456"/>
        <w:spacing w:after="0" w:line="256" w:lineRule="auto"/>
        <w:rPr>
          <w:sz w:val="20"/>
          <w:szCs w:val="20"/>
          <w:color w:val="auto"/>
        </w:rPr>
      </w:pPr>
      <w:r>
        <w:rPr>
          <w:rFonts w:ascii="Arial" w:cs="Arial" w:eastAsia="Arial" w:hAnsi="Arial"/>
          <w:sz w:val="18"/>
          <w:szCs w:val="18"/>
          <w:color w:val="auto"/>
        </w:rPr>
        <w:t>Stockholders who do not fully exercise rights or warrants issued to them in an offering of subscription rights or warrants to purchase our common stock should expect that they will, at the completion of an offering, own a smaller proportional interest in us than would otherwise be the case if they fully exercised their rights or warrants. We cannot state precisely the amount of any such dilution in share ownership because we do not know what proportion of the common stock would be purchased as a result of any such offering.</w:t>
      </w:r>
    </w:p>
    <w:p>
      <w:pPr>
        <w:spacing w:after="0" w:line="143"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In addition, if the subscription price or warrant exercise price is less than our net asset value per share of common stock at the time of an offering, then our stockholders would experience an immediate dilution of the aggregate net asset value of their shares as a result of the offering. The amount of any such decrease in net asset value is not predictable because it is not known at this time what the subscription price, warrant exercise price or net asset value per share will be on the expiration date of such rights offering or what proportion of our common stock will be purchased as a result of any such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experience fluctuations in our quarterly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We could experience fluctuations in our quarterly operating results due to a number of factors, including the interest rate payable on the debt securities we acquire, the default rate on such securities, the level of our expenses, variations in, and the timing of the recognition of, realized and unrealized gains or losses, the degree to which we encounter competition in our markets and general economic conditions. However, as a result of our irrevocable election to apply the fair value option to our Credit Facility future decreases of fair value of our debt will have a corresponding increase to our net asset value. Further increases of fair value of our debt will have the opposite effect. This will tend to mitigate volatility in our earnings and net asset value. As a result of these factors, results for any period should not be relied upon as being indicative of performance in future periods.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laws or regulations governing our operations may adversely affect our business.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and our portfolio companies are subject to regulation by laws at the local, state and federal levels. These laws and regulations, as well as their interpretation, may be changed from time to time. Accordingly, any change in these laws or regulations could have a material adverse effect on our business. See “Regulation”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board of directors may change our investment objectives, operating policies and strategies without prior notice or stockholder approval.</w:t>
      </w:r>
    </w:p>
    <w:p>
      <w:pPr>
        <w:spacing w:after="0" w:line="119"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Our board of directors has the authority to modify or waive certain of our operating policies and strategies without prior notice and without stockholder approval (except as required by the 1940 Act). However, absent stockholder approval, we may not change the nature of our business so as to cease to be, or withdraw our election</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20"/>
          </w:cols>
          <w:pgMar w:left="24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THE ILLIQUID NATURE OF OUR PORTFOLIO ASSETS</w:t>
      </w:r>
    </w:p>
    <w:p>
      <w:pPr>
        <w:spacing w:after="0" w:line="90"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We invest in illiquid assets, and our valuation procedures with respect to such assets may result in recording values that are materially different than the values we ultimately receive upon disposition of such assets.</w:t>
      </w:r>
    </w:p>
    <w:p>
      <w:pPr>
        <w:spacing w:after="0" w:line="45"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All of our investments are recorded using broker or dealer quotes, or at fair value as determined in good faith by our board of directors. We expect that primarily most, if not all, of our investments (other than cash and cash equivalents) and the fair value of the Credit Facility will be classified as Level 3 under Financial Accounting Standards Board, or FASB, Accounting Standards Codification, or ASC, 820, Fair Value Measurements. This means that the portfolio valuations will be based on unobservable inputs and our own assumptions about how market participants would price the asset or liability. We expect that inputs into the determination of fair value of our portfolio investments and Credit Facility borrowings will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such a disclaimer materially reduces the reliability of such information.</w:t>
      </w:r>
    </w:p>
    <w:p>
      <w:pPr>
        <w:spacing w:after="0" w:line="118" w:lineRule="exact"/>
        <w:rPr>
          <w:sz w:val="20"/>
          <w:szCs w:val="20"/>
          <w:color w:val="auto"/>
        </w:rPr>
      </w:pPr>
    </w:p>
    <w:p>
      <w:pPr>
        <w:ind w:right="180" w:firstLine="456"/>
        <w:spacing w:after="0" w:line="253" w:lineRule="auto"/>
        <w:rPr>
          <w:sz w:val="20"/>
          <w:szCs w:val="20"/>
          <w:color w:val="auto"/>
        </w:rPr>
      </w:pPr>
      <w:r>
        <w:rPr>
          <w:rFonts w:ascii="Arial" w:cs="Arial" w:eastAsia="Arial" w:hAnsi="Arial"/>
          <w:sz w:val="18"/>
          <w:szCs w:val="18"/>
          <w:color w:val="auto"/>
        </w:rPr>
        <w:t>Determining fair value requires that judgment be applied to the specific facts and circumstances of each portfolio investment while employing a consistently applied valuation process for the types of investments we make. In determining fair value in good faith, we generally obtain financial and other information from portfolio companies, which may represent unaudited, projected or pro forma financial information. Unlike banks, we are not permitted to provide a general reserve for anticipated loan losses; we are instead required by the 1940 Act to specifically fair value each individual investment on a quarterly basis. We record unrealized appreciation if we believe that the underlying portfolio company has appreciated in value. Likewise, we record unrealized depreciation if we believe that the underlying portfolio company has depreciated in value. As a result, there will be uncertainty as to the value of our portfolio investments.</w:t>
      </w:r>
    </w:p>
    <w:p>
      <w:pPr>
        <w:spacing w:after="0" w:line="14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We adjust quarterly the valuation of our portfolio to reflect our board of directors’ determination of the fair value of each investment in our portfolio. Any changes in fair value are recorded on our Consolidated Statement of Operations as net change in unrealized appreciation or depreciation.</w:t>
      </w:r>
    </w:p>
    <w:p>
      <w:pPr>
        <w:spacing w:after="0" w:line="8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At March 31, 2013, all of our investments were recorded at fair value as approved in good faith by our board of directors. As we invest a greater percentage of our total assets in private investments, more of our portfolio assets will be recorded at fair value as determined in good faith by our board of directors. Our board of directors uses the services of one or more nationally recognized independent valuation firms to aid it in determining the fair value of these securities. The factors that may be considered in fair value pricing of our investments include the nature and realizable value of any collateral, the portfolio company’s ability to make payments and its earnings and cash flows, the markets in which the portfolio company does business, comparison to publicly traded companies and other relevant factors. Because valuations may fluctuate over short periods of time and may be based on estimates, our determinations of fair value may differ materially from the value received in an actual transaction. Additionally, valuations of private securities and private companies are inherently uncertain. Our net asset value could be adversely affected if our determinations regarding the fair value of our investments were materially higher than the values that we ultimately realize upon the disposal of such securities.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lack of liquidity in our investments may adversely affect our business.</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acquire our investments directly from the issuer in privately negotiated transactions. Substantially all of these securities are subject to legal and other restrictions on resale or are otherwise less liquid than publicly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traded securities. We typically exit our investments when the portfolio company has a liquidity event such as a sale, refinancing, or initial public offering of the company, but we are not required to do so.</w:t>
      </w:r>
    </w:p>
    <w:p>
      <w:pPr>
        <w:spacing w:after="0" w:line="132"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The illiquidity of our investments may make it difficult or impossible for us to sell such investments if the need arises, particularly at times when the market appetite for illiquid securities is substantially diminished. In addition, if we are required to liquidate all or a portion of our portfolio quickly, we may realize significantly less than the value at which we have previously recorded our investments, which could have a material adverse effect on our business, financial condition and results of operations. In addition, we may face other restrictions on our ability to liquidate an investment in a portfolio company to the extent that we have material non-public information regarding such portfolio company.</w:t>
      </w:r>
    </w:p>
    <w:p>
      <w:pPr>
        <w:spacing w:after="0" w:line="1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Securities purchased by us that are liquid at the time of purchase may subsequently become illiquid due to events relating to the issuer of the securities, market events, economic conditions or investor perceptions. Domestic and foreign markets are complex and interrelated, so that events in one sector of the world markets or economy, or in one geographical region, can reverberate and have materially negative consequences for other market, economic or regional sectors in a manner that may not be foreseen and which may materially harm our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general disruption in the credit markets could materially damage our business.</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are susceptible to the risk of significant loss if we are forced to discount the value of our investments in order to provide liquidity to meet our liability maturities. Funding I’s borrowings under it’s Credit Facility are collateralized by the assets in our investment portfolio. A general disruption in the credit markets could result in a diminished appetite for our securities. In addition, with respect to over-the-counter traded securities, the continued viability of any over-the-counter secondary market depends on the continued willingness of dealers and other participants to purchase the securities.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the fair value of our assets declines substantially, we may fail to maintain the asset coverage ratios stipulated by the 1940 Act, which could, in turn, cause us to lose our status as a BDC and materially impair our business operations. Our liquidity could be impaired further by an inability to access the capital markets or to draw down Funding I’s Credit Facility. These situations may arise due to circumstances that we may be unable to control, such as a general disruption in the credit markets, a severe decline in the value of the U.S. dollar, a sharp economic downturn or an operational problem that affects third parties or us, and could materially damage our business.</w:t>
      </w:r>
    </w:p>
    <w:p>
      <w:pPr>
        <w:spacing w:after="0" w:line="218" w:lineRule="exact"/>
        <w:rPr>
          <w:sz w:val="20"/>
          <w:szCs w:val="20"/>
          <w:color w:val="auto"/>
        </w:rPr>
      </w:pPr>
    </w:p>
    <w:p>
      <w:pPr>
        <w:ind w:right="500"/>
        <w:spacing w:after="0" w:line="275" w:lineRule="auto"/>
        <w:rPr>
          <w:sz w:val="20"/>
          <w:szCs w:val="20"/>
          <w:color w:val="auto"/>
        </w:rPr>
      </w:pPr>
      <w:r>
        <w:rPr>
          <w:rFonts w:ascii="Arial" w:cs="Arial" w:eastAsia="Arial" w:hAnsi="Arial"/>
          <w:sz w:val="18"/>
          <w:szCs w:val="18"/>
          <w:b w:val="1"/>
          <w:bCs w:val="1"/>
          <w:color w:val="auto"/>
        </w:rPr>
        <w:t>We rely in part on our over-the-counter securities, which faced liquidity constraints under recent market conditions, to provide us with additional liquidity.</w:t>
      </w:r>
    </w:p>
    <w:p>
      <w:pPr>
        <w:spacing w:after="0" w:line="4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market for other over-the-counter traded securities has weakened in the recent past as the viability of any over-the-counter secondary market depends on the continued willingness of dealers and other participants to purchase the securities.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INVESTMENTS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prospective portfolio companies may be risky, and you could lose all or part of your investment.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invest primarily in Floating Rate Loans issued by U.S. middle-market companies.</w:t>
      </w:r>
    </w:p>
    <w:p>
      <w:pPr>
        <w:spacing w:after="0" w:line="90" w:lineRule="exact"/>
        <w:rPr>
          <w:sz w:val="20"/>
          <w:szCs w:val="20"/>
          <w:color w:val="auto"/>
        </w:rPr>
      </w:pPr>
    </w:p>
    <w:p>
      <w:pPr>
        <w:ind w:left="920"/>
        <w:spacing w:after="0" w:line="298" w:lineRule="auto"/>
        <w:rPr>
          <w:sz w:val="20"/>
          <w:szCs w:val="20"/>
          <w:color w:val="auto"/>
        </w:rPr>
      </w:pPr>
      <w:r>
        <w:rPr>
          <w:rFonts w:ascii="Arial" w:cs="Arial" w:eastAsia="Arial" w:hAnsi="Arial"/>
          <w:sz w:val="16"/>
          <w:szCs w:val="16"/>
          <w:i w:val="1"/>
          <w:iCs w:val="1"/>
          <w:color w:val="auto"/>
        </w:rPr>
        <w:t>Floating Rate Loans</w:t>
      </w:r>
      <w:r>
        <w:rPr>
          <w:rFonts w:ascii="Arial" w:cs="Arial" w:eastAsia="Arial" w:hAnsi="Arial"/>
          <w:sz w:val="16"/>
          <w:szCs w:val="16"/>
          <w:color w:val="auto"/>
        </w:rPr>
        <w:t>. The Floating Rate Loans we invest in are usually rated below investment grade or may also be unrated. Investments in Floating</w:t>
      </w:r>
      <w:r>
        <w:rPr>
          <w:rFonts w:ascii="Arial" w:cs="Arial" w:eastAsia="Arial" w:hAnsi="Arial"/>
          <w:sz w:val="16"/>
          <w:szCs w:val="16"/>
          <w:i w:val="1"/>
          <w:iCs w:val="1"/>
          <w:color w:val="auto"/>
        </w:rPr>
        <w:t xml:space="preserve"> </w:t>
      </w:r>
      <w:r>
        <w:rPr>
          <w:rFonts w:ascii="Arial" w:cs="Arial" w:eastAsia="Arial" w:hAnsi="Arial"/>
          <w:sz w:val="16"/>
          <w:szCs w:val="16"/>
          <w:color w:val="auto"/>
        </w:rPr>
        <w:t>Rate Loans rated below investment grade are considered speculative because of the credit risk of their issuers. Such companies are more likely than investment grade issuers to default on their payments of interest and principal owed to us, and such defaults could reduce our net asset value and income distributions. An economic downturn would generally lead to a</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80"/>
        <w:spacing w:after="0" w:line="298" w:lineRule="auto"/>
        <w:rPr>
          <w:sz w:val="20"/>
          <w:szCs w:val="20"/>
          <w:color w:val="auto"/>
        </w:rPr>
      </w:pPr>
      <w:r>
        <w:rPr>
          <w:rFonts w:ascii="Arial" w:cs="Arial" w:eastAsia="Arial" w:hAnsi="Arial"/>
          <w:sz w:val="16"/>
          <w:szCs w:val="16"/>
          <w:color w:val="auto"/>
        </w:rPr>
        <w:t>higher non-payment rate by portfolio companies, and a Floating Rate Loan may lose significant market value before a default occurs and we may experience losses due to the inherent illiquidity of the investments. Moreover, any specific collateral used to secure a Floating Rate Loan may decline in value or become illiquid, which would adversely affect the Floating Rate Loan’s value. Floating Rate Loans are subject to a number of risks, including liquidity risk and the risk of investing in below investment-grade, variable-rate securities.</w:t>
      </w:r>
    </w:p>
    <w:p>
      <w:pPr>
        <w:spacing w:after="0" w:line="11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Floating Rate Loans are subject to the risk of non-payment of scheduled interest or principal. Such non-payment would result in a reduction of income to us, a reduction in the value of the investment and a potential decrease in our net asset value. There can be no assurance that the liquidation of any collateral securing a Floating Rate Loan would satisfy the borrower’s obligation in the event of non-payment of scheduled interest or principal payments, or that the collateral could be readily liquidated. In the event of bankruptcy or insolvency of a borrower, we could experience delays or limitations with respect to our ability to realize the benefits of the collateral securing a Floating Rate Loan. The collateral securing a Floating Rate Loan may lose all or substantially all of its value in the event of the bankruptcy or insolvency of a borrower. Some loans are subject to the risk that a court, pursuant to fraudulent conveyance or other similar laws, could subordinate the rights in collateral of such loans to presently existing or future indebtedness of the borrower or take other action detrimental to the holders of loans including, in certain circumstances, invalidating such loans or causing interest previously paid to be refunded to the borrower. Either such step could materially negatively affect our performance.</w:t>
      </w:r>
    </w:p>
    <w:p>
      <w:pPr>
        <w:spacing w:after="0" w:line="120"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We may acquire Floating Rate Loans through assignments or participations of interests in such loans. The purchaser of an assignment typically succeeds to all the rights and obligations of the assigning institution and becomes a lender under the credit agreement with respect to such debt obligation. However, the purchaser’s rights can be more restricted than those of the assigning institution, and we may not be able to unilaterally enforce all rights and remedies under an assigned debt obligation and with regard to any associated collateral. A participation typically results in a contractual relationship only with the institution participating out the interest and not directly with the borrower. Sellers of participations typically include banks, broker-dealers, other financial institutions and lending institutions. In purchasing participations, we generally will have no right to enforce compliance by the borrower with the terms of the loan agreement against the borrower, and we may not directly benefit from the collateral supporting the debt obligation in which we have purchased the participation. As a result, we will be exposed to the credit risk of both the borrower and the institution selling the participation. Further, in purchasing participations in lending syndicates, we will not be able to conduct the same level of due diligence on a borrower or the quality of the Floating Rate Loan with respect to which we are buying a participation as we would conduct if we were investing directly in the Floating Rate Loan. This difference may result in us being exposed to greater credit or fraud risk with respect to such Floating Rate Loans than we expected when initially purchasing the participation.</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investing in middle-market companies involves a number of significant risks including:</w:t>
      </w:r>
    </w:p>
    <w:p>
      <w:pPr>
        <w:spacing w:after="0" w:line="90" w:lineRule="exact"/>
        <w:rPr>
          <w:sz w:val="20"/>
          <w:szCs w:val="20"/>
          <w:color w:val="auto"/>
        </w:rPr>
      </w:pPr>
    </w:p>
    <w:p>
      <w:pPr>
        <w:ind w:left="900" w:hanging="446"/>
        <w:spacing w:after="0" w:line="259"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companies may have limited financial resources and may be unable to meet their obligations under their debt securities that we hold, which may be accompanied by a deterioration in the value of any collateral and a reduction in the likelihood of us realizing any guarantees we may have obtained in connection with our investment;</w:t>
      </w:r>
    </w:p>
    <w:p>
      <w:pPr>
        <w:spacing w:after="0" w:line="59" w:lineRule="exact"/>
        <w:rPr>
          <w:rFonts w:ascii="Arial" w:cs="Arial" w:eastAsia="Arial" w:hAnsi="Arial"/>
          <w:sz w:val="18"/>
          <w:szCs w:val="18"/>
          <w:color w:val="auto"/>
        </w:rPr>
      </w:pPr>
    </w:p>
    <w:p>
      <w:pPr>
        <w:ind w:left="900" w:right="24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they typically have shorter operating histories, narrower product lines and smaller market shares than larger businesses, which tend to render them more vulnerable to competitors’ actions and changing market conditions, as well as general economic downturns;</w:t>
      </w:r>
    </w:p>
    <w:p>
      <w:pPr>
        <w:spacing w:after="0" w:line="4" w:lineRule="exact"/>
        <w:rPr>
          <w:rFonts w:ascii="Arial" w:cs="Arial" w:eastAsia="Arial" w:hAnsi="Arial"/>
          <w:sz w:val="16"/>
          <w:szCs w:val="16"/>
          <w:color w:val="auto"/>
        </w:rPr>
      </w:pPr>
    </w:p>
    <w:p>
      <w:pPr>
        <w:ind w:left="900" w:right="460" w:hanging="446"/>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they are more likely to depend on the management talents and efforts of a small group of persons; therefore, the death, disability, resignation or termination of one or more of these persons could have a material adverse impact on our portfolio company and, in turn, on us;</w:t>
      </w:r>
    </w:p>
    <w:p>
      <w:pPr>
        <w:spacing w:after="0" w:line="4"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they generally have less predictable operating results, may from time to time be parties to litigation, may be engaged in rapidly changing businesses with products subject to a substantial risk of</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100"/>
        <w:spacing w:after="0" w:line="259" w:lineRule="auto"/>
        <w:rPr>
          <w:sz w:val="20"/>
          <w:szCs w:val="20"/>
          <w:color w:val="auto"/>
        </w:rPr>
      </w:pPr>
      <w:r>
        <w:rPr>
          <w:rFonts w:ascii="Arial" w:cs="Arial" w:eastAsia="Arial" w:hAnsi="Arial"/>
          <w:sz w:val="18"/>
          <w:szCs w:val="18"/>
          <w:color w:val="auto"/>
        </w:rPr>
        <w:t>obsolescence, and may require substantial additional capital to support their operations, finance expansion or maintain their competitive position. In addition, our executive officers, directors and our Investment Adviser may, in the ordinary course of business, be named as defendants in litigation arising from our investments in the portfolio companies; and</w:t>
      </w:r>
    </w:p>
    <w:p>
      <w:pPr>
        <w:spacing w:after="0" w:line="59" w:lineRule="exact"/>
        <w:rPr>
          <w:sz w:val="20"/>
          <w:szCs w:val="20"/>
          <w:color w:val="auto"/>
        </w:rPr>
      </w:pPr>
    </w:p>
    <w:p>
      <w:pPr>
        <w:ind w:left="900" w:hanging="446"/>
        <w:spacing w:after="0" w:line="268"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they may have difficulty accessing the capital markets to meet future capital needs, which may limit their ability to grow or to repay their outstanding indebtedness upon maturity.</w:t>
      </w:r>
    </w:p>
    <w:p>
      <w:pPr>
        <w:spacing w:after="0" w:line="207"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color w:val="auto"/>
        </w:rPr>
        <w:t>Under the 1940 Act we may invest up to 30% of our assets in investments that are not qualifying assets for business development companies. If we do not invest a sufficient portion of our assets in qualifying assets, we could be precluded from investing in assets that we deem to be attractive.</w:t>
      </w:r>
    </w:p>
    <w:p>
      <w:pPr>
        <w:ind w:right="200" w:firstLine="456"/>
        <w:spacing w:after="0" w:line="255" w:lineRule="auto"/>
        <w:rPr>
          <w:sz w:val="20"/>
          <w:szCs w:val="20"/>
          <w:color w:val="auto"/>
        </w:rPr>
      </w:pPr>
      <w:r>
        <w:rPr>
          <w:rFonts w:ascii="Arial" w:cs="Arial" w:eastAsia="Arial" w:hAnsi="Arial"/>
          <w:sz w:val="18"/>
          <w:szCs w:val="18"/>
          <w:color w:val="auto"/>
        </w:rPr>
        <w:t>As a BDC, we may not acquire any asset other than qualifying assets, as defined under the 1940 Act, unless at the time the acquisition is made such qualifying assets represent at least 70% of the value of our total assets. Qualifying assets include investments in U.S. operating companies whose securities are not listed on a national securities exchange and companies listed on a national securities exchange subject to a maximum market capitalization of $250 million. Qualifying assets also include cash, cash equivalents, government securities and high quality debt securities maturing in one year or less from the time of investment.</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believe that most of our debt and equity investments will constitute qualifying assets. However, we may be precluded from investing in what we believe are attractive investments if such investments are not qualifying assets for purposes of the 1940 Act. If we do not invest a sufficient portion of our assets in qualifying assets, we will be prohibited from making any additional investment that is not a qualifying asset and could be forced to forgo attractive investment opportunities. Similarly, these rules could prevent us from making follow-on investments in existing portfolio companies (which could result in the dilution of our position) or could require us to dispose of investments at inappropriate times in order to comply with the 1940 Act. If we need to dispose of such investments quickly, it would be difficult to dispose of such investments on favorable terms. For example, we may have difficulty in finding a buyer and, even if we do find a buyer, we may have to sell the investments at a substantial loss.</w:t>
      </w:r>
    </w:p>
    <w:p>
      <w:pPr>
        <w:spacing w:after="0" w:line="193" w:lineRule="exact"/>
        <w:rPr>
          <w:sz w:val="20"/>
          <w:szCs w:val="20"/>
          <w:color w:val="auto"/>
        </w:rPr>
      </w:pPr>
    </w:p>
    <w:p>
      <w:pPr>
        <w:ind w:right="660"/>
        <w:spacing w:after="0" w:line="275" w:lineRule="auto"/>
        <w:rPr>
          <w:sz w:val="20"/>
          <w:szCs w:val="20"/>
          <w:color w:val="auto"/>
        </w:rPr>
      </w:pPr>
      <w:r>
        <w:rPr>
          <w:rFonts w:ascii="Arial" w:cs="Arial" w:eastAsia="Arial" w:hAnsi="Arial"/>
          <w:sz w:val="18"/>
          <w:szCs w:val="18"/>
          <w:b w:val="1"/>
          <w:bCs w:val="1"/>
          <w:color w:val="auto"/>
        </w:rPr>
        <w:t>We are a non-diversified investment company within the meaning of the 1940 Act, and therefore we generally are not limited with respect to the proportion of our assets that may be invested in securities of a single issuer.</w:t>
      </w:r>
    </w:p>
    <w:p>
      <w:pPr>
        <w:spacing w:after="0" w:line="45"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We are classified as a non-diversified investment company within the meaning of the 1940 Act, which means that we are not limited by the 1940 Act with respect to the proportion of our assets that we may invest in securities of a single issuer, excluding limitations on investments, in other investment companies. To the extent that we assume large positions in the securities of a small number of issuers, our net asset value may fluctuate to a greater extent than that of a diversified investment company as a result of changes in the financial condition or the market’s assessment of the issuer. We may also be more susceptible to any single economic or regulatory occurrence than a diversified investment company. Beyond our income tax diversification requirements, we do not have fixed guidelines for diversification, and our investments could be concentrated in relatively few portfolio companies.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recessions or downturns could impair our portfolio companies and harm our operating results.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Many of our portfolio companies are susceptible to economic slowdowns or recessions and may be unable to repay our loans during these periods. Therefore, our non-performing assets are likely to increase, and the value of our portfolio is likely to decrease during these periods. Adverse economic conditions also may decrease the value of collateral securing some of our loans and the value of our equity investments. Economic slowdowns or recessions could lead to financial losses in our portfolio and a material decrease in revenues, net income and assets. Unfavorable economic conditions also could increase our funding costs, limit our access to the capital markets or result in a decision by lenders not to extend credit to us. These events could prevent us from increasing investments and materially harm our operating results.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 portfolio company’s failure to satisfy financial or operating covenants imposed by us or other lenders could lead to defaults and potential termination of its loans and foreclosure on its secured assets, which could trigger cross-defaults under other agreements and jeopardize our portfolio company’s ability to meet its obligations under the debt securities that we hold. We may incur expenses to the extent necessary to seek recovery upon default or to negotiate new terms with a defaulting portfolio company. Depending on the facts and circumstances of our investments and the extent of our involvement in the management of a portfolio company, upon the bankruptcy of a portfolio company, a bankruptcy court may recharacterize our debt investments as equity investments and subordinate all or a portion of our claim to that of other creditors. This could occur regardless of how we may have structured 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we fail to make follow-on investments in our portfolio companies, this could materially impair the value of our portfolio.</w:t>
      </w:r>
    </w:p>
    <w:p>
      <w:pPr>
        <w:spacing w:after="0" w:line="9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Following an initial investment in a portfolio company, we may make additional investments in that portfolio company as “follow-on” investments, in order to:</w:t>
      </w:r>
    </w:p>
    <w:p>
      <w:pPr>
        <w:spacing w:after="0" w:line="51"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 or maintain in whole or in part our equity ownership percentage;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exercise warrants, options or convertible securities that were acquired in the original or subsequent financing;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attempt to preserve or enhance the value of our investment.</w:t>
      </w:r>
    </w:p>
    <w:p>
      <w:pPr>
        <w:spacing w:after="0" w:line="171"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the discretion to make any follow-on investments, subject to the availability of capital resources. We may elect not to make follow-on investments or otherwise lack sufficient funds to make those investments. Any failure to make follow-on investments may, in some circumstances, jeopardize the continued viability of a portfolio company and our initial investment, or may result in a missed opportunity for us to increase our participation in a successful operation. Even if we have sufficient capital to make a desired follow-on investment, we may elect not to make a follow-on investment because we may not want to increase our concentration of risk, because we prefer other opportunities, or because we are inhibited by compliance with BDC requirements or the desire to maintain our tax status.</w:t>
      </w:r>
    </w:p>
    <w:p>
      <w:pPr>
        <w:spacing w:after="0" w:line="219" w:lineRule="exact"/>
        <w:rPr>
          <w:sz w:val="20"/>
          <w:szCs w:val="20"/>
          <w:color w:val="auto"/>
        </w:rPr>
      </w:pPr>
    </w:p>
    <w:p>
      <w:pPr>
        <w:ind w:right="220"/>
        <w:spacing w:after="0" w:line="338" w:lineRule="auto"/>
        <w:rPr>
          <w:sz w:val="20"/>
          <w:szCs w:val="20"/>
          <w:color w:val="auto"/>
        </w:rPr>
      </w:pPr>
      <w:r>
        <w:rPr>
          <w:rFonts w:ascii="Arial" w:cs="Arial" w:eastAsia="Arial" w:hAnsi="Arial"/>
          <w:sz w:val="16"/>
          <w:szCs w:val="16"/>
          <w:b w:val="1"/>
          <w:bCs w:val="1"/>
          <w:color w:val="auto"/>
        </w:rPr>
        <w:t>Because we do not generally hold controlling equity interests in our portfolio companies, we are not in a position to exercise control over our portfolio companies or to prevent decisions by management of our portfolio companies that could decrease the value of our investments.</w:t>
      </w:r>
    </w:p>
    <w:p>
      <w:pPr>
        <w:spacing w:after="0" w:line="1"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Because we do not generally have controlling equity positions in our portfolio companies, we are subject to the risk that a portfolio company may make business decisions with which we disagree, and the stockholders and management of a portfolio company may take risks or otherwise act in ways that are adverse to our interests. Due to the lack of liquidity for the debt and equity investments that we typically hold in our portfolio companies, we may not be able to dispose of our investments in the event we disagree with the actions of a portfolio company, and may therefore suffer a decrease in the value of our investments.</w:t>
      </w:r>
    </w:p>
    <w:p>
      <w:pPr>
        <w:spacing w:after="0" w:line="18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An investment strategy focused primarily on privately held companies, including controlling equity interests, presents certain challenges, including the lack of available or comparable information about these companies, a dependence on the talents and efforts of only a few key portfolio company personnel and a greater vulnerability to economic downturns.</w:t>
      </w:r>
    </w:p>
    <w:p>
      <w:pPr>
        <w:spacing w:after="0" w:line="57"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invested and intend to continue to invest primarily in privately held companies. Generally, little public information exists about these companies, and we rely on the ability of our Investment Adviser’s investment professionals to obtain adequate information to evaluate the potential returns from investing in these companies. If they are unable to uncover all material information about these companies, we may not make a fully informed investment decision, and we may lose value on our investments. Also, privately held companies</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frequently have less diverse product lines and smaller market presence than larger competitors. These factors could have a material adverse impact on our investment returns as compared to companies investing primarily in the securities of public companies.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portfolio companies may incur debt that ranks equally with, or senior to, our investments in such companies.</w:t>
      </w:r>
    </w:p>
    <w:p>
      <w:pPr>
        <w:spacing w:after="0" w:line="96" w:lineRule="exact"/>
        <w:rPr>
          <w:sz w:val="20"/>
          <w:szCs w:val="20"/>
          <w:color w:val="auto"/>
        </w:rPr>
      </w:pPr>
    </w:p>
    <w:p>
      <w:pPr>
        <w:ind w:right="120" w:firstLine="456"/>
        <w:spacing w:after="0" w:line="289" w:lineRule="auto"/>
        <w:rPr>
          <w:sz w:val="20"/>
          <w:szCs w:val="20"/>
          <w:color w:val="auto"/>
        </w:rPr>
      </w:pPr>
      <w:r>
        <w:rPr>
          <w:rFonts w:ascii="Arial" w:cs="Arial" w:eastAsia="Arial" w:hAnsi="Arial"/>
          <w:sz w:val="16"/>
          <w:szCs w:val="16"/>
          <w:color w:val="auto"/>
        </w:rPr>
        <w:t>We invest primarily in Floating Rate Loans issued by our portfolio companies. The portfolio companies usually may have, or may be permitted to incur, other debt that ranks equally with, or senior to, our investments. By their terms, such debt instruments may provide that the holders are entitled to receive payment of interest or principal on or before the dates on which we are entitled to receive payments in respect of the debt securities in which we invest. Also, in the event of insolvency, liquidation, dissolution, reorganization or bankruptcy of a portfolio company, holders of debt instruments ranking senior to our investment in that portfolio company would typically be entitled to receive payment in full before we receive any distribution in respect of our investment. After repaying such senior creditors, the portfolio company may not have any remaining assets to use for repaying its obligation to us. In the case of debt ranking equally with debt securities in which we invest, we would have to share on an equal basis any distributions with other creditors holding such debt in the event of an insolvency, liquidation, dissolution, reorganization or bankruptcy of the relevant portfolio company.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incentive fee may induce the Investment Adviser to make speculative investments.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incentive fee payable by us to PennantPark Investment Advisers may create an incentive for PennantPark Investment Advisers to make investments on our behalf that are risky or more speculative than would be the case in the absence of such compensation arrangement. The incentive fee payable to our Investment Adviser is calculated based on a percentage of our return on invested capital. This may encourage our Investment Adviser to use leverage to increase the return on our investments. Under certain circumstances, the use of leverage may increase the likelihood of default, which would disfavor the holders of our common stock. In addition, our Investment Adviser will receive the incentive fee based, in part, upon net capital gains realized on our investments. Unlike that portion of the incentive fee based on income, there is no hurdle applicable to the portion of the incentive fee based on net capital gains. As a result, the Investment Adviser may have a tendency to invest more capital in investments that are likely to result in capital gains as compared to income producing securities. Such a practice could result in our investing in more speculative securities than would otherwise be the case, which could result in higher investment losses, particularly during economic downturns.</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part of our incentive fee payable by us to PennantPark Investment Advisers that relates to our investment income is computed and paid on income that may include interest that has been accrued but that has not been received in cash. PennantPark Investment Advisers is not obligated to reimburse us for any such incentive fees even if we subsequently incur losses or never receive in cash the deferred income that was previously accrued. As a result, there is a risk that we will pay incentive fees with respect to income that we never receive in cash.</w:t>
      </w:r>
    </w:p>
    <w:p>
      <w:pPr>
        <w:spacing w:after="0" w:line="218"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We may make investments that cause our stockholders to bear investment advisory fees and other expenses on such investments in addition to our management fees and expenses.</w:t>
      </w:r>
    </w:p>
    <w:p>
      <w:pPr>
        <w:spacing w:after="0" w:line="45"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We may invest, to the extent permitted by law, in the securities and instruments of other investment companies and companies that would be investment companies but are excluded from the definition of investment company provided in Section 3(c) of the 1940 Act. To the extent we so invest, we will bear our ratable share of any such investment company’s expenses, including management and performance fees. We will also remain obligated to pay investment advisory fees, consisting of a base management fee and incentive fees, to PennantPark Investment Advisers with respect to investments in the securities and instruments of other investment companies under our Investment Management Agreement. With respect to any such investments, each of our stockholders will bear his or her share of the investment advisory fees of PennantPark Investment Advisers as well as indirectly bearing the investment advisory fees and other expenses of any investment companies in which we invest.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obligated to pay our Investment Adviser incentive compensation even if we incur a loss.</w:t>
      </w:r>
    </w:p>
    <w:p>
      <w:pPr>
        <w:spacing w:after="0" w:line="96"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Our Investment Adviser is entitled to incentive compensation for each fiscal quarter in an amount equal to a percentage of the excess of our investment income for that quarter (before deducting incentive compensation, net operating losses and certain other items) above a threshold return for that quarter. Our Pre-Incentive Fee Net Investment Income for incentive compensation purposes excludes realized and unrealized capital losses that we may incur in the fiscal quarter, even if such capital losses result in a net loss on our Consolidated Statement of Operations for that quarter. Thus, we may be required to pay the Investment Adviser incentive compensation for a fiscal quarter even if there is a decline in the value of our portfolio or we incur a net loss for that quarter.</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global climate change may impact the operations of our portfolio companies.</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There may be evidence of global climate change. Climate change creates physical and financial risk and some of our portfolio companies may be adversely affected by climate change. For example, the needs of customers of energy companies vary with weather conditions, primarily temperature and humidity. To the extent weather conditions are affected by climate change, energy use could increase or decrease depending on the duration and magnitude of any changes. Increases in the cost of energy could adversely affect the cost of operations of our portfolio companies if the use of energy products or services is material to their business. A decrease in energy use due to weather changes may affect some of our portfolio companies’ financial condition, through decreased revenues. Extreme weather conditions in general require more system backup, adding to costs, and can contribute to increased system stresses, including service interruptions.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investments in foreign securities may involve significant risks in addition to the risks inherent in U.S. investments.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investment strategy contemplates potential investments in securities of companies located outside of the United States. Investments in securities located outside the United States would not be qualifying assets under Section 55(a) of the 1940 Act. Investing in companies located outside of the United States may expose us to additional risks not typically associated with investing in U.S. companies. These risks include changes in exchange control regulations, political and social instability, expropriation, imposition of foreign taxes, less liquid markets and less available information than is generally the case in the United States, higher transaction costs, less government supervision of exchanges, brokers and issuers, less developed bankruptcy laws, difficulty in enforcing contractual obligations, lack of uniform accounting and auditing standards and greater price volatility.</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Although most of our investments will be U.S. dollar-denominated, any investments denominated in a foreign currency will be subject to the risk that the value of a particular currency will change in relation to one or more other currencies. Among the factors that may affect currency values are trade balances, the level of short-term interest rates, differences in relative values of similar assets in different currencies, long-term opportunities for investment and capital appreciation, and political developments. We may employ hedging techniques to minimize these risks, but we can offer no assurance that we will, in fact, hedge currency risk or, that if we do, such strategies will be effective.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expose ourselves to risks if we engage in hedging transactions.</w:t>
      </w:r>
    </w:p>
    <w:p>
      <w:pPr>
        <w:spacing w:after="0" w:line="96"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If we engage in hedging transactions, we may expose ourselves to risks associated with such transactions. We may borrow under a credit facility in currencies selected to minimize our foreign currency exposure or, to the extent permitted by the 1940 Act and applicable commodities laws, use instruments such as forward contracts, currency options and interest rate swaps, caps, collars and floors to seek to hedge against fluctuations in the relative values of our portfolio positions from changes in currency exchange rates and market interest rates. Hedging against a decline in the values of our portfolio positions does not eliminate the possibility of fluctuations in the values of such positions or prevent losses if the values of such positions decline. However, such hedging can establish other positions designed to gain from those same developments, thereby offsetting the decline in the</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value of such portfolio positions. Such hedging transactions may also limit the opportunity for gain if the values of the underlying portfolio positions should increase. Moreover, it may not be possible to hedge against an exchange rate or interest rate fluctuation that is so generally anticipated that we are not able to enter into a hedging transaction at an acceptable price.</w:t>
      </w:r>
    </w:p>
    <w:p>
      <w:pPr>
        <w:spacing w:after="0" w:line="14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While we may enter into such transactions to seek to reduce currency exchange rate and interest rate risks, unanticipated changes in currency exchange rates or interest rates may result in poorer overall investment performance than if we had not engaged in any such hedging transactions. In addition, the degree of correlation between price movements of the instruments used in a hedging strategy and price movements in the portfolio positions being hedged may vary. Moreover, for a variety of reasons, we may not seek to establish a perfect correlation between such hedging instruments and the portfolio holdings being hedged. Any such imperfect correlation may prevent us from achieving the intended hedge and expose us to risk of loss. In addition, it may not be possible to hedge fully or perfectly against currency fluctuations affecting the value of securities denominated in non-U.S. currencies because the value of those securities is likely to fluctuate as a result of factors not related to currency fluctuations. Our ability to engage in hedging transactions may also be adversely affected by recent rules adopted by the Commodity Futures Trading Commission.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AN INVESTMENT IN OUR COMMON STOCK</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There is a risk that our stockholders may not receive distributions or that our distributions may not grow over time.</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intend to make distributions on a monthly basis to our stockholders out of assets legally available for distribution. We cannot assure you that we will achieve investment results that will allow us to make a specified level of cash distributions or year-to-year increases in cash distributions. In addition, due to the asset coverage ratio applicable to us as a BDC, we may be limited in our ability to make distributions. Further, if more stockholders opt to receive cash dividends and other distributions rather than participate in our dividend reinvestment plan, we may be forced to liquidate some of our investments and raise cash in order to make distribution payments, which could materially harm our business. Finally, to the extent we make distributions to stockholders which include a return of capital, that portion of the distribution essentially constitutes a return of the stockholders’ investment. Although such return of capital may not be taxable, such distributions may increase an investor’s tax liability for capital gains upon the future sale of our common stock.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shares may involve an above average degree of risk.</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investments we make in accordance with our investment objectives may result in a higher amount of risk and volatility than alternative investment options or loss of principal. Our investments in portfolio companies may be highly speculative and aggressive and therefore, an investment in our shares may not be suitable for someone with lower risk tolerance.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allocate the net proceeds from any offering of our securities in ways with which you may not agree.</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We have significant flexibility in investing the net proceeds of an offering and may use the net proceeds from an offering in ways with which you may not agree or for purposes other than those contemplated at the time of the offering.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shares may trade at discounts from net asset value or at premiums that are unsustainable over the long term.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Shares of BDC’s may trade at a market price that is less than the net asset value that is attributable to those shares. Our shares may trade above and below our net asset value, or NAV. Our shares traded on the NASDAQ Global Select Market at $13.96 and $12.67 as of March 31, 2013 and September 30, 2012, respectively. Our</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459" w:right="31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NAV was $14.10 and $13.98 as of March 31,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market price of our common stock may fluctuate significantly.</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market price and liquidity of the market for shares of our common stock may be significantly affected by numerous factors, some of which are beyond our control and may not be directly related to our operating performance. These factors include:</w:t>
      </w:r>
    </w:p>
    <w:p>
      <w:pPr>
        <w:spacing w:after="0" w:line="51" w:lineRule="exact"/>
        <w:rPr>
          <w:sz w:val="20"/>
          <w:szCs w:val="20"/>
          <w:color w:val="auto"/>
        </w:rPr>
      </w:pPr>
    </w:p>
    <w:p>
      <w:pPr>
        <w:ind w:left="900" w:right="6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securities of BDCs or other companies in our sector, which are not necessarily related to the operating performance of these companies;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regulatory policies or tax guidelines, particularly with respect to RICs or BDCs;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loss of RIC status;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earnings or variations in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value of our portfolio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any shortfall in revenue or net income or any increase in losses from levels expected by investors or securities analysts;</w:t>
      </w:r>
    </w:p>
    <w:p>
      <w:pPr>
        <w:spacing w:after="0" w:line="90" w:lineRule="exact"/>
        <w:rPr>
          <w:rFonts w:ascii="Arial" w:cs="Arial" w:eastAsia="Arial" w:hAnsi="Arial"/>
          <w:sz w:val="18"/>
          <w:szCs w:val="18"/>
          <w:color w:val="auto"/>
        </w:rPr>
      </w:pPr>
    </w:p>
    <w:p>
      <w:pPr>
        <w:ind w:left="900" w:right="680" w:hanging="446"/>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inability of our Investment Adviser to employ additional experienced investment professionals or the departure of any of the Investment Adviser’s key personnel;</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operating performance of companies comparable to us;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trends and other external factors;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conversion features of subscription rights, warrants or convertible debt;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loss of a major funding source.</w:t>
      </w:r>
    </w:p>
    <w:p>
      <w:pPr>
        <w:spacing w:after="0" w:line="171"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Since our initial listing on the NASDAQ Global Select Market, our shares of common stock have traded at a wide range of prices. We can offer no assurance that our shares of common stock will not display similar volatility in future periods.</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We may be unable to invest the net proceeds raised from offerings on acceptable terms, which would harm our financial condition and operating results.</w:t>
      </w:r>
    </w:p>
    <w:p>
      <w:pPr>
        <w:spacing w:after="0" w:line="131"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Until we identify new investment opportunities, we intend to either invest the net proceeds of future offerings in cash equivalents, U.S. government securities and other high-quality debt investments that mature in one year or less or use the net proceeds from such offerings to reduce then-outstanding obligations under our Credit Facility. We cannot assure you that we will be able to find enough appropriate investments that meet our investment criteria or that any investment we complete using the proceeds from an offering will produce a sufficient return.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substantial amounts of our securities may have an adverse effect on the market price of our securities.</w:t>
      </w:r>
    </w:p>
    <w:p>
      <w:pPr>
        <w:spacing w:after="0" w:line="96"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Sales of substantial amounts of our securities, or the availability of such securities for sale, could adversely affect the prevailing market prices for our securities. If this occurs and continues it could impair our ability to raise additional capital through the sale of securities should we desire to do so.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 may have current tax liabilities on distributions you reinvest in our common stock.</w:t>
      </w:r>
    </w:p>
    <w:p>
      <w:pPr>
        <w:spacing w:after="0" w:line="96"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Under the dividend reinvestment plan, if you own shares of our common stock registered in your own name, you will have all cash distributions automatically reinvested in additional shares of our common stock unless you opt out of the dividend reinvestment plan by delivering a written notice to the plan administrator prior to the record date of the next dividend or distribution. If you have not “opted out” of the dividend reinvestment plan, you will be deemed to have received, and for federal income tax purposes will be taxed on, the amount reinvested in our common stock to the extent the amount reinvested was not a tax-free return of capital. As a result, you may have to use funds from other sources to pay your federal income tax liability on the value of the common stock received. See “Dividend Reinvestment Plan” for more information.</w:t>
      </w:r>
    </w:p>
    <w:p>
      <w:pPr>
        <w:spacing w:after="0" w:line="195"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There is a risk that our common stockholders may receive our stock as dividends in which case they may be required to pay taxes in excess of the cash they receive.</w:t>
      </w:r>
    </w:p>
    <w:p>
      <w:pPr>
        <w:spacing w:after="0" w:line="45"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We have not elected to distribute stock as a dividend but reserve the right to do so.</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b w:val="1"/>
          <w:bCs w:val="1"/>
          <w:i w:val="1"/>
          <w:iCs w:val="1"/>
          <w:color w:val="auto"/>
        </w:rPr>
        <w:t>We may obtain the approval of our stockholders to issue shares of our common stock at prices below the then current net asset value per share of our common stock. If we receive such approval from stockholders, in the future, we may issue shares of our common stock at a price below the then current net asset value per share of common stock. Any such issuance could materially dilute your interest in our common stock and reduce our net asset value per share.</w:t>
      </w:r>
    </w:p>
    <w:p>
      <w:pPr>
        <w:spacing w:after="0" w:line="143"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intend to seek to obtain from our stockholders and they may approve a proposal that authorizes us to sell shares of our common stock below the then current net asset value per share of our common stock in one or more offerings for a 12-month period. Such approval will allow us to access the capital markets in a way that we were previously unable to as a result of restrictions that, absent stockholder approval, apply to BDCs under the 1940 Act.</w:t>
      </w:r>
    </w:p>
    <w:p>
      <w:pPr>
        <w:spacing w:after="0" w:line="107"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Any sale or other issuance of shares of our common stock at a price below net asset value per share will result in an immediate dilution to your interest in our common stock and a reduction of our net asset value per share. This dilution would occur as a result of a proportionately greater decrease in a stockholder’s interest in our earnings and assets and voting interest in us than the increase in our assets resulting from such issuance. Because the number of future shares of common stock that may be issued below our net asset value per share and the price and timing of such issuances are not currently known, we cannot predict the actual dilutive effect of any such issuance. We also cannot determine the resulting reduction in our net asset value per share of any such issuance at this time. We caution you that such effects may be material, and we undertake to describe all the material risks and dilutive effects of any offerings we make at a price below our then current net asset value in the future in a prospectus supplement issued in connection with any such offering.</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incur significant costs as a result of being a publicly traded company.</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As a publicly traded company, we incur legal, accounting and other expenses, including costs associated with the periodic reporting requirements applicable to a company whose securities are registered under the Securities Exchange Act of 1934, as amended, or the Exchange Act, as well as additional corporate governance requirements, including requirements under the Sarbanes-Oxley Act of 2002, or the Sarbanes Oxley Act, and other rules implemented by the SEC and the listing standards of the NASDAQ Stock Market LLC.</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Provisions of the Maryland General Corporation Law and of our charter and bylaws could deter takeover attempts and have an adverse impact on the price of our common stock.</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Maryland General Corporation Law, our charter and our bylaws contain provisions that may discourage, delay or make more difficult a change in control of us or the removal of our directors. We are subject to the Maryland Business Combination Act, the application of which is subject to any applicable requirements of the 1940 Act. Our board of directors has adopted a resolution exempting from the Business Combination Act any business combination between us and any other person, subject to prior approval of such business combination by our board, including approval by a majority of our disinterested directors. If the resolution exempting business combinations is repealed or our board does not approve a business combination, the Business Combination Act may discourage third parties from trying to acquire control of us and increase the difficulty of consummating such an offer.</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addition, our bylaws exempt from the Maryland Control Share Acquisition Act acquisitions of our common stock by any person. If we amend our bylaws to repeal the exemption from such act, it may make it more difficult for a third party to obtain control of us and increase the difficulty of consummating such an offer. Our bylaws require us to consult with the SEC staff before we repeal such exemption. Also, our charter provides for classifying our board of directors in three classes serving staggered three-year terms, and provisions of our charter authorizes our board of directors to classify or reclassify shares of our stock in one or more classes or series, to cause the issuance of additional shares of our stock, and to amend our charter, without stockholder approval, to increase or decrease the number of shares of stock that we have authority to issue.</w:t>
      </w:r>
    </w:p>
    <w:p>
      <w:pPr>
        <w:spacing w:after="0" w:line="12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These anti-takeover provisions may inhibit a change of control in circumstances that could give our stockholders the opportunity to realize a premium over the market price for our common stock.</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77"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prospectus contains statements that constitute forward-looking statements, which relate to us and our consolidated subsidiary regarding future events or our future performance or financial condition. These forward-looking statements are not historical facts, but rather are based on current expectations, estimates and projections about our Company, our industry, our beliefs and our assumptions. The forward-looking statements contained in this prospectus involve risks and uncertainties, including statements as to:</w:t>
      </w:r>
    </w:p>
    <w:p>
      <w:pPr>
        <w:spacing w:after="0" w:line="62"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business prospects and the prospects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 and our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prospective portfolio companies to achieve their objectives;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prospective portfolio companies;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administer our investments,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future legislation and regulation on our business and our portfolio companies.</w:t>
      </w:r>
    </w:p>
    <w:p>
      <w:pPr>
        <w:spacing w:after="0" w:line="171"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use words such as “anticipates,” “believes,” “expects,” “intends,” “seeks,” “plans,” “estimates” and similar expressions to identify forward-looking statements. You should not place undue influence on the forward looking statements as our actual results could differ materially from those projected in the forward-looking statements for any reason, including the factors set forth in “Risk Factors” and elsewhere in this prospectus.</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prospectus should not be regarded as a representation by us that our plans and objectives will be achieved.</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We have based the forward-looking statements included in this prospectus on information available to us on the date of this prospectus, and we assume no obligation to update any such forward-looking statements. Although we undertake no obligation to revise or update any forward-looking statements in this prospectus, whether as a result of new information, future events or otherwise, you are advised to consult any additional disclosures that we may make directly to you or through a supplemental prospectus that we in the future may file with SEC including annual and quarterly reports on Form 10-K/Q and current reports on Form 8-K.</w:t>
      </w:r>
    </w:p>
    <w:p>
      <w:pPr>
        <w:spacing w:after="0" w:line="143"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You should understand that, under Sections 27A(b)(2)(B) of the Securities Act of 1933, as amended, or the Securities Act, and Section 21E(b)(2)(B) of the Exchange Act the “safe harbor” provisions of the Private Securities Litigation Reform Act of 1995, do not apply to forward-looking statements made in connection with any offering of securities pursuant to this prospectus or in periodic reports we file under the Exchange Act.</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may use the net proceeds from selling securities pursuant to this prospectus to reduce our then-outstanding obligations under our Credit Facility, to invest in new or existing portfolio companies, to form and capitalize a subsidiary or for other general corporate or strategic purposes. Any supplements to this prospectus relating to an offering may more fully identify the use of the proceeds from such offering.</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March 31, 2013, we had $34.2 million in borrowings outstanding under our $125.0 million Credit Facility. Borrowings under our Credit Facility bear interest at LIBOR plus 200 basis points per annum during the revolving period, and the rate resets to LIBOR plus 425 basis points per annum for the remaining two years. At March 31, 2013, the interest rate was 2.21%. The Credit Facility is a revolving facility maturing in May 2018 and is secured by all of the assets held by Funding I. Amounts repaid under our Credit Facility remain available for future borrowings during the revolving period. See “Management’s Discussion and Analysis of Financial Condition and Results of Operations—Liquidity and Capital Resources” for more information.</w:t>
      </w:r>
    </w:p>
    <w:p>
      <w:pPr>
        <w:spacing w:after="0" w:line="11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We may invest the proceeds from an offering of securities in new or existing portfolio companies, and such investments may take up to a year from the closing of such offering, in part because privately negotiated investments in illiquid securities or private middle-market companies require substantial due diligence and structuring. During this period, we may use the net proceeds from our offering to reduce then-outstanding obligations under our Credit Facility, which may dilute our net asset value per share, or to invest such proceeds in cash equivalents, U.S. government securities and other high-quality debt investments that mature in one year or less. We expect to earn yields on such investments, if any, that are lower than the interest income that we anticipate receiving in respect of investments in non-temporary investments. As a result, any distributions we make during this investment period may be lower than the distributions that we would expect to pay when such proceeds are fully invested in non-temporary investments. The management fee payable by us will not be reduced while our assets are invested in any such temporary investments. See “Regulation—Temporary Investments” for more information.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FINANCIAL DATA</w:t>
      </w:r>
    </w:p>
    <w:p>
      <w:pPr>
        <w:spacing w:after="0" w:line="177"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have derived the financial information below from our audited and unaudited financial data and, in the opinion of management, such information reflects all adjustments (consisting of normal recurring adjustments) that are necessary to present fairly the results of such periods. The Consolidated Statement of Operations data, Per share data and Consolidated Statement of Assets and Liabilities data for the fiscal year ended September 30, 2012, and for the period from March 4, 2011 (commencement of operation) to September 30, 2011 are derived from our Consolidated Financial Statements, which have been audited by KPMG LLP, an independent registered public accounting firm. These selected financial data should be read in conjunction with our Consolidated Financial Statements and related notes thereto and “Management’s Discussion and Analysis of Financial Condition and Results of Operations.” Interim results as of and for the six months ended March 31, 2013, are not necessarily indicative of the results that may be expected for the year ending September 30, 2013. The unaudited selected financial data for the six months ended March 31, 2013 and 2012, should be read in conjunction with our consolidated financial statements and related notes thereto and “Management’s Discussion and Analysis of Financial Condition and Results of Operations.”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For the period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(commencement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640" w:type="dxa"/>
            <w:vAlign w:val="bottom"/>
            <w:gridSpan w:val="3"/>
          </w:tcPr>
          <w:p>
            <w:pPr>
              <w:jc w:val="right"/>
              <w:spacing w:after="0" w:line="149" w:lineRule="exact"/>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4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4"/>
              </w:rPr>
              <w:t>Year ended</w:t>
            </w:r>
          </w:p>
        </w:tc>
        <w:tc>
          <w:tcPr>
            <w:tcW w:w="116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jc w:val="right"/>
              <w:ind w:right="72"/>
              <w:spacing w:after="0"/>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4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5"/>
              </w:rPr>
              <w:t>September 30,</w:t>
            </w:r>
          </w:p>
        </w:tc>
        <w:tc>
          <w:tcPr>
            <w:tcW w:w="116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42"/>
        </w:trPr>
        <w:tc>
          <w:tcPr>
            <w:tcW w:w="55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(Dollar amounts in thousands, except per share data)</w:t>
            </w:r>
          </w:p>
        </w:tc>
        <w:tc>
          <w:tcPr>
            <w:tcW w:w="6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1"/>
                <w:szCs w:val="11"/>
                <w:b w:val="1"/>
                <w:bCs w:val="1"/>
                <w:color w:val="auto"/>
              </w:rPr>
              <w:t>2013</w:t>
            </w:r>
            <w:r>
              <w:rPr>
                <w:rFonts w:ascii="Arial" w:cs="Arial" w:eastAsia="Arial" w:hAnsi="Arial"/>
                <w:sz w:val="16"/>
                <w:szCs w:val="16"/>
                <w:b w:val="1"/>
                <w:bCs w:val="1"/>
                <w:color w:val="auto"/>
                <w:vertAlign w:val="superscript"/>
              </w:rPr>
              <w:t>(1)</w:t>
            </w:r>
          </w:p>
        </w:tc>
        <w:tc>
          <w:tcPr>
            <w:tcW w:w="8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1"/>
                <w:szCs w:val="11"/>
                <w:b w:val="1"/>
                <w:bCs w:val="1"/>
                <w:color w:val="auto"/>
              </w:rPr>
              <w:t>2012</w:t>
            </w:r>
            <w:r>
              <w:rPr>
                <w:rFonts w:ascii="Arial" w:cs="Arial" w:eastAsia="Arial" w:hAnsi="Arial"/>
                <w:sz w:val="16"/>
                <w:szCs w:val="16"/>
                <w:b w:val="1"/>
                <w:bCs w:val="1"/>
                <w:color w:val="auto"/>
                <w:vertAlign w:val="superscript"/>
              </w:rPr>
              <w:t>(1)</w:t>
            </w:r>
          </w:p>
        </w:tc>
        <w:tc>
          <w:tcPr>
            <w:tcW w:w="8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2012</w:t>
            </w:r>
          </w:p>
        </w:tc>
        <w:tc>
          <w:tcPr>
            <w:tcW w:w="8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center"/>
              <w:ind w:right="133"/>
              <w:spacing w:after="0" w:line="142" w:lineRule="exact"/>
              <w:rPr>
                <w:sz w:val="20"/>
                <w:szCs w:val="20"/>
                <w:color w:val="auto"/>
              </w:rPr>
            </w:pPr>
            <w:r>
              <w:rPr>
                <w:rFonts w:ascii="Arial" w:cs="Arial" w:eastAsia="Arial" w:hAnsi="Arial"/>
                <w:sz w:val="14"/>
                <w:szCs w:val="14"/>
                <w:b w:val="1"/>
                <w:bCs w:val="1"/>
                <w:color w:val="auto"/>
                <w:w w:val="83"/>
              </w:rPr>
              <w:t>2011</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4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investment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  8,103</w:t>
            </w:r>
          </w:p>
        </w:tc>
        <w:tc>
          <w:tcPr>
            <w:tcW w:w="8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5,411</w:t>
            </w:r>
          </w:p>
        </w:tc>
        <w:tc>
          <w:tcPr>
            <w:tcW w:w="8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w w:val="99"/>
              </w:rPr>
              <w:t>$   12,099</w:t>
            </w:r>
          </w:p>
        </w:tc>
        <w:tc>
          <w:tcPr>
            <w:tcW w:w="220" w:type="dxa"/>
            <w:vAlign w:val="bottom"/>
          </w:tcPr>
          <w:p>
            <w:pPr>
              <w:jc w:val="right"/>
              <w:ind w:right="71"/>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2,947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expenses after Credit Facility debt issuance and excise taxes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4,378</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5,789</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2,626</w:t>
            </w:r>
            <w:r>
              <w:rPr>
                <w:rFonts w:ascii="Arial" w:cs="Arial" w:eastAsia="Arial" w:hAnsi="Arial"/>
                <w:sz w:val="11"/>
                <w:szCs w:val="11"/>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investment income</w:t>
            </w:r>
          </w:p>
        </w:tc>
        <w:tc>
          <w:tcPr>
            <w:tcW w:w="680" w:type="dxa"/>
            <w:vAlign w:val="bottom"/>
          </w:tcPr>
          <w:p>
            <w:pPr>
              <w:jc w:val="right"/>
              <w:spacing w:after="0"/>
              <w:rPr>
                <w:sz w:val="20"/>
                <w:szCs w:val="20"/>
                <w:color w:val="auto"/>
              </w:rPr>
            </w:pPr>
            <w:r>
              <w:rPr>
                <w:rFonts w:ascii="Arial" w:cs="Arial" w:eastAsia="Arial" w:hAnsi="Arial"/>
                <w:sz w:val="18"/>
                <w:szCs w:val="18"/>
                <w:color w:val="auto"/>
              </w:rPr>
              <w:t>3,725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2,920</w:t>
            </w:r>
          </w:p>
        </w:tc>
        <w:tc>
          <w:tcPr>
            <w:tcW w:w="8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6,310</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4,710</w:t>
            </w:r>
          </w:p>
        </w:tc>
        <w:tc>
          <w:tcPr>
            <w:tcW w:w="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5,651</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(3,793)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680" w:type="dxa"/>
            <w:vAlign w:val="bottom"/>
          </w:tcPr>
          <w:p>
            <w:pPr>
              <w:jc w:val="right"/>
              <w:spacing w:after="0"/>
              <w:rPr>
                <w:sz w:val="20"/>
                <w:szCs w:val="20"/>
                <w:color w:val="auto"/>
              </w:rPr>
            </w:pPr>
            <w:r>
              <w:rPr>
                <w:rFonts w:ascii="Arial" w:cs="Arial" w:eastAsia="Arial" w:hAnsi="Arial"/>
                <w:sz w:val="18"/>
                <w:szCs w:val="18"/>
                <w:color w:val="auto"/>
              </w:rPr>
              <w:t>4,971</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7,630</w:t>
            </w:r>
          </w:p>
        </w:tc>
        <w:tc>
          <w:tcPr>
            <w:tcW w:w="860" w:type="dxa"/>
            <w:vAlign w:val="bottom"/>
          </w:tcPr>
          <w:p>
            <w:pPr>
              <w:spacing w:after="0"/>
              <w:rPr>
                <w:sz w:val="19"/>
                <w:szCs w:val="19"/>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11,961</w:t>
            </w:r>
          </w:p>
        </w:tc>
        <w:tc>
          <w:tcPr>
            <w:tcW w:w="22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(3,473)</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asset value (at period end)</w:t>
            </w:r>
          </w:p>
        </w:tc>
        <w:tc>
          <w:tcPr>
            <w:tcW w:w="680" w:type="dxa"/>
            <w:vAlign w:val="bottom"/>
          </w:tcPr>
          <w:p>
            <w:pPr>
              <w:jc w:val="right"/>
              <w:spacing w:after="0"/>
              <w:rPr>
                <w:sz w:val="20"/>
                <w:szCs w:val="20"/>
                <w:color w:val="auto"/>
              </w:rPr>
            </w:pPr>
            <w:r>
              <w:rPr>
                <w:rFonts w:ascii="Arial" w:cs="Arial" w:eastAsia="Arial" w:hAnsi="Arial"/>
                <w:sz w:val="18"/>
                <w:szCs w:val="18"/>
                <w:color w:val="auto"/>
              </w:rPr>
              <w:t>14.10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14.12</w:t>
            </w:r>
          </w:p>
        </w:tc>
        <w:tc>
          <w:tcPr>
            <w:tcW w:w="8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13.44</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0.92</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realized and unrealized gain (loss)</w:t>
            </w:r>
            <w:r>
              <w:rPr>
                <w:rFonts w:ascii="Arial" w:cs="Arial" w:eastAsia="Arial" w:hAnsi="Arial"/>
                <w:sz w:val="11"/>
                <w:szCs w:val="11"/>
                <w:color w:val="auto"/>
              </w:rPr>
              <w:t>(2)</w:t>
            </w:r>
          </w:p>
        </w:tc>
        <w:tc>
          <w:tcPr>
            <w:tcW w:w="680" w:type="dxa"/>
            <w:vAlign w:val="bottom"/>
          </w:tcPr>
          <w:p>
            <w:pPr>
              <w:jc w:val="right"/>
              <w:spacing w:after="0"/>
              <w:rPr>
                <w:sz w:val="20"/>
                <w:szCs w:val="20"/>
                <w:color w:val="auto"/>
              </w:rPr>
            </w:pPr>
            <w:r>
              <w:rPr>
                <w:rFonts w:ascii="Arial" w:cs="Arial" w:eastAsia="Arial" w:hAnsi="Arial"/>
                <w:sz w:val="18"/>
                <w:szCs w:val="18"/>
                <w:color w:val="auto"/>
              </w:rPr>
              <w:t>0.18</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0.69</w:t>
            </w:r>
          </w:p>
        </w:tc>
        <w:tc>
          <w:tcPr>
            <w:tcW w:w="8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0.83</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r>
              <w:rPr>
                <w:rFonts w:ascii="Arial" w:cs="Arial" w:eastAsia="Arial" w:hAnsi="Arial"/>
                <w:sz w:val="11"/>
                <w:szCs w:val="11"/>
                <w:color w:val="auto"/>
              </w:rPr>
              <w:t>(2)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1.75</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Distributions declared</w:t>
            </w:r>
            <w:r>
              <w:rPr>
                <w:rFonts w:ascii="Arial" w:cs="Arial" w:eastAsia="Arial" w:hAnsi="Arial"/>
                <w:sz w:val="11"/>
                <w:szCs w:val="11"/>
                <w:color w:val="auto"/>
              </w:rPr>
              <w:t>(2),(3)</w:t>
            </w:r>
          </w:p>
        </w:tc>
        <w:tc>
          <w:tcPr>
            <w:tcW w:w="680" w:type="dxa"/>
            <w:vAlign w:val="bottom"/>
          </w:tcPr>
          <w:p>
            <w:pPr>
              <w:jc w:val="right"/>
              <w:spacing w:after="0"/>
              <w:rPr>
                <w:sz w:val="20"/>
                <w:szCs w:val="20"/>
                <w:color w:val="auto"/>
              </w:rPr>
            </w:pPr>
            <w:r>
              <w:rPr>
                <w:rFonts w:ascii="Arial" w:cs="Arial" w:eastAsia="Arial" w:hAnsi="Arial"/>
                <w:sz w:val="18"/>
                <w:szCs w:val="18"/>
                <w:color w:val="auto"/>
              </w:rPr>
              <w:t>0.50</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0.44</w:t>
            </w:r>
          </w:p>
        </w:tc>
        <w:tc>
          <w:tcPr>
            <w:tcW w:w="860" w:type="dxa"/>
            <w:vAlign w:val="bottom"/>
          </w:tcPr>
          <w:p>
            <w:pPr>
              <w:spacing w:after="0"/>
              <w:rPr>
                <w:sz w:val="19"/>
                <w:szCs w:val="19"/>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0.91</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0.25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Assets and Liabilities data (at period end):</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assets</w:t>
            </w:r>
          </w:p>
        </w:tc>
        <w:tc>
          <w:tcPr>
            <w:tcW w:w="680" w:type="dxa"/>
            <w:vAlign w:val="bottom"/>
          </w:tcPr>
          <w:p>
            <w:pPr>
              <w:jc w:val="right"/>
              <w:spacing w:after="0"/>
              <w:rPr>
                <w:sz w:val="20"/>
                <w:szCs w:val="20"/>
                <w:color w:val="auto"/>
              </w:rPr>
            </w:pPr>
            <w:r>
              <w:rPr>
                <w:rFonts w:ascii="Arial" w:cs="Arial" w:eastAsia="Arial" w:hAnsi="Arial"/>
                <w:sz w:val="18"/>
                <w:szCs w:val="18"/>
                <w:color w:val="auto"/>
              </w:rPr>
              <w:t>187,877</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151,174</w:t>
            </w:r>
          </w:p>
        </w:tc>
        <w:tc>
          <w:tcPr>
            <w:tcW w:w="8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178,367</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121,075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portfolio</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183,870</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146,188</w:t>
            </w:r>
          </w:p>
        </w:tc>
        <w:tc>
          <w:tcPr>
            <w:tcW w:w="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171,834</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110,724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Credit Facility payable, at fair value</w:t>
            </w:r>
          </w:p>
        </w:tc>
        <w:tc>
          <w:tcPr>
            <w:tcW w:w="680" w:type="dxa"/>
            <w:vAlign w:val="bottom"/>
          </w:tcPr>
          <w:p>
            <w:pPr>
              <w:jc w:val="right"/>
              <w:spacing w:after="0"/>
              <w:rPr>
                <w:sz w:val="20"/>
                <w:szCs w:val="20"/>
                <w:color w:val="auto"/>
              </w:rPr>
            </w:pPr>
            <w:r>
              <w:rPr>
                <w:rFonts w:ascii="Arial" w:cs="Arial" w:eastAsia="Arial" w:hAnsi="Arial"/>
                <w:sz w:val="18"/>
                <w:szCs w:val="18"/>
                <w:color w:val="auto"/>
              </w:rPr>
              <w:t>34,200</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47,561</w:t>
            </w:r>
          </w:p>
        </w:tc>
        <w:tc>
          <w:tcPr>
            <w:tcW w:w="860" w:type="dxa"/>
            <w:vAlign w:val="bottom"/>
          </w:tcPr>
          <w:p>
            <w:pPr>
              <w:spacing w:after="0"/>
              <w:rPr>
                <w:sz w:val="18"/>
                <w:szCs w:val="18"/>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75,123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24,650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 and unfunded investments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11,852</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5,102</w:t>
            </w:r>
          </w:p>
        </w:tc>
        <w:tc>
          <w:tcPr>
            <w:tcW w:w="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3,358</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net asset value</w:t>
            </w:r>
          </w:p>
        </w:tc>
        <w:tc>
          <w:tcPr>
            <w:tcW w:w="680" w:type="dxa"/>
            <w:vAlign w:val="bottom"/>
          </w:tcPr>
          <w:p>
            <w:pPr>
              <w:jc w:val="right"/>
              <w:spacing w:after="0"/>
              <w:rPr>
                <w:sz w:val="20"/>
                <w:szCs w:val="20"/>
                <w:color w:val="auto"/>
              </w:rPr>
            </w:pPr>
            <w:r>
              <w:rPr>
                <w:rFonts w:ascii="Arial" w:cs="Arial" w:eastAsia="Arial" w:hAnsi="Arial"/>
                <w:sz w:val="18"/>
                <w:szCs w:val="18"/>
                <w:color w:val="auto"/>
              </w:rPr>
              <w:t>138,879</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96,722</w:t>
            </w:r>
          </w:p>
        </w:tc>
        <w:tc>
          <w:tcPr>
            <w:tcW w:w="860" w:type="dxa"/>
            <w:vAlign w:val="bottom"/>
          </w:tcPr>
          <w:p>
            <w:pPr>
              <w:spacing w:after="0"/>
              <w:rPr>
                <w:sz w:val="19"/>
                <w:szCs w:val="19"/>
                <w:color w:val="auto"/>
              </w:rPr>
            </w:pPr>
          </w:p>
        </w:tc>
        <w:tc>
          <w:tcPr>
            <w:tcW w:w="1640" w:type="dxa"/>
            <w:vAlign w:val="bottom"/>
            <w:gridSpan w:val="2"/>
          </w:tcPr>
          <w:p>
            <w:pPr>
              <w:jc w:val="right"/>
              <w:ind w:right="820"/>
              <w:spacing w:after="0"/>
              <w:rPr>
                <w:sz w:val="20"/>
                <w:szCs w:val="20"/>
                <w:color w:val="auto"/>
              </w:rPr>
            </w:pPr>
            <w:r>
              <w:rPr>
                <w:rFonts w:ascii="Arial" w:cs="Arial" w:eastAsia="Arial" w:hAnsi="Arial"/>
                <w:sz w:val="18"/>
                <w:szCs w:val="18"/>
                <w:color w:val="auto"/>
              </w:rPr>
              <w:t>95,744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92,072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data:</w:t>
            </w:r>
          </w:p>
        </w:tc>
        <w:tc>
          <w:tcPr>
            <w:tcW w:w="6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(4)</w:t>
            </w:r>
          </w:p>
        </w:tc>
        <w:tc>
          <w:tcPr>
            <w:tcW w:w="1540" w:type="dxa"/>
            <w:vAlign w:val="bottom"/>
            <w:gridSpan w:val="2"/>
          </w:tcPr>
          <w:p>
            <w:pPr>
              <w:jc w:val="right"/>
              <w:ind w:right="652"/>
              <w:spacing w:after="0"/>
              <w:rPr>
                <w:sz w:val="20"/>
                <w:szCs w:val="20"/>
                <w:color w:val="auto"/>
              </w:rPr>
            </w:pPr>
            <w:r>
              <w:rPr>
                <w:rFonts w:ascii="Arial" w:cs="Arial" w:eastAsia="Arial" w:hAnsi="Arial"/>
                <w:sz w:val="18"/>
                <w:szCs w:val="18"/>
                <w:color w:val="auto"/>
              </w:rPr>
              <w:t>14.34%</w:t>
            </w:r>
          </w:p>
        </w:tc>
        <w:tc>
          <w:tcPr>
            <w:tcW w:w="100" w:type="dxa"/>
            <w:vAlign w:val="bottom"/>
          </w:tcPr>
          <w:p>
            <w:pPr>
              <w:spacing w:after="0"/>
              <w:rPr>
                <w:sz w:val="18"/>
                <w:szCs w:val="18"/>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15.75%</w:t>
            </w: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29.43%</w:t>
            </w:r>
          </w:p>
        </w:tc>
        <w:tc>
          <w:tcPr>
            <w:tcW w:w="2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Number of portfolio companies (at period end)</w:t>
            </w:r>
            <w:r>
              <w:rPr>
                <w:rFonts w:ascii="Arial" w:cs="Arial" w:eastAsia="Arial" w:hAnsi="Arial"/>
                <w:sz w:val="11"/>
                <w:szCs w:val="11"/>
                <w:color w:val="auto"/>
              </w:rPr>
              <w:t>(1)</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8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Yield on debt portfolio (at period end)</w:t>
            </w:r>
            <w:r>
              <w:rPr>
                <w:rFonts w:ascii="Arial" w:cs="Arial" w:eastAsia="Arial" w:hAnsi="Arial"/>
                <w:sz w:val="11"/>
                <w:szCs w:val="11"/>
                <w:color w:val="auto"/>
              </w:rPr>
              <w:t>(1)</w:t>
            </w:r>
          </w:p>
        </w:tc>
        <w:tc>
          <w:tcPr>
            <w:tcW w:w="1540" w:type="dxa"/>
            <w:vAlign w:val="bottom"/>
            <w:gridSpan w:val="2"/>
          </w:tcPr>
          <w:p>
            <w:pPr>
              <w:jc w:val="right"/>
              <w:ind w:right="65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19"/>
                <w:szCs w:val="19"/>
                <w:color w:val="auto"/>
              </w:rPr>
            </w:pPr>
          </w:p>
        </w:tc>
        <w:tc>
          <w:tcPr>
            <w:tcW w:w="1440" w:type="dxa"/>
            <w:vAlign w:val="bottom"/>
            <w:gridSpan w:val="2"/>
          </w:tcPr>
          <w:p>
            <w:pPr>
              <w:jc w:val="right"/>
              <w:ind w:right="720"/>
              <w:spacing w:after="0"/>
              <w:rPr>
                <w:sz w:val="20"/>
                <w:szCs w:val="20"/>
                <w:color w:val="auto"/>
              </w:rPr>
            </w:pPr>
            <w:r>
              <w:rPr>
                <w:rFonts w:ascii="Arial" w:cs="Arial" w:eastAsia="Arial" w:hAnsi="Arial"/>
                <w:sz w:val="18"/>
                <w:szCs w:val="18"/>
                <w:color w:val="auto"/>
              </w:rPr>
              <w:t>8.6%</w:t>
            </w: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8.6%</w:t>
            </w:r>
          </w:p>
        </w:tc>
        <w:tc>
          <w:tcPr>
            <w:tcW w:w="2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Not annualized for a period of less than a year.</w:t>
      </w:r>
    </w:p>
    <w:p>
      <w:pPr>
        <w:spacing w:after="0" w:line="15"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Unaudited.</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the basic weighted average shares outstanding for the respective periods.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32" w:lineRule="exact"/>
        <w:rPr>
          <w:rFonts w:ascii="Arial" w:cs="Arial" w:eastAsia="Arial" w:hAnsi="Arial"/>
          <w:sz w:val="16"/>
          <w:szCs w:val="16"/>
          <w:color w:val="auto"/>
        </w:rPr>
      </w:pPr>
    </w:p>
    <w:p>
      <w:pPr>
        <w:ind w:left="460" w:right="280" w:hanging="452"/>
        <w:spacing w:after="0" w:line="250"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periods and takes into account distributions, if any, reinvested in accordance with our dividend reinvestment plan.</w:t>
      </w:r>
    </w:p>
    <w:p>
      <w:pPr>
        <w:ind w:left="460" w:hanging="452"/>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Included start-up and organizational costs.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Quarterly Data (Unaudited)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(dollar amounts in thousands, except per share data)</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2013</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7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Q2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4,140</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3,963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1,666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2,059</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1,540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3,206</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1,765</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0.26</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14.10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13.99</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13.96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12.70</w:t>
            </w:r>
          </w:p>
        </w:tc>
      </w:tr>
      <w:tr>
        <w:trPr>
          <w:trHeight w:val="365"/>
        </w:trPr>
        <w:tc>
          <w:tcPr>
            <w:tcW w:w="7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2012</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Q4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440"/>
              <w:spacing w:after="0" w:line="142" w:lineRule="exact"/>
              <w:rPr>
                <w:sz w:val="20"/>
                <w:szCs w:val="20"/>
                <w:color w:val="auto"/>
              </w:rPr>
            </w:pPr>
            <w:r>
              <w:rPr>
                <w:rFonts w:ascii="Arial" w:cs="Arial" w:eastAsia="Arial" w:hAnsi="Arial"/>
                <w:sz w:val="14"/>
                <w:szCs w:val="14"/>
                <w:b w:val="1"/>
                <w:bCs w:val="1"/>
                <w:color w:val="auto"/>
                <w:w w:val="85"/>
              </w:rPr>
              <w:t>Q3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Q2</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95"/>
              <w:spacing w:after="0" w:line="142" w:lineRule="exact"/>
              <w:rPr>
                <w:sz w:val="20"/>
                <w:szCs w:val="20"/>
                <w:color w:val="auto"/>
              </w:rPr>
            </w:pPr>
            <w:r>
              <w:rPr>
                <w:rFonts w:ascii="Arial" w:cs="Arial" w:eastAsia="Arial" w:hAnsi="Arial"/>
                <w:sz w:val="14"/>
                <w:szCs w:val="14"/>
                <w:b w:val="1"/>
                <w:bCs w:val="1"/>
                <w:color w:val="auto"/>
              </w:rPr>
              <w:t>Q1</w:t>
            </w:r>
          </w:p>
        </w:tc>
        <w:tc>
          <w:tcPr>
            <w:tcW w:w="100" w:type="dxa"/>
            <w:vAlign w:val="bottom"/>
          </w:tcPr>
          <w:p>
            <w:pPr>
              <w:spacing w:after="0"/>
              <w:rPr>
                <w:sz w:val="12"/>
                <w:szCs w:val="12"/>
                <w:color w:val="auto"/>
              </w:rPr>
            </w:pPr>
          </w:p>
        </w:tc>
      </w:tr>
      <w:tr>
        <w:trPr>
          <w:trHeight w:val="210"/>
        </w:trPr>
        <w:tc>
          <w:tcPr>
            <w:tcW w:w="7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3,487</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3,201</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2,944</w:t>
            </w: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2,467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investment income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1,544</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1,846</w:t>
            </w: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1,545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1,375</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2,400</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7"/>
              </w:rPr>
              <w:t>(1,459)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2,980</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1,730</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3,944</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387</w:t>
            </w: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4,525</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3,105</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0.66</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13.98</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13.94</w:t>
            </w:r>
          </w:p>
        </w:tc>
        <w:tc>
          <w:tcPr>
            <w:tcW w:w="3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40"/>
              <w:spacing w:after="0"/>
              <w:rPr>
                <w:sz w:val="20"/>
                <w:szCs w:val="20"/>
                <w:color w:val="auto"/>
              </w:rPr>
            </w:pPr>
            <w:r>
              <w:rPr>
                <w:rFonts w:ascii="Arial" w:cs="Arial" w:eastAsia="Arial" w:hAnsi="Arial"/>
                <w:sz w:val="18"/>
                <w:szCs w:val="18"/>
                <w:color w:val="auto"/>
                <w:w w:val="84"/>
              </w:rPr>
              <w:t>14.12</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13.68</w:t>
            </w: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12.67</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11.90</w:t>
            </w:r>
          </w:p>
        </w:tc>
        <w:tc>
          <w:tcPr>
            <w:tcW w:w="3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4"/>
              </w:rPr>
              <w:t>11.75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10.30</w:t>
            </w:r>
          </w:p>
        </w:tc>
      </w:tr>
      <w:tr>
        <w:trPr>
          <w:trHeight w:val="365"/>
        </w:trPr>
        <w:tc>
          <w:tcPr>
            <w:tcW w:w="79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2011</w:t>
            </w: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7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Q4</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ind w:right="16"/>
              <w:spacing w:after="0" w:line="142" w:lineRule="exact"/>
              <w:rPr>
                <w:sz w:val="20"/>
                <w:szCs w:val="20"/>
                <w:color w:val="auto"/>
              </w:rPr>
            </w:pPr>
            <w:r>
              <w:rPr>
                <w:rFonts w:ascii="Arial" w:cs="Arial" w:eastAsia="Arial" w:hAnsi="Arial"/>
                <w:sz w:val="14"/>
                <w:szCs w:val="14"/>
                <w:b w:val="1"/>
                <w:bCs w:val="1"/>
                <w:color w:val="auto"/>
                <w:w w:val="99"/>
              </w:rPr>
              <w:t>Q3*</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0"/>
        </w:trPr>
        <w:tc>
          <w:tcPr>
            <w:tcW w:w="794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Total investment income</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2,048</w:t>
            </w: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investment income (loss)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1,203</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(883)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(loss) gain</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7"/>
              </w:rPr>
              <w:t>(4,012)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decrease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(2,809)</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8"/>
                <w:szCs w:val="18"/>
                <w:color w:val="auto"/>
              </w:rPr>
              <w:t>(664)</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net assets resulting from operations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940" w:type="dxa"/>
            <w:vAlign w:val="bottom"/>
          </w:tcPr>
          <w:p>
            <w:pPr>
              <w:spacing w:after="0"/>
              <w:rPr>
                <w:sz w:val="20"/>
                <w:szCs w:val="20"/>
                <w:color w:val="auto"/>
              </w:rPr>
            </w:pPr>
            <w:r>
              <w:rPr>
                <w:rFonts w:ascii="Arial" w:cs="Arial" w:eastAsia="Arial" w:hAnsi="Arial"/>
                <w:sz w:val="18"/>
                <w:szCs w:val="18"/>
                <w:color w:val="auto"/>
              </w:rPr>
              <w:t>Net asset value per share at the end of the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13.44</w:t>
            </w:r>
          </w:p>
        </w:tc>
        <w:tc>
          <w:tcPr>
            <w:tcW w:w="8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14.06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Market value per share at the end of the quarter</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10.55</w:t>
            </w:r>
          </w:p>
        </w:tc>
        <w:tc>
          <w:tcPr>
            <w:tcW w:w="8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12.69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5620" w:right="5420" w:hanging="5612"/>
        <w:spacing w:after="0" w:line="408" w:lineRule="auto"/>
        <w:tabs>
          <w:tab w:leader="none" w:pos="448" w:val="left"/>
        </w:tabs>
        <w:numPr>
          <w:ilvl w:val="0"/>
          <w:numId w:val="34"/>
        </w:numPr>
        <w:rPr>
          <w:rFonts w:ascii="Arial" w:cs="Arial" w:eastAsia="Arial" w:hAnsi="Arial"/>
          <w:sz w:val="15"/>
          <w:szCs w:val="15"/>
          <w:color w:val="auto"/>
        </w:rPr>
      </w:pPr>
      <w:r>
        <w:rPr>
          <w:rFonts w:ascii="Arial" w:cs="Arial" w:eastAsia="Arial" w:hAnsi="Arial"/>
          <w:sz w:val="15"/>
          <w:szCs w:val="15"/>
          <w:color w:val="auto"/>
        </w:rPr>
        <w:t>For the period March 4, 2011 (commencement of operations) to June 30, 2011. 35</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AND RESULTS OF OPERATIONS</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i w:val="1"/>
          <w:iCs w:val="1"/>
          <w:color w:val="auto"/>
        </w:rPr>
        <w:t>The information contained in this section should be read in conjunction with the selected financial data and our consolidated financial statements and notes thereto appearing elsewhere in this prospectus.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Under normal market conditions, we generally expect that at least 80% of the value of our managed assets will be invested in Floating Rate Loans and other instruments bearing a variable rate of interest which may, from time to time, include variable-rate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to a lesser extent equity investments. Our investment size may generally range between $1 million and $10 million, on average, although we expect that this investment size will vary proportionately with the size of our capital base.</w:t>
      </w:r>
    </w:p>
    <w:p>
      <w:pPr>
        <w:spacing w:after="0" w:line="144"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invest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have elected to be treated, and intend to qualify annually, as a RIC under the Code.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60"/>
          </w:cols>
          <w:pgMar w:left="240" w:top="459" w:right="29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investment activities are managed by PennantPark Investment Advisers. Under our Investment Management Agreement, we have agreed to pay our Investment Adviser an annual base management fee based on our average adjusted gross total assets as well as an incentive fee based on our investment performance. We have also entered into an Administration Agreement with PennantPark Investment Administration.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Our board of directors, a majority of whom are independent of us and the Investment Adviser supervise our activities.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We generate revenue in the form of interest income on the debt securities we hold. Capital gains, if any, are recorded on a trade date basis upon existing investments. Our debt investments, whether in the form of senior secured loans or mezzanine debt, typically have a term of three to ten years and bear interest at a fixed or floating rate. Interest on debt securities is generally payable quarterly or semiannually. In some cases, some of our investments provide for deferred interest payments or PIK interest. The principal amount of the debt securities and any accrued but unpaid interest generally becomes due at the maturity date. In addition, we may generate revenue in the form of OID, commitment, origination, structuring or diligence fees, fees for providing managerial assistance and possibly consulting fees.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Our primary operating expenses include the payment of a management fee to our Investment Adviser,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undrawn commitment fees under our Credit Facility. We bear all other direct or indirect costs and expenses of our operations and transactions, including:</w:t>
      </w:r>
    </w:p>
    <w:p>
      <w:pPr>
        <w:spacing w:after="0" w:line="18" w:lineRule="exact"/>
        <w:rPr>
          <w:sz w:val="20"/>
          <w:szCs w:val="20"/>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calculating our net asset value, including the cost of any third-party valuation services;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effecting sales and repurchases of shares of our common stock and other securities;</w:t>
      </w:r>
    </w:p>
    <w:p>
      <w:pPr>
        <w:spacing w:after="0" w:line="76" w:lineRule="exact"/>
        <w:rPr>
          <w:rFonts w:ascii="Arial" w:cs="Arial" w:eastAsia="Arial" w:hAnsi="Arial"/>
          <w:sz w:val="18"/>
          <w:szCs w:val="18"/>
          <w:color w:val="auto"/>
        </w:rPr>
      </w:pPr>
    </w:p>
    <w:p>
      <w:pPr>
        <w:ind w:left="900" w:right="660" w:hanging="446"/>
        <w:spacing w:after="0" w:line="268" w:lineRule="auto"/>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payable to third parties relating to, or associated with, making investments, including fees and expenses associated with performing due diligence and reviews of prospective investments or complementary businesses;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expenses incurred by the Investment Adviser in performing due diligence and reviews of investments;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and expenses associated with marketing efforts;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and state registration fees and any stock exchange listing fees;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fees and expenses associated with independent audits and outside legal costs;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brokerage commissions;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fidelity bond, directors and officers/errors and omissions liability insurance and other insurance premiums;</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direct costs such as printing, mailing, long distance telephone and staff;</w:t>
      </w:r>
    </w:p>
    <w:p>
      <w:pPr>
        <w:spacing w:after="0" w:line="76" w:lineRule="exact"/>
        <w:rPr>
          <w:rFonts w:ascii="Arial" w:cs="Arial" w:eastAsia="Arial" w:hAnsi="Arial"/>
          <w:sz w:val="18"/>
          <w:szCs w:val="18"/>
          <w:color w:val="auto"/>
        </w:rPr>
      </w:pPr>
    </w:p>
    <w:p>
      <w:pPr>
        <w:ind w:left="900" w:hanging="446"/>
        <w:spacing w:after="0"/>
        <w:tabs>
          <w:tab w:leader="none" w:pos="900"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costs associated with our reporting and compliance obligations under the 1940 Act and applicable federal and state securities laws;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line="256"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143"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During periods of asset growth, we expect our general and administrative expenses to be relatively stable or decline as a percentage of total assets and increase during periods of asset declines. Incentive fees, interest expense and costs relating to future offerings of securities would be additive to the expenses described above.</w:t>
      </w:r>
    </w:p>
    <w:p>
      <w:pPr>
        <w:spacing w:after="0" w:line="140" w:lineRule="exact"/>
        <w:rPr>
          <w:sz w:val="20"/>
          <w:szCs w:val="20"/>
          <w:color w:val="auto"/>
        </w:rPr>
      </w:pPr>
    </w:p>
    <w:p>
      <w:pPr>
        <w:jc w:val="both"/>
        <w:ind w:right="380" w:firstLine="456"/>
        <w:spacing w:after="0" w:line="306" w:lineRule="auto"/>
        <w:rPr>
          <w:sz w:val="20"/>
          <w:szCs w:val="20"/>
          <w:color w:val="auto"/>
        </w:rPr>
      </w:pPr>
      <w:r>
        <w:rPr>
          <w:rFonts w:ascii="Arial" w:cs="Arial" w:eastAsia="Arial" w:hAnsi="Arial"/>
          <w:sz w:val="16"/>
          <w:szCs w:val="16"/>
          <w:color w:val="auto"/>
        </w:rPr>
        <w:t>The SEC requires that “Total Estimated Annual Expenses” be calculated as a percentage of average net assets in the table on page 6 of this prospectus rather than as a percentage of average total assets. Total assets include assets that have been funded with borrowed money (leverage). For reference, the table below illustrates our “Total Estimated Annual Expenses” as a percentage of average total assets:</w:t>
      </w:r>
    </w:p>
    <w:p>
      <w:pPr>
        <w:spacing w:after="0" w:line="182" w:lineRule="exact"/>
        <w:rPr>
          <w:sz w:val="20"/>
          <w:szCs w:val="20"/>
          <w:color w:val="auto"/>
        </w:rPr>
      </w:pPr>
    </w:p>
    <w:tbl>
      <w:tblPr>
        <w:tblLayout w:type="fixed"/>
        <w:tblInd w:w="184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7040" w:type="dxa"/>
            <w:vAlign w:val="bottom"/>
          </w:tcPr>
          <w:p>
            <w:pPr>
              <w:ind w:left="1260"/>
              <w:spacing w:after="0"/>
              <w:rPr>
                <w:sz w:val="20"/>
                <w:szCs w:val="20"/>
                <w:color w:val="auto"/>
              </w:rPr>
            </w:pPr>
            <w:r>
              <w:rPr>
                <w:rFonts w:ascii="Arial" w:cs="Arial" w:eastAsia="Arial" w:hAnsi="Arial"/>
                <w:sz w:val="18"/>
                <w:szCs w:val="18"/>
                <w:b w:val="1"/>
                <w:bCs w:val="1"/>
                <w:color w:val="auto"/>
                <w:w w:val="95"/>
              </w:rPr>
              <w:t>Estimated Annual Expenses (as a Percentage of Average Total Assets)</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20" w:type="dxa"/>
            <w:vAlign w:val="bottom"/>
            <w:vMerge w:val="restart"/>
          </w:tcPr>
          <w:p>
            <w:pPr>
              <w:spacing w:after="0"/>
              <w:rPr>
                <w:sz w:val="17"/>
                <w:szCs w:val="17"/>
                <w:color w:val="auto"/>
              </w:rPr>
            </w:pPr>
          </w:p>
        </w:tc>
        <w:tc>
          <w:tcPr>
            <w:tcW w:w="70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1.00%</w:t>
            </w:r>
            <w:r>
              <w:rPr>
                <w:rFonts w:ascii="Arial" w:cs="Arial" w:eastAsia="Arial" w:hAnsi="Arial"/>
                <w:sz w:val="11"/>
                <w:szCs w:val="11"/>
                <w:color w:val="auto"/>
                <w:w w:val="96"/>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Incentive fees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1.22%</w:t>
            </w:r>
            <w:r>
              <w:rPr>
                <w:rFonts w:ascii="Arial" w:cs="Arial" w:eastAsia="Arial" w:hAnsi="Arial"/>
                <w:sz w:val="11"/>
                <w:szCs w:val="11"/>
                <w:color w:val="auto"/>
                <w:w w:val="96"/>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Interest on borrowed funds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1.35%</w:t>
            </w:r>
            <w:r>
              <w:rPr>
                <w:rFonts w:ascii="Arial" w:cs="Arial" w:eastAsia="Arial" w:hAnsi="Arial"/>
                <w:sz w:val="11"/>
                <w:szCs w:val="11"/>
                <w:color w:val="auto"/>
                <w:w w:val="96"/>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expenses</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w w:val="96"/>
              </w:rPr>
              <w:t>1.00%</w:t>
            </w:r>
            <w:r>
              <w:rPr>
                <w:rFonts w:ascii="Arial" w:cs="Arial" w:eastAsia="Arial" w:hAnsi="Arial"/>
                <w:sz w:val="11"/>
                <w:szCs w:val="11"/>
                <w:color w:val="auto"/>
                <w:w w:val="96"/>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0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estimated annual expenses</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6"/>
              </w:rPr>
              <w:t>4.57%</w:t>
            </w:r>
            <w:r>
              <w:rPr>
                <w:rFonts w:ascii="Arial" w:cs="Arial" w:eastAsia="Arial" w:hAnsi="Arial"/>
                <w:sz w:val="11"/>
                <w:szCs w:val="11"/>
                <w:color w:val="auto"/>
                <w:w w:val="96"/>
              </w:rPr>
              <w:t>(5)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00" w:hanging="452"/>
        <w:spacing w:after="0" w:line="268"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contractual management fee is calculated at an annual rate of 1.00% of our average adjusted gross assets. See “Certain Relationships and Transactions —Investment Management Agreement” for more information.</w:t>
      </w:r>
    </w:p>
    <w:p>
      <w:pPr>
        <w:spacing w:after="0" w:line="50" w:lineRule="exact"/>
        <w:rPr>
          <w:rFonts w:ascii="Arial" w:cs="Arial" w:eastAsia="Arial" w:hAnsi="Arial"/>
          <w:sz w:val="18"/>
          <w:szCs w:val="18"/>
          <w:color w:val="auto"/>
        </w:rPr>
      </w:pPr>
    </w:p>
    <w:p>
      <w:pPr>
        <w:ind w:left="460" w:right="40" w:hanging="452"/>
        <w:spacing w:after="0" w:line="285"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portion of incentive fees paid with respect to net investment income is based on actual amounts incurred and payable under our Investment Management Agreement during the three months ended March 31, 2013, annualized for a full year. Such incentive fees are based on performance, vary from year to year and are not paid unless our performance exceeds specified thresholds. Incentive fees in respect of net investment income do not include incentive fees in respect of net capital gains. The portion of our incentive fee paid in respect of net capital gains is determined and payable in arrears as of the end of each calendar year (or upon termination of the Investment Management Agreement, as of the termination date) and equals 20.0% of our realized capital gains, if any, on a cumulative basis from inception through the end of each calendar year, computed net of all realized capital losses and unrealized capital depreciation on a cumulative basis, less the aggregate amount of any previously paid capital gain incentive fees. As of March 31, 2013, our unrealized capital gains exceeded our cumulative realized and unrealized capital losses and we accrued a capital gains incentive fee of $0.3 million in accordance with GAAP. However, “Incentive fees payable under the Investment Management Agreement” includes an accrual for capital gains incentive fee for the three months ended March 31, 2013 even though no capital gains incentive fee was payable under our Investment Management Agreement as of March 31, 2013. As we cannot predict our future net investment income or capital gains, the incentive fee paid in future periods, if any, may be substantially different than the fee earned during the three months ended March 31, 2013, and we cannot assure you that we will recognize capital gains for the calendar year ending December 31, 2013 in amounts consistent with the accrual for the same period. For more detailed information about the incentive fee, please see “Certain Relationships and Transactions—Investment Management Agreement” for more information.</w:t>
      </w:r>
    </w:p>
    <w:p>
      <w:pPr>
        <w:spacing w:after="0" w:line="47" w:lineRule="exact"/>
        <w:rPr>
          <w:rFonts w:ascii="Arial" w:cs="Arial" w:eastAsia="Arial" w:hAnsi="Arial"/>
          <w:sz w:val="16"/>
          <w:szCs w:val="16"/>
          <w:color w:val="auto"/>
        </w:rPr>
      </w:pPr>
    </w:p>
    <w:p>
      <w:pPr>
        <w:ind w:left="460" w:right="80" w:hanging="452"/>
        <w:spacing w:after="0" w:line="306"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As of March 31, 2013, we had $34.2 million in borrowings outstanding under our $125.0 million Credit Facility. We may use proceeds of an offering of securities under this registration statement to repay outstanding obligations under our Credit Facility. After completing any such offering, we may continue to borrow under our Credit Facility to finance our investment objectives. We have estimated the annual interest</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right="60"/>
        <w:spacing w:after="0" w:line="298" w:lineRule="auto"/>
        <w:rPr>
          <w:sz w:val="20"/>
          <w:szCs w:val="20"/>
          <w:color w:val="auto"/>
        </w:rPr>
      </w:pPr>
      <w:r>
        <w:rPr>
          <w:rFonts w:ascii="Arial" w:cs="Arial" w:eastAsia="Arial" w:hAnsi="Arial"/>
          <w:sz w:val="16"/>
          <w:szCs w:val="16"/>
          <w:color w:val="auto"/>
        </w:rPr>
        <w:t>expense on borrowed funds, which includes actual (unannualized) amendment costs incurred in connection with amending our Credit Facility but does not annualize them, and caution you that our actual interest expense will depend on prevailing interest rates and our rate of borrowing, which may be substantially higher than the estimate provided in this table. See “Risk Factors—Risks Relating To Our Business and Structure—We currently use borrowed funds to make investments and are exposed to the typical risks associated with leverage” for more information.</w:t>
      </w:r>
    </w:p>
    <w:p>
      <w:pPr>
        <w:spacing w:after="0" w:line="32" w:lineRule="exact"/>
        <w:rPr>
          <w:sz w:val="20"/>
          <w:szCs w:val="20"/>
          <w:color w:val="auto"/>
        </w:rPr>
      </w:pPr>
    </w:p>
    <w:p>
      <w:pPr>
        <w:ind w:left="460" w:right="80" w:hanging="452"/>
        <w:spacing w:after="0" w:line="256"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“Other expenses” includes our general and administrative expenses, professional fees, directors’ fees, insurance costs, expenses of our dividend reinvestment plan and the expenses of the Investment Adviser reimbursable under our Investment Management Agreement and of the Administrator reimbursable under our Administration Agreement. Such expenses are based on actual other expenses for the three months ended March 31, 2013. See the Consolidated Statement of Operations in our Consolidated Financial Statements.</w:t>
      </w:r>
    </w:p>
    <w:p>
      <w:pPr>
        <w:spacing w:after="0" w:line="62" w:lineRule="exact"/>
        <w:rPr>
          <w:rFonts w:ascii="Arial" w:cs="Arial" w:eastAsia="Arial" w:hAnsi="Arial"/>
          <w:sz w:val="18"/>
          <w:szCs w:val="18"/>
          <w:color w:val="auto"/>
        </w:rPr>
      </w:pPr>
    </w:p>
    <w:p>
      <w:pPr>
        <w:ind w:left="460" w:right="40" w:hanging="452"/>
        <w:spacing w:after="0" w:line="291" w:lineRule="auto"/>
        <w:tabs>
          <w:tab w:leader="none" w:pos="4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table above is intended to assist you in understanding the various costs and expenses that an investor in shares of our common stock will bear as a percentage of our average gross assets as of March 31, 2013. However, we caution you that these percentages are estimates and may vary with changes in the market value of our investments, the amount of equity capital raised and used to invest in portfolio companies and changes in the level of expenses as a percentage of our gross assets. We may borrow money to leverage our net assets and increase our total assets and such leverage will affect both the total annual expenses and gross assets used in deriving the ratios in the above table. Thus, any differences in the estimated expenses and the corresponding level of average asset balances will affect the estimated percentages and those differences could be material.</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0" w:firstLine="456"/>
        <w:spacing w:after="0" w:line="289" w:lineRule="auto"/>
        <w:rPr>
          <w:sz w:val="20"/>
          <w:szCs w:val="20"/>
          <w:color w:val="auto"/>
        </w:rPr>
      </w:pPr>
      <w:r>
        <w:rPr>
          <w:rFonts w:ascii="Arial" w:cs="Arial" w:eastAsia="Arial" w:hAnsi="Arial"/>
          <w:sz w:val="16"/>
          <w:szCs w:val="16"/>
          <w:color w:val="auto"/>
        </w:rPr>
        <w:t>The discussion of our financial condition and results of operations are based upon our Consolidated Financial Statements, which have been prepared in accordance with GAAP. The preparation of these Consolidated Financial Statements requires management to make estimates and assumptions that affect the reported amounts of assets, liabilities, revenues and expenses during the reporting period. Actual results could differ from these estimates. We may reclassify certain prior period amounts to conform to the current period presentation. We have eliminated all intercompany balances and transactions. References to the ASC serve as a single source of literature. Subsequent events are evaluated and disclosed as appropriate for events occurring through the date the Consolidated Financial Statements are issued. Changes in the economic and regulatory environment, financial markets and any other parameters used in determining such estimates could cause actual results to differ. In addition to the discussion below, we describe our critical accounting policies in the notes to our Consolidated Financial Statements.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investments generally consist of illiquid securities including debt and equity investments.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or otherwise from a principal market maker or a primary market dealer. If our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20"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prospectus and a</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459" w:right="2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differ from our valuations and the differences may be material.</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its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280" w:hanging="446"/>
        <w:spacing w:after="0" w:line="332" w:lineRule="auto"/>
        <w:tabs>
          <w:tab w:leader="none" w:pos="9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160" w:hanging="446"/>
        <w:spacing w:after="0" w:line="268"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determines the fair value of each investment in our portfolio in good faith, based on the input of our Investment Adviser, the respective independent valuation firms and the audit committee.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94"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 A review of fair value hierarchy classifications is conducted on a quarterly basis.</w:t>
      </w:r>
    </w:p>
    <w:p>
      <w:pPr>
        <w:spacing w:after="0" w:line="11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140"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three months ended March 31,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2013, we had a net change in unrealized appreciation of zero and $0.4 million, respectively. For the three and six months ended March 31, 2012, we had a net change in unrealized (appreciation) depreciation of $(0.1) million and $0.2 million, respectively. As of March 31,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contractual interest accrued and added to the loan balance that generally becomes due at maturity, we will generally not accrue PIK interest if the portfolio company valuation indicates that such PIK interest is not collectible. We do not accrue as a receivable interest on loans and debt investments if we determine that it is probable that we will not be able to collect such interest. Loan origination fees, OID, market discount or premium are capitalized, and we then amortize such amounts as interest income or expense, as applicable, using the effective interest method. We record contractual prepayment premiums on loans and debt investments as income. Dividend income, if any, is recognized on an accrual basis on the ex-dividend date to the extent that we expect to collect such amounts.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 and Net Change in Unrealized Appreciation or Depreciation</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portfolio investment values during the reporting period, including any reversal of previously recorded unrealized appreciation or depreciation, when gains or losses are realized.</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380"/>
          </w:cols>
          <w:pgMar w:left="240" w:top="459" w:right="2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Payment-in-Kind Interest or PIK</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We have investments in our portfolio which contain a PIK interest provision. PIK interest is added to the principal balance of the investment and is recorded as income. For us to maintain our status as a RIC, substantially all of this income must be paid out to stockholders in the form of dividends, even though we have not collected any cash with respect to PIK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Income Taxes</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have elected to be taxed, and intend to qualify annually to maintain our election to be taxed, as a RIC under Subchapter M of the Code. To maintain our RIC election, we must, among other requirements, meet certain source-of-income and quarterly asset diversification requirements. We also must annually distribute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 net income (i.e., the excess, if any, of capital gains over capital losses) for the one-year period ending on October 31 of the calendar year and (3) the sum of any net ordinary income plus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net ordinary income to provide us with additional liquidity.</w:t>
      </w:r>
    </w:p>
    <w:p>
      <w:pPr>
        <w:spacing w:after="0" w:line="12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As of March 31, 2013, our portfolio totaled $183.9 million and consisted of $159.7 million of senior secured loans, $10.4 million of second lien secured debt and $13.8 million of subordinated debt, preferred and common equity investments. Our debt portfolio consisted of 88% variable-rate investments (including 83% with a LIBOR or prime floor) and 12% fixed-rate investments. Overall, the portfolio had unrealized appreciation of $0.3 million. Our overall portfolio consisted of 63 companies with an average investment size of $2.9 million, had a weighted average yield on debt investments of 8.8%, and was invested 87% in senior secured loans, 6% in second lien secured debt and 7% in subordinated debt, preferred and common equity investments.</w:t>
      </w:r>
    </w:p>
    <w:p>
      <w:pPr>
        <w:spacing w:after="0" w:line="116"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As of September 30, 2012, our portfolio totaled $171.8 million and consisted of $150.2 million of senior secured loans, $12.0 million of second lien secured debt and $9.6 million of subordinated debt, preferred and common equity investments. Our debt portfolio consisted of 85% variable-rate investments (including 81% with a LIBOR or prime floor) and 15% fixed-rate investments. Overall, the portfolio had net unrealized appreciation of $0.3 million. Our overall portfolio consisted of 61 companies with an average investment size of $2.8 million, had a weighted average yield on debt investments of 8.6%, and was invested 87% in senior secured loans, 7% in second lien secured debt and 6% in subordinated debt, preferred and common equity investments.</w:t>
      </w:r>
    </w:p>
    <w:p>
      <w:pPr>
        <w:spacing w:after="0" w:line="11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As of September 30, 2011, our portfolio totaled $110.7 million and consisted of $91.4 million of senior secured loans, $12.2 million of second lien secured debt, $7.1 million of subordinated debt, preferred and common equity investments. Our portfolio consisted of 84% variable-rate investments (including 78% with a LIBOR or prime floor) and 16% fixed-rate investments. Overall, the portfolio had an unrealized depreciation of $4.1 million. Our overall portfolio consisted of 38 companies with an average investment size of $2.9 million, a</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weighted average yield on debt investments of 8.0%, and was invested 85% in senior secured loans, 9% in second lien secured debt and 6% in subordinated debt, preferred and common equity investments.</w:t>
      </w:r>
    </w:p>
    <w:p>
      <w:pPr>
        <w:spacing w:after="0" w:line="132"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For the three months ended March 31, 2013, we invested $45.1 million in 16 new and four existing portfolio companies with a weighted average yield on debt investments of 7.9%. Sales and repayments of investments for the three months ended March 31, 2013 totaled $43.9 million. For the six months ended March 31, 2013, we invested $84.0 million in 28 new portfolio companies and six existing portfolio companies with a weighted average yield on debt investments of 8.8%. Sales and repayments of investments for the six months ended March 31, 2013 totaled $74.2 million.</w:t>
      </w:r>
    </w:p>
    <w:p>
      <w:pPr>
        <w:spacing w:after="0" w:line="113"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For the three months ended March 31, 2012, we invested $32.9 million in 12 new portfolio companies with a weighted average yield on debt investments of 8.9%. Sales and repayments of investments for the three months ended March 31, 2012 totaled $19.3 million. For the six months ended March 31, 2012, we invested $72.2 million in 25 new portfolio companies and two existing portfolio companies with a weighted average yield on debt investments of 9.2%. Sales and repayments of investments for the six months ended March 31, 2012 totaled $41.6 million.</w:t>
      </w:r>
    </w:p>
    <w:p>
      <w:pPr>
        <w:spacing w:after="0" w:line="113"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For the fiscal year ended September 30, 2012, we purchased $128.7 million of investments issued by 47 new and seven existing portfolio companies with a weighted average yield of 8.9% on debt investments. For the same period sales and repayments of investments generated proceeds of $71.5 million.</w:t>
      </w:r>
    </w:p>
    <w:p>
      <w:pPr>
        <w:spacing w:after="0" w:line="85"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For the period from March 4, 2011 (commencement of operations) to September 30, 2011, we purchased $147.5 million of investments issued by 50 portfolio companies with a weighted average yield of 7.6% on debt investments. For the same period sales and repayments of investments generated proceeds of $33.2 million.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Set forth below are the results of operations for the three and six months ended March 31, 2013 and 2012.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Investment income for the three and six months ended March 31, 2013 was $4.1 million and $8.1 million, respectively, and was attributable to $3.6 million and $6.9 million from senior secured loans, $0.2 million and $0.5 million from second lien secured debt investments and $0.3 million and $0.7 million from subordinated debt investments, respectively. This compares to investment income for the three and six months ended March 31, 2012, which was $2.9 million and $5.4 million, respectively, and was attributable to $2.3 million and $4.3 million from senior secured loans, $0.3 million and $0.6 million from second lien secured debt investments and $0.3 million and $0.5 million from subordinated debt investments, respectively. The increase in investment income was due to a larger portfolio which was funded through both our Credit Facility and rotation out of lower yielding assets. We intend to grow our portfolio with the proceeds of our recent offering of common stock and our increased borrowing capacity under our Credit Facility.</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Expenses for the three and six months ended March 31, 2013 totaled $2.5 million and $4.4 million, respectively. Base management fee for the same periods totaled $0.5 million and $0.9 million, performance-based incentive fee totaled $0.6 million and $1.0 million (including $0.3 million of non-payable incentive fee), Credit Facility expenses totaled $0.5 million and $1.0 million (excluding $0.5 million of Credit Facility amendment expenses), general and administrative expenses totaled $0.4 million and $0.9 million and excise taxes were $0.1 million, respectively. This compares to expenses for the three and six months ended March 31, 2012, which totaled $1.4 million and $2.5 million, respectively. Base management fee for the same periods in the prior year totaled $0.4 million and $0.7 million, performance-based incentive fee totaled $0.2 million and $0.2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million, Credit Facility expenses totaled $0.3 million and $0.6 million and general and administrative expenses totaled $0.5 million and $1.0 million, respectively. The increase in management fee, incentive fee and Credit Facility expenses was due to the growth of our portfolio and expanding our borrowing capacity under our Credit Facility.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400" w:firstLine="456"/>
        <w:spacing w:after="0" w:line="256" w:lineRule="auto"/>
        <w:rPr>
          <w:sz w:val="20"/>
          <w:szCs w:val="20"/>
          <w:color w:val="auto"/>
        </w:rPr>
      </w:pPr>
      <w:r>
        <w:rPr>
          <w:rFonts w:ascii="Arial" w:cs="Arial" w:eastAsia="Arial" w:hAnsi="Arial"/>
          <w:sz w:val="18"/>
          <w:szCs w:val="18"/>
          <w:color w:val="auto"/>
        </w:rPr>
        <w:t>Net investment income totaled $1.7 million and $3.7 million, or $0.24 and $0.54 per share, for the three and six months ended March 31, 2013, respectively. Net investment income totaled $1.5 million and $2.9 million, or $0.23 and $0.43 per share, for the three and six months ended March 31, 2012, respectively. The increase in net investment income was due to a larger portfolio and higher yielding assets offset by higher Credit Facility expenses and management and incentive fee.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Sales and repayments of investments for the three and six months ended March 31, 2013 totaled $43.9 million and $74.2 million and realized gains totaled $1.1 million and $1.5 million, respectively. Sales and repayments of investments for the three and six months ended March 31, 2012 totaled $19.3 million and $41.6 million and realized gains totaled $0.1 million and $0.4 million, respectively. The increase in realized gains was driven by a higher volume of sales and early repayments than the comparable periods in the prior year.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For the three and six months ended March 31, 2013, we reported unrealized appreciation on investments of $0.4 million and $0.1 million, respectively. For the three and six months ended March 31, 2012, we reported unrealized appreciation on investments of $3.0 million and $4.1 million, respectively. As of March 31, 2013 and September 30, 2012, net unrealized appreciation on investments totaled $0.3 million and $0.3 million, respectively. The decrease in unrealized appreciation for current periods compared to prior periods was the result of the reversal of unrealized gains upon exiting our investments and changes in market values.</w:t>
      </w:r>
    </w:p>
    <w:p>
      <w:pPr>
        <w:spacing w:after="0" w:line="143"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For the three and six months ended March 31, 2013, our long-term Credit Facility had a change in unrealized (appreciation) of zero and $(0.4) million, respectively. For the three and six months ended March 31, 2012, our long-term Credit Facility had a change in unrealized (appreciation) depreciation of $(0.1) million and $0.2 million, respectively. As of March 31, 2013 and September 30, 2012, net unrealized depreciation on our long-term Credit Facility totaled zero and $0.4 million, respectively. The change in unrealized appreciation for current periods compared to prior periods was the result of changes in the leveraged credit markets.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in Net Assets Resulting from Operations</w:t>
      </w:r>
    </w:p>
    <w:p>
      <w:pPr>
        <w:spacing w:after="0" w:line="90"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Net increase in net assets resulting from operations totaled $3.2 million and $5.0 million, or $0.45 and $0.72 per share, respectively, for the three and six months ended March 31, 2013. This compares to a net increase in net assets resulting from operations which totaled $4.5 million and $7.6 million, or $0.66 and $1.12 per share, respectively, for the three and six months ended March 31, 2012. The decrease in net assets resulting from operations compared to last year was due to changes in fair value of our investments due to changes in the market values of our investments.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Set forth below are the results of operations for the year ended September 30, 2012 and the period from March 4, 2011 (commencement of operations) to September 30,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9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Investment income for the year ended September 30, 2012 was $12.1 million and was primarily attributable to $9.9 million from senior secured loans, $1.0 million from second lien secured debt investments and $1.2 million from subordinated debt investments. This compares to investment income for the period March 4, 2011 (commencement of operations) to September 30, 2011, which was $2.9 million, and was attributable to $2.3 million from senior secured loan investments, $0.5 million from second lien secured debt investments, and $0.1 million from subordinated debt investments. The increase in interest income over the prior year was due to both a full year of operation and the increased size of our portfolio.</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Expenses for the year ended September 30, 2012 totaled $5.8 million. Base management fees for the same period totaled $1.5 million, performance-based incentive fees totaled $0.6 million (including $0.3 million accrued but not to be paid under GAAP unless the net unrealized gains are realized), Credit Facility expenses totaled $1.8 million (including $0.3 million of amendment expenses) and general and administrative expenses totaled $1.9 million. We expect our Credit Facility expenses and management fees to continue to increase as a result of growth in our portfolio. Additionally, general and administrative costs increased over the prior year due to a full year of operations.</w:t>
      </w:r>
    </w:p>
    <w:p>
      <w:pPr>
        <w:spacing w:after="0" w:line="143" w:lineRule="exact"/>
        <w:rPr>
          <w:sz w:val="20"/>
          <w:szCs w:val="20"/>
          <w:color w:val="auto"/>
        </w:rPr>
      </w:pPr>
    </w:p>
    <w:p>
      <w:pPr>
        <w:jc w:val="both"/>
        <w:ind w:right="260" w:firstLine="456"/>
        <w:spacing w:after="0" w:line="306" w:lineRule="auto"/>
        <w:rPr>
          <w:sz w:val="20"/>
          <w:szCs w:val="20"/>
          <w:color w:val="auto"/>
        </w:rPr>
      </w:pPr>
      <w:r>
        <w:rPr>
          <w:rFonts w:ascii="Arial" w:cs="Arial" w:eastAsia="Arial" w:hAnsi="Arial"/>
          <w:sz w:val="16"/>
          <w:szCs w:val="16"/>
          <w:color w:val="auto"/>
        </w:rPr>
        <w:t>Expenses for the period March 4, 2011 (commencement of operations) to September 30, 2011, totaled $2.6 million. Base management fee for the same period totaled $0.4 million, debt-issuance cost (non-recurring) totaled $1.4 million, credit facility expenses totaled $0.1 million and general and administrative expenses totaled $0.7 million. Expenses include organizational cost associated with starting up our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Investment Income</w:t>
      </w:r>
    </w:p>
    <w:p>
      <w:pPr>
        <w:spacing w:after="0" w:line="90"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Net investment income totaled $6.3 million, or $0.92 per share, for the year ended September 30, 2012. This compares to net investment income which totaled $0.3 million or $0.05 per share for the period March 4, 2011 (commencement of operations) to September 30, 2011.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Realized Gains or Losses</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Sales and repayments of investments for the year ended September 30, 2012 totaled $71.5 million and realized gains totaled $0.9 million, due to sales and repayments of our debt investments. This compares to sales and repayments of long-term investments for the period March 4, 2011 (commencement of operations) to September 30, 2011 which totaled $33.2 million and net realized gains which totaled $0.3 million. The increase in sales and repayments of investments was due to shorter-term investment opportunities.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Unrealized Appreciation or Depreciation on Investments and Credit Facility</w:t>
      </w:r>
    </w:p>
    <w:p>
      <w:pPr>
        <w:spacing w:after="0" w:line="90" w:lineRule="exact"/>
        <w:rPr>
          <w:sz w:val="20"/>
          <w:szCs w:val="20"/>
          <w:color w:val="auto"/>
        </w:rPr>
      </w:pPr>
    </w:p>
    <w:p>
      <w:pPr>
        <w:jc w:val="both"/>
        <w:ind w:right="240" w:firstLine="456"/>
        <w:spacing w:after="0" w:line="256" w:lineRule="auto"/>
        <w:rPr>
          <w:sz w:val="20"/>
          <w:szCs w:val="20"/>
          <w:color w:val="auto"/>
        </w:rPr>
      </w:pPr>
      <w:r>
        <w:rPr>
          <w:rFonts w:ascii="Arial" w:cs="Arial" w:eastAsia="Arial" w:hAnsi="Arial"/>
          <w:sz w:val="18"/>
          <w:szCs w:val="18"/>
          <w:color w:val="auto"/>
        </w:rPr>
        <w:t>For the year ended September 30, 2012 and for the period March 4, 2011 (commencement of operations) to September 30, 2011, we reported unrealized appreciation (depreciation) on investments of $4.4 million and $(4.1) million, respectively. As of September 30, 2012 and September 30, 2011, net unrealized appreciation (depreciation) on investments totaled $0.3 million and $(4.1) million, respectively. Net change in unrealized appreciation on investments over the prior year was the result of changes in the overall leveraged finance markets.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For the year ended September 30, 2012 and for the period March 4, 2011 (commencement of operations) to September 30, 2011, our long-term Credit Facility had a change in unrealized depreciation of $0.4 million and zero, respectively. As of September 30, 2012 and September 30, 2011, net unrealized depreciation on our long-term Credit Facility totaled $0.4 million and zero, respectively. The net change in unrealized appreciation on the Credit Facility over the prior year was due to amending the terms and changes in the leveraged finance markets.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Increase or Decrease in Net Assets Resulting from Operations</w:t>
      </w:r>
    </w:p>
    <w:p>
      <w:pPr>
        <w:spacing w:after="0" w:line="90" w:lineRule="exact"/>
        <w:rPr>
          <w:sz w:val="20"/>
          <w:szCs w:val="20"/>
          <w:color w:val="auto"/>
        </w:rPr>
      </w:pPr>
    </w:p>
    <w:p>
      <w:pPr>
        <w:ind w:right="240" w:firstLine="456"/>
        <w:spacing w:after="0" w:line="306" w:lineRule="auto"/>
        <w:rPr>
          <w:sz w:val="20"/>
          <w:szCs w:val="20"/>
          <w:color w:val="auto"/>
        </w:rPr>
      </w:pPr>
      <w:r>
        <w:rPr>
          <w:rFonts w:ascii="Arial" w:cs="Arial" w:eastAsia="Arial" w:hAnsi="Arial"/>
          <w:sz w:val="16"/>
          <w:szCs w:val="16"/>
          <w:color w:val="auto"/>
        </w:rPr>
        <w:t>Net increase in net assets resulting from operations totaled $12.0 million, or $1.75 per share, respectively, for the year ended September 30, 2012. This increase in net assets from operations was due to the continued growth in net investment income and both realized and unrealized appreciation on investments. We continue to find both long-term and short-term investment opportunities to grow net assets from operations.</w:t>
      </w:r>
    </w:p>
    <w:p>
      <w:pPr>
        <w:spacing w:after="0" w:line="10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Net decrease in net assets resulting from operations totaled $3.5 million, or $0.51 per share for the period March 4, 2011 (commencement of operations) to September 30, 2011.</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liquidity and capital resources are derived from public offerings, our Credit Facility, cash flows from operations, including investment sales and repayments, and income earned. Our primary use of funds from operations includes investments in portfolio companies and payments of fees and other operating expenses we incur. We have used, and expect to continue to use, our Credit Facility, the rotation of our portfolio and proceeds from public and private offerings of securities to finance our investment objectives.</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On March 29, 2013, we amended Funding I’s Credit Facility with the Lender, to expand the size of its Credit Facility from $100 million to $125 million, subject to satisfaction of certain conditions and the regulatory restrictions that the 1940 Act imposes on us as a BDC, to reduce the interest rate spread above LIBOR from 225 to 200 basis points, to reduce the undrawn commitment fee and to extend the maturity date to May 2018 and the revolving period to May 2016. As of March 31, 2013 and September 30, 2012 and 2011, Funding I had $34.2 million, $75.5 million and $24.7 million of outstanding borrowings under the Credit Facility, respectively, and carried an interest rate of 2.21%, 2.47% and 2.53%, respectively, excluding the 0.375%, 0.375% and 0.500% undrawn commitment fee, respectively.</w:t>
      </w:r>
    </w:p>
    <w:p>
      <w:pPr>
        <w:spacing w:after="0" w:line="144" w:lineRule="exact"/>
        <w:rPr>
          <w:sz w:val="20"/>
          <w:szCs w:val="20"/>
          <w:color w:val="auto"/>
        </w:rPr>
      </w:pPr>
    </w:p>
    <w:p>
      <w:pPr>
        <w:jc w:val="both"/>
        <w:ind w:right="120" w:firstLine="456"/>
        <w:spacing w:after="0" w:line="256" w:lineRule="auto"/>
        <w:rPr>
          <w:sz w:val="20"/>
          <w:szCs w:val="20"/>
          <w:color w:val="auto"/>
        </w:rPr>
      </w:pPr>
      <w:r>
        <w:rPr>
          <w:rFonts w:ascii="Arial" w:cs="Arial" w:eastAsia="Arial" w:hAnsi="Arial"/>
          <w:sz w:val="18"/>
          <w:szCs w:val="18"/>
          <w:color w:val="auto"/>
        </w:rPr>
        <w:t>During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a complete list of such covenants see the amended and restated revolving credit and security agreement filed as an exhibit to Form 10-Q filed on August 9, 2012 and the third amendment thereto filed as an exhibit to Form 10-Q filed May 9, 2013. As of March 31, 2013, we were in compliance with the covenants relating to our Credit Facility.</w:t>
      </w:r>
    </w:p>
    <w:p>
      <w:pPr>
        <w:spacing w:after="0" w:line="118"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We cannot assure you that there will be sufficient funds available to make any distributions to us or that such distributions will meet our expectations from Funding I. The Investment Adviser has irrevocably directed that all management fee owed with respect to such services are to be paid to the Company so long as the Investment Adviser remains the collateral manager.</w:t>
      </w:r>
    </w:p>
    <w:p>
      <w:pPr>
        <w:spacing w:after="0" w:line="12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We may raise equity or debt capital through both registered offerings and private offerings of securities and by securitizing a portion of our investments among other considerations. Furthermore, our Credit Facility availability depends on various covenants and restrictions as discussed in the preceding paragraphs. The primary use of existing funds and any funds raised in the future is expected to be for repayment of indebtedness, investments in portfolio companies, cash distributions to our shareholders or for other general corporate or strategic purposes. On March 26, 2013, we completed a follow-on public offering of 3,000,000 shares of common stock at a public offering price of $14.00 per share for gross proceeds of $42.0 million and net proceeds of $41.6 million after offering expenses. Our Investment Adviser paid the entire sales load of $1.3 million in connection with this offering.</w:t>
      </w:r>
    </w:p>
    <w:p>
      <w:pPr>
        <w:spacing w:after="0" w:line="120" w:lineRule="exact"/>
        <w:rPr>
          <w:sz w:val="20"/>
          <w:szCs w:val="20"/>
          <w:color w:val="auto"/>
        </w:rPr>
      </w:pPr>
    </w:p>
    <w:p>
      <w:pPr>
        <w:ind w:right="260" w:firstLine="456"/>
        <w:spacing w:after="0" w:line="332" w:lineRule="auto"/>
        <w:rPr>
          <w:sz w:val="20"/>
          <w:szCs w:val="20"/>
          <w:color w:val="auto"/>
        </w:rPr>
      </w:pPr>
      <w:r>
        <w:rPr>
          <w:rFonts w:ascii="Arial" w:cs="Arial" w:eastAsia="Arial" w:hAnsi="Arial"/>
          <w:sz w:val="16"/>
          <w:szCs w:val="16"/>
          <w:color w:val="auto"/>
        </w:rPr>
        <w:t>At March 31, 2013 and September 30, 2012 and 2011, we had cash equivalents of $2.7 million, $3.8 million and $7.0 million, respectively, available for investing and general corporate purposes. We believe our liquidity and capital resources are sufficient to take advantage of market opportunities.</w:t>
      </w:r>
    </w:p>
    <w:p>
      <w:pPr>
        <w:spacing w:after="0" w:line="8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Our operating activities provided cash of $4.0 million for the six months ended March 31, 2013, and our financing activities used cash of $5.1 million for the same period. Our operating activities provided cash primarily from our investment activity that offset our financing activities, which used cash primarily to pay the deferred sales load and net repayments under the Credit Facility that was partially financed by the proceeds of our offering.</w:t>
      </w:r>
    </w:p>
    <w:p>
      <w:pPr>
        <w:spacing w:after="0" w:line="107" w:lineRule="exact"/>
        <w:rPr>
          <w:sz w:val="20"/>
          <w:szCs w:val="20"/>
          <w:color w:val="auto"/>
        </w:rPr>
      </w:pPr>
    </w:p>
    <w:p>
      <w:pPr>
        <w:ind w:right="240" w:firstLine="456"/>
        <w:spacing w:after="0" w:line="332" w:lineRule="auto"/>
        <w:rPr>
          <w:sz w:val="20"/>
          <w:szCs w:val="20"/>
          <w:color w:val="auto"/>
        </w:rPr>
      </w:pPr>
      <w:r>
        <w:rPr>
          <w:rFonts w:ascii="Arial" w:cs="Arial" w:eastAsia="Arial" w:hAnsi="Arial"/>
          <w:sz w:val="16"/>
          <w:szCs w:val="16"/>
          <w:color w:val="auto"/>
        </w:rPr>
        <w:t>Our operating activities used cash of $23.3 million for the six months ended March 31, 2012, and our financing activities provided cash of $20.2 million for the same period. Our operating activities used cash primarily for our investment activity that was financed by net draws under the Credit Facility.</w:t>
      </w:r>
    </w:p>
    <w:p>
      <w:pPr>
        <w:spacing w:after="0" w:line="85" w:lineRule="exact"/>
        <w:rPr>
          <w:sz w:val="20"/>
          <w:szCs w:val="20"/>
          <w:color w:val="auto"/>
        </w:rPr>
      </w:pPr>
    </w:p>
    <w:p>
      <w:pPr>
        <w:ind w:right="40" w:firstLine="456"/>
        <w:spacing w:after="0" w:line="370" w:lineRule="auto"/>
        <w:rPr>
          <w:sz w:val="20"/>
          <w:szCs w:val="20"/>
          <w:color w:val="auto"/>
        </w:rPr>
      </w:pPr>
      <w:r>
        <w:rPr>
          <w:rFonts w:ascii="Arial" w:cs="Arial" w:eastAsia="Arial" w:hAnsi="Arial"/>
          <w:sz w:val="15"/>
          <w:szCs w:val="15"/>
          <w:color w:val="auto"/>
        </w:rPr>
        <w:t>Our operating activities used cash of $47.8 million for the year ended September 30, 2012, and our financing activities provided net cash proceeds of $44.7 million for the same period. Our operating activities used cash primarily for our investment activity that was provided from net draws under the Credit Facility.</w:t>
      </w:r>
    </w:p>
    <w:p>
      <w:pPr>
        <w:spacing w:after="0" w:line="62"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operating activities used cash of $113.7 million for the period March 4, 2011 (commencement of operations) to September 30, 2011, and our financing activities provided net cash proceeds of $120.7 million for the same period. Our operating activities used cash primarily for our investment activity that was provided from, primarily, proceeds from our initial public offering of common stock and draws under our Credit Facility.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summary of our significant contractual payment obligations as of March 31, 2013, including borrowings under our Credit Facility and other contractual obligations, is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85"/>
              </w:rPr>
              <w:t>Payments due by period (in millions)</w:t>
            </w:r>
          </w:p>
        </w:tc>
        <w:tc>
          <w:tcPr>
            <w:tcW w:w="5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320" w:type="dxa"/>
            <w:vAlign w:val="bottom"/>
          </w:tcPr>
          <w:p>
            <w:pPr>
              <w:spacing w:after="0"/>
              <w:rPr>
                <w:sz w:val="11"/>
                <w:szCs w:val="11"/>
                <w:color w:val="auto"/>
              </w:rPr>
            </w:pPr>
          </w:p>
        </w:tc>
        <w:tc>
          <w:tcPr>
            <w:tcW w:w="4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4"/>
                <w:szCs w:val="14"/>
                <w:b w:val="1"/>
                <w:bCs w:val="1"/>
                <w:color w:val="auto"/>
                <w:w w:val="79"/>
              </w:rPr>
              <w:t>Less than</w:t>
            </w:r>
          </w:p>
        </w:tc>
        <w:tc>
          <w:tcPr>
            <w:tcW w:w="580" w:type="dxa"/>
            <w:vAlign w:val="bottom"/>
            <w:gridSpan w:val="2"/>
          </w:tcPr>
          <w:p>
            <w:pPr>
              <w:jc w:val="right"/>
              <w:ind w:right="22"/>
              <w:spacing w:after="0" w:line="129" w:lineRule="exact"/>
              <w:rPr>
                <w:sz w:val="20"/>
                <w:szCs w:val="20"/>
                <w:color w:val="auto"/>
              </w:rPr>
            </w:pPr>
            <w:r>
              <w:rPr>
                <w:rFonts w:ascii="Arial" w:cs="Arial" w:eastAsia="Arial" w:hAnsi="Arial"/>
                <w:sz w:val="14"/>
                <w:szCs w:val="14"/>
                <w:b w:val="1"/>
                <w:bCs w:val="1"/>
                <w:color w:val="auto"/>
              </w:rPr>
              <w:t>1-3</w:t>
            </w:r>
          </w:p>
        </w:tc>
        <w:tc>
          <w:tcPr>
            <w:tcW w:w="600" w:type="dxa"/>
            <w:vAlign w:val="bottom"/>
            <w:gridSpan w:val="2"/>
          </w:tcPr>
          <w:p>
            <w:pPr>
              <w:jc w:val="right"/>
              <w:ind w:right="42"/>
              <w:spacing w:after="0" w:line="129" w:lineRule="exact"/>
              <w:rPr>
                <w:sz w:val="20"/>
                <w:szCs w:val="20"/>
                <w:color w:val="auto"/>
              </w:rPr>
            </w:pPr>
            <w:r>
              <w:rPr>
                <w:rFonts w:ascii="Arial" w:cs="Arial" w:eastAsia="Arial" w:hAnsi="Arial"/>
                <w:sz w:val="14"/>
                <w:szCs w:val="14"/>
                <w:b w:val="1"/>
                <w:bCs w:val="1"/>
                <w:color w:val="auto"/>
              </w:rPr>
              <w:t>3-5</w:t>
            </w:r>
          </w:p>
        </w:tc>
        <w:tc>
          <w:tcPr>
            <w:tcW w:w="200" w:type="dxa"/>
            <w:vAlign w:val="bottom"/>
          </w:tcPr>
          <w:p>
            <w:pPr>
              <w:spacing w:after="0"/>
              <w:rPr>
                <w:sz w:val="11"/>
                <w:szCs w:val="11"/>
                <w:color w:val="auto"/>
              </w:rPr>
            </w:pPr>
          </w:p>
        </w:tc>
        <w:tc>
          <w:tcPr>
            <w:tcW w:w="62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w w:val="86"/>
              </w:rPr>
              <w:t>More than</w:t>
            </w:r>
          </w:p>
        </w:tc>
        <w:tc>
          <w:tcPr>
            <w:tcW w:w="100" w:type="dxa"/>
            <w:vAlign w:val="bottom"/>
          </w:tcPr>
          <w:p>
            <w:pPr>
              <w:spacing w:after="0"/>
              <w:rPr>
                <w:sz w:val="11"/>
                <w:szCs w:val="11"/>
                <w:color w:val="auto"/>
              </w:rPr>
            </w:pPr>
          </w:p>
        </w:tc>
      </w:tr>
      <w:tr>
        <w:trPr>
          <w:trHeight w:val="161"/>
        </w:trPr>
        <w:tc>
          <w:tcPr>
            <w:tcW w:w="33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4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9"/>
              </w:rPr>
              <w:t>Total</w:t>
            </w:r>
          </w:p>
        </w:tc>
        <w:tc>
          <w:tcPr>
            <w:tcW w:w="160" w:type="dxa"/>
            <w:vAlign w:val="bottom"/>
          </w:tcPr>
          <w:p>
            <w:pPr>
              <w:spacing w:after="0"/>
              <w:rPr>
                <w:sz w:val="14"/>
                <w:szCs w:val="14"/>
                <w:color w:val="auto"/>
              </w:rPr>
            </w:pPr>
          </w:p>
        </w:tc>
        <w:tc>
          <w:tcPr>
            <w:tcW w:w="540" w:type="dxa"/>
            <w:vAlign w:val="bottom"/>
          </w:tcPr>
          <w:p>
            <w:pPr>
              <w:ind w:left="100"/>
              <w:spacing w:after="0"/>
              <w:rPr>
                <w:sz w:val="20"/>
                <w:szCs w:val="20"/>
                <w:color w:val="auto"/>
              </w:rPr>
            </w:pPr>
            <w:r>
              <w:rPr>
                <w:rFonts w:ascii="Arial" w:cs="Arial" w:eastAsia="Arial" w:hAnsi="Arial"/>
                <w:sz w:val="14"/>
                <w:szCs w:val="14"/>
                <w:b w:val="1"/>
                <w:bCs w:val="1"/>
                <w:color w:val="auto"/>
              </w:rPr>
              <w:t>1 year</w:t>
            </w:r>
          </w:p>
        </w:tc>
        <w:tc>
          <w:tcPr>
            <w:tcW w:w="20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87"/>
              </w:rPr>
              <w:t>years</w:t>
            </w:r>
          </w:p>
        </w:tc>
        <w:tc>
          <w:tcPr>
            <w:tcW w:w="200" w:type="dxa"/>
            <w:vAlign w:val="bottom"/>
          </w:tcPr>
          <w:p>
            <w:pPr>
              <w:spacing w:after="0"/>
              <w:rPr>
                <w:sz w:val="14"/>
                <w:szCs w:val="14"/>
                <w:color w:val="auto"/>
              </w:rPr>
            </w:pPr>
          </w:p>
        </w:tc>
        <w:tc>
          <w:tcPr>
            <w:tcW w:w="600" w:type="dxa"/>
            <w:vAlign w:val="bottom"/>
            <w:gridSpan w:val="2"/>
          </w:tcPr>
          <w:p>
            <w:pPr>
              <w:ind w:left="40"/>
              <w:spacing w:after="0"/>
              <w:rPr>
                <w:sz w:val="20"/>
                <w:szCs w:val="20"/>
                <w:color w:val="auto"/>
              </w:rPr>
            </w:pPr>
            <w:r>
              <w:rPr>
                <w:rFonts w:ascii="Arial" w:cs="Arial" w:eastAsia="Arial" w:hAnsi="Arial"/>
                <w:sz w:val="14"/>
                <w:szCs w:val="14"/>
                <w:b w:val="1"/>
                <w:bCs w:val="1"/>
                <w:color w:val="auto"/>
              </w:rPr>
              <w:t>years</w:t>
            </w:r>
          </w:p>
        </w:tc>
        <w:tc>
          <w:tcPr>
            <w:tcW w:w="10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4"/>
                <w:szCs w:val="14"/>
                <w:b w:val="1"/>
                <w:bCs w:val="1"/>
                <w:color w:val="auto"/>
              </w:rPr>
              <w:t>5 years</w:t>
            </w:r>
          </w:p>
        </w:tc>
      </w:tr>
      <w:tr>
        <w:trPr>
          <w:trHeight w:val="210"/>
        </w:trPr>
        <w:tc>
          <w:tcPr>
            <w:tcW w:w="332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Credit Facility</w:t>
            </w:r>
          </w:p>
        </w:tc>
        <w:tc>
          <w:tcPr>
            <w:tcW w:w="484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$34.2</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  —</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92"/>
              </w:rPr>
              <w:t>$—</w:t>
            </w:r>
          </w:p>
        </w:tc>
        <w:tc>
          <w:tcPr>
            <w:tcW w:w="2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$34.2</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363"/>
        </w:trPr>
        <w:tc>
          <w:tcPr>
            <w:tcW w:w="3320" w:type="dxa"/>
            <w:vAlign w:val="bottom"/>
          </w:tcPr>
          <w:p>
            <w:pPr>
              <w:spacing w:after="0"/>
              <w:rPr>
                <w:sz w:val="24"/>
                <w:szCs w:val="24"/>
                <w:color w:val="auto"/>
              </w:rPr>
            </w:pPr>
          </w:p>
        </w:tc>
        <w:tc>
          <w:tcPr>
            <w:tcW w:w="4840" w:type="dxa"/>
            <w:vAlign w:val="bottom"/>
          </w:tcPr>
          <w:p>
            <w:pPr>
              <w:jc w:val="right"/>
              <w:ind w:right="2272"/>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have entered into certain contracts under which we have material future commitments. Under our Investment Management Agreement, which was re-approved by our board of directors, including a majority of our independent directors, in February 2013, PennantPark Investment Advisers serves as our Investment Adviser. Payments under our Investment Management Agreement in each reporting period are equal to: (1) a management fee equal to a percentage of the value of our gross assets and (2) an incentive fee based on our performance.</w:t>
      </w:r>
    </w:p>
    <w:p>
      <w:pPr>
        <w:spacing w:after="0" w:line="143" w:lineRule="exact"/>
        <w:rPr>
          <w:sz w:val="20"/>
          <w:szCs w:val="20"/>
          <w:color w:val="auto"/>
        </w:rPr>
      </w:pPr>
    </w:p>
    <w:p>
      <w:pPr>
        <w:ind w:right="180" w:firstLine="456"/>
        <w:spacing w:after="0" w:line="254" w:lineRule="auto"/>
        <w:rPr>
          <w:sz w:val="20"/>
          <w:szCs w:val="20"/>
          <w:color w:val="auto"/>
        </w:rPr>
      </w:pPr>
      <w:r>
        <w:rPr>
          <w:rFonts w:ascii="Arial" w:cs="Arial" w:eastAsia="Arial" w:hAnsi="Arial"/>
          <w:sz w:val="18"/>
          <w:szCs w:val="18"/>
          <w:color w:val="auto"/>
        </w:rPr>
        <w:t>Under our Administration Agreement, which was re-approved by the board of directors, including a majority of our independent directors, in February 2013, the Administrator furnishes us with office facilities and administrative services necessary to conduct our day-to-day operations. If requested to provide managerial assistance to our portfolio companies, we or the Administrator will be paid an additional amount based on the services provided. Payment under our Administration Agreement is based upon our allocable portion of the Administrator’s overhead in performing its obligations under our Administration Agreement, including rent, technology systems, insurance and our allocable portion of the costs of our Chief Compliance Officer, Chief Financial Officer and their respective staffs.</w:t>
      </w:r>
    </w:p>
    <w:p>
      <w:pPr>
        <w:spacing w:after="0" w:line="144"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0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used such amount to purchase shares of our common stock in the secondary market.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currently engage in no off-balance sheet arrangements, including any risk management of commodity pricing or other hedging practices.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order to qualify as a RIC and to not be subject to corporate-level tax on income, we are required, under Subchapter M of the Code, to distribute annually dividends of at least 90% of the sum of our ordinary income and realized net short-term capital gains in excess of realized net long-term capital losses, if any, out of the assets legally available for distribution. Although not required for us to maintain our RIC tax status, in order to preclude the imposition of a 4% nondeductible federal excise tax imposed on RICs, we may distribute during each calendar year an amount at least equal to the sum of (1) 98% of our net ordinary income for the calendar year, (2) 98.2% of our capital gain net income for the one-year period ending on October 31 of the calendar year and (3) the sum of any net ordinary income and capital gain net income for preceding years that were not distributed during such years. In addition, although we may distribute realized net capital gains (i.e. net long-term capital gains in excess of short-term capital losses), if any, at least annually, out of the assets legally available for such distributions, we may retain such net capital gains or ordinary income to provide us with additional liquidity.</w:t>
      </w:r>
    </w:p>
    <w:p>
      <w:pPr>
        <w:spacing w:after="0" w:line="118"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During the three and six months ended March 31, 2013, we declared to stockholders distributions of $0.255 and $0.503 per share, for total distributions of $1.7 million and $3.4 million, respectively. For the same periods in the prior year, we declared distributions of $0.225 and $0.435 per share, respectively, for total distributions of</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$1.5 million and $3.0 million, respectively. During the year ended September 30, 2012, we declared distributions of $0.91 per share for total distributions of $6.2 million. For the period March 4, 2011 (commencement of operations) to September 30, 2011, we declared distributions of $0.25 per share for a total distribution of $1.7 million.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Tax characteristics of all distributions will be reported to stockholders on Form 1099-DIV after the end of the calendar year and in our periodic reports filed with the SEC.</w:t>
      </w:r>
    </w:p>
    <w:p>
      <w:pPr>
        <w:spacing w:after="0" w:line="14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intend to continue to distribute monthly distributions to our stockholders. Our monthly distributions, if any, are determined by our board of directors quarterly.</w:t>
      </w:r>
    </w:p>
    <w:p>
      <w:pPr>
        <w:spacing w:after="0" w:line="132"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We maintain an “opt out” dividend reinvestment plan for our common stockholders. As a result, if we declare a dividend, then stockholders’ cash dividends will be automatically reinvested in additional shares of our common stock, unless they specifically “opt out” of the dividend reinvestment plan so as to receive cash dividends. We cannot assure stockholders that they will receive any dividends and distributions at a particular level.</w:t>
      </w:r>
    </w:p>
    <w:p>
      <w:pPr>
        <w:spacing w:after="0" w:line="10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applicable to us as a BDC under the 1940 Act and due to provisions in future credit facilities. If we do not distribute a certain percentage of our income annually, we will suffer adverse tax consequences, including possible loss of RIC status. We cannot assure stockholders that they will receive any dividends and distributions at a particular level.</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8, 2013, we sold an additional 450,000 shares of common stock pursuant to the exercise of the underwriters’ overallotment option at a public offering price of $14.00 per share, generating gross proceeds of $6.3 million. Our Investment Adviser paid the entire sales load of $0.2 million in connection with the sale of these shares.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200" w:firstLine="456"/>
        <w:spacing w:after="0" w:line="291" w:lineRule="auto"/>
        <w:rPr>
          <w:sz w:val="20"/>
          <w:szCs w:val="20"/>
          <w:color w:val="auto"/>
        </w:rPr>
      </w:pPr>
      <w:r>
        <w:rPr>
          <w:rFonts w:ascii="Arial" w:cs="Arial" w:eastAsia="Arial" w:hAnsi="Arial"/>
          <w:sz w:val="16"/>
          <w:szCs w:val="16"/>
          <w:color w:val="auto"/>
        </w:rPr>
        <w:t>We are subject to financial market risks, including changes in interest rates. As of March 31, 2013, our debt portfolio consisted of 88% variable-rate investments (including 83% with a LIBOR or prime floor) and 12%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w:t>
      </w:r>
    </w:p>
    <w:p>
      <w:pPr>
        <w:spacing w:after="0" w:line="120"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Assuming that the most recent Statement of Assets and Liabilities was to remain constant, and no actions were taken to alter the existing interest rate sensitivity, a hypothetical immediate 1% change in interest rates may affect net income by more than 1% over a one-year horizon. Although management believes that this measure is indicative of our sensitivity to interest rate changes, it does not adjust for potential changes in the credit market, credit quality, size and composition of the assets on the Consolidated Statement of Assets and Liabilities and other business developments that could affect net increase in net assets resulting from operations or net investment income. Accordingly, no assurances can be given that actual results would not differ materially from the statement above.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may hedge against interest rate fluctuations by using standard hedging instruments such as futures, options and forward contracts subject to the requirements of the 1940 Act and applicable commodities laws. While hedging activities may insulate us against adverse changes in interest rates, they may also limit our ability to participate in benefits of lower interest rates with respect to our portfolio of investments with fixed interest rates. During the periods covered by this prospectus, we did not engage in interest rate hedging activities.</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60"/>
          </w:cols>
          <w:pgMar w:left="240" w:top="459" w:right="29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SENIOR SECURITIES</w:t>
      </w:r>
    </w:p>
    <w:p>
      <w:pPr>
        <w:spacing w:after="0" w:line="177" w:lineRule="exact"/>
        <w:rPr>
          <w:sz w:val="20"/>
          <w:szCs w:val="20"/>
          <w:color w:val="auto"/>
        </w:rPr>
      </w:pPr>
    </w:p>
    <w:p>
      <w:pPr>
        <w:jc w:val="both"/>
        <w:ind w:right="160" w:firstLine="456"/>
        <w:spacing w:after="0" w:line="294" w:lineRule="auto"/>
        <w:rPr>
          <w:sz w:val="20"/>
          <w:szCs w:val="20"/>
          <w:color w:val="auto"/>
        </w:rPr>
      </w:pPr>
      <w:r>
        <w:rPr>
          <w:rFonts w:ascii="Arial" w:cs="Arial" w:eastAsia="Arial" w:hAnsi="Arial"/>
          <w:sz w:val="16"/>
          <w:szCs w:val="16"/>
          <w:color w:val="auto"/>
        </w:rPr>
        <w:t>Information about our senior securities shown in the following table as of March 31, 2013 has been derived from our unaudited Consolidated Financial Statements. Information about our senior securities shown in the following table as of September 30, 2012 and 2011 has been derived from our Consolidated Financial Statements which have been audited by KPMG LLP, an independent registered public accounting firm. This information about our senior securities should be read in conjunction with our Consolidated Financial Statements and related notes thereto and “Management’s Discussion and Analysis of Financial Condition and Results of Operations” for more information.</w:t>
      </w:r>
    </w:p>
    <w:p>
      <w:pPr>
        <w:spacing w:after="0" w:line="12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980" w:type="dxa"/>
            <w:vAlign w:val="bottom"/>
            <w:gridSpan w:val="3"/>
          </w:tcPr>
          <w:p>
            <w:pPr>
              <w:spacing w:after="0"/>
              <w:rPr>
                <w:sz w:val="20"/>
                <w:szCs w:val="20"/>
                <w:color w:val="auto"/>
              </w:rPr>
            </w:pPr>
            <w:r>
              <w:rPr>
                <w:rFonts w:ascii="Arial" w:cs="Arial" w:eastAsia="Arial" w:hAnsi="Arial"/>
                <w:sz w:val="14"/>
                <w:szCs w:val="14"/>
                <w:b w:val="1"/>
                <w:bCs w:val="1"/>
                <w:color w:val="auto"/>
              </w:rPr>
              <w:t>Asset Coverage</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940" w:type="dxa"/>
            <w:vAlign w:val="bottom"/>
          </w:tcPr>
          <w:p>
            <w:pPr>
              <w:spacing w:after="0"/>
              <w:rPr>
                <w:sz w:val="12"/>
                <w:szCs w:val="12"/>
                <w:color w:val="auto"/>
              </w:rPr>
            </w:pPr>
          </w:p>
        </w:tc>
        <w:tc>
          <w:tcPr>
            <w:tcW w:w="4460" w:type="dxa"/>
            <w:vAlign w:val="bottom"/>
          </w:tcPr>
          <w:p>
            <w:pPr>
              <w:spacing w:after="0"/>
              <w:rPr>
                <w:sz w:val="12"/>
                <w:szCs w:val="12"/>
                <w:color w:val="auto"/>
              </w:rPr>
            </w:pPr>
          </w:p>
        </w:tc>
        <w:tc>
          <w:tcPr>
            <w:tcW w:w="2020" w:type="dxa"/>
            <w:vAlign w:val="bottom"/>
            <w:gridSpan w:val="3"/>
          </w:tcPr>
          <w:p>
            <w:pPr>
              <w:jc w:val="right"/>
              <w:ind w:right="1140"/>
              <w:spacing w:after="0" w:line="149" w:lineRule="exact"/>
              <w:rPr>
                <w:sz w:val="20"/>
                <w:szCs w:val="20"/>
                <w:color w:val="auto"/>
              </w:rPr>
            </w:pPr>
            <w:r>
              <w:rPr>
                <w:rFonts w:ascii="Arial" w:cs="Arial" w:eastAsia="Arial" w:hAnsi="Arial"/>
                <w:sz w:val="14"/>
                <w:szCs w:val="14"/>
                <w:b w:val="1"/>
                <w:bCs w:val="1"/>
                <w:color w:val="auto"/>
                <w:w w:val="95"/>
              </w:rPr>
              <w:t>Total Amount</w:t>
            </w:r>
          </w:p>
        </w:tc>
        <w:tc>
          <w:tcPr>
            <w:tcW w:w="100" w:type="dxa"/>
            <w:vAlign w:val="bottom"/>
          </w:tcPr>
          <w:p>
            <w:pPr>
              <w:spacing w:after="0"/>
              <w:rPr>
                <w:sz w:val="12"/>
                <w:szCs w:val="12"/>
                <w:color w:val="auto"/>
              </w:rPr>
            </w:pPr>
          </w:p>
        </w:tc>
        <w:tc>
          <w:tcPr>
            <w:tcW w:w="1880" w:type="dxa"/>
            <w:vAlign w:val="bottom"/>
            <w:gridSpan w:val="2"/>
          </w:tcPr>
          <w:p>
            <w:pPr>
              <w:jc w:val="center"/>
              <w:ind w:right="1180"/>
              <w:spacing w:after="0" w:line="149" w:lineRule="exact"/>
              <w:rPr>
                <w:sz w:val="20"/>
                <w:szCs w:val="20"/>
                <w:color w:val="auto"/>
              </w:rPr>
            </w:pPr>
            <w:r>
              <w:rPr>
                <w:rFonts w:ascii="Arial" w:cs="Arial" w:eastAsia="Arial" w:hAnsi="Arial"/>
                <w:sz w:val="11"/>
                <w:szCs w:val="11"/>
                <w:b w:val="1"/>
                <w:bCs w:val="1"/>
                <w:color w:val="auto"/>
              </w:rPr>
              <w:t>per Unit</w:t>
            </w:r>
            <w:r>
              <w:rPr>
                <w:rFonts w:ascii="Arial" w:cs="Arial" w:eastAsia="Arial" w:hAnsi="Arial"/>
                <w:sz w:val="17"/>
                <w:szCs w:val="17"/>
                <w:b w:val="1"/>
                <w:bCs w:val="1"/>
                <w:color w:val="auto"/>
                <w:vertAlign w:val="superscript"/>
              </w:rPr>
              <w:t>(2)</w:t>
            </w:r>
          </w:p>
        </w:tc>
        <w:tc>
          <w:tcPr>
            <w:tcW w:w="110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0"/>
              </w:rPr>
              <w:t>Average Market</w:t>
            </w:r>
          </w:p>
        </w:tc>
      </w:tr>
      <w:tr>
        <w:trPr>
          <w:trHeight w:val="182"/>
        </w:trPr>
        <w:tc>
          <w:tcPr>
            <w:tcW w:w="9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Class and Year</w:t>
            </w:r>
          </w:p>
        </w:tc>
        <w:tc>
          <w:tcPr>
            <w:tcW w:w="4460" w:type="dxa"/>
            <w:vAlign w:val="bottom"/>
          </w:tcPr>
          <w:p>
            <w:pPr>
              <w:spacing w:after="0"/>
              <w:rPr>
                <w:sz w:val="15"/>
                <w:szCs w:val="15"/>
                <w:color w:val="auto"/>
              </w:rPr>
            </w:pPr>
          </w:p>
        </w:tc>
        <w:tc>
          <w:tcPr>
            <w:tcW w:w="2020" w:type="dxa"/>
            <w:vAlign w:val="bottom"/>
            <w:gridSpan w:val="3"/>
          </w:tcPr>
          <w:p>
            <w:pPr>
              <w:jc w:val="right"/>
              <w:ind w:right="1120"/>
              <w:spacing w:after="0" w:line="162" w:lineRule="exact"/>
              <w:rPr>
                <w:sz w:val="20"/>
                <w:szCs w:val="20"/>
                <w:color w:val="auto"/>
              </w:rPr>
            </w:pPr>
            <w:r>
              <w:rPr>
                <w:rFonts w:ascii="Arial" w:cs="Arial" w:eastAsia="Arial" w:hAnsi="Arial"/>
                <w:sz w:val="12"/>
                <w:szCs w:val="12"/>
                <w:b w:val="1"/>
                <w:bCs w:val="1"/>
                <w:color w:val="auto"/>
              </w:rPr>
              <w:t>Outstanding</w:t>
            </w:r>
            <w:r>
              <w:rPr>
                <w:rFonts w:ascii="Arial" w:cs="Arial" w:eastAsia="Arial" w:hAnsi="Arial"/>
                <w:sz w:val="18"/>
                <w:szCs w:val="18"/>
                <w:b w:val="1"/>
                <w:bCs w:val="1"/>
                <w:color w:val="auto"/>
                <w:vertAlign w:val="superscript"/>
              </w:rPr>
              <w:t>(1)</w:t>
            </w:r>
          </w:p>
        </w:tc>
        <w:tc>
          <w:tcPr>
            <w:tcW w:w="100" w:type="dxa"/>
            <w:vAlign w:val="bottom"/>
          </w:tcPr>
          <w:p>
            <w:pPr>
              <w:spacing w:after="0"/>
              <w:rPr>
                <w:sz w:val="15"/>
                <w:szCs w:val="15"/>
                <w:color w:val="auto"/>
              </w:rPr>
            </w:pPr>
          </w:p>
        </w:tc>
        <w:tc>
          <w:tcPr>
            <w:tcW w:w="188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89"/>
              </w:rPr>
              <w:t>(unaudited)</w:t>
            </w:r>
          </w:p>
        </w:tc>
        <w:tc>
          <w:tcPr>
            <w:tcW w:w="1100" w:type="dxa"/>
            <w:vAlign w:val="bottom"/>
            <w:gridSpan w:val="2"/>
          </w:tcPr>
          <w:p>
            <w:pPr>
              <w:jc w:val="right"/>
              <w:ind w:right="100"/>
              <w:spacing w:after="0" w:line="162" w:lineRule="exact"/>
              <w:rPr>
                <w:sz w:val="20"/>
                <w:szCs w:val="20"/>
                <w:color w:val="auto"/>
              </w:rPr>
            </w:pPr>
            <w:r>
              <w:rPr>
                <w:rFonts w:ascii="Arial" w:cs="Arial" w:eastAsia="Arial" w:hAnsi="Arial"/>
                <w:sz w:val="12"/>
                <w:szCs w:val="12"/>
                <w:b w:val="1"/>
                <w:bCs w:val="1"/>
                <w:color w:val="auto"/>
              </w:rPr>
              <w:t>Value Per Unit</w:t>
            </w:r>
            <w:r>
              <w:rPr>
                <w:rFonts w:ascii="Arial" w:cs="Arial" w:eastAsia="Arial" w:hAnsi="Arial"/>
                <w:sz w:val="18"/>
                <w:szCs w:val="18"/>
                <w:b w:val="1"/>
                <w:bCs w:val="1"/>
                <w:color w:val="auto"/>
                <w:vertAlign w:val="superscript"/>
              </w:rPr>
              <w:t>(3)</w:t>
            </w:r>
          </w:p>
        </w:tc>
      </w:tr>
      <w:tr>
        <w:trPr>
          <w:trHeight w:val="190"/>
        </w:trPr>
        <w:tc>
          <w:tcPr>
            <w:tcW w:w="5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Credit Facility</w:t>
            </w:r>
          </w:p>
        </w:tc>
        <w:tc>
          <w:tcPr>
            <w:tcW w:w="280" w:type="dxa"/>
            <w:vAlign w:val="bottom"/>
            <w:tcBorders>
              <w:top w:val="single" w:sz="8" w:color="auto"/>
            </w:tcBorders>
            <w:shd w:val="clear" w:color="auto" w:fill="CCEEFF"/>
          </w:tcPr>
          <w:p>
            <w:pPr>
              <w:spacing w:after="0"/>
              <w:rPr>
                <w:sz w:val="16"/>
                <w:szCs w:val="16"/>
                <w:color w:val="auto"/>
              </w:rPr>
            </w:pPr>
          </w:p>
        </w:tc>
        <w:tc>
          <w:tcPr>
            <w:tcW w:w="66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Fiscal 2013 (as of March 31, 2013)</w:t>
            </w:r>
          </w:p>
        </w:tc>
        <w:tc>
          <w:tcPr>
            <w:tcW w:w="280" w:type="dxa"/>
            <w:vAlign w:val="bottom"/>
          </w:tcPr>
          <w:p>
            <w:pPr>
              <w:jc w:val="right"/>
              <w:ind w:right="102"/>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080"/>
              <w:spacing w:after="0"/>
              <w:rPr>
                <w:sz w:val="20"/>
                <w:szCs w:val="20"/>
                <w:color w:val="auto"/>
              </w:rPr>
            </w:pPr>
            <w:r>
              <w:rPr>
                <w:rFonts w:ascii="Arial" w:cs="Arial" w:eastAsia="Arial" w:hAnsi="Arial"/>
                <w:sz w:val="18"/>
                <w:szCs w:val="18"/>
                <w:color w:val="auto"/>
              </w:rPr>
              <w:t>34,200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5,061</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Fiscal 2012</w:t>
            </w:r>
          </w:p>
        </w:tc>
        <w:tc>
          <w:tcPr>
            <w:tcW w:w="280" w:type="dxa"/>
            <w:vAlign w:val="bottom"/>
            <w:shd w:val="clear" w:color="auto" w:fill="CCEEFF"/>
          </w:tcPr>
          <w:p>
            <w:pPr>
              <w:jc w:val="right"/>
              <w:ind w:right="102"/>
              <w:spacing w:after="0"/>
              <w:rPr>
                <w:sz w:val="20"/>
                <w:szCs w:val="20"/>
                <w:color w:val="auto"/>
              </w:rPr>
            </w:pPr>
            <w:r>
              <w:rPr>
                <w:rFonts w:ascii="Arial" w:cs="Arial" w:eastAsia="Arial" w:hAnsi="Arial"/>
                <w:sz w:val="18"/>
                <w:szCs w:val="18"/>
                <w:color w:val="auto"/>
                <w:w w:val="79"/>
              </w:rPr>
              <w:t>$</w:t>
            </w:r>
          </w:p>
        </w:tc>
        <w:tc>
          <w:tcPr>
            <w:tcW w:w="174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75,500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88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2,268</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N/A</w:t>
            </w:r>
          </w:p>
        </w:tc>
      </w:tr>
      <w:tr>
        <w:trPr>
          <w:trHeight w:val="222"/>
        </w:trPr>
        <w:tc>
          <w:tcPr>
            <w:tcW w:w="5400" w:type="dxa"/>
            <w:vAlign w:val="bottom"/>
            <w:gridSpan w:val="2"/>
          </w:tcPr>
          <w:p>
            <w:pPr>
              <w:spacing w:after="0"/>
              <w:rPr>
                <w:sz w:val="20"/>
                <w:szCs w:val="20"/>
                <w:color w:val="auto"/>
              </w:rPr>
            </w:pPr>
            <w:r>
              <w:rPr>
                <w:rFonts w:ascii="Arial" w:cs="Arial" w:eastAsia="Arial" w:hAnsi="Arial"/>
                <w:sz w:val="18"/>
                <w:szCs w:val="18"/>
                <w:color w:val="auto"/>
              </w:rPr>
              <w:t>Fiscal 2011</w:t>
            </w:r>
          </w:p>
        </w:tc>
        <w:tc>
          <w:tcPr>
            <w:tcW w:w="280" w:type="dxa"/>
            <w:vAlign w:val="bottom"/>
          </w:tcPr>
          <w:p>
            <w:pPr>
              <w:jc w:val="right"/>
              <w:ind w:right="102"/>
              <w:spacing w:after="0"/>
              <w:rPr>
                <w:sz w:val="20"/>
                <w:szCs w:val="20"/>
                <w:color w:val="auto"/>
              </w:rPr>
            </w:pPr>
            <w:r>
              <w:rPr>
                <w:rFonts w:ascii="Arial" w:cs="Arial" w:eastAsia="Arial" w:hAnsi="Arial"/>
                <w:sz w:val="18"/>
                <w:szCs w:val="18"/>
                <w:color w:val="auto"/>
                <w:w w:val="79"/>
              </w:rPr>
              <w:t>$</w:t>
            </w:r>
          </w:p>
        </w:tc>
        <w:tc>
          <w:tcPr>
            <w:tcW w:w="1740" w:type="dxa"/>
            <w:vAlign w:val="bottom"/>
            <w:gridSpan w:val="2"/>
          </w:tcPr>
          <w:p>
            <w:pPr>
              <w:jc w:val="right"/>
              <w:ind w:right="1080"/>
              <w:spacing w:after="0"/>
              <w:rPr>
                <w:sz w:val="20"/>
                <w:szCs w:val="20"/>
                <w:color w:val="auto"/>
              </w:rPr>
            </w:pPr>
            <w:r>
              <w:rPr>
                <w:rFonts w:ascii="Arial" w:cs="Arial" w:eastAsia="Arial" w:hAnsi="Arial"/>
                <w:sz w:val="18"/>
                <w:szCs w:val="18"/>
                <w:color w:val="auto"/>
              </w:rPr>
              <w:t>24,650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880" w:type="dxa"/>
            <w:vAlign w:val="bottom"/>
            <w:gridSpan w:val="2"/>
          </w:tcPr>
          <w:p>
            <w:pPr>
              <w:jc w:val="right"/>
              <w:ind w:right="1080"/>
              <w:spacing w:after="0"/>
              <w:rPr>
                <w:sz w:val="20"/>
                <w:szCs w:val="20"/>
                <w:color w:val="auto"/>
              </w:rPr>
            </w:pPr>
            <w:r>
              <w:rPr>
                <w:rFonts w:ascii="Arial" w:cs="Arial" w:eastAsia="Arial" w:hAnsi="Arial"/>
                <w:sz w:val="18"/>
                <w:szCs w:val="18"/>
                <w:color w:val="auto"/>
              </w:rPr>
              <w:t>4,735</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Total cost of each class of senior securities outstanding at the end of the period presented in thousands (000s).</w:t>
      </w:r>
    </w:p>
    <w:p>
      <w:pPr>
        <w:spacing w:after="0" w:line="15"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asset coverage ratio for a class of senior securities representing indebtedness is calculated as our consolidated total assets, less all liabilities and indebtedness not represented by senior securities, divided by cost of senior securities representing indebtedness. This asset coverage ratio is multiplied by $1,000 to determine the Asset Coverage Per Unit.</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Not applicable, as senior securities are not registered for public trading.</w:t>
      </w:r>
    </w:p>
    <w:p>
      <w:pPr>
        <w:spacing w:after="0" w:line="1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240" w:top="459" w:right="41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PRICE RANGE OF COMMON STOCK</w:t>
      </w:r>
    </w:p>
    <w:p>
      <w:pPr>
        <w:spacing w:after="0" w:line="1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common stock is traded on the NASDAQ Global Select Market under the symbol “PFLT.” The following table lists the high and low closing sale price for our common stock, the closing sale price as a percentage of net asset value, or NAV, and monthly distributions per share since April 8, 2011 (initial public offering). On July 1, 2013, the last reported closing price of our common stock was $14.22 per share.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0"/>
              </w:rPr>
              <w:t>Premium/</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Premium/</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Closing Price</w:t>
            </w:r>
          </w:p>
        </w:tc>
        <w:tc>
          <w:tcPr>
            <w:tcW w:w="13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85"/>
              </w:rPr>
              <w:t>(Discount) of</w:t>
            </w: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(Discount) of</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
        </w:trPr>
        <w:tc>
          <w:tcPr>
            <w:tcW w:w="4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gridSpan w:val="2"/>
            <w:vMerge w:val="restart"/>
          </w:tcPr>
          <w:p>
            <w:pPr>
              <w:jc w:val="center"/>
              <w:ind w:right="580"/>
              <w:spacing w:after="0" w:line="108" w:lineRule="exact"/>
              <w:rPr>
                <w:sz w:val="20"/>
                <w:szCs w:val="20"/>
                <w:color w:val="auto"/>
              </w:rPr>
            </w:pPr>
            <w:r>
              <w:rPr>
                <w:rFonts w:ascii="Arial" w:cs="Arial" w:eastAsia="Arial" w:hAnsi="Arial"/>
                <w:sz w:val="12"/>
                <w:szCs w:val="12"/>
                <w:b w:val="1"/>
                <w:bCs w:val="1"/>
                <w:color w:val="auto"/>
              </w:rPr>
              <w:t>High Closing</w:t>
            </w:r>
          </w:p>
        </w:tc>
        <w:tc>
          <w:tcPr>
            <w:tcW w:w="1100" w:type="dxa"/>
            <w:vAlign w:val="bottom"/>
            <w:gridSpan w:val="2"/>
            <w:vMerge w:val="restart"/>
          </w:tcPr>
          <w:p>
            <w:pPr>
              <w:jc w:val="center"/>
              <w:ind w:right="360"/>
              <w:spacing w:after="0" w:line="108" w:lineRule="exact"/>
              <w:rPr>
                <w:sz w:val="20"/>
                <w:szCs w:val="20"/>
                <w:color w:val="auto"/>
              </w:rPr>
            </w:pPr>
            <w:r>
              <w:rPr>
                <w:rFonts w:ascii="Arial" w:cs="Arial" w:eastAsia="Arial" w:hAnsi="Arial"/>
                <w:sz w:val="12"/>
                <w:szCs w:val="12"/>
                <w:b w:val="1"/>
                <w:bCs w:val="1"/>
                <w:color w:val="auto"/>
              </w:rPr>
              <w:t>Low Closing</w:t>
            </w: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1"/>
        </w:trPr>
        <w:tc>
          <w:tcPr>
            <w:tcW w:w="46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460" w:type="dxa"/>
            <w:vAlign w:val="bottom"/>
          </w:tcPr>
          <w:p>
            <w:pPr>
              <w:spacing w:after="0"/>
              <w:rPr>
                <w:sz w:val="5"/>
                <w:szCs w:val="5"/>
                <w:color w:val="auto"/>
              </w:rPr>
            </w:pPr>
          </w:p>
        </w:tc>
        <w:tc>
          <w:tcPr>
            <w:tcW w:w="1380" w:type="dxa"/>
            <w:vAlign w:val="bottom"/>
            <w:gridSpan w:val="2"/>
            <w:vMerge w:val="continue"/>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NAV</w:t>
            </w:r>
            <w:r>
              <w:rPr>
                <w:rFonts w:ascii="Arial" w:cs="Arial" w:eastAsia="Arial" w:hAnsi="Arial"/>
                <w:sz w:val="22"/>
                <w:szCs w:val="22"/>
                <w:b w:val="1"/>
                <w:bCs w:val="1"/>
                <w:color w:val="auto"/>
                <w:vertAlign w:val="superscript"/>
              </w:rPr>
              <w:t>(1)</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8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85"/>
              </w:rPr>
              <w:t>Price to</w:t>
            </w: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Price to</w:t>
            </w:r>
          </w:p>
        </w:tc>
        <w:tc>
          <w:tcPr>
            <w:tcW w:w="22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Distributions</w:t>
            </w:r>
          </w:p>
        </w:tc>
        <w:tc>
          <w:tcPr>
            <w:tcW w:w="0" w:type="dxa"/>
            <w:vAlign w:val="bottom"/>
          </w:tcPr>
          <w:p>
            <w:pPr>
              <w:spacing w:after="0"/>
              <w:rPr>
                <w:sz w:val="1"/>
                <w:szCs w:val="1"/>
                <w:color w:val="auto"/>
              </w:rPr>
            </w:pPr>
          </w:p>
        </w:tc>
      </w:tr>
      <w:tr>
        <w:trPr>
          <w:trHeight w:val="149"/>
        </w:trPr>
        <w:tc>
          <w:tcPr>
            <w:tcW w:w="498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Period</w:t>
            </w:r>
          </w:p>
        </w:tc>
        <w:tc>
          <w:tcPr>
            <w:tcW w:w="72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7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High</w:t>
            </w:r>
          </w:p>
        </w:tc>
        <w:tc>
          <w:tcPr>
            <w:tcW w:w="220" w:type="dxa"/>
            <w:vAlign w:val="bottom"/>
          </w:tcPr>
          <w:p>
            <w:pPr>
              <w:spacing w:after="0"/>
              <w:rPr>
                <w:sz w:val="12"/>
                <w:szCs w:val="12"/>
                <w:color w:val="auto"/>
              </w:rPr>
            </w:pPr>
          </w:p>
        </w:tc>
        <w:tc>
          <w:tcPr>
            <w:tcW w:w="960" w:type="dxa"/>
            <w:vAlign w:val="bottom"/>
            <w:gridSpan w:val="2"/>
          </w:tcPr>
          <w:p>
            <w:pPr>
              <w:jc w:val="right"/>
              <w:ind w:right="580"/>
              <w:spacing w:after="0" w:line="129" w:lineRule="exact"/>
              <w:rPr>
                <w:sz w:val="20"/>
                <w:szCs w:val="20"/>
                <w:color w:val="auto"/>
              </w:rPr>
            </w:pPr>
            <w:r>
              <w:rPr>
                <w:rFonts w:ascii="Arial" w:cs="Arial" w:eastAsia="Arial" w:hAnsi="Arial"/>
                <w:sz w:val="14"/>
                <w:szCs w:val="14"/>
                <w:b w:val="1"/>
                <w:bCs w:val="1"/>
                <w:color w:val="auto"/>
              </w:rPr>
              <w:t>Low</w:t>
            </w:r>
          </w:p>
        </w:tc>
        <w:tc>
          <w:tcPr>
            <w:tcW w:w="1380" w:type="dxa"/>
            <w:vAlign w:val="bottom"/>
            <w:gridSpan w:val="2"/>
          </w:tcPr>
          <w:p>
            <w:pPr>
              <w:jc w:val="center"/>
              <w:ind w:right="580"/>
              <w:spacing w:after="0" w:line="129" w:lineRule="exact"/>
              <w:rPr>
                <w:sz w:val="20"/>
                <w:szCs w:val="20"/>
                <w:color w:val="auto"/>
              </w:rPr>
            </w:pPr>
            <w:r>
              <w:rPr>
                <w:rFonts w:ascii="Arial" w:cs="Arial" w:eastAsia="Arial" w:hAnsi="Arial"/>
                <w:sz w:val="10"/>
                <w:szCs w:val="10"/>
                <w:b w:val="1"/>
                <w:bCs w:val="1"/>
                <w:color w:val="auto"/>
              </w:rPr>
              <w:t xml:space="preserve">NAV </w:t>
            </w:r>
            <w:r>
              <w:rPr>
                <w:rFonts w:ascii="Arial" w:cs="Arial" w:eastAsia="Arial" w:hAnsi="Arial"/>
                <w:sz w:val="14"/>
                <w:szCs w:val="14"/>
                <w:b w:val="1"/>
                <w:bCs w:val="1"/>
                <w:color w:val="auto"/>
                <w:vertAlign w:val="superscript"/>
              </w:rPr>
              <w:t>(2)</w:t>
            </w:r>
          </w:p>
        </w:tc>
        <w:tc>
          <w:tcPr>
            <w:tcW w:w="1100" w:type="dxa"/>
            <w:vAlign w:val="bottom"/>
            <w:gridSpan w:val="2"/>
          </w:tcPr>
          <w:p>
            <w:pPr>
              <w:jc w:val="center"/>
              <w:ind w:right="360"/>
              <w:spacing w:after="0" w:line="129" w:lineRule="exact"/>
              <w:rPr>
                <w:sz w:val="20"/>
                <w:szCs w:val="20"/>
                <w:color w:val="auto"/>
              </w:rPr>
            </w:pPr>
            <w:r>
              <w:rPr>
                <w:rFonts w:ascii="Arial" w:cs="Arial" w:eastAsia="Arial" w:hAnsi="Arial"/>
                <w:sz w:val="10"/>
                <w:szCs w:val="10"/>
                <w:b w:val="1"/>
                <w:bCs w:val="1"/>
                <w:color w:val="auto"/>
              </w:rPr>
              <w:t xml:space="preserve">NAV </w:t>
            </w:r>
            <w:r>
              <w:rPr>
                <w:rFonts w:ascii="Arial" w:cs="Arial" w:eastAsia="Arial" w:hAnsi="Arial"/>
                <w:sz w:val="14"/>
                <w:szCs w:val="14"/>
                <w:b w:val="1"/>
                <w:bCs w:val="1"/>
                <w:color w:val="auto"/>
                <w:vertAlign w:val="superscript"/>
              </w:rPr>
              <w:t>(2)</w:t>
            </w:r>
          </w:p>
        </w:tc>
        <w:tc>
          <w:tcPr>
            <w:tcW w:w="220" w:type="dxa"/>
            <w:vAlign w:val="bottom"/>
          </w:tcPr>
          <w:p>
            <w:pPr>
              <w:spacing w:after="0"/>
              <w:rPr>
                <w:sz w:val="12"/>
                <w:szCs w:val="12"/>
                <w:color w:val="auto"/>
              </w:rPr>
            </w:pPr>
          </w:p>
        </w:tc>
        <w:tc>
          <w:tcPr>
            <w:tcW w:w="86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20"/>
        </w:trPr>
        <w:tc>
          <w:tcPr>
            <w:tcW w:w="4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800" w:type="dxa"/>
            <w:vAlign w:val="bottom"/>
            <w:tcBorders>
              <w:top w:val="single" w:sz="8" w:color="auto"/>
              <w:bottom w:val="single" w:sz="8" w:color="CCEEFF"/>
            </w:tcBorders>
          </w:tcPr>
          <w:p>
            <w:pPr>
              <w:spacing w:after="0" w:line="20" w:lineRule="exact"/>
              <w:rPr>
                <w:sz w:val="1"/>
                <w:szCs w:val="1"/>
                <w:color w:val="auto"/>
              </w:rPr>
            </w:pPr>
          </w:p>
        </w:tc>
        <w:tc>
          <w:tcPr>
            <w:tcW w:w="5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Fiscal year ending September 30, 2013</w:t>
            </w:r>
          </w:p>
        </w:tc>
        <w:tc>
          <w:tcPr>
            <w:tcW w:w="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 N/A</w:t>
            </w: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$14.90</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$13.82</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N/A%</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N/A%</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  0.2625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14.43</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12.94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First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13.99</w:t>
            </w:r>
          </w:p>
        </w:tc>
        <w:tc>
          <w:tcPr>
            <w:tcW w:w="22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13.30</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12.35</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(5)</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0.2475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Fourth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13.98</w:t>
            </w:r>
          </w:p>
        </w:tc>
        <w:tc>
          <w:tcPr>
            <w:tcW w:w="22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13.03</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11.85</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(7)</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11.93</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11.46</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color w:val="auto"/>
              </w:rPr>
              <w:t>Second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14.12</w:t>
            </w:r>
          </w:p>
        </w:tc>
        <w:tc>
          <w:tcPr>
            <w:tcW w:w="22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12.10</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10.52</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(14)</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(25)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0.2250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First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11.03</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10.01</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2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12.85</w:t>
            </w:r>
          </w:p>
        </w:tc>
        <w:tc>
          <w:tcPr>
            <w:tcW w:w="118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10.34</w:t>
            </w:r>
          </w:p>
        </w:tc>
        <w:tc>
          <w:tcPr>
            <w:tcW w:w="13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980" w:type="dxa"/>
            <w:vAlign w:val="bottom"/>
            <w:gridSpan w:val="2"/>
          </w:tcPr>
          <w:p>
            <w:pPr>
              <w:spacing w:after="0"/>
              <w:rPr>
                <w:sz w:val="20"/>
                <w:szCs w:val="20"/>
                <w:color w:val="auto"/>
              </w:rPr>
            </w:pPr>
            <w:r>
              <w:rPr>
                <w:rFonts w:ascii="Arial" w:cs="Arial" w:eastAsia="Arial" w:hAnsi="Arial"/>
                <w:sz w:val="18"/>
                <w:szCs w:val="18"/>
                <w:color w:val="auto"/>
              </w:rPr>
              <w:t>Third quarter*</w:t>
            </w:r>
          </w:p>
        </w:tc>
        <w:tc>
          <w:tcPr>
            <w:tcW w:w="500" w:type="dxa"/>
            <w:vAlign w:val="bottom"/>
          </w:tcPr>
          <w:p>
            <w:pPr>
              <w:jc w:val="right"/>
              <w:spacing w:after="0"/>
              <w:rPr>
                <w:sz w:val="20"/>
                <w:szCs w:val="20"/>
                <w:color w:val="auto"/>
              </w:rPr>
            </w:pPr>
            <w:r>
              <w:rPr>
                <w:rFonts w:ascii="Arial" w:cs="Arial" w:eastAsia="Arial" w:hAnsi="Arial"/>
                <w:sz w:val="18"/>
                <w:szCs w:val="18"/>
                <w:color w:val="auto"/>
              </w:rPr>
              <w:t>14.06</w:t>
            </w:r>
          </w:p>
        </w:tc>
        <w:tc>
          <w:tcPr>
            <w:tcW w:w="220" w:type="dxa"/>
            <w:vAlign w:val="bottom"/>
          </w:tcPr>
          <w:p>
            <w:pPr>
              <w:spacing w:after="0"/>
              <w:rPr>
                <w:sz w:val="19"/>
                <w:szCs w:val="19"/>
                <w:color w:val="auto"/>
              </w:rPr>
            </w:pPr>
          </w:p>
        </w:tc>
        <w:tc>
          <w:tcPr>
            <w:tcW w:w="980" w:type="dxa"/>
            <w:vAlign w:val="bottom"/>
            <w:gridSpan w:val="3"/>
          </w:tcPr>
          <w:p>
            <w:pPr>
              <w:jc w:val="right"/>
              <w:ind w:right="240"/>
              <w:spacing w:after="0"/>
              <w:rPr>
                <w:sz w:val="20"/>
                <w:szCs w:val="20"/>
                <w:color w:val="auto"/>
              </w:rPr>
            </w:pPr>
            <w:r>
              <w:rPr>
                <w:rFonts w:ascii="Arial" w:cs="Arial" w:eastAsia="Arial" w:hAnsi="Arial"/>
                <w:sz w:val="18"/>
                <w:szCs w:val="18"/>
                <w:color w:val="auto"/>
              </w:rPr>
              <w:t>13.70</w:t>
            </w:r>
          </w:p>
        </w:tc>
        <w:tc>
          <w:tcPr>
            <w:tcW w:w="1180" w:type="dxa"/>
            <w:vAlign w:val="bottom"/>
            <w:gridSpan w:val="3"/>
          </w:tcPr>
          <w:p>
            <w:pPr>
              <w:jc w:val="right"/>
              <w:ind w:right="460"/>
              <w:spacing w:after="0"/>
              <w:rPr>
                <w:sz w:val="20"/>
                <w:szCs w:val="20"/>
                <w:color w:val="auto"/>
              </w:rPr>
            </w:pPr>
            <w:r>
              <w:rPr>
                <w:rFonts w:ascii="Arial" w:cs="Arial" w:eastAsia="Arial" w:hAnsi="Arial"/>
                <w:sz w:val="18"/>
                <w:szCs w:val="18"/>
                <w:color w:val="auto"/>
              </w:rPr>
              <w:t>12.27</w:t>
            </w:r>
          </w:p>
        </w:tc>
        <w:tc>
          <w:tcPr>
            <w:tcW w:w="1380" w:type="dxa"/>
            <w:vAlign w:val="bottom"/>
            <w:gridSpan w:val="2"/>
          </w:tcPr>
          <w:p>
            <w:pPr>
              <w:jc w:val="right"/>
              <w:ind w:right="520"/>
              <w:spacing w:after="0"/>
              <w:rPr>
                <w:sz w:val="20"/>
                <w:szCs w:val="20"/>
                <w:color w:val="auto"/>
              </w:rPr>
            </w:pPr>
            <w:r>
              <w:rPr>
                <w:rFonts w:ascii="Arial" w:cs="Arial" w:eastAsia="Arial" w:hAnsi="Arial"/>
                <w:sz w:val="18"/>
                <w:szCs w:val="18"/>
                <w:color w:val="auto"/>
              </w:rPr>
              <w:t>(3)</w:t>
            </w: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0.0500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80" w:hanging="452"/>
        <w:spacing w:after="0" w:line="286" w:lineRule="auto"/>
        <w:tabs>
          <w:tab w:leader="none" w:pos="4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NAV per share is determined as of the last day in the relevant quarter and therefore may not reflect the NAV per share on the date of the high and low sales prices. The NAVs shown are based on outstanding shares at the end of each period. See “Determination of Net Asset Value” for more information.</w:t>
      </w:r>
    </w:p>
    <w:p>
      <w:pPr>
        <w:ind w:left="460" w:hanging="452"/>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Calculated as of the respective high or low closing sales price divided by the quarter-end NAV.</w:t>
      </w:r>
    </w:p>
    <w:p>
      <w:pPr>
        <w:spacing w:after="0" w:line="9"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From April 8, 2011 (initial public offering) to June 30, 2011.</w:t>
      </w:r>
    </w:p>
    <w:p>
      <w:pPr>
        <w:spacing w:after="0" w:line="16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Shares of BDCs may trade at a market price that is less than the NAV that is attributable to those shares. Our shares have traded above and below our NAV. Our shares traded on the NASDAQ Global Select Market at $13.96 and $12.67 as of March 31, 2013 and September 30, 2012, respectively. Our NAV was $14.10 and $13.98 per share, as of March 31, 2013 and September 30, 2012, respectively. The possibility that our shares of common stock will trade at a discount from NAV or at a premium that is unsustainable over the long term is separate and distinct from the risk that our NAV will decrease. It is not possible to predict whether our shares will trade at, above or below NAV in the future.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SALES OF COMMON STOCK BELOW NET ASSET VALUE</w:t>
      </w:r>
    </w:p>
    <w:p>
      <w:pPr>
        <w:spacing w:after="0" w:line="17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Our stockholders may approve our ability to sell shares of our common stock below our then current NAV per share in one or more public offerings of our common stock. In making a determination that an offering below NAV per share is in our and our stockholders’ best interests, our board of directors, a majority of our directors who have no financial interest in the sale and a majority of our independent directors considered a variety of factors, including:</w:t>
      </w:r>
    </w:p>
    <w:p>
      <w:pPr>
        <w:spacing w:after="0" w:line="26" w:lineRule="exact"/>
        <w:rPr>
          <w:sz w:val="20"/>
          <w:szCs w:val="20"/>
          <w:color w:val="auto"/>
        </w:rPr>
      </w:pPr>
    </w:p>
    <w:p>
      <w:pPr>
        <w:ind w:left="900" w:right="2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effect that an offering below NAV per share would have on our stockholders, including the potential dilution they would experience as a result of the offering;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amount per share by which the offering price per share and the net proceeds per share are less than the most recently determined NAV per share;</w:t>
      </w:r>
    </w:p>
    <w:p>
      <w:pPr>
        <w:spacing w:after="0" w:line="124" w:lineRule="exact"/>
        <w:rPr>
          <w:rFonts w:ascii="Arial" w:cs="Arial" w:eastAsia="Arial" w:hAnsi="Arial"/>
          <w:sz w:val="15"/>
          <w:szCs w:val="15"/>
          <w:color w:val="auto"/>
        </w:rPr>
      </w:pPr>
    </w:p>
    <w:p>
      <w:pPr>
        <w:ind w:left="900" w:right="4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relationship of recent market prices of our common stock to NAV per share and the potential impact of the offering on the market price per share of our common stock;</w:t>
      </w:r>
    </w:p>
    <w:p>
      <w:pPr>
        <w:spacing w:after="0" w:line="5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Whether the estimated offering price would closely approximate the market value of our shares, less distributing commissions or discounts, and would not be below current market price;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market impact of being able to raise capital in the current financial market;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nature of any new investors anticipated to acquire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anticipated rate of return on and quality, type and availability of investments;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leverage available to us both before and after the offering and other borrowing terms;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potential investment opportunities available relative to the potential dilutive effect of additional capital at the time of the offering.</w:t>
      </w:r>
    </w:p>
    <w:p>
      <w:pPr>
        <w:spacing w:after="0" w:line="17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Our board of directors will also consider the fact that a sale of shares of common stock at a discount will benefit our Investment Adviser, as the Investment Adviser will earn additional investment management fees on the proceeds of such offerings, as it would from the offering of any other securities of us or from the offering of common stock at a premium to NAV per share.</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Sales by us of our common stock at a discount from NAV pose potential risks for our existing stockholders whether or not they participate in the offering, as well as for new investors who participate in the offering.</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will not seek to sell shares under a prospectus supplement to the registration statement, or a post-effective amendment to the registration statement,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which this prospectus forms a part (the “current registration statement”) if the cumulative dilution to our NAV per share arising from offerings from the effective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of the current registration statement through and including any follow-on offering would exceed 15% based on the anticipated pricing of such follow-on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offering. This limit would be measured separately for each offering pursuant to the current registration statement by calculating the percentage dilution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accretion to aggregate NAV from that offering and then summing the anticipated percentage dilution from each subsequent offering. For example, if our most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recently determined NAV per share at the time of the first offering is $10.00, and we have 100 million shares outstanding, the sale of an additional 25 million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shares at net proceeds to us of $5.00 per share (a 50% discount) would produce dilution of 10.0%. If we subsequently determined that our NAV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increased to $11.00 on the then outstanding 125 million shares and contemplated an additional offering, we could, for example, propose to sell</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approximately 31.25 million additional shares at a price that would be expected to yield net proceeds to us of $8.25 per share, resulting in incremental dilution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5.0%, before we would reach the aggregate 15% limit. If we file a new post-effective amendment, the threshold would reset.</w:t>
      </w:r>
    </w:p>
    <w:p>
      <w:pPr>
        <w:spacing w:after="0" w:line="16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The following three headings and accompanying tables explain and provide hypothetical examples assuming proceeds are temporarily invested in cash equivalents on the impact of an offering at a price less than NAV per share on three different sets of investors:</w:t>
      </w:r>
    </w:p>
    <w:p>
      <w:pPr>
        <w:spacing w:after="0" w:line="51" w:lineRule="exact"/>
        <w:rPr>
          <w:sz w:val="20"/>
          <w:szCs w:val="20"/>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existing stockholders who do not purchase any shares in the offering;</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existing stockholders who purchase a relatively small amount of shares in the offering or a relatively large amount of shares in the offering;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new investors who become stockholders by purchasing shares in the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do not Participate in the Offering</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Our existing stockholders who do not participate, or who are not given the opportunity to participate in an offering below NAV per share or who do not buy additional shares in the secondary market at the same or lower price we obtain in the offering (after expenses and commissions) face the greatest potential risks. All stockholders will experience an immediate decrease (often called dilution) in the NAV of the shares they hold. Stockholders who do not participate in the offering will also experience a disproportionately greater decrease in their participation in our earnings and assets and their voting power than stockholders who do participate in the offering. All stockholders may also experience a decline in the market price of their shares, which often reflects, to some degree, announced or potential increases and decreases in NAV per share. This decrease could be more pronounced as the size of the offering and level of discounts increase.</w:t>
      </w:r>
    </w:p>
    <w:p>
      <w:pPr>
        <w:spacing w:after="0" w:line="12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that would be experienced by a nonparticipating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40" w:firstLine="456"/>
        <w:spacing w:after="0" w:line="318" w:lineRule="auto"/>
        <w:rPr>
          <w:sz w:val="20"/>
          <w:szCs w:val="20"/>
          <w:color w:val="auto"/>
        </w:rPr>
      </w:pPr>
      <w:r>
        <w:rPr>
          <w:rFonts w:ascii="Arial" w:cs="Arial" w:eastAsia="Arial" w:hAnsi="Arial"/>
          <w:sz w:val="15"/>
          <w:szCs w:val="15"/>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effect on nonparticipating Stockholder A of (1) 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left="281"/>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left="341"/>
              <w:spacing w:after="0"/>
              <w:rPr>
                <w:sz w:val="20"/>
                <w:szCs w:val="20"/>
                <w:color w:val="auto"/>
              </w:rPr>
            </w:pPr>
            <w:r>
              <w:rPr>
                <w:rFonts w:ascii="Arial" w:cs="Arial" w:eastAsia="Arial" w:hAnsi="Arial"/>
                <w:sz w:val="14"/>
                <w:szCs w:val="14"/>
                <w:b w:val="1"/>
                <w:bCs w:val="1"/>
                <w:color w:val="auto"/>
                <w:w w:val="86"/>
              </w:rPr>
              <w:t>Example 3</w:t>
            </w: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left="281"/>
              <w:spacing w:after="0" w:line="149" w:lineRule="exact"/>
              <w:rPr>
                <w:sz w:val="20"/>
                <w:szCs w:val="20"/>
                <w:color w:val="auto"/>
              </w:rPr>
            </w:pPr>
            <w:r>
              <w:rPr>
                <w:rFonts w:ascii="Arial" w:cs="Arial" w:eastAsia="Arial" w:hAnsi="Arial"/>
                <w:sz w:val="14"/>
                <w:szCs w:val="14"/>
                <w:b w:val="1"/>
                <w:bCs w:val="1"/>
                <w:color w:val="auto"/>
                <w:w w:val="94"/>
              </w:rPr>
              <w:t>5% Offering</w:t>
            </w:r>
          </w:p>
        </w:tc>
        <w:tc>
          <w:tcPr>
            <w:tcW w:w="4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4"/>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80" w:type="dxa"/>
            <w:vAlign w:val="bottom"/>
          </w:tcPr>
          <w:p>
            <w:pPr>
              <w:spacing w:after="0"/>
              <w:rPr>
                <w:sz w:val="12"/>
                <w:szCs w:val="12"/>
                <w:color w:val="auto"/>
              </w:rPr>
            </w:pPr>
          </w:p>
        </w:tc>
        <w:tc>
          <w:tcPr>
            <w:tcW w:w="1260" w:type="dxa"/>
            <w:vAlign w:val="bottom"/>
            <w:gridSpan w:val="2"/>
          </w:tcPr>
          <w:p>
            <w:pPr>
              <w:jc w:val="center"/>
              <w:ind w:left="341"/>
              <w:spacing w:after="0" w:line="149" w:lineRule="exact"/>
              <w:rPr>
                <w:sz w:val="20"/>
                <w:szCs w:val="20"/>
                <w:color w:val="auto"/>
              </w:rPr>
            </w:pPr>
            <w:r>
              <w:rPr>
                <w:rFonts w:ascii="Arial" w:cs="Arial" w:eastAsia="Arial" w:hAnsi="Arial"/>
                <w:sz w:val="14"/>
                <w:szCs w:val="14"/>
                <w:b w:val="1"/>
                <w:bCs w:val="1"/>
                <w:color w:val="auto"/>
                <w:w w:val="92"/>
              </w:rPr>
              <w:t>20% Offering</w:t>
            </w:r>
          </w:p>
        </w:tc>
        <w:tc>
          <w:tcPr>
            <w:tcW w:w="5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89"/>
              </w:rPr>
              <w:t>Prior to Sale</w:t>
            </w:r>
          </w:p>
        </w:tc>
        <w:tc>
          <w:tcPr>
            <w:tcW w:w="100" w:type="dxa"/>
            <w:vAlign w:val="bottom"/>
          </w:tcPr>
          <w:p>
            <w:pPr>
              <w:spacing w:after="0"/>
              <w:rPr>
                <w:sz w:val="14"/>
                <w:szCs w:val="14"/>
                <w:color w:val="auto"/>
              </w:rPr>
            </w:pPr>
          </w:p>
        </w:tc>
        <w:tc>
          <w:tcPr>
            <w:tcW w:w="206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at 5% Discount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4"/>
          </w:tcPr>
          <w:p>
            <w:pPr>
              <w:jc w:val="center"/>
              <w:ind w:right="680"/>
              <w:spacing w:after="0"/>
              <w:rPr>
                <w:sz w:val="20"/>
                <w:szCs w:val="20"/>
                <w:color w:val="auto"/>
              </w:rPr>
            </w:pPr>
            <w:r>
              <w:rPr>
                <w:rFonts w:ascii="Arial" w:cs="Arial" w:eastAsia="Arial" w:hAnsi="Arial"/>
                <w:sz w:val="14"/>
                <w:szCs w:val="14"/>
                <w:b w:val="1"/>
                <w:bCs w:val="1"/>
                <w:color w:val="auto"/>
                <w:w w:val="88"/>
              </w:rPr>
              <w:t>at 10% Discount</w:t>
            </w:r>
          </w:p>
        </w:tc>
        <w:tc>
          <w:tcPr>
            <w:tcW w:w="80" w:type="dxa"/>
            <w:vAlign w:val="bottom"/>
          </w:tcPr>
          <w:p>
            <w:pPr>
              <w:spacing w:after="0"/>
              <w:rPr>
                <w:sz w:val="14"/>
                <w:szCs w:val="14"/>
                <w:color w:val="auto"/>
              </w:rPr>
            </w:pPr>
          </w:p>
        </w:tc>
        <w:tc>
          <w:tcPr>
            <w:tcW w:w="202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4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50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7"/>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60" w:type="dxa"/>
            <w:vAlign w:val="bottom"/>
            <w:tcBorders>
              <w:top w:val="single" w:sz="8" w:color="auto"/>
            </w:tcBorders>
            <w:gridSpan w:val="2"/>
          </w:tcPr>
          <w:p>
            <w:pPr>
              <w:jc w:val="right"/>
              <w:ind w:right="660"/>
              <w:spacing w:after="0" w:line="129" w:lineRule="exact"/>
              <w:rPr>
                <w:sz w:val="20"/>
                <w:szCs w:val="20"/>
                <w:color w:val="auto"/>
              </w:rPr>
            </w:pPr>
            <w:r>
              <w:rPr>
                <w:rFonts w:ascii="Arial" w:cs="Arial" w:eastAsia="Arial" w:hAnsi="Arial"/>
                <w:sz w:val="14"/>
                <w:szCs w:val="14"/>
                <w:b w:val="1"/>
                <w:bCs w:val="1"/>
                <w:color w:val="auto"/>
                <w:w w:val="88"/>
              </w:rPr>
              <w:t>Following</w:t>
            </w:r>
          </w:p>
        </w:tc>
        <w:tc>
          <w:tcPr>
            <w:tcW w:w="500" w:type="dxa"/>
            <w:vAlign w:val="bottom"/>
            <w:tcBorders>
              <w:top w:val="single" w:sz="8" w:color="auto"/>
            </w:tcBorders>
          </w:tcPr>
          <w:p>
            <w:pPr>
              <w:jc w:val="right"/>
              <w:ind w:right="97"/>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w w:val="93"/>
              </w:rPr>
              <w:t>Below NAV</w:t>
            </w:r>
          </w:p>
        </w:tc>
        <w:tc>
          <w:tcPr>
            <w:tcW w:w="100" w:type="dxa"/>
            <w:vAlign w:val="bottom"/>
          </w:tcPr>
          <w:p>
            <w:pPr>
              <w:spacing w:after="0"/>
              <w:rPr>
                <w:sz w:val="14"/>
                <w:szCs w:val="14"/>
                <w:color w:val="auto"/>
              </w:rPr>
            </w:pPr>
          </w:p>
        </w:tc>
        <w:tc>
          <w:tcPr>
            <w:tcW w:w="122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Sale</w:t>
            </w: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1"/>
              </w:rPr>
              <w:t>Change</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3"/>
              </w:rPr>
              <w:t>Sale</w:t>
            </w: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26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Sale</w:t>
            </w:r>
          </w:p>
        </w:tc>
        <w:tc>
          <w:tcPr>
            <w:tcW w:w="7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3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2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10.05</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9.52</w:t>
            </w:r>
          </w:p>
        </w:tc>
        <w:tc>
          <w:tcPr>
            <w:tcW w:w="420" w:type="dxa"/>
            <w:vAlign w:val="bottom"/>
          </w:tcPr>
          <w:p>
            <w:pPr>
              <w:spacing w:after="0"/>
              <w:rPr>
                <w:sz w:val="18"/>
                <w:szCs w:val="18"/>
                <w:color w:val="auto"/>
              </w:rPr>
            </w:pPr>
          </w:p>
        </w:tc>
        <w:tc>
          <w:tcPr>
            <w:tcW w:w="10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8.47</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w w:val="95"/>
              </w:rPr>
              <w:t>Net offering proceeds per share to issuer</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9.50</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8.00</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1,000,000</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84"/>
              </w:rPr>
              <w:t>1,050,000</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1,100,000</w:t>
            </w:r>
          </w:p>
        </w:tc>
        <w:tc>
          <w:tcPr>
            <w:tcW w:w="4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4"/>
              </w:rPr>
              <w:t>10.00%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87"/>
              </w:rPr>
              <w:t>1,200,000</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28"/>
        </w:trPr>
        <w:tc>
          <w:tcPr>
            <w:tcW w:w="3120" w:type="dxa"/>
            <w:vAlign w:val="bottom"/>
          </w:tcPr>
          <w:p>
            <w:pPr>
              <w:spacing w:after="0"/>
              <w:rPr>
                <w:sz w:val="20"/>
                <w:szCs w:val="20"/>
                <w:color w:val="auto"/>
              </w:rPr>
            </w:pPr>
            <w:r>
              <w:rPr>
                <w:rFonts w:ascii="Arial" w:cs="Arial" w:eastAsia="Arial" w:hAnsi="Arial"/>
                <w:sz w:val="18"/>
                <w:szCs w:val="18"/>
                <w:color w:val="auto"/>
              </w:rPr>
              <w:t>NAV per share</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10.00</w:t>
            </w: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9.98</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(0.20)%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19"/>
                <w:szCs w:val="19"/>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8"/>
                <w:szCs w:val="18"/>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9.67</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8"/>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10,000</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8"/>
                <w:szCs w:val="18"/>
                <w:color w:val="auto"/>
              </w:rPr>
              <w:t>10,000</w:t>
            </w: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420" w:type="dxa"/>
            <w:vAlign w:val="bottom"/>
          </w:tcPr>
          <w:p>
            <w:pPr>
              <w:spacing w:after="0"/>
              <w:rPr>
                <w:sz w:val="18"/>
                <w:szCs w:val="18"/>
                <w:color w:val="auto"/>
              </w:rPr>
            </w:pPr>
          </w:p>
        </w:tc>
        <w:tc>
          <w:tcPr>
            <w:tcW w:w="104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10,000</w:t>
            </w:r>
          </w:p>
        </w:tc>
        <w:tc>
          <w:tcPr>
            <w:tcW w:w="7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0.95%</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0.91%</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(9.00)%</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0.83%</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(17.00)%</w:t>
            </w:r>
          </w:p>
        </w:tc>
        <w:tc>
          <w:tcPr>
            <w:tcW w:w="0" w:type="dxa"/>
            <w:vAlign w:val="bottom"/>
          </w:tcPr>
          <w:p>
            <w:pPr>
              <w:spacing w:after="0"/>
              <w:rPr>
                <w:sz w:val="1"/>
                <w:szCs w:val="1"/>
                <w:color w:val="auto"/>
              </w:rPr>
            </w:pPr>
          </w:p>
        </w:tc>
      </w:tr>
      <w:tr>
        <w:trPr>
          <w:trHeight w:val="363"/>
        </w:trPr>
        <w:tc>
          <w:tcPr>
            <w:tcW w:w="3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54</w:t>
            </w: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left="280"/>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20" w:type="dxa"/>
            <w:vAlign w:val="bottom"/>
            <w:gridSpan w:val="4"/>
          </w:tcPr>
          <w:p>
            <w:pPr>
              <w:jc w:val="center"/>
              <w:ind w:right="480"/>
              <w:spacing w:after="0"/>
              <w:rPr>
                <w:sz w:val="20"/>
                <w:szCs w:val="20"/>
                <w:color w:val="auto"/>
              </w:rPr>
            </w:pPr>
            <w:r>
              <w:rPr>
                <w:rFonts w:ascii="Arial" w:cs="Arial" w:eastAsia="Arial" w:hAnsi="Arial"/>
                <w:sz w:val="14"/>
                <w:szCs w:val="14"/>
                <w:b w:val="1"/>
                <w:bCs w:val="1"/>
                <w:color w:val="auto"/>
                <w:w w:val="89"/>
              </w:rPr>
              <w:t>Example 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left="260"/>
              <w:spacing w:after="0"/>
              <w:rPr>
                <w:sz w:val="20"/>
                <w:szCs w:val="20"/>
                <w:color w:val="auto"/>
              </w:rPr>
            </w:pPr>
            <w:r>
              <w:rPr>
                <w:rFonts w:ascii="Arial" w:cs="Arial" w:eastAsia="Arial" w:hAnsi="Arial"/>
                <w:sz w:val="14"/>
                <w:szCs w:val="14"/>
                <w:b w:val="1"/>
                <w:bCs w:val="1"/>
                <w:color w:val="auto"/>
                <w:w w:val="86"/>
              </w:rPr>
              <w:t>Example 3</w:t>
            </w: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4"/>
          </w:tcPr>
          <w:p>
            <w:pPr>
              <w:jc w:val="center"/>
              <w:ind w:right="640"/>
              <w:spacing w:after="0" w:line="149" w:lineRule="exact"/>
              <w:rPr>
                <w:sz w:val="20"/>
                <w:szCs w:val="20"/>
                <w:color w:val="auto"/>
              </w:rPr>
            </w:pPr>
            <w:r>
              <w:rPr>
                <w:rFonts w:ascii="Arial" w:cs="Arial" w:eastAsia="Arial" w:hAnsi="Arial"/>
                <w:sz w:val="14"/>
                <w:szCs w:val="14"/>
                <w:b w:val="1"/>
                <w:bCs w:val="1"/>
                <w:color w:val="auto"/>
                <w:w w:val="94"/>
              </w:rPr>
              <w:t>5% Offering</w:t>
            </w:r>
          </w:p>
        </w:tc>
        <w:tc>
          <w:tcPr>
            <w:tcW w:w="100" w:type="dxa"/>
            <w:vAlign w:val="bottom"/>
          </w:tcPr>
          <w:p>
            <w:pPr>
              <w:spacing w:after="0"/>
              <w:rPr>
                <w:sz w:val="12"/>
                <w:szCs w:val="12"/>
                <w:color w:val="auto"/>
              </w:rPr>
            </w:pPr>
          </w:p>
        </w:tc>
        <w:tc>
          <w:tcPr>
            <w:tcW w:w="1620" w:type="dxa"/>
            <w:vAlign w:val="bottom"/>
            <w:gridSpan w:val="4"/>
          </w:tcPr>
          <w:p>
            <w:pPr>
              <w:jc w:val="center"/>
              <w:ind w:right="460"/>
              <w:spacing w:after="0" w:line="149" w:lineRule="exact"/>
              <w:rPr>
                <w:sz w:val="20"/>
                <w:szCs w:val="20"/>
                <w:color w:val="auto"/>
              </w:rPr>
            </w:pPr>
            <w:r>
              <w:rPr>
                <w:rFonts w:ascii="Arial" w:cs="Arial" w:eastAsia="Arial" w:hAnsi="Arial"/>
                <w:sz w:val="14"/>
                <w:szCs w:val="14"/>
                <w:b w:val="1"/>
                <w:bCs w:val="1"/>
                <w:color w:val="auto"/>
                <w:w w:val="92"/>
              </w:rPr>
              <w:t>10% Offering</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20% Offering</w:t>
            </w: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11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Prior to Sale</w:t>
            </w:r>
          </w:p>
        </w:tc>
        <w:tc>
          <w:tcPr>
            <w:tcW w:w="100" w:type="dxa"/>
            <w:vAlign w:val="bottom"/>
          </w:tcPr>
          <w:p>
            <w:pPr>
              <w:spacing w:after="0"/>
              <w:rPr>
                <w:sz w:val="14"/>
                <w:szCs w:val="14"/>
                <w:color w:val="auto"/>
              </w:rPr>
            </w:pPr>
          </w:p>
        </w:tc>
        <w:tc>
          <w:tcPr>
            <w:tcW w:w="198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9"/>
              </w:rPr>
              <w:t>at 5% Discount</w:t>
            </w:r>
          </w:p>
        </w:tc>
        <w:tc>
          <w:tcPr>
            <w:tcW w:w="100" w:type="dxa"/>
            <w:vAlign w:val="bottom"/>
          </w:tcPr>
          <w:p>
            <w:pPr>
              <w:spacing w:after="0"/>
              <w:rPr>
                <w:sz w:val="14"/>
                <w:szCs w:val="14"/>
                <w:color w:val="auto"/>
              </w:rPr>
            </w:pPr>
          </w:p>
        </w:tc>
        <w:tc>
          <w:tcPr>
            <w:tcW w:w="1620" w:type="dxa"/>
            <w:vAlign w:val="bottom"/>
            <w:gridSpan w:val="4"/>
          </w:tcPr>
          <w:p>
            <w:pPr>
              <w:jc w:val="center"/>
              <w:ind w:right="460"/>
              <w:spacing w:after="0"/>
              <w:rPr>
                <w:sz w:val="20"/>
                <w:szCs w:val="20"/>
                <w:color w:val="auto"/>
              </w:rPr>
            </w:pPr>
            <w:r>
              <w:rPr>
                <w:rFonts w:ascii="Arial" w:cs="Arial" w:eastAsia="Arial" w:hAnsi="Arial"/>
                <w:sz w:val="14"/>
                <w:szCs w:val="14"/>
                <w:b w:val="1"/>
                <w:bCs w:val="1"/>
                <w:color w:val="auto"/>
                <w:w w:val="88"/>
              </w:rPr>
              <w:t>at 10% Discount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8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4540" w:type="dxa"/>
            <w:vAlign w:val="bottom"/>
          </w:tcPr>
          <w:p>
            <w:pPr>
              <w:spacing w:after="0"/>
              <w:rPr>
                <w:sz w:val="11"/>
                <w:szCs w:val="11"/>
                <w:color w:val="auto"/>
              </w:rPr>
            </w:pPr>
          </w:p>
        </w:tc>
        <w:tc>
          <w:tcPr>
            <w:tcW w:w="1120" w:type="dxa"/>
            <w:vAlign w:val="bottom"/>
            <w:gridSpan w:val="3"/>
            <w:vMerge w:val="continue"/>
          </w:tcPr>
          <w:p>
            <w:pPr>
              <w:spacing w:after="0"/>
              <w:rPr>
                <w:sz w:val="11"/>
                <w:szCs w:val="11"/>
                <w:color w:val="auto"/>
              </w:rPr>
            </w:pPr>
          </w:p>
        </w:tc>
        <w:tc>
          <w:tcPr>
            <w:tcW w:w="1080" w:type="dxa"/>
            <w:vAlign w:val="bottom"/>
            <w:tcBorders>
              <w:top w:val="single" w:sz="8" w:color="auto"/>
            </w:tcBorders>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6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1"/>
                <w:szCs w:val="11"/>
                <w:color w:val="auto"/>
              </w:rPr>
            </w:pPr>
          </w:p>
        </w:tc>
        <w:tc>
          <w:tcPr>
            <w:tcW w:w="900" w:type="dxa"/>
            <w:vAlign w:val="bottom"/>
            <w:tcBorders>
              <w:top w:val="single" w:sz="8" w:color="auto"/>
            </w:tcBorders>
            <w:gridSpan w:val="3"/>
          </w:tcPr>
          <w:p>
            <w:pPr>
              <w:jc w:val="right"/>
              <w:ind w:right="28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80" w:type="dxa"/>
            <w:vAlign w:val="bottom"/>
            <w:tcBorders>
              <w:top w:val="single" w:sz="8" w:color="auto"/>
            </w:tcBorders>
            <w:gridSpan w:val="3"/>
          </w:tcPr>
          <w:p>
            <w:pPr>
              <w:jc w:val="right"/>
              <w:ind w:right="460"/>
              <w:spacing w:after="0" w:line="129" w:lineRule="exact"/>
              <w:rPr>
                <w:sz w:val="20"/>
                <w:szCs w:val="20"/>
                <w:color w:val="auto"/>
              </w:rPr>
            </w:pPr>
            <w:r>
              <w:rPr>
                <w:rFonts w:ascii="Arial" w:cs="Arial" w:eastAsia="Arial" w:hAnsi="Arial"/>
                <w:sz w:val="14"/>
                <w:szCs w:val="14"/>
                <w:b w:val="1"/>
                <w:bCs w:val="1"/>
                <w:color w:val="auto"/>
                <w:w w:val="91"/>
              </w:rPr>
              <w:t>Following</w:t>
            </w:r>
          </w:p>
        </w:tc>
        <w:tc>
          <w:tcPr>
            <w:tcW w:w="440" w:type="dxa"/>
            <w:vAlign w:val="bottom"/>
            <w:tcBorders>
              <w:top w:val="single" w:sz="8" w:color="auto"/>
            </w:tcBorders>
          </w:tcPr>
          <w:p>
            <w:pPr>
              <w:ind w:left="160"/>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540" w:type="dxa"/>
            <w:vAlign w:val="bottom"/>
          </w:tcPr>
          <w:p>
            <w:pPr>
              <w:spacing w:after="0"/>
              <w:rPr>
                <w:sz w:val="14"/>
                <w:szCs w:val="14"/>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Below NAV</w:t>
            </w:r>
          </w:p>
        </w:tc>
        <w:tc>
          <w:tcPr>
            <w:tcW w:w="10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10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4"/>
                <w:szCs w:val="14"/>
                <w:color w:val="auto"/>
              </w:rPr>
            </w:pPr>
          </w:p>
        </w:tc>
        <w:tc>
          <w:tcPr>
            <w:tcW w:w="8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Sale</w:t>
            </w: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Sale</w:t>
            </w: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Total Asset Values</w:t>
            </w: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Total NAV held by stockholder A</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100,000</w:t>
            </w:r>
          </w:p>
        </w:tc>
        <w:tc>
          <w:tcPr>
            <w:tcW w:w="3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99,800</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(0.20)%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99,100</w:t>
            </w:r>
          </w:p>
        </w:tc>
        <w:tc>
          <w:tcPr>
            <w:tcW w:w="820" w:type="dxa"/>
            <w:vAlign w:val="bottom"/>
            <w:gridSpan w:val="2"/>
          </w:tcPr>
          <w:p>
            <w:pPr>
              <w:ind w:left="80"/>
              <w:spacing w:after="0"/>
              <w:rPr>
                <w:sz w:val="20"/>
                <w:szCs w:val="20"/>
                <w:color w:val="auto"/>
              </w:rPr>
            </w:pPr>
            <w:r>
              <w:rPr>
                <w:rFonts w:ascii="Arial" w:cs="Arial" w:eastAsia="Arial" w:hAnsi="Arial"/>
                <w:sz w:val="18"/>
                <w:szCs w:val="18"/>
                <w:color w:val="auto"/>
              </w:rPr>
              <w:t>(0.90)%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96,700</w:t>
            </w:r>
          </w:p>
        </w:tc>
        <w:tc>
          <w:tcPr>
            <w:tcW w:w="700" w:type="dxa"/>
            <w:vAlign w:val="bottom"/>
            <w:gridSpan w:val="2"/>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investment by stockholder A (assumed to be</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$10.00 per share)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100,000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100,000</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100,000</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86"/>
              </w:rPr>
              <w:t>100,000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40" w:type="dxa"/>
            <w:vAlign w:val="bottom"/>
          </w:tcPr>
          <w:p>
            <w:pPr>
              <w:ind w:left="440"/>
              <w:spacing w:after="0"/>
              <w:rPr>
                <w:sz w:val="20"/>
                <w:szCs w:val="20"/>
                <w:color w:val="auto"/>
              </w:rPr>
            </w:pPr>
            <w:r>
              <w:rPr>
                <w:rFonts w:ascii="Arial" w:cs="Arial" w:eastAsia="Arial" w:hAnsi="Arial"/>
                <w:sz w:val="18"/>
                <w:szCs w:val="18"/>
                <w:color w:val="auto"/>
              </w:rPr>
              <w:t>Total dilution to stockholder A (total NAV less total</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540" w:type="dxa"/>
            <w:vAlign w:val="bottom"/>
          </w:tcPr>
          <w:p>
            <w:pPr>
              <w:ind w:left="660"/>
              <w:spacing w:after="0"/>
              <w:rPr>
                <w:sz w:val="20"/>
                <w:szCs w:val="20"/>
                <w:color w:val="auto"/>
              </w:rPr>
            </w:pPr>
            <w:r>
              <w:rPr>
                <w:rFonts w:ascii="Arial" w:cs="Arial" w:eastAsia="Arial" w:hAnsi="Arial"/>
                <w:sz w:val="18"/>
                <w:szCs w:val="18"/>
                <w:color w:val="auto"/>
              </w:rPr>
              <w:t>investment)</w:t>
            </w:r>
          </w:p>
        </w:tc>
        <w:tc>
          <w:tcPr>
            <w:tcW w:w="120" w:type="dxa"/>
            <w:vAlign w:val="bottom"/>
          </w:tcPr>
          <w:p>
            <w:pPr>
              <w:spacing w:after="0"/>
              <w:rPr>
                <w:sz w:val="19"/>
                <w:szCs w:val="19"/>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(200)</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(900)</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(3,300)</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Amounts</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ind w:left="440"/>
              <w:spacing w:after="0"/>
              <w:rPr>
                <w:sz w:val="20"/>
                <w:szCs w:val="20"/>
                <w:color w:val="auto"/>
              </w:rPr>
            </w:pPr>
            <w:r>
              <w:rPr>
                <w:rFonts w:ascii="Arial" w:cs="Arial" w:eastAsia="Arial" w:hAnsi="Arial"/>
                <w:sz w:val="18"/>
                <w:szCs w:val="18"/>
                <w:color w:val="auto"/>
              </w:rPr>
              <w:t>NAV per share held by stockholder A</w:t>
            </w:r>
          </w:p>
        </w:tc>
        <w:tc>
          <w:tcPr>
            <w:tcW w:w="120" w:type="dxa"/>
            <w:vAlign w:val="bottom"/>
          </w:tcPr>
          <w:p>
            <w:pPr>
              <w:spacing w:after="0"/>
              <w:rPr>
                <w:sz w:val="18"/>
                <w:szCs w:val="18"/>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9.98</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rPr>
              <w:t>9.91</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9.67</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Investment per share held by stockholder A (assumed</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4"/>
              </w:rPr>
              <w:t>to be $10.00 per share on shares held prior to sale)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1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8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10.00</w:t>
            </w:r>
          </w:p>
        </w:tc>
        <w:tc>
          <w:tcPr>
            <w:tcW w:w="7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4540" w:type="dxa"/>
            <w:vAlign w:val="bottom"/>
          </w:tcPr>
          <w:p>
            <w:pPr>
              <w:ind w:left="440"/>
              <w:spacing w:after="0"/>
              <w:rPr>
                <w:sz w:val="20"/>
                <w:szCs w:val="20"/>
                <w:color w:val="auto"/>
              </w:rPr>
            </w:pPr>
            <w:r>
              <w:rPr>
                <w:rFonts w:ascii="Arial" w:cs="Arial" w:eastAsia="Arial" w:hAnsi="Arial"/>
                <w:sz w:val="18"/>
                <w:szCs w:val="18"/>
                <w:color w:val="auto"/>
              </w:rPr>
              <w:t>Dilution per share held by stockholder A (NAV per</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660"/>
              <w:spacing w:after="0"/>
              <w:rPr>
                <w:sz w:val="20"/>
                <w:szCs w:val="20"/>
                <w:color w:val="auto"/>
              </w:rPr>
            </w:pPr>
            <w:r>
              <w:rPr>
                <w:rFonts w:ascii="Arial" w:cs="Arial" w:eastAsia="Arial" w:hAnsi="Arial"/>
                <w:sz w:val="18"/>
                <w:szCs w:val="18"/>
                <w:color w:val="auto"/>
              </w:rPr>
              <w:t>share less investment per share)</w:t>
            </w:r>
          </w:p>
        </w:tc>
        <w:tc>
          <w:tcPr>
            <w:tcW w:w="120" w:type="dxa"/>
            <w:vAlign w:val="bottom"/>
          </w:tcPr>
          <w:p>
            <w:pPr>
              <w:spacing w:after="0"/>
              <w:rPr>
                <w:sz w:val="19"/>
                <w:szCs w:val="19"/>
                <w:color w:val="auto"/>
              </w:rPr>
            </w:pPr>
          </w:p>
        </w:tc>
        <w:tc>
          <w:tcPr>
            <w:tcW w:w="100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(0.02)</w:t>
            </w:r>
          </w:p>
        </w:tc>
        <w:tc>
          <w:tcPr>
            <w:tcW w:w="10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(0.09)</w:t>
            </w:r>
          </w:p>
        </w:tc>
        <w:tc>
          <w:tcPr>
            <w:tcW w:w="82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(0.33)</w:t>
            </w:r>
          </w:p>
        </w:tc>
        <w:tc>
          <w:tcPr>
            <w:tcW w:w="70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4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Percentage dilution to stockholder A (dilution per</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5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divided by investment per share)</w:t>
            </w:r>
          </w:p>
        </w:tc>
        <w:tc>
          <w:tcPr>
            <w:tcW w:w="12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(0.20)%</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(0.90)%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5"/>
              </w:rPr>
              <w:t>(3.30)%</w:t>
            </w:r>
          </w:p>
        </w:tc>
        <w:tc>
          <w:tcPr>
            <w:tcW w:w="0" w:type="dxa"/>
            <w:vAlign w:val="bottom"/>
          </w:tcPr>
          <w:p>
            <w:pPr>
              <w:spacing w:after="0"/>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Existing Stockholders who Participate in the Offering</w:t>
      </w:r>
    </w:p>
    <w:p>
      <w:pPr>
        <w:spacing w:after="0" w:line="90"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Our existing stockholders who participate in an offering below NAV per share or who buy additional shares in the secondary market at the same or lower price as we obtain in the offering (after expenses and commissions) will experience the same types of NAV dilution as the nonparticipating stockholders, albeit at a lower level, to the extent they purchase less than the same percentage of the discounted offering as their interest in our shares immediately prior to the offering. The level of NAV dilution on an aggregate basis will decrease as the number of shares such stockholders purchase increases. Existing stockholders who buy more than such percentage will experience NAV dilution but will, in contrast to existing stockholders who purchase less than their proportionate share of the offering, experience an increase (often called accretion) in NAV per share over their investment per share and will also experience a disproportionately greater increase in their participation in our earnings and assets and their voting power than our increase in assets, potential earning power and voting interests due to the offering. The level of accretion will increase as the excess number of shares such stockholder purchases increases. Even a stockholder who over-participates will, however, be subject to the risk that we may make additional discounted offerings in which such stockholder does not participate, in which case such a stockholder will experience NAV dilution as described above in such subsequent offerings. These stockholders may also experience a decline in the market price of their shares, which often reflects to some degree announced or potential increases and decreases in NAV per share. This decrease could be more pronounced as the size of the offering and level of discount to NAV increases.</w:t>
      </w:r>
    </w:p>
    <w:p>
      <w:pPr>
        <w:spacing w:after="0" w:line="12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examples assume that Company XYZ has 1,000,000 shares of common stock outstanding, $15,000,000 in total assets and $5,000,000 in total liabilities. The current NAV and NAV per share are thus $10,000,000 and $10.00, respectively. The table below illustrates the (dilutive) and accretive effect in the hypothetical 20% discount offering from the prior chart for stockholder A that acquires shares equal to (1) 50% of their proportionate share of the offering (i.e. 1,000 shares which is 0.50% of the offering of 200,000 shares rather than their 1.00% proportionate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306" w:lineRule="auto"/>
        <w:rPr>
          <w:sz w:val="20"/>
          <w:szCs w:val="20"/>
          <w:color w:val="auto"/>
        </w:rPr>
      </w:pPr>
      <w:r>
        <w:rPr>
          <w:rFonts w:ascii="Arial" w:cs="Arial" w:eastAsia="Arial" w:hAnsi="Arial"/>
          <w:sz w:val="16"/>
          <w:szCs w:val="16"/>
          <w:color w:val="auto"/>
        </w:rPr>
        <w:t>share) and (2) 150% of their proportionate share of the offering (i.e. 3,000 shares which is 1.50% of the offering of 200,000 shares rather than their 1.00% proportionate share). The prospectus supplement pursuant to which any discounted offering is made will include a chart for this example based on the actual number of shares in such offering and the actual discount from the most recently determined NAV per share.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w w:val="92"/>
              </w:rPr>
              <w:t>Prior to Sale</w:t>
            </w:r>
          </w:p>
        </w:tc>
        <w:tc>
          <w:tcPr>
            <w:tcW w:w="80" w:type="dxa"/>
            <w:vAlign w:val="bottom"/>
          </w:tcPr>
          <w:p>
            <w:pPr>
              <w:spacing w:after="0"/>
              <w:rPr>
                <w:sz w:val="14"/>
                <w:szCs w:val="14"/>
                <w:color w:val="auto"/>
              </w:rPr>
            </w:pPr>
          </w:p>
        </w:tc>
        <w:tc>
          <w:tcPr>
            <w:tcW w:w="2220" w:type="dxa"/>
            <w:vAlign w:val="bottom"/>
            <w:gridSpan w:val="4"/>
          </w:tcPr>
          <w:p>
            <w:pPr>
              <w:jc w:val="right"/>
              <w:ind w:right="840"/>
              <w:spacing w:after="0"/>
              <w:rPr>
                <w:sz w:val="20"/>
                <w:szCs w:val="20"/>
                <w:color w:val="auto"/>
              </w:rPr>
            </w:pPr>
            <w:r>
              <w:rPr>
                <w:rFonts w:ascii="Arial" w:cs="Arial" w:eastAsia="Arial" w:hAnsi="Arial"/>
                <w:sz w:val="14"/>
                <w:szCs w:val="14"/>
                <w:b w:val="1"/>
                <w:bCs w:val="1"/>
                <w:color w:val="auto"/>
              </w:rPr>
              <w:t>50% Participation</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150% Participation</w:t>
            </w:r>
          </w:p>
        </w:tc>
        <w:tc>
          <w:tcPr>
            <w:tcW w:w="0" w:type="dxa"/>
            <w:vAlign w:val="bottom"/>
          </w:tcPr>
          <w:p>
            <w:pPr>
              <w:spacing w:after="0"/>
              <w:rPr>
                <w:sz w:val="1"/>
                <w:szCs w:val="1"/>
                <w:color w:val="auto"/>
              </w:rPr>
            </w:pPr>
          </w:p>
        </w:tc>
      </w:tr>
      <w:tr>
        <w:trPr>
          <w:trHeight w:val="129"/>
        </w:trPr>
        <w:tc>
          <w:tcPr>
            <w:tcW w:w="5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gridSpan w:val="3"/>
            <w:vMerge w:val="continue"/>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300" w:type="dxa"/>
            <w:vAlign w:val="bottom"/>
            <w:tcBorders>
              <w:top w:val="single" w:sz="8" w:color="auto"/>
            </w:tcBorders>
            <w:gridSpan w:val="2"/>
          </w:tcPr>
          <w:p>
            <w:pPr>
              <w:jc w:val="right"/>
              <w:ind w:right="720"/>
              <w:spacing w:after="0" w:line="129" w:lineRule="exact"/>
              <w:rPr>
                <w:sz w:val="20"/>
                <w:szCs w:val="20"/>
                <w:color w:val="auto"/>
              </w:rPr>
            </w:pPr>
            <w:r>
              <w:rPr>
                <w:rFonts w:ascii="Arial" w:cs="Arial" w:eastAsia="Arial" w:hAnsi="Arial"/>
                <w:sz w:val="14"/>
                <w:szCs w:val="14"/>
                <w:b w:val="1"/>
                <w:bCs w:val="1"/>
                <w:color w:val="auto"/>
                <w:w w:val="85"/>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5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2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w w:val="99"/>
              </w:rPr>
              <w:t>Below NAV</w:t>
            </w:r>
          </w:p>
        </w:tc>
        <w:tc>
          <w:tcPr>
            <w:tcW w:w="80" w:type="dxa"/>
            <w:vAlign w:val="bottom"/>
          </w:tcPr>
          <w:p>
            <w:pPr>
              <w:spacing w:after="0"/>
              <w:rPr>
                <w:sz w:val="14"/>
                <w:szCs w:val="14"/>
                <w:color w:val="auto"/>
              </w:rPr>
            </w:pPr>
          </w:p>
        </w:tc>
        <w:tc>
          <w:tcPr>
            <w:tcW w:w="132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9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81"/>
              </w:rPr>
              <w:t>Change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right"/>
              <w:ind w:right="8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51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8.47</w:t>
            </w:r>
          </w:p>
        </w:tc>
        <w:tc>
          <w:tcPr>
            <w:tcW w:w="90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8.47</w:t>
            </w:r>
          </w:p>
        </w:tc>
        <w:tc>
          <w:tcPr>
            <w:tcW w:w="600" w:type="dxa"/>
            <w:vAlign w:val="bottom"/>
          </w:tcPr>
          <w:p>
            <w:pPr>
              <w:spacing w:after="0"/>
              <w:rPr>
                <w:sz w:val="18"/>
                <w:szCs w:val="18"/>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proceeds per share to issuer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8.00</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i w:val="1"/>
                <w:iCs w:val="1"/>
                <w:color w:val="auto"/>
              </w:rPr>
              <w:t>Increases in Shares and Decrease to NAV</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1,000,000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w w:val="87"/>
              </w:rPr>
              <w:t>1,200,000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4"/>
              </w:rPr>
              <w:t>20.00%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1,200,000</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NAV per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9.67</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(3.30)%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9.67</w:t>
            </w:r>
          </w:p>
        </w:tc>
        <w:tc>
          <w:tcPr>
            <w:tcW w:w="60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(Dilution)/Accretion to Participating Stockholder 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11,000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10.00%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13,000</w:t>
            </w:r>
          </w:p>
        </w:tc>
        <w:tc>
          <w:tcPr>
            <w:tcW w:w="60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30.00%</w:t>
            </w: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0.92%</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1.08%</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Total Asset Values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106,370</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6.37%</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125,710</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25.71%</w:t>
            </w:r>
          </w:p>
        </w:tc>
        <w:tc>
          <w:tcPr>
            <w:tcW w:w="0" w:type="dxa"/>
            <w:vAlign w:val="bottom"/>
          </w:tcPr>
          <w:p>
            <w:pPr>
              <w:spacing w:after="0"/>
              <w:rPr>
                <w:sz w:val="1"/>
                <w:szCs w:val="1"/>
                <w:color w:val="auto"/>
              </w:rPr>
            </w:pPr>
          </w:p>
        </w:tc>
      </w:tr>
      <w:tr>
        <w:trPr>
          <w:trHeight w:val="208"/>
        </w:trPr>
        <w:tc>
          <w:tcPr>
            <w:tcW w:w="5140" w:type="dxa"/>
            <w:vAlign w:val="bottom"/>
          </w:tcPr>
          <w:p>
            <w:pPr>
              <w:ind w:left="440"/>
              <w:spacing w:after="0"/>
              <w:rPr>
                <w:sz w:val="20"/>
                <w:szCs w:val="20"/>
                <w:color w:val="auto"/>
              </w:rPr>
            </w:pPr>
            <w:r>
              <w:rPr>
                <w:rFonts w:ascii="Arial" w:cs="Arial" w:eastAsia="Arial" w:hAnsi="Arial"/>
                <w:sz w:val="18"/>
                <w:szCs w:val="18"/>
                <w:color w:val="auto"/>
                <w:w w:val="95"/>
              </w:rPr>
              <w:t>Total investment by stockholder A (assumed to be $10.00 per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660"/>
              <w:spacing w:after="0"/>
              <w:rPr>
                <w:sz w:val="20"/>
                <w:szCs w:val="20"/>
                <w:color w:val="auto"/>
              </w:rPr>
            </w:pPr>
            <w:r>
              <w:rPr>
                <w:rFonts w:ascii="Arial" w:cs="Arial" w:eastAsia="Arial" w:hAnsi="Arial"/>
                <w:sz w:val="18"/>
                <w:szCs w:val="18"/>
                <w:color w:val="auto"/>
              </w:rPr>
              <w:t>share on shares held prior to sale)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100,000</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108,470</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8.47%</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125,410</w:t>
            </w:r>
          </w:p>
        </w:tc>
        <w:tc>
          <w:tcPr>
            <w:tcW w:w="600" w:type="dxa"/>
            <w:vAlign w:val="bottom"/>
          </w:tcPr>
          <w:p>
            <w:pPr>
              <w:spacing w:after="0"/>
              <w:rPr>
                <w:sz w:val="19"/>
                <w:szCs w:val="19"/>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25.41%</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5"/>
              </w:rPr>
              <w:t>Total (dilution)/accretion to stockholder A (total NAV less total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investment)</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(2,100)</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Per Share Amounts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9.67</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6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140" w:type="dxa"/>
            <w:vAlign w:val="bottom"/>
          </w:tcPr>
          <w:p>
            <w:pPr>
              <w:ind w:left="440"/>
              <w:spacing w:after="0"/>
              <w:rPr>
                <w:sz w:val="20"/>
                <w:szCs w:val="20"/>
                <w:color w:val="auto"/>
              </w:rPr>
            </w:pPr>
            <w:r>
              <w:rPr>
                <w:rFonts w:ascii="Arial" w:cs="Arial" w:eastAsia="Arial" w:hAnsi="Arial"/>
                <w:sz w:val="18"/>
                <w:szCs w:val="18"/>
                <w:color w:val="auto"/>
                <w:w w:val="98"/>
              </w:rPr>
              <w:t>Investment per share held by stockholder A (assumed to be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140" w:type="dxa"/>
            <w:vAlign w:val="bottom"/>
          </w:tcPr>
          <w:p>
            <w:pPr>
              <w:ind w:left="660"/>
              <w:spacing w:after="0"/>
              <w:rPr>
                <w:sz w:val="20"/>
                <w:szCs w:val="20"/>
                <w:color w:val="auto"/>
              </w:rPr>
            </w:pPr>
            <w:r>
              <w:rPr>
                <w:rFonts w:ascii="Arial" w:cs="Arial" w:eastAsia="Arial" w:hAnsi="Arial"/>
                <w:sz w:val="18"/>
                <w:szCs w:val="18"/>
                <w:color w:val="auto"/>
              </w:rPr>
              <w:t>$10.00 per share on shares held prior to sale)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6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600"/>
              <w:spacing w:after="0"/>
              <w:rPr>
                <w:sz w:val="20"/>
                <w:szCs w:val="20"/>
                <w:color w:val="auto"/>
              </w:rPr>
            </w:pPr>
            <w:r>
              <w:rPr>
                <w:rFonts w:ascii="Arial" w:cs="Arial" w:eastAsia="Arial" w:hAnsi="Arial"/>
                <w:sz w:val="18"/>
                <w:szCs w:val="18"/>
                <w:color w:val="auto"/>
              </w:rPr>
              <w:t>9.86</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(1.40)%</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9.65</w:t>
            </w:r>
          </w:p>
        </w:tc>
        <w:tc>
          <w:tcPr>
            <w:tcW w:w="60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09"/>
        </w:trPr>
        <w:tc>
          <w:tcPr>
            <w:tcW w:w="51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6"/>
              </w:rPr>
              <w:t>(Dilution)/accretion per share held by stockholder A (NAV per</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1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share less investment per share)</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(0.19)</w:t>
            </w:r>
          </w:p>
        </w:tc>
        <w:tc>
          <w:tcPr>
            <w:tcW w:w="9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6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140" w:type="dxa"/>
            <w:vAlign w:val="bottom"/>
          </w:tcPr>
          <w:p>
            <w:pPr>
              <w:ind w:left="440"/>
              <w:spacing w:after="0"/>
              <w:rPr>
                <w:sz w:val="20"/>
                <w:szCs w:val="20"/>
                <w:color w:val="auto"/>
              </w:rPr>
            </w:pPr>
            <w:r>
              <w:rPr>
                <w:rFonts w:ascii="Arial" w:cs="Arial" w:eastAsia="Arial" w:hAnsi="Arial"/>
                <w:sz w:val="18"/>
                <w:szCs w:val="18"/>
                <w:color w:val="auto"/>
              </w:rPr>
              <w:t>Percentage (dilution)/accretion to stockholder A</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ind w:left="660"/>
              <w:spacing w:after="0"/>
              <w:rPr>
                <w:sz w:val="20"/>
                <w:szCs w:val="20"/>
                <w:color w:val="auto"/>
              </w:rPr>
            </w:pPr>
            <w:r>
              <w:rPr>
                <w:rFonts w:ascii="Arial" w:cs="Arial" w:eastAsia="Arial" w:hAnsi="Arial"/>
                <w:sz w:val="18"/>
                <w:szCs w:val="18"/>
                <w:color w:val="auto"/>
              </w:rPr>
              <w:t>(dilution/accretion per share divided by investment per</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40" w:type="dxa"/>
            <w:vAlign w:val="bottom"/>
          </w:tcPr>
          <w:p>
            <w:pPr>
              <w:ind w:left="660"/>
              <w:spacing w:after="0"/>
              <w:rPr>
                <w:sz w:val="20"/>
                <w:szCs w:val="20"/>
                <w:color w:val="auto"/>
              </w:rPr>
            </w:pPr>
            <w:r>
              <w:rPr>
                <w:rFonts w:ascii="Arial" w:cs="Arial" w:eastAsia="Arial" w:hAnsi="Arial"/>
                <w:sz w:val="18"/>
                <w:szCs w:val="18"/>
                <w:color w:val="auto"/>
              </w:rPr>
              <w:t>share)</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3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(1.93)%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 on New Investors</w:t>
      </w:r>
    </w:p>
    <w:p>
      <w:pPr>
        <w:spacing w:after="0" w:line="9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The following examples illustrate the level of NAV dilution or accretion that would be experienced by a new stockholder in three different hypothetical common stock offerings of different sizes and levels of discount from NAV per share, although it is not possible to predict the level of market price decline that may occur. Actual sales prices and discounts may differ from the presentation below.</w:t>
      </w:r>
    </w:p>
    <w:p>
      <w:pPr>
        <w:spacing w:after="0" w:line="140" w:lineRule="exact"/>
        <w:rPr>
          <w:sz w:val="20"/>
          <w:szCs w:val="20"/>
          <w:color w:val="auto"/>
        </w:rPr>
      </w:pPr>
    </w:p>
    <w:p>
      <w:pPr>
        <w:ind w:right="20" w:firstLine="456"/>
        <w:spacing w:after="0" w:line="312" w:lineRule="auto"/>
        <w:rPr>
          <w:sz w:val="20"/>
          <w:szCs w:val="20"/>
          <w:color w:val="auto"/>
        </w:rPr>
      </w:pPr>
      <w:r>
        <w:rPr>
          <w:rFonts w:ascii="Arial" w:cs="Arial" w:eastAsia="Arial" w:hAnsi="Arial"/>
          <w:sz w:val="15"/>
          <w:szCs w:val="15"/>
          <w:color w:val="auto"/>
        </w:rPr>
        <w:t>Investors who are not currently stockholders, but who participate in an offering below NAV and whose investment per share is greater than the resulting NAV per share due to selling compensation and expenses paid by us will experience an immediate decrease, albeit small, in the NAV of their shares and their NAV per share compared to the price they pay for their shares. Investors who are not currently stockholders and who participate in an offering below NAV per share and whose investment per share is also less than the resulting NAV per share due to selling compensation and expenses paid by us being significantly less than the discount per share, will experience an immediate increase in the NAV of their shares and their NAV per share compared to the price they pay for their shares. All these investors will experience a disproportionately greater participation in our earnings and assets and their voting power than our increase in assets, potential earning power and voting interests. These investors will, however, be subject to the risk that we may make additional discounted offerings in which such</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new stockholder does not participate, in which case such new stockholder will experience dilution as described above in such subsequent offerings. These investors may also experience a decline in the market price of their shares, which often reflects to some degree announced or potential increases and decreases in NAV per share. This decrease could be more pronounced as the size of the offering and level of discounts increases.</w:t>
      </w:r>
    </w:p>
    <w:p>
      <w:pPr>
        <w:spacing w:after="0" w:line="107" w:lineRule="exact"/>
        <w:rPr>
          <w:sz w:val="20"/>
          <w:szCs w:val="20"/>
          <w:color w:val="auto"/>
        </w:rPr>
      </w:pPr>
    </w:p>
    <w:p>
      <w:pPr>
        <w:ind w:right="60" w:firstLine="456"/>
        <w:spacing w:after="0" w:line="302" w:lineRule="auto"/>
        <w:rPr>
          <w:sz w:val="20"/>
          <w:szCs w:val="20"/>
          <w:color w:val="auto"/>
        </w:rPr>
      </w:pPr>
      <w:r>
        <w:rPr>
          <w:rFonts w:ascii="Arial" w:cs="Arial" w:eastAsia="Arial" w:hAnsi="Arial"/>
          <w:sz w:val="15"/>
          <w:szCs w:val="15"/>
          <w:color w:val="auto"/>
        </w:rPr>
        <w:t>The following examples illustrate the level of NAV dilution or accretion that would be experienced by a new stockholder who purchases the same percentage (1.00%) of the shares in the three different hypothetical offerings of common stock of different sizes and levels of discount from NAV per share. The examples assume that Company XYZ has 1,000,000 shares of common stock outstanding, $15,000,000 in total assets and $5,000,000 in total liabilities. The current NAV and NAV per share are thus $10,000,000 and $10.00, respectively. The table below illustrates the dilutive and accretive effects on a stockholder A at</w:t>
      </w:r>
    </w:p>
    <w:p>
      <w:pPr>
        <w:spacing w:after="0" w:line="3" w:lineRule="exact"/>
        <w:rPr>
          <w:sz w:val="20"/>
          <w:szCs w:val="20"/>
          <w:color w:val="auto"/>
        </w:rPr>
      </w:pPr>
    </w:p>
    <w:p>
      <w:pPr>
        <w:ind w:right="260" w:firstLine="8"/>
        <w:spacing w:after="0" w:line="302" w:lineRule="auto"/>
        <w:tabs>
          <w:tab w:leader="none" w:pos="249"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 offering of 50,000 shares (5% of the outstanding shares) at $9.50 per share after offering expenses and commission (a 5% discount from NAV); (2) an offering of 100,000 shares (10% of the outstanding shares) at $9.00 per share after offering expenses and commissions (a 10% discount from NAV); and (3) an offering of 200,000 shares (20% of the outstanding shares) at $8.00 per share after offering expenses and commissions (a 20% discount from NAV).</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78"/>
              <w:spacing w:after="0"/>
              <w:rPr>
                <w:sz w:val="20"/>
                <w:szCs w:val="20"/>
                <w:color w:val="auto"/>
              </w:rPr>
            </w:pPr>
            <w:r>
              <w:rPr>
                <w:rFonts w:ascii="Arial" w:cs="Arial" w:eastAsia="Arial" w:hAnsi="Arial"/>
                <w:sz w:val="14"/>
                <w:szCs w:val="14"/>
                <w:b w:val="1"/>
                <w:bCs w:val="1"/>
                <w:color w:val="auto"/>
                <w:w w:val="89"/>
              </w:rPr>
              <w:t>Example 1</w:t>
            </w:r>
          </w:p>
        </w:tc>
        <w:tc>
          <w:tcPr>
            <w:tcW w:w="4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2</w:t>
            </w: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left="298"/>
              <w:spacing w:after="0"/>
              <w:rPr>
                <w:sz w:val="20"/>
                <w:szCs w:val="20"/>
                <w:color w:val="auto"/>
              </w:rPr>
            </w:pPr>
            <w:r>
              <w:rPr>
                <w:rFonts w:ascii="Arial" w:cs="Arial" w:eastAsia="Arial" w:hAnsi="Arial"/>
                <w:sz w:val="14"/>
                <w:szCs w:val="14"/>
                <w:b w:val="1"/>
                <w:bCs w:val="1"/>
                <w:color w:val="auto"/>
                <w:w w:val="86"/>
              </w:rPr>
              <w:t>Example 3</w:t>
            </w: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78"/>
              <w:spacing w:after="0" w:line="149" w:lineRule="exact"/>
              <w:rPr>
                <w:sz w:val="20"/>
                <w:szCs w:val="20"/>
                <w:color w:val="auto"/>
              </w:rPr>
            </w:pPr>
            <w:r>
              <w:rPr>
                <w:rFonts w:ascii="Arial" w:cs="Arial" w:eastAsia="Arial" w:hAnsi="Arial"/>
                <w:sz w:val="14"/>
                <w:szCs w:val="14"/>
                <w:b w:val="1"/>
                <w:bCs w:val="1"/>
                <w:color w:val="auto"/>
                <w:w w:val="94"/>
              </w:rPr>
              <w:t>5% Offering</w:t>
            </w:r>
          </w:p>
        </w:tc>
        <w:tc>
          <w:tcPr>
            <w:tcW w:w="4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10% Offering</w:t>
            </w: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left="298"/>
              <w:spacing w:after="0" w:line="149" w:lineRule="exact"/>
              <w:rPr>
                <w:sz w:val="20"/>
                <w:szCs w:val="20"/>
                <w:color w:val="auto"/>
              </w:rPr>
            </w:pPr>
            <w:r>
              <w:rPr>
                <w:rFonts w:ascii="Arial" w:cs="Arial" w:eastAsia="Arial" w:hAnsi="Arial"/>
                <w:sz w:val="14"/>
                <w:szCs w:val="14"/>
                <w:b w:val="1"/>
                <w:bCs w:val="1"/>
                <w:color w:val="auto"/>
                <w:w w:val="92"/>
              </w:rPr>
              <w:t>20% Offering</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36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84"/>
              </w:rPr>
              <w:t>Prior to Sale</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9"/>
              </w:rPr>
              <w:t>at 5% Discount</w:t>
            </w:r>
          </w:p>
        </w:tc>
        <w:tc>
          <w:tcPr>
            <w:tcW w:w="80" w:type="dxa"/>
            <w:vAlign w:val="bottom"/>
          </w:tcPr>
          <w:p>
            <w:pPr>
              <w:spacing w:after="0"/>
              <w:rPr>
                <w:sz w:val="14"/>
                <w:szCs w:val="14"/>
                <w:color w:val="auto"/>
              </w:rPr>
            </w:pPr>
          </w:p>
        </w:tc>
        <w:tc>
          <w:tcPr>
            <w:tcW w:w="226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88"/>
              </w:rPr>
              <w:t>at 10% Discount</w:t>
            </w:r>
          </w:p>
        </w:tc>
        <w:tc>
          <w:tcPr>
            <w:tcW w:w="80" w:type="dxa"/>
            <w:vAlign w:val="bottom"/>
          </w:tcPr>
          <w:p>
            <w:pPr>
              <w:spacing w:after="0"/>
              <w:rPr>
                <w:sz w:val="14"/>
                <w:szCs w:val="14"/>
                <w:color w:val="auto"/>
              </w:rPr>
            </w:pPr>
          </w:p>
        </w:tc>
        <w:tc>
          <w:tcPr>
            <w:tcW w:w="194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88"/>
              </w:rPr>
              <w:t>at 20% Discount</w:t>
            </w:r>
          </w:p>
        </w:tc>
        <w:tc>
          <w:tcPr>
            <w:tcW w:w="0" w:type="dxa"/>
            <w:vAlign w:val="bottom"/>
          </w:tcPr>
          <w:p>
            <w:pPr>
              <w:spacing w:after="0"/>
              <w:rPr>
                <w:sz w:val="1"/>
                <w:szCs w:val="1"/>
                <w:color w:val="auto"/>
              </w:rPr>
            </w:pPr>
          </w:p>
        </w:tc>
      </w:tr>
      <w:tr>
        <w:trPr>
          <w:trHeight w:val="129"/>
        </w:trPr>
        <w:tc>
          <w:tcPr>
            <w:tcW w:w="360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58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tcPr>
          <w:p>
            <w:pPr>
              <w:jc w:val="right"/>
              <w:ind w:right="620"/>
              <w:spacing w:after="0" w:line="129" w:lineRule="exact"/>
              <w:rPr>
                <w:sz w:val="20"/>
                <w:szCs w:val="20"/>
                <w:color w:val="auto"/>
              </w:rPr>
            </w:pPr>
            <w:r>
              <w:rPr>
                <w:rFonts w:ascii="Arial" w:cs="Arial" w:eastAsia="Arial" w:hAnsi="Arial"/>
                <w:sz w:val="14"/>
                <w:szCs w:val="14"/>
                <w:b w:val="1"/>
                <w:bCs w:val="1"/>
                <w:color w:val="auto"/>
                <w:w w:val="88"/>
              </w:rPr>
              <w:t>Following</w:t>
            </w:r>
          </w:p>
        </w:tc>
        <w:tc>
          <w:tcPr>
            <w:tcW w:w="460" w:type="dxa"/>
            <w:vAlign w:val="bottom"/>
            <w:tcBorders>
              <w:top w:val="single" w:sz="8" w:color="auto"/>
            </w:tcBorders>
          </w:tcPr>
          <w:p>
            <w:pPr>
              <w:jc w:val="right"/>
              <w:ind w:right="75"/>
              <w:spacing w:after="0" w:line="12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60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4"/>
                <w:szCs w:val="14"/>
                <w:b w:val="1"/>
                <w:bCs w:val="1"/>
                <w:color w:val="auto"/>
                <w:w w:val="88"/>
              </w:rPr>
              <w:t>Below NAV</w:t>
            </w: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02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1"/>
              </w:rPr>
              <w:t>Change</w:t>
            </w: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10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85"/>
              </w:rPr>
              <w:t>Change</w:t>
            </w:r>
          </w:p>
        </w:tc>
        <w:tc>
          <w:tcPr>
            <w:tcW w:w="80" w:type="dxa"/>
            <w:vAlign w:val="bottom"/>
          </w:tcPr>
          <w:p>
            <w:pPr>
              <w:spacing w:after="0"/>
              <w:rPr>
                <w:sz w:val="14"/>
                <w:szCs w:val="14"/>
                <w:color w:val="auto"/>
              </w:rPr>
            </w:pPr>
          </w:p>
        </w:tc>
        <w:tc>
          <w:tcPr>
            <w:tcW w:w="12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Sale</w:t>
            </w: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Change</w:t>
            </w: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i w:val="1"/>
                <w:iCs w:val="1"/>
                <w:color w:val="auto"/>
              </w:rPr>
              <w:t>Offering Price</w:t>
            </w:r>
          </w:p>
        </w:tc>
        <w:tc>
          <w:tcPr>
            <w:tcW w:w="7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Price per share to public</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10.05</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9.52</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Net offering proceeds per share to issuer</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9.00</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Decrease to NAV</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Total shares outstanding</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1,050,000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1,100,000</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8"/>
              </w:rPr>
              <w:t>10.00%</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87"/>
              </w:rPr>
              <w:t>1,200,000</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4"/>
              </w:rPr>
              <w:t>20.00%</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NAV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9.98</w:t>
            </w:r>
          </w:p>
        </w:tc>
        <w:tc>
          <w:tcPr>
            <w:tcW w:w="500" w:type="dxa"/>
            <w:vAlign w:val="bottom"/>
          </w:tcPr>
          <w:p>
            <w:pPr>
              <w:spacing w:after="0"/>
              <w:rPr>
                <w:sz w:val="18"/>
                <w:szCs w:val="18"/>
                <w:color w:val="auto"/>
              </w:rPr>
            </w:pP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(0.20)%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9.91</w:t>
            </w: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(0.90)%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9.67</w:t>
            </w: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Dilution to Stockholder A</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Shares held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2,000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Percentage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0.05%</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0.09%</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0.17%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Total Asset Values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NAV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9,910</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19,340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ind w:left="440"/>
              <w:spacing w:after="0"/>
              <w:rPr>
                <w:sz w:val="20"/>
                <w:szCs w:val="20"/>
                <w:color w:val="auto"/>
              </w:rPr>
            </w:pPr>
            <w:r>
              <w:rPr>
                <w:rFonts w:ascii="Arial" w:cs="Arial" w:eastAsia="Arial" w:hAnsi="Arial"/>
                <w:sz w:val="18"/>
                <w:szCs w:val="18"/>
                <w:color w:val="auto"/>
              </w:rPr>
              <w:t>Total investment by 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5,025</w:t>
            </w:r>
          </w:p>
        </w:tc>
        <w:tc>
          <w:tcPr>
            <w:tcW w:w="500" w:type="dxa"/>
            <w:vAlign w:val="bottom"/>
          </w:tcPr>
          <w:p>
            <w:pPr>
              <w:spacing w:after="0"/>
              <w:rPr>
                <w:sz w:val="18"/>
                <w:szCs w:val="18"/>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9,952</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16,940</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dilution to stockholder A (total</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NAV less total investment)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390</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2,400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b w:val="1"/>
                <w:bCs w:val="1"/>
                <w:i w:val="1"/>
                <w:iCs w:val="1"/>
                <w:color w:val="auto"/>
              </w:rPr>
              <w:t>Per Share Amounts</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NAV per share held by stockholder A</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5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9.91</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9.67</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600" w:type="dxa"/>
            <w:vAlign w:val="bottom"/>
          </w:tcPr>
          <w:p>
            <w:pPr>
              <w:ind w:left="440"/>
              <w:spacing w:after="0"/>
              <w:rPr>
                <w:sz w:val="20"/>
                <w:szCs w:val="20"/>
                <w:color w:val="auto"/>
              </w:rPr>
            </w:pPr>
            <w:r>
              <w:rPr>
                <w:rFonts w:ascii="Arial" w:cs="Arial" w:eastAsia="Arial" w:hAnsi="Arial"/>
                <w:sz w:val="18"/>
                <w:szCs w:val="18"/>
                <w:color w:val="auto"/>
              </w:rPr>
              <w:t>Investment per share held by</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00" w:type="dxa"/>
            <w:vAlign w:val="bottom"/>
          </w:tcPr>
          <w:p>
            <w:pPr>
              <w:ind w:left="660"/>
              <w:spacing w:after="0"/>
              <w:rPr>
                <w:sz w:val="20"/>
                <w:szCs w:val="20"/>
                <w:color w:val="auto"/>
              </w:rPr>
            </w:pPr>
            <w:r>
              <w:rPr>
                <w:rFonts w:ascii="Arial" w:cs="Arial" w:eastAsia="Arial" w:hAnsi="Arial"/>
                <w:sz w:val="18"/>
                <w:szCs w:val="18"/>
                <w:color w:val="auto"/>
              </w:rPr>
              <w:t>stockholder A</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10.05</w:t>
            </w:r>
          </w:p>
        </w:tc>
        <w:tc>
          <w:tcPr>
            <w:tcW w:w="500" w:type="dxa"/>
            <w:vAlign w:val="bottom"/>
          </w:tcPr>
          <w:p>
            <w:pPr>
              <w:spacing w:after="0"/>
              <w:rPr>
                <w:sz w:val="19"/>
                <w:szCs w:val="19"/>
                <w:color w:val="auto"/>
              </w:rPr>
            </w:pPr>
          </w:p>
        </w:tc>
        <w:tc>
          <w:tcPr>
            <w:tcW w:w="102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9.52</w:t>
            </w:r>
          </w:p>
        </w:tc>
        <w:tc>
          <w:tcPr>
            <w:tcW w:w="104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500"/>
              <w:spacing w:after="0"/>
              <w:rPr>
                <w:sz w:val="20"/>
                <w:szCs w:val="20"/>
                <w:color w:val="auto"/>
              </w:rPr>
            </w:pPr>
            <w:r>
              <w:rPr>
                <w:rFonts w:ascii="Arial" w:cs="Arial" w:eastAsia="Arial" w:hAnsi="Arial"/>
                <w:sz w:val="18"/>
                <w:szCs w:val="18"/>
                <w:color w:val="auto"/>
              </w:rPr>
              <w:t>8.47</w:t>
            </w:r>
          </w:p>
        </w:tc>
        <w:tc>
          <w:tcPr>
            <w:tcW w:w="72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3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Dilution per share held by stockholder</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A (NAV per share less investment</w:t>
            </w:r>
          </w:p>
        </w:tc>
        <w:tc>
          <w:tcPr>
            <w:tcW w:w="7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per share)</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(0.07)</w:t>
            </w:r>
          </w:p>
        </w:tc>
        <w:tc>
          <w:tcPr>
            <w:tcW w:w="10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0.39</w:t>
            </w:r>
          </w:p>
        </w:tc>
        <w:tc>
          <w:tcPr>
            <w:tcW w:w="10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w:t>
            </w:r>
          </w:p>
        </w:tc>
        <w:tc>
          <w:tcPr>
            <w:tcW w:w="7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600" w:type="dxa"/>
            <w:vAlign w:val="bottom"/>
          </w:tcPr>
          <w:p>
            <w:pPr>
              <w:ind w:left="440"/>
              <w:spacing w:after="0"/>
              <w:rPr>
                <w:sz w:val="20"/>
                <w:szCs w:val="20"/>
                <w:color w:val="auto"/>
              </w:rPr>
            </w:pPr>
            <w:r>
              <w:rPr>
                <w:rFonts w:ascii="Arial" w:cs="Arial" w:eastAsia="Arial" w:hAnsi="Arial"/>
                <w:sz w:val="18"/>
                <w:szCs w:val="18"/>
                <w:color w:val="auto"/>
              </w:rPr>
              <w:t>Percentage dilution to stockholder A</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ind w:left="660"/>
              <w:spacing w:after="0"/>
              <w:rPr>
                <w:sz w:val="20"/>
                <w:szCs w:val="20"/>
                <w:color w:val="auto"/>
              </w:rPr>
            </w:pPr>
            <w:r>
              <w:rPr>
                <w:rFonts w:ascii="Arial" w:cs="Arial" w:eastAsia="Arial" w:hAnsi="Arial"/>
                <w:sz w:val="18"/>
                <w:szCs w:val="18"/>
                <w:color w:val="auto"/>
              </w:rPr>
              <w:t>(dilution per share divided by</w:t>
            </w:r>
          </w:p>
        </w:tc>
        <w:tc>
          <w:tcPr>
            <w:tcW w:w="7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00" w:type="dxa"/>
            <w:vAlign w:val="bottom"/>
          </w:tcPr>
          <w:p>
            <w:pPr>
              <w:ind w:left="660"/>
              <w:spacing w:after="0"/>
              <w:rPr>
                <w:sz w:val="20"/>
                <w:szCs w:val="20"/>
                <w:color w:val="auto"/>
              </w:rPr>
            </w:pPr>
            <w:r>
              <w:rPr>
                <w:rFonts w:ascii="Arial" w:cs="Arial" w:eastAsia="Arial" w:hAnsi="Arial"/>
                <w:sz w:val="18"/>
                <w:szCs w:val="18"/>
                <w:color w:val="auto"/>
              </w:rPr>
              <w:t>investment per share)</w:t>
            </w: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60"/>
              <w:spacing w:after="0"/>
              <w:rPr>
                <w:sz w:val="20"/>
                <w:szCs w:val="20"/>
                <w:color w:val="auto"/>
              </w:rPr>
            </w:pPr>
            <w:r>
              <w:rPr>
                <w:rFonts w:ascii="Arial" w:cs="Arial" w:eastAsia="Arial" w:hAnsi="Arial"/>
                <w:sz w:val="18"/>
                <w:szCs w:val="18"/>
                <w:color w:val="auto"/>
              </w:rPr>
              <w:t>(0.70)%</w:t>
            </w: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20"/>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14.17%</w:t>
            </w:r>
          </w:p>
        </w:tc>
        <w:tc>
          <w:tcPr>
            <w:tcW w:w="0" w:type="dxa"/>
            <w:vAlign w:val="bottom"/>
          </w:tcPr>
          <w:p>
            <w:pPr>
              <w:spacing w:after="0"/>
              <w:rPr>
                <w:sz w:val="1"/>
                <w:szCs w:val="1"/>
                <w:color w:val="auto"/>
              </w:rPr>
            </w:pPr>
          </w:p>
        </w:tc>
      </w:tr>
      <w:tr>
        <w:trPr>
          <w:trHeight w:val="365"/>
        </w:trPr>
        <w:tc>
          <w:tcPr>
            <w:tcW w:w="3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57</w:t>
            </w: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DISTRIBUTIONS</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continue making monthly distributions to our stockholders. The timing and amount of our monthly distributions, if any, is determined by our board of directors. Any distributions to our stockholders are declared out of assets legally available for distribution. We monitor available net investment income to determine if a tax return of capital may occur for the fiscal year. To the extent our taxable earnings fall below the total amount of our distributions for any given fiscal year, a portion of those distributions may be deemed to be a tax return of capital to our common stockholders. The following table reflects the cash distributions, including dividends and returns of capital per share that we have declared on our common stock since our inception.</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840" w:type="dxa"/>
            <w:vAlign w:val="bottom"/>
            <w:vMerge w:val="restart"/>
          </w:tcPr>
          <w:p>
            <w:pPr>
              <w:spacing w:after="0"/>
              <w:rPr>
                <w:sz w:val="20"/>
                <w:szCs w:val="20"/>
                <w:color w:val="auto"/>
              </w:rPr>
            </w:pPr>
            <w:r>
              <w:rPr>
                <w:rFonts w:ascii="Arial" w:cs="Arial" w:eastAsia="Arial" w:hAnsi="Arial"/>
                <w:sz w:val="14"/>
                <w:szCs w:val="14"/>
                <w:b w:val="1"/>
                <w:bCs w:val="1"/>
                <w:color w:val="auto"/>
                <w:w w:val="90"/>
              </w:rPr>
              <w:t>Record Dates</w:t>
            </w:r>
          </w:p>
        </w:tc>
        <w:tc>
          <w:tcPr>
            <w:tcW w:w="3860" w:type="dxa"/>
            <w:vAlign w:val="bottom"/>
            <w:vMerge w:val="restart"/>
          </w:tcPr>
          <w:p>
            <w:pPr>
              <w:spacing w:after="0"/>
              <w:rPr>
                <w:sz w:val="14"/>
                <w:szCs w:val="14"/>
                <w:color w:val="auto"/>
              </w:rPr>
            </w:pPr>
          </w:p>
        </w:tc>
        <w:tc>
          <w:tcPr>
            <w:tcW w:w="18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7"/>
              </w:rPr>
              <w:t>Distributions</w:t>
            </w:r>
          </w:p>
        </w:tc>
        <w:tc>
          <w:tcPr>
            <w:tcW w:w="0" w:type="dxa"/>
            <w:vAlign w:val="bottom"/>
          </w:tcPr>
          <w:p>
            <w:pPr>
              <w:spacing w:after="0"/>
              <w:rPr>
                <w:sz w:val="1"/>
                <w:szCs w:val="1"/>
                <w:color w:val="auto"/>
              </w:rPr>
            </w:pPr>
          </w:p>
        </w:tc>
      </w:tr>
      <w:tr>
        <w:trPr>
          <w:trHeight w:val="168"/>
        </w:trPr>
        <w:tc>
          <w:tcPr>
            <w:tcW w:w="840" w:type="dxa"/>
            <w:vAlign w:val="bottom"/>
            <w:tcBorders>
              <w:bottom w:val="single" w:sz="8" w:color="auto"/>
            </w:tcBorders>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1800" w:type="dxa"/>
            <w:vAlign w:val="bottom"/>
          </w:tcPr>
          <w:p>
            <w:pPr>
              <w:spacing w:after="0"/>
              <w:rPr>
                <w:sz w:val="14"/>
                <w:szCs w:val="14"/>
                <w:color w:val="auto"/>
              </w:rPr>
            </w:pPr>
          </w:p>
        </w:tc>
        <w:tc>
          <w:tcPr>
            <w:tcW w:w="1520" w:type="dxa"/>
            <w:vAlign w:val="bottom"/>
          </w:tcPr>
          <w:p>
            <w:pPr>
              <w:ind w:left="320"/>
              <w:spacing w:after="0" w:line="148" w:lineRule="exact"/>
              <w:rPr>
                <w:sz w:val="20"/>
                <w:szCs w:val="20"/>
                <w:color w:val="auto"/>
              </w:rPr>
            </w:pPr>
            <w:r>
              <w:rPr>
                <w:rFonts w:ascii="Arial" w:cs="Arial" w:eastAsia="Arial" w:hAnsi="Arial"/>
                <w:sz w:val="14"/>
                <w:szCs w:val="14"/>
                <w:b w:val="1"/>
                <w:bCs w:val="1"/>
                <w:color w:val="auto"/>
              </w:rPr>
              <w:t>Payment Dates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2"/>
          </w:tcPr>
          <w:p>
            <w:pPr>
              <w:jc w:val="center"/>
              <w:ind w:right="260"/>
              <w:spacing w:after="0" w:line="148" w:lineRule="exact"/>
              <w:rPr>
                <w:sz w:val="20"/>
                <w:szCs w:val="20"/>
                <w:color w:val="auto"/>
              </w:rPr>
            </w:pPr>
            <w:r>
              <w:rPr>
                <w:rFonts w:ascii="Arial" w:cs="Arial" w:eastAsia="Arial" w:hAnsi="Arial"/>
                <w:sz w:val="14"/>
                <w:szCs w:val="14"/>
                <w:b w:val="1"/>
                <w:bCs w:val="1"/>
                <w:color w:val="auto"/>
                <w:w w:val="87"/>
              </w:rPr>
              <w:t>Declared</w:t>
            </w:r>
          </w:p>
        </w:tc>
        <w:tc>
          <w:tcPr>
            <w:tcW w:w="0" w:type="dxa"/>
            <w:vAlign w:val="bottom"/>
          </w:tcPr>
          <w:p>
            <w:pPr>
              <w:spacing w:after="0"/>
              <w:rPr>
                <w:sz w:val="1"/>
                <w:szCs w:val="1"/>
                <w:color w:val="auto"/>
              </w:rPr>
            </w:pPr>
          </w:p>
        </w:tc>
      </w:tr>
      <w:tr>
        <w:trPr>
          <w:trHeight w:val="190"/>
        </w:trPr>
        <w:tc>
          <w:tcPr>
            <w:tcW w:w="47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Fiscal year ending September 30, 2013</w:t>
            </w:r>
          </w:p>
        </w:tc>
        <w:tc>
          <w:tcPr>
            <w:tcW w:w="1800" w:type="dxa"/>
            <w:vAlign w:val="bottom"/>
            <w:tcBorders>
              <w:top w:val="single" w:sz="8" w:color="CCEEFF"/>
            </w:tcBorders>
            <w:shd w:val="clear" w:color="auto" w:fill="CCEEFF"/>
          </w:tcPr>
          <w:p>
            <w:pPr>
              <w:spacing w:after="0"/>
              <w:rPr>
                <w:sz w:val="16"/>
                <w:szCs w:val="16"/>
                <w:color w:val="auto"/>
              </w:rPr>
            </w:pPr>
          </w:p>
        </w:tc>
        <w:tc>
          <w:tcPr>
            <w:tcW w:w="1520" w:type="dxa"/>
            <w:vAlign w:val="bottom"/>
            <w:tcBorders>
              <w:top w:val="single" w:sz="8" w:color="auto"/>
            </w:tcBorders>
            <w:shd w:val="clear" w:color="auto" w:fill="CCEEFF"/>
          </w:tcPr>
          <w:p>
            <w:pPr>
              <w:spacing w:after="0"/>
              <w:rPr>
                <w:sz w:val="16"/>
                <w:szCs w:val="16"/>
                <w:color w:val="auto"/>
              </w:rPr>
            </w:pPr>
          </w:p>
        </w:tc>
        <w:tc>
          <w:tcPr>
            <w:tcW w:w="5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July 19, 2013</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August 1, 2013</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21, 2013</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July 1, 2013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May 20, 2013</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June 3, 2013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19, 2013</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May 1, 2013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0.0875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March 22, 2013</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April 1, 2013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19, 2013</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March 1, 2013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January 22, 2013</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February 1, 2013</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21, 2012</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January 2, 2013</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November 20, 2012</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December 3, 2012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19, 2012</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November 1, 2012</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0.0825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0.8525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2012</w:t>
            </w:r>
          </w:p>
        </w:tc>
        <w:tc>
          <w:tcPr>
            <w:tcW w:w="18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September 20, 2012</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October 1, 2012</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20, 2012</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7"/>
              </w:rPr>
              <w:t>September 4, 2012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July 20, 2012</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August 1, 2012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21, 2012</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July 2, 2012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May 22, 2012</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June 1, 2012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0.0800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April 20, 2012</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May 1, 2012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March 22, 2012</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April 2, 2012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February 20, 2012</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March 1, 2012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January 20, 2012</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February 1, 2012</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0.0750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December 23, 2011</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January 3, 2012</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November 21, 2011</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December 1, 2011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October 21, 2011</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November 1, 2011</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0.9100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Fiscal year ended September 30, 2011</w:t>
            </w:r>
          </w:p>
        </w:tc>
        <w:tc>
          <w:tcPr>
            <w:tcW w:w="18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September 23, 2011</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October 3, 2011</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0.0700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August 22, 2011</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w w:val="97"/>
              </w:rPr>
              <w:t>September 1, 2011</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tcPr>
          <w:p>
            <w:pPr>
              <w:ind w:left="440"/>
              <w:spacing w:after="0"/>
              <w:rPr>
                <w:sz w:val="20"/>
                <w:szCs w:val="20"/>
                <w:color w:val="auto"/>
              </w:rPr>
            </w:pPr>
            <w:r>
              <w:rPr>
                <w:rFonts w:ascii="Arial" w:cs="Arial" w:eastAsia="Arial" w:hAnsi="Arial"/>
                <w:sz w:val="18"/>
                <w:szCs w:val="18"/>
                <w:color w:val="auto"/>
              </w:rPr>
              <w:t>July 22, 2011</w:t>
            </w:r>
          </w:p>
        </w:tc>
        <w:tc>
          <w:tcPr>
            <w:tcW w:w="3320" w:type="dxa"/>
            <w:vAlign w:val="bottom"/>
            <w:gridSpan w:val="2"/>
          </w:tcPr>
          <w:p>
            <w:pPr>
              <w:ind w:left="1800"/>
              <w:spacing w:after="0"/>
              <w:rPr>
                <w:sz w:val="20"/>
                <w:szCs w:val="20"/>
                <w:color w:val="auto"/>
              </w:rPr>
            </w:pPr>
            <w:r>
              <w:rPr>
                <w:rFonts w:ascii="Arial" w:cs="Arial" w:eastAsia="Arial" w:hAnsi="Arial"/>
                <w:sz w:val="18"/>
                <w:szCs w:val="18"/>
                <w:color w:val="auto"/>
              </w:rPr>
              <w:t>August 1, 2011</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0.0600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June 24, 2011</w:t>
            </w:r>
          </w:p>
        </w:tc>
        <w:tc>
          <w:tcPr>
            <w:tcW w:w="332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July 1, 2011</w:t>
            </w:r>
          </w:p>
        </w:tc>
        <w:tc>
          <w:tcPr>
            <w:tcW w:w="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00" w:type="dxa"/>
            <w:vAlign w:val="bottom"/>
            <w:gridSpan w:val="2"/>
          </w:tcPr>
          <w:p>
            <w:pPr>
              <w:ind w:left="440"/>
              <w:spacing w:after="0"/>
              <w:rPr>
                <w:sz w:val="20"/>
                <w:szCs w:val="20"/>
                <w:color w:val="auto"/>
              </w:rPr>
            </w:pPr>
            <w:r>
              <w:rPr>
                <w:rFonts w:ascii="Arial" w:cs="Arial" w:eastAsia="Arial" w:hAnsi="Arial"/>
                <w:sz w:val="18"/>
                <w:szCs w:val="18"/>
                <w:b w:val="1"/>
                <w:bCs w:val="1"/>
                <w:color w:val="auto"/>
              </w:rPr>
              <w:t>Total</w:t>
            </w:r>
          </w:p>
        </w:tc>
        <w:tc>
          <w:tcPr>
            <w:tcW w:w="18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0.2500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In January 2014, a Form 1099-DIV will be sent to stockholders that will state the amount and composition of distributions and provide information with respect to appropriate tax treatment of our distributions.</w:t>
      </w:r>
    </w:p>
    <w:p>
      <w:pPr>
        <w:spacing w:after="0" w:line="105"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We maintain an “opt out” dividend reinvestment plan for our common stockholders. As a result, if we declare a dividend or other distribution, then stockholders’ cash distributions will be automatically reinvested in additional shares of our common stock, unless they specifically “opt out” of the dividend reinvestment plan so as to receive cash distributions.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459" w:right="2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not be able to achieve operating results that will allow us to make dividends and distributions at a specific level or to increase the amount of these dividends and distributions from time to time. In addition, we may be limited in our ability to make dividends and distributions due to the asset coverage test for borrowings when applicable to us as a BDC under the 1940 Act and due to provisions in future credit facilities. If we do not distribute a certain percentage of our income annually, we will suffer adverse tax consequences, including possible loss of our RIC status. We cannot assure stockholders that they will receive any dividends and distributions at a particular level.</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340"/>
          </w:cols>
          <w:pgMar w:left="240" w:top="459" w:right="31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Pennant Park Floating Rate Capital Ltd.</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PennantPark Floating Rate Capital Ltd. is a BDC whose objectives are to generate current income and capital appreciation by investing primarily in Floating Rate Loans and other investments made to U.S. middle-market private companies.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believe that Floating Rate Loans to U.S. middle-market private companies offer attractive risk adjusted returns due to a limited amount of capital available for such companies and the potential for rising interest rates. We use the term “middle-market” to refer to companies with annual revenues between $50 million and $1 billion. We may also invest in U.S. middle-market public companies that are thinly traded or have a small market-capitalization. Our investments are typically rated below investment grade. Securities rated below investment grade are often referred to as “leveraged loans” or “high yield” securities or “junk bonds” and are often higher risk compared to debt instruments that are rated above investment grade and have speculative characteristics. However, when compared to junk bonds and other non-investment grade debt, senior secured Floating Rate Loans typically have more robust capital-preserving qualities, such as historically lower default rates than junk bonds, represent the most senior source of capital in a borrower’s capital structure and often have certain of the borrower’s assets pledged as collateral. Our investments may have terms of three to ten years and are made to U.S. and, to a limited extent, non-U.S. corporations, partnerships and other business entities which operate in various industries and geographical regions.</w:t>
      </w:r>
    </w:p>
    <w:p>
      <w:pPr>
        <w:spacing w:after="0" w:line="120" w:lineRule="exact"/>
        <w:rPr>
          <w:sz w:val="20"/>
          <w:szCs w:val="20"/>
          <w:color w:val="auto"/>
        </w:rPr>
      </w:pPr>
    </w:p>
    <w:p>
      <w:pPr>
        <w:ind w:right="320" w:firstLine="456"/>
        <w:spacing w:after="0" w:line="291" w:lineRule="auto"/>
        <w:rPr>
          <w:sz w:val="20"/>
          <w:szCs w:val="20"/>
          <w:color w:val="auto"/>
        </w:rPr>
      </w:pPr>
      <w:r>
        <w:rPr>
          <w:rFonts w:ascii="Arial" w:cs="Arial" w:eastAsia="Arial" w:hAnsi="Arial"/>
          <w:sz w:val="16"/>
          <w:szCs w:val="16"/>
          <w:color w:val="auto"/>
        </w:rPr>
        <w:t>Under normal market conditions, we generally expect that at least 80% of the value of our Managed Assets, which means our net assets plus any borrowings for investment purposes, will be invested in Floating Rate Loans and other instruments bearing a variable-rate of interest which may, from time to time, include variable rate derivative instruments. We generally expect that senior secured loans will represent at least 65% of our overall portfolio. We also generally expect to invest up to 35% of our overall portfolio opportunistically in other types of investments, including second-lien, high yield, mezzanine and distressed debt securities and to lesser extent equity investments. Our investment size may generally range between $1 million and $10 million, on average, although we expect that this investment size will vary proportionately with the size of our capital base.</w:t>
      </w:r>
    </w:p>
    <w:p>
      <w:pPr>
        <w:spacing w:after="0" w:line="120" w:lineRule="exact"/>
        <w:rPr>
          <w:sz w:val="20"/>
          <w:szCs w:val="20"/>
          <w:color w:val="auto"/>
        </w:rPr>
      </w:pPr>
    </w:p>
    <w:p>
      <w:pPr>
        <w:ind w:right="240" w:firstLine="456"/>
        <w:spacing w:after="0" w:line="256" w:lineRule="auto"/>
        <w:rPr>
          <w:sz w:val="20"/>
          <w:szCs w:val="20"/>
          <w:color w:val="auto"/>
        </w:rPr>
      </w:pPr>
      <w:r>
        <w:rPr>
          <w:rFonts w:ascii="Arial" w:cs="Arial" w:eastAsia="Arial" w:hAnsi="Arial"/>
          <w:sz w:val="18"/>
          <w:szCs w:val="18"/>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Credit Facility, proceeds from the rotation of our portfolio and proceeds from public and private offerings of securities to finance our investment objectives.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Organization and Structure of PennantPark Floating Rate Capital Ltd.</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PennantPark Floating Rate Capital Ltd., a Maryland corporation organized in October 2010, is a closed-end, externally managed, non-diversified investment company that has elected to be treated as a BDC under the 1940 Act. As such, we are required to comply with certain regulatory requirements. For instance, we generally have to hold at least 70% of our total assets in “qualifying assets,” including securities of U.S. private companies or thinly traded public companies (public companies with a market capitalization of less than $250 million), cash, cash equivalents, U.S. government securities and high quality debt investments that mature in one year or less. In addition, for federal income tax purposes we elected to be treated, and intend to qualify annually as a RIC under the Code.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Investment Adviser and Administrator</w:t>
      </w:r>
    </w:p>
    <w:p>
      <w:pPr>
        <w:spacing w:after="0" w:line="9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utilize the investing experience and contacts of PennantPark Investment Advisers in developing what we belive is an attractive and diversified portfolio. The senior investment professionals of the Investment Adviser have worked together for many years and average over 20 years of experience in the mezzanine lending,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Our Investment Adviser has a rigorous investment approach, which is based upon intensive financial analysis with a focus on capital preservation, diversification and active management. Since our Investment Adviser’s inception in 2007, it has raised approximately $1.7 billion in debt and equity capital and has invested approximately $2.5 billion in 244 companies with 110 different financial sponsors through its managed funds.</w:t>
      </w:r>
    </w:p>
    <w:p>
      <w:pPr>
        <w:spacing w:after="0" w:line="14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Administrator has experienced professionals with substantial backgrounds in finance and administration of registered investment companies. In addition to furnishing us with clerical, bookkeeping and record keeping services, the Administrator also oversees our financial records as well as the preparation of our reports to stockholders and reports filed with the SEC. The Administrator assists in the determination and publication of our net asset value, oversees the preparation and filing of our tax returns, monitors the payment of our expenses as well as the performance of administrative and professional services rendered to us by others. Furthermore, our Administrator provides, on our behalf, managerial assistance to those portfolio companies to which we are required to offer such assistance. See “Risk Factors—Risks Relating to our Business and Structure—There are significant potential conflicts of interest which could impact our investment returns” for more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Opportunity</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We believe that the limited amount of capital available to middle-market companies, coupled with the desire of these companies for flexible sources of capital, creates an attractive investment environment for us.</w:t>
      </w:r>
    </w:p>
    <w:p>
      <w:pPr>
        <w:spacing w:after="0" w:line="45" w:lineRule="exact"/>
        <w:rPr>
          <w:sz w:val="20"/>
          <w:szCs w:val="20"/>
          <w:color w:val="auto"/>
        </w:rPr>
      </w:pPr>
    </w:p>
    <w:p>
      <w:pPr>
        <w:ind w:left="900" w:hanging="446"/>
        <w:spacing w:after="0" w:line="258" w:lineRule="auto"/>
        <w:tabs>
          <w:tab w:leader="none" w:pos="900"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We believe middle-market companies have faced increasing difficulty in raising debt through the capital markets. </w:t>
      </w:r>
      <w:r>
        <w:rPr>
          <w:rFonts w:ascii="Arial" w:cs="Arial" w:eastAsia="Arial" w:hAnsi="Arial"/>
          <w:sz w:val="18"/>
          <w:szCs w:val="18"/>
          <w:color w:val="auto"/>
        </w:rPr>
        <w:t>While many middle-market</w:t>
      </w:r>
      <w:r>
        <w:rPr>
          <w:rFonts w:ascii="Arial" w:cs="Arial" w:eastAsia="Arial" w:hAnsi="Arial"/>
          <w:sz w:val="18"/>
          <w:szCs w:val="18"/>
          <w:b w:val="1"/>
          <w:bCs w:val="1"/>
          <w:color w:val="auto"/>
        </w:rPr>
        <w:t xml:space="preserve"> </w:t>
      </w:r>
      <w:r>
        <w:rPr>
          <w:rFonts w:ascii="Arial" w:cs="Arial" w:eastAsia="Arial" w:hAnsi="Arial"/>
          <w:sz w:val="18"/>
          <w:szCs w:val="18"/>
          <w:color w:val="auto"/>
        </w:rPr>
        <w:t>companies formerly were able to raise funds by issuing high-yield bonds, we believe this approach to financing has become more difficult as institutional investors have sought to invest in larger, more liquid offerings. We believe this has made it harder for middle-market companies to raise funds by issuing high-yield securities.</w:t>
      </w:r>
    </w:p>
    <w:p>
      <w:pPr>
        <w:spacing w:after="0" w:line="55" w:lineRule="exact"/>
        <w:rPr>
          <w:rFonts w:ascii="Arial" w:cs="Arial" w:eastAsia="Arial" w:hAnsi="Arial"/>
          <w:sz w:val="18"/>
          <w:szCs w:val="18"/>
          <w:color w:val="auto"/>
        </w:rPr>
      </w:pPr>
    </w:p>
    <w:p>
      <w:pPr>
        <w:ind w:left="900" w:right="160" w:hanging="446"/>
        <w:spacing w:after="0" w:line="334"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We believe middle-market companies have faced difficulty raising debt in private markets. </w:t>
      </w:r>
      <w:r>
        <w:rPr>
          <w:rFonts w:ascii="Arial" w:cs="Arial" w:eastAsia="Arial" w:hAnsi="Arial"/>
          <w:sz w:val="16"/>
          <w:szCs w:val="16"/>
          <w:color w:val="auto"/>
        </w:rPr>
        <w:t>Banks, finance companies, hedge funds and CLO</w:t>
      </w:r>
      <w:r>
        <w:rPr>
          <w:rFonts w:ascii="Arial" w:cs="Arial" w:eastAsia="Arial" w:hAnsi="Arial"/>
          <w:sz w:val="16"/>
          <w:szCs w:val="16"/>
          <w:b w:val="1"/>
          <w:bCs w:val="1"/>
          <w:color w:val="auto"/>
        </w:rPr>
        <w:t xml:space="preserve"> </w:t>
      </w:r>
      <w:r>
        <w:rPr>
          <w:rFonts w:ascii="Arial" w:cs="Arial" w:eastAsia="Arial" w:hAnsi="Arial"/>
          <w:sz w:val="16"/>
          <w:szCs w:val="16"/>
          <w:color w:val="auto"/>
        </w:rPr>
        <w:t>funds have withdrawn capital from the middle-market resulting in opportunities for alternative funding sources.</w:t>
      </w:r>
    </w:p>
    <w:p>
      <w:pPr>
        <w:spacing w:after="0" w:line="1" w:lineRule="exact"/>
        <w:rPr>
          <w:rFonts w:ascii="Arial" w:cs="Arial" w:eastAsia="Arial" w:hAnsi="Arial"/>
          <w:sz w:val="16"/>
          <w:szCs w:val="16"/>
          <w:color w:val="auto"/>
        </w:rPr>
      </w:pPr>
    </w:p>
    <w:p>
      <w:pPr>
        <w:ind w:left="900" w:hanging="446"/>
        <w:spacing w:after="0" w:line="310"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that the current credit market dislocation for middle-market companies improves the risk-adjusted returns of our investments. </w:t>
      </w:r>
      <w:r>
        <w:rPr>
          <w:rFonts w:ascii="Arial" w:cs="Arial" w:eastAsia="Arial" w:hAnsi="Arial"/>
          <w:sz w:val="16"/>
          <w:szCs w:val="16"/>
          <w:color w:val="auto"/>
        </w:rPr>
        <w:t>In the current credit environment, market participants have reduced lending to middle-market and non-investment grade borrowers. As a result, there is less competition in our market, more conservative capital structures, higher yields and stronger covenants.</w:t>
      </w:r>
    </w:p>
    <w:p>
      <w:pPr>
        <w:spacing w:after="0" w:line="16" w:lineRule="exact"/>
        <w:rPr>
          <w:rFonts w:ascii="Arial" w:cs="Arial" w:eastAsia="Arial" w:hAnsi="Arial"/>
          <w:sz w:val="16"/>
          <w:szCs w:val="16"/>
          <w:color w:val="auto"/>
        </w:rPr>
      </w:pPr>
    </w:p>
    <w:p>
      <w:pPr>
        <w:ind w:left="900" w:right="140" w:hanging="446"/>
        <w:spacing w:after="0" w:line="29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large pool of uninvested private equity capital likely to seek to combine their capital with sources of debt capital to complete private investments. </w:t>
      </w:r>
      <w:r>
        <w:rPr>
          <w:rFonts w:ascii="Arial" w:cs="Arial" w:eastAsia="Arial" w:hAnsi="Arial"/>
          <w:sz w:val="16"/>
          <w:szCs w:val="16"/>
          <w:color w:val="auto"/>
        </w:rPr>
        <w:t>We expect that private equity firms will continue to be active investors in middle-market companies. These private</w:t>
      </w:r>
      <w:r>
        <w:rPr>
          <w:rFonts w:ascii="Arial" w:cs="Arial" w:eastAsia="Arial" w:hAnsi="Arial"/>
          <w:sz w:val="16"/>
          <w:szCs w:val="16"/>
          <w:b w:val="1"/>
          <w:bCs w:val="1"/>
          <w:color w:val="auto"/>
        </w:rPr>
        <w:t xml:space="preserve"> </w:t>
      </w:r>
      <w:r>
        <w:rPr>
          <w:rFonts w:ascii="Arial" w:cs="Arial" w:eastAsia="Arial" w:hAnsi="Arial"/>
          <w:sz w:val="16"/>
          <w:szCs w:val="16"/>
          <w:color w:val="auto"/>
        </w:rPr>
        <w:t>equity funds generally seek to leverage their investments by combining their capital with senior secured loans and/or mezzanine debt provided by other sources, and we believe that our capital is well-positioned to partner with such equity investors. We expect such activity to be funded by the substantial amounts of private equity capital that have been raised in recent years.</w:t>
      </w:r>
    </w:p>
    <w:p>
      <w:pPr>
        <w:spacing w:after="0" w:line="26" w:lineRule="exact"/>
        <w:rPr>
          <w:rFonts w:ascii="Arial" w:cs="Arial" w:eastAsia="Arial" w:hAnsi="Arial"/>
          <w:sz w:val="16"/>
          <w:szCs w:val="16"/>
          <w:color w:val="auto"/>
        </w:rPr>
      </w:pPr>
    </w:p>
    <w:p>
      <w:pPr>
        <w:ind w:left="900" w:right="40" w:hanging="446"/>
        <w:spacing w:after="0" w:line="296" w:lineRule="auto"/>
        <w:tabs>
          <w:tab w:leader="none" w:pos="900" w:val="left"/>
        </w:tabs>
        <w:numPr>
          <w:ilvl w:val="0"/>
          <w:numId w:val="47"/>
        </w:numPr>
        <w:rPr>
          <w:rFonts w:ascii="Arial" w:cs="Arial" w:eastAsia="Arial" w:hAnsi="Arial"/>
          <w:sz w:val="16"/>
          <w:szCs w:val="16"/>
          <w:color w:val="auto"/>
        </w:rPr>
      </w:pPr>
      <w:r>
        <w:rPr>
          <w:rFonts w:ascii="Arial" w:cs="Arial" w:eastAsia="Arial" w:hAnsi="Arial"/>
          <w:sz w:val="16"/>
          <w:szCs w:val="16"/>
          <w:b w:val="1"/>
          <w:bCs w:val="1"/>
          <w:color w:val="auto"/>
        </w:rPr>
        <w:t xml:space="preserve">We believe there is a substantial supply of opportunities. </w:t>
      </w:r>
      <w:r>
        <w:rPr>
          <w:rFonts w:ascii="Arial" w:cs="Arial" w:eastAsia="Arial" w:hAnsi="Arial"/>
          <w:sz w:val="16"/>
          <w:szCs w:val="16"/>
          <w:color w:val="auto"/>
        </w:rPr>
        <w:t>A high volume of financings will come due in the next few years. Additionally, we</w:t>
      </w:r>
      <w:r>
        <w:rPr>
          <w:rFonts w:ascii="Arial" w:cs="Arial" w:eastAsia="Arial" w:hAnsi="Arial"/>
          <w:sz w:val="16"/>
          <w:szCs w:val="16"/>
          <w:b w:val="1"/>
          <w:bCs w:val="1"/>
          <w:color w:val="auto"/>
        </w:rPr>
        <w:t xml:space="preserve"> </w:t>
      </w:r>
      <w:r>
        <w:rPr>
          <w:rFonts w:ascii="Arial" w:cs="Arial" w:eastAsia="Arial" w:hAnsi="Arial"/>
          <w:sz w:val="16"/>
          <w:szCs w:val="16"/>
          <w:color w:val="auto"/>
        </w:rPr>
        <w:t>believe that demand for debt financing from middle-market companies will remain strong because these companies will continue to require credit to refinance existing debt, to support growth initiatives and to finance acquisitions. We believe the combination of strong demand by middle-market companies and the reduced supply of credit described above should increase lending opportunities for us. We believe this supply of opportunities coupled with lack of demand offers attractive risk-adjusted returns to investors.</w:t>
      </w:r>
    </w:p>
    <w:p>
      <w:pPr>
        <w:spacing w:after="0" w:line="1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360"/>
          </w:cols>
          <w:pgMar w:left="240" w:top="459" w:right="29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Advantages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we have the following competitive advantages over other capital providers in middle-market companies:</w:t>
      </w:r>
    </w:p>
    <w:p>
      <w:pPr>
        <w:spacing w:after="0" w:line="252"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a) Experienced Management Team</w:t>
      </w:r>
    </w:p>
    <w:p>
      <w:pPr>
        <w:spacing w:after="0" w:line="9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senior investment professionals of our Investment Adviser have worked together for many years and average over 20 years of experience in mezzanine lending, leveraged finance, distressed debt and private equity businesses. These senior investment in each of these business across economic and market cycles. We believe this extensive experience and history has resulted in a strong reputation across the capital markets.</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Lending to middle-market companies requires in deep diligence, credit expertise, restructuring experience and active portfolio management. For example, lending to middle-market companies in the United States is generally more labor intensive than lending to larger companies due to the smaller size of each investment and the fragmented nature of the information available with respect to such companies. Specialized due diligence and underwriting capabilities, and more extensive ongoing monitoring are required by the lender.</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b) Disciplined Investment Approach with Strong Value Orientation</w:t>
      </w:r>
    </w:p>
    <w:p>
      <w:pPr>
        <w:spacing w:after="0" w:line="9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employ a disciplined approach in selecting investments that meet the long-standing, consistent value-oriented investment criteria employed by the Investment Adviser. Our value-oriented investment philosophy focuses on preserving capital and ensuring that our investments have an appropriate return profile in relation to risk. When market conditions make it difficult for us to invest according to our criteria, we are highly selective in deploying our capital. We believe our approach has and will continue to enable us to build an attractive investment portfolio that meets our return and value criteria over the long-term.</w:t>
      </w:r>
    </w:p>
    <w:p>
      <w:pPr>
        <w:spacing w:after="0" w:line="113"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believe it is critical to conduct extensive due diligence on investment targets. In evaluating new investments we, through our Investment Adviser, conduct a rigorous due diligence process that draws from our Investment Adviser’s experience, industry expertise and network of contacts. Among other things, our due diligence is designed to ensure that each prospective portfolio company will be able to meet its debt service obligations. See “Investment Objectives and Policies – Investment Selection Criteria” for more information.</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to engaging in extensive due diligence, our Investment Adviser seeks to reduce risk by focusing on businesses with:</w:t>
      </w:r>
    </w:p>
    <w:p>
      <w:pPr>
        <w:spacing w:after="0" w:line="90" w:lineRule="exact"/>
        <w:rPr>
          <w:sz w:val="20"/>
          <w:szCs w:val="20"/>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strong competitive positions;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positive cash flow that is steady and stable;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experienced management teams with strong track records;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potential for growth and viable exit strategies;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capital structures offering appropriate risk-adjusted terms and covenants.</w:t>
      </w:r>
    </w:p>
    <w:p>
      <w:pPr>
        <w:spacing w:after="0" w:line="252" w:lineRule="exact"/>
        <w:rPr>
          <w:rFonts w:ascii="Arial" w:cs="Arial" w:eastAsia="Arial" w:hAnsi="Arial"/>
          <w:sz w:val="18"/>
          <w:szCs w:val="18"/>
          <w:color w:val="auto"/>
        </w:rPr>
      </w:pPr>
    </w:p>
    <w:p>
      <w:pPr>
        <w:ind w:left="420" w:hanging="184"/>
        <w:spacing w:after="0"/>
        <w:tabs>
          <w:tab w:leader="none" w:pos="420" w:val="left"/>
        </w:tabs>
        <w:numPr>
          <w:ilvl w:val="0"/>
          <w:numId w:val="4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Ability to Source and Evaluate Transactions through our Investment Adviser’s Research Capability and Established Network</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management team of the Investment Adviser has long-term relationships with financial sponsors, management consultants and management teams that we believe enable us to evaluate investment opportunities effectively in numerous industries, as well as provide us access to substantial information concerning those industries. We identify potential investments both through active origination and through dialogue with numerous financial sponsors, management teams, members of the financial community and corporate partners with whom the senior investment professionals of our Investment Adviser have long-term relationships.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 Flexible Transaction Structuring</w:t>
      </w:r>
    </w:p>
    <w:p>
      <w:pPr>
        <w:spacing w:after="0" w:line="90"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are flexible in structuring investments and tailor investments to meet the needs of a portfolio company while also generating attractive risk-adjusted returns. We can invest in any part of a capital structure and our Investment Adviser has extensive experience in a wide variety of securities for leveraged companies throughout economic and market cycles.</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Investment Adviser seeks to minimize the risk of capital loss without foregoing potential for capital appreciation. In making investment decisions, we seek to invest in companies that we believe can generate positive risk-adjusted returns.</w:t>
      </w:r>
    </w:p>
    <w:p>
      <w:pPr>
        <w:spacing w:after="0" w:line="132"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We believe that the in-depth coverage and experience of our Investment Adviser will enable us to invest throughout various stages of the economic and market cycles and to provide us with ongoing market insights in addition to a significant investment sourcing engine.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96"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Our primary competitors provide financing to middle-market companies and include other BDCs, commercial and investment banks, commercial finance companies, CLOs and, to the extent they provide an alternative form of financing, private equity funds. Additionally, alternative investment vehicles, such as hedge funds, frequently invest in middle-market companies. As a result, competition for investment opportunities at middle-market companies can be intense. However, we believe that there has been a reduction in the amount of debt capital available to middle-market companies since the downturn in the credit markets, which began in mid-2007. We believe this has resulted in a less competitive environment for making new investments.</w:t>
      </w:r>
    </w:p>
    <w:p>
      <w:pPr>
        <w:spacing w:after="0" w:line="116" w:lineRule="exact"/>
        <w:rPr>
          <w:sz w:val="20"/>
          <w:szCs w:val="20"/>
          <w:color w:val="auto"/>
        </w:rPr>
      </w:pPr>
    </w:p>
    <w:p>
      <w:pPr>
        <w:jc w:val="both"/>
        <w:ind w:right="180" w:firstLine="456"/>
        <w:spacing w:after="0" w:line="303" w:lineRule="auto"/>
        <w:rPr>
          <w:sz w:val="20"/>
          <w:szCs w:val="20"/>
          <w:color w:val="auto"/>
        </w:rPr>
      </w:pPr>
      <w:r>
        <w:rPr>
          <w:rFonts w:ascii="Arial" w:cs="Arial" w:eastAsia="Arial" w:hAnsi="Arial"/>
          <w:sz w:val="15"/>
          <w:szCs w:val="15"/>
          <w:color w:val="auto"/>
        </w:rPr>
        <w:t>Many of our competitors are substantially larger and have considerably greater financial, technical and marketing resources than we do. For example, we believe some competitors have a lower cost of funds and access to funding sources that are not available to us. In addition, some of our competitors have higher risk tolerances or different risk assessments, which could allow them to consider a wider variety of investments and establish more relationships than us.</w:t>
      </w:r>
    </w:p>
    <w:p>
      <w:pPr>
        <w:spacing w:after="0" w:line="1" w:lineRule="exact"/>
        <w:rPr>
          <w:sz w:val="20"/>
          <w:szCs w:val="20"/>
          <w:color w:val="auto"/>
        </w:rPr>
      </w:pPr>
    </w:p>
    <w:p>
      <w:pPr>
        <w:ind w:right="60"/>
        <w:spacing w:after="0" w:line="323" w:lineRule="auto"/>
        <w:rPr>
          <w:sz w:val="20"/>
          <w:szCs w:val="20"/>
          <w:color w:val="auto"/>
        </w:rPr>
      </w:pPr>
      <w:r>
        <w:rPr>
          <w:rFonts w:ascii="Arial" w:cs="Arial" w:eastAsia="Arial" w:hAnsi="Arial"/>
          <w:sz w:val="16"/>
          <w:szCs w:val="16"/>
          <w:color w:val="auto"/>
        </w:rPr>
        <w:t>Furthermore, many of our competitors are not subject to the regulatory restrictions that the 1940 Act imposes on us as a BDC. See “Risk Factors—Risks Relating to our Business and Structure—We operate in a highly competitive market for investment opportunities” for more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Leverage</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maintain a $125.0 million Credit Facility, which matures in May 2018, with the Lender. During the Credit Facility’s revolving period, it bears interest at LIBOR plus 200 basis points, and after the revolving period, the rate sets to LIBOR plus 425 basis points for the remaining two years. The Credit Facility is secured by all of the assets held by Funding I, under which we had drawn $34.2 million outstanding with a weighted average interest rate of 2.21%, excluding the undrawn commitment fee of 0.375%, as of March 31, 2013. The Credit Facility permits, subject to satisfaction of certain conditions, an accordion feature whereby the Credit Facility can be expanded to $600.0 million. We believe that our capital resources provide us with the flexibility to take advantage of market opportunities when they arise.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INVESTMENT OBJECTIVES AND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Policy Overview</w:t>
      </w:r>
    </w:p>
    <w:p>
      <w:pPr>
        <w:spacing w:after="0" w:line="96" w:lineRule="exact"/>
        <w:rPr>
          <w:sz w:val="20"/>
          <w:szCs w:val="20"/>
          <w:color w:val="auto"/>
        </w:rPr>
      </w:pPr>
    </w:p>
    <w:p>
      <w:pPr>
        <w:ind w:right="240" w:firstLine="456"/>
        <w:spacing w:after="0" w:line="294" w:lineRule="auto"/>
        <w:rPr>
          <w:sz w:val="20"/>
          <w:szCs w:val="20"/>
          <w:color w:val="auto"/>
        </w:rPr>
      </w:pPr>
      <w:r>
        <w:rPr>
          <w:rFonts w:ascii="Arial" w:cs="Arial" w:eastAsia="Arial" w:hAnsi="Arial"/>
          <w:sz w:val="16"/>
          <w:szCs w:val="16"/>
          <w:color w:val="auto"/>
        </w:rPr>
        <w:t>We seek to create a diversified portfolio primarily of Floating Rate Loans by generally targeting an investment size of $1 million to $10 million in securities, on average, of U.S. middle-market private companies. We expect this investment size to vary proportionately with the size of our capital base.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In addition, we expect our debt investments to range in maturity from three to ten years.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Over time, we expect that our portfolio will continue to consist primarily of Floating Rate Loans in qualifying assets such as private or thinly traded or small market-capitalization, U.S. middle-market public companies. In addition, we may invest up to 30% of our portfolio in non-qualifying assets. See “Regulation—Qualifying Assets” for more information. These non-qualifying assets may include investments in public companies whose securities are not thinly traded or do not have a market capitalization of less than $250 million, securities of middle-market companies located outside of the United States and investment companies as defined in the 1940 Act. Moreover, we may acquire investments in the secondary market. See “Investment Objectives and Policies—Investment Selection Criteria” for more information.</w:t>
      </w:r>
    </w:p>
    <w:p>
      <w:pPr>
        <w:spacing w:after="0" w:line="144"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Our board of directors has the authority to modify or waive certain of our operating policies and strategies without prior notice and without stockholder approval (except as required by the 1940 Act). However, absent stockholder approval, under the 1940 Act we may not change the nature of our business so as to cease to be, or withdraw our election as, a BDC. We cannot predict the effect any changes to our current operating policies and strategies would have on our business, operating results and value of our stock. Nevertheless, the effects may adversely affect our business and impact our ability to make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Selection Criteria</w:t>
      </w:r>
    </w:p>
    <w:p>
      <w:pPr>
        <w:spacing w:after="0" w:line="9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are committed to a value oriented philosophy used by the senior investment professionals who manage our portfolio and seek to minimize the risk of capital loss without foregoing potential for capital appreciation.</w:t>
      </w:r>
    </w:p>
    <w:p>
      <w:pPr>
        <w:spacing w:after="0" w:line="132"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We have identified several criteria, discussed below, that we believe are important in identifying and investing in prospective portfolio companies. These criteria provide general guidelines for our investment decisions. However, we caution that not all of these criteria will be met by each prospective portfolio company in which we choose to invest. Generally, we seek to use our experience and access to market information to identify investment candidates and to structure investments quickly and effectively.</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Leading and defensible competitive market positions</w:t>
      </w:r>
    </w:p>
    <w:p>
      <w:pPr>
        <w:spacing w:after="0" w:line="90" w:lineRule="exact"/>
        <w:rPr>
          <w:sz w:val="20"/>
          <w:szCs w:val="20"/>
          <w:color w:val="auto"/>
        </w:rPr>
      </w:pPr>
    </w:p>
    <w:p>
      <w:pPr>
        <w:ind w:right="320" w:firstLine="456"/>
        <w:spacing w:after="0" w:line="306" w:lineRule="auto"/>
        <w:rPr>
          <w:sz w:val="20"/>
          <w:szCs w:val="20"/>
          <w:color w:val="auto"/>
        </w:rPr>
      </w:pPr>
      <w:r>
        <w:rPr>
          <w:rFonts w:ascii="Arial" w:cs="Arial" w:eastAsia="Arial" w:hAnsi="Arial"/>
          <w:sz w:val="16"/>
          <w:szCs w:val="16"/>
          <w:color w:val="auto"/>
        </w:rPr>
        <w:t>The Investment Adviser invests in portfolio companies that it believes have developed strong positions within their markets and exhibit the potential to maintain sufficient cash flows and profitability to service their obligations in a range of economic environments. The Investment Adviser will seek portfolio companies that it believes possess advantages in scale, scope, customer loyalty, product pricing or product quality as compared to their competitors.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in stable borrowers with positive cash flow</w:t>
      </w:r>
    </w:p>
    <w:p>
      <w:pPr>
        <w:spacing w:after="0" w:line="9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The Investment Adviser invests in portfolio companies it believes to be stable and well established, with strong cash flows and profitability. The Investment Adviser believes these attributes indicate portfolio companies that may be well-positioned to maintain consistent cash flow to service and repay their liabilities and maintain</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20"/>
        <w:spacing w:after="0" w:line="332" w:lineRule="auto"/>
        <w:rPr>
          <w:sz w:val="20"/>
          <w:szCs w:val="20"/>
          <w:color w:val="auto"/>
        </w:rPr>
      </w:pPr>
      <w:r>
        <w:rPr>
          <w:rFonts w:ascii="Arial" w:cs="Arial" w:eastAsia="Arial" w:hAnsi="Arial"/>
          <w:sz w:val="16"/>
          <w:szCs w:val="16"/>
          <w:color w:val="auto"/>
        </w:rPr>
        <w:t>growth in their businesses or their relative market share. The Investment Adviser currently does not expect to invest significantly in start-up companies, companies in turnaround situations or companies with speculative business plans, although we are permitted to do so.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Proven management teams</w:t>
      </w:r>
    </w:p>
    <w:p>
      <w:pPr>
        <w:spacing w:after="0" w:line="9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The Investment Adviser focuses on investments in which the portfolio company has an experienced management team with an established track record of success. The Investment Adviser typically requires that portfolio companies have in place proper incentives to align management’s goals with our goals.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Private equity sponsorship</w:t>
      </w:r>
    </w:p>
    <w:p>
      <w:pPr>
        <w:spacing w:after="0" w:line="9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Investment Adviser may seek to cause us to participate in transactions sponsored by what it believes to be high-quality private equity firms. The Investment Adviser believes that a private equity sponsor’s willingness to invest significant equity capital in a company is an implicit endorsement of the quality of that company. Further, private equity sponsors of portfolio companies with significant investments at risk may have an ability, and a strong incentive, to contribute additional capital in difficult economic times should financial or operational issues arise so as to maintain their ownership position.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different borrowers and industries</w:t>
      </w:r>
    </w:p>
    <w:p>
      <w:pPr>
        <w:spacing w:after="0" w:line="90" w:lineRule="exact"/>
        <w:rPr>
          <w:sz w:val="20"/>
          <w:szCs w:val="20"/>
          <w:color w:val="auto"/>
        </w:rPr>
      </w:pPr>
    </w:p>
    <w:p>
      <w:pPr>
        <w:ind w:right="280" w:firstLine="456"/>
        <w:spacing w:after="0" w:line="370" w:lineRule="auto"/>
        <w:rPr>
          <w:sz w:val="20"/>
          <w:szCs w:val="20"/>
          <w:color w:val="auto"/>
        </w:rPr>
      </w:pPr>
      <w:r>
        <w:rPr>
          <w:rFonts w:ascii="Arial" w:cs="Arial" w:eastAsia="Arial" w:hAnsi="Arial"/>
          <w:sz w:val="15"/>
          <w:szCs w:val="15"/>
          <w:color w:val="auto"/>
        </w:rPr>
        <w:t>The Investment Adviser seeks to invest our assets broadly among portfolio companies and across industries. The Investment Adviser believes that this diversified approach may reduce the risk that a downturn in any one company or industry will have a disproportionate impact on the value of our portfolio.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Viable exit strategy</w:t>
      </w:r>
    </w:p>
    <w:p>
      <w:pPr>
        <w:spacing w:after="0" w:line="9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seek to invest in portfolio companies that we believe will provide a steady stream of cash flow to repay our loans and reinvest in their respective businesses. We expect that such internally generated cash flow, leading to the payment of interest on, and the repayment of the principal of, our investments in portfolio companies to be a key means by which we will exit from our investments over time. In addition, we seek to invest in portfolio companies whose business models and expected future cash flows offer attractive exit possibilities. These companies include candidates for strategic acquisition by other industry participants and companies that may repay our investments through an initial public offering of common stock or other capital markets transaction.</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We believe it is critical to conduct extensive due diligence on investment targets and in evaluating new investments. Our Investment Adviser conducts a rigorous due diligence process that is applied to prospective portfolio companies and draws from our Investment Adviser’s experience, industry expertise and network of contacts. In conducting due diligence, our Investment Adviser uses information provided by companies, financial sponsors and publicly available information as well as information from relationships with former and current management teams, consultants, competitors and investment bankers.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due diligence typically includes:</w:t>
      </w:r>
    </w:p>
    <w:p>
      <w:pPr>
        <w:spacing w:after="0" w:line="90" w:lineRule="exact"/>
        <w:rPr>
          <w:sz w:val="20"/>
          <w:szCs w:val="20"/>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of historical and prospective financial information;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on-site visits;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interviews with management, employees, customers and vendors of the potential portfolio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review of loan documents;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background checks;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research relating to the company’s management, industry, markets, products and services and competitors.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00"/>
          </w:cols>
          <w:pgMar w:left="240" w:top="459"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Upon the completion of due diligence and a decision to proceed with an investment in a company, the team leading the investment presents the investment opportunity to our Investment Adviser’s investment committee. This committee determines whether to pursue the potential investment. All new investments are required to be reviewed by the investment committee of our Investment Adviser. The members of the investment committee receive no compensation from us. These members are employees of our Investment Adviser and receive compensation from our Investment Adviser.</w:t>
      </w:r>
    </w:p>
    <w:p>
      <w:pPr>
        <w:spacing w:after="0" w:line="11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Additional due diligence with respect to any investment may be conducted on our behalf by attorneys and independent auditors prior to the closing of the investment, as well as other outside advisers, as appropriate.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Investment Adviser monitors credit risk of each portfolio company regularly and periodically with a goal toward identifying early, and when able and appropriate selling, Floating Rate Loans and other investments with potential credit problems. This monitoring process may include reviewing: (1) a portfolio company’s financial resources and operating history; (2) comparing a portfolio company’s current operating results with the Investment Adviser’s initial thesis for the investment and its expectations for the performance of the investment; (3) a portfolio company’s sensitivity to economic conditions; (4) the performance of a portfolio company’s management; (5) a portfolio company’s debt maturities and borrowing requirements; (6) a portfolio company’s interest and asset coverage; and (7) the relative value of an investment based on a portfolio company’s anticipated cash flow.</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Under normal market conditions, we expect that at least 80% of our Managed Assets will be invested in Floating Rate Loans and other instruments bearing a variable rate of interest which may, from time to time, include variable rate derivative instruments. This policy is not fundamental and may be changed by our board of directors with at least 60 days prior written notice provided to stockholders.</w:t>
      </w:r>
    </w:p>
    <w:p>
      <w:pPr>
        <w:spacing w:after="0" w:line="140"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The Investment Adviser seeks to achieve our investment objectives through a disciplined approach to the selection of credit investments and its evaluation of portfolio companies. The Investment Adviser also gains exposure to portfolio companies across a broad range of industries and of varying operating and financial characteristics and return profiles, as well as active management of such investments in light of economic developments and trends. However, we are classified as “non-diversified” under the 1940 Act, and our investment portfolio may be more concentrated than the portfolios of other issuers. We may take certain actions if short-term interest rates increase or market conditions otherwise change (or if we anticipate such an increase or change) and our use of leverage, if any, begins (or is expected) to adversely affect our common stockholders. To offset any potentially negative impact of leverage on common stockholders, we may shorten the average maturity of our investment portfolio (by investing in short-term securities) or may reduce our indebtedness or unwind other leveraged transactions. We may also attempt to reduce our use of leverage by redeeming or otherwise purchasing outstanding preferred stock or debt securities, if any.</w:t>
      </w:r>
    </w:p>
    <w:p>
      <w:pPr>
        <w:spacing w:after="0" w:line="108"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While our investment objectives are to seek high current income and capital appreciation through investments in Floating Rate Loans, we may invest up to 35% of the portfolio in opportunistic investments. These investments may include investments in high-yield bonds, distressed debt, private equity or securities of public companies and securities of companies located outside of the United States. We expect that these public foreign companies generally will have debt securities that are non-investment grade.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Structure</w:t>
      </w:r>
    </w:p>
    <w:p>
      <w:pPr>
        <w:spacing w:after="0" w:line="96"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Once we determine that a prospective portfolio company is suitable for investment, we work with the management of that company and its other capital providers, including senior, junior and equity capital providers, to structure an investment. We negotiate among these parties to agree on how our investment is structured relative to the other capital in the portfolio company’s capital structure.</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expect our Floating Rate Loans to have terms of three to ten years. We may obtain security interests in the assets of our portfolio companies that will serve as collateral in support of the repayment of these loans. This collateral may take the form of first or second priority liens on the assets of a portfolio company.</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Certain Floating Rate Loans may have interest-only payments in the early years, cash or PIK payments with amortization of principal deferred to the later years. In some cases, we may enter into mezzanine debt that, by its terms, converts into equity or additional debt securities or defers payments of interest for the first few years after our investment. Also, in some cases our mezzanine debt may be collateralized by a subordinated lien on some or all of the assets of the borrower. Typically, our mezzanine debt has maturities of three to ten years.</w:t>
      </w:r>
    </w:p>
    <w:p>
      <w:pPr>
        <w:spacing w:after="0" w:line="11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In the case of our Floating Rate Loans, we seek to tailor the terms of the investment to the facts and circumstances of the transaction and the prospective portfolio company, negotiating a structure that protects our rights and manages our risk while creating incentives for the portfolio company to achieve its business plan and improve its profitability. For example, in addition to seeking a senior position in the capital structure of our portfolio companies, we seek to limit the downside potential of our investments by:</w:t>
      </w:r>
    </w:p>
    <w:p>
      <w:pPr>
        <w:spacing w:after="0" w:line="62" w:lineRule="exact"/>
        <w:rPr>
          <w:sz w:val="20"/>
          <w:szCs w:val="20"/>
          <w:color w:val="auto"/>
        </w:rPr>
      </w:pPr>
    </w:p>
    <w:p>
      <w:pPr>
        <w:ind w:left="900" w:hanging="446"/>
        <w:spacing w:after="0"/>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requiring a total return on our investments (including both interest and potential equity appreciation) that compensates us for credit risk;</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incorporating “put” rights and call protection into the investment structure; and</w:t>
      </w:r>
    </w:p>
    <w:p>
      <w:pPr>
        <w:spacing w:after="0" w:line="90" w:lineRule="exact"/>
        <w:rPr>
          <w:rFonts w:ascii="Arial" w:cs="Arial" w:eastAsia="Arial" w:hAnsi="Arial"/>
          <w:sz w:val="18"/>
          <w:szCs w:val="18"/>
          <w:color w:val="auto"/>
        </w:rPr>
      </w:pPr>
    </w:p>
    <w:p>
      <w:pPr>
        <w:ind w:left="900" w:right="320" w:hanging="446"/>
        <w:spacing w:after="0" w:line="306" w:lineRule="auto"/>
        <w:tabs>
          <w:tab w:leader="none" w:pos="9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negotiating covenants in connection with our investments that afford our portfolio companies as much flexibility in managing their businesses as possible, consistent with preservation of our capital. Such restrictions may include affirmative and negative covenants, default penalties, lien protection, change of control provisions and board rights, including either observation or participation rights.</w:t>
      </w:r>
    </w:p>
    <w:p>
      <w:pPr>
        <w:spacing w:after="0" w:line="10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investments may include equity features, such as direct investments in the equity securities of borrowers or warrants or options to buy a minority interest in a portfolio company. Any warrants we may receive with our debt securities generally require only a nominal cost to exercise, so as a portfolio company appreciates in value, we may achieve additional investment return from these equity investments. We may structure the warrants to provide provisions protecting our rights as a minority-interest holder, as well as puts, or rights to sell such securities back to the company, upon the occurrence of specified events. In many cases, we may also obtain registration rights in connection with these equity investments, which may include demand and “piggyback” registration rights.</w:t>
      </w:r>
    </w:p>
    <w:p>
      <w:pPr>
        <w:spacing w:after="0" w:line="11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expect to hold most of our investments to maturity or repayment, but may sell certain investments earlier if a liquidity event takes place, such as the sale or refinancing of a portfolio company. We also may turn over investments to better position the portfolio in light of market conditions.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Ongoing Relationships with Portfolio Companies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Monitoring</w:t>
      </w:r>
    </w:p>
    <w:p>
      <w:pPr>
        <w:spacing w:after="0" w:line="90"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The Investment Adviser monitors our portfolio companies on an ongoing basis. The Investment Adviser monitors the financial trends of each portfolio company to determine if they are meeting their respective business plans and to assess the appropriate course of action for each company.</w:t>
      </w:r>
    </w:p>
    <w:p>
      <w:pPr>
        <w:spacing w:after="0" w:line="85"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Investment Adviser has several methods of evaluating and monitoring the performance and fair value of our investments, which may include the following:</w:t>
      </w:r>
    </w:p>
    <w:p>
      <w:pPr>
        <w:spacing w:after="0" w:line="51" w:lineRule="exact"/>
        <w:rPr>
          <w:sz w:val="20"/>
          <w:szCs w:val="20"/>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Assessment of success in adhering to portfolio company’s business plan and compliance with covenants;</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Periodic or regular contact with portfolio company management and, if appropriate, the financial or strategic sponsor, to discuss financial position, requirement and accomplishments;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Comparisons to other portfolio companies in the industry,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Attendance at and participation in board meetings or presentations by portfolio companies;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 of monthly and quarterly financial statements and financial projections of portfolio companies.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459" w:right="2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Managerial assistance</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offer managerial assistance to our portfolio companies. As a BDC, we are required to make available such managerial assistance within the meaning of section 55 of the 1940 Act. See “Regulation” for more information.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Staffing</w:t>
      </w:r>
    </w:p>
    <w:p>
      <w:pPr>
        <w:spacing w:after="0" w:line="90"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do not currently have any employees. Our Investment Adviser and Administrator have hired and expect to continue to hire professionals with skills applicable to our business plan, including experience in middle-market investing, leveraged finance and capital markets.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Consolidated Portfolio</w:t>
      </w:r>
    </w:p>
    <w:p>
      <w:pPr>
        <w:spacing w:after="0" w:line="96"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Our principal investment focus is to invest in Floating Rate Loans to U.S. middle-market companies in a variety of industries. We generally seek to target companies that generate positive cash flows from the broad variety of industries in which our Investment Adviser has direct expertise. The following is an illustrative list of the industries in which the Investment Adviser has invested:</w:t>
      </w:r>
    </w:p>
    <w:p>
      <w:pPr>
        <w:sectPr>
          <w:pgSz w:w="11900" w:h="16838" w:orient="portrait"/>
          <w:cols w:equalWidth="0" w:num="1">
            <w:col w:w="11360"/>
          </w:cols>
          <w:pgMar w:left="240" w:top="459" w:right="299" w:bottom="1440" w:gutter="0" w:footer="0" w:header="0"/>
        </w:sectPr>
      </w:pPr>
    </w:p>
    <w:p>
      <w:pPr>
        <w:spacing w:after="0" w:line="181" w:lineRule="exact"/>
        <w:rPr>
          <w:sz w:val="20"/>
          <w:szCs w:val="20"/>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Aerospace and Defense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Auto Sector</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Beverage, Food and Tobacco</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Broadcasting and Entertainment</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Buildings and Real Estate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Business Services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Cable Television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Cargo Transportation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Chemicals, Plastics and Rubber</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Communications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Consumer Goods: Durable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Consumer Goods: Non-Durable</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Containers Packaging &amp; Glass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Distribution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Diversified/Conglomerate Manufacturing</w:t>
      </w:r>
    </w:p>
    <w:p>
      <w:pPr>
        <w:spacing w:after="0" w:line="113" w:lineRule="exact"/>
        <w:rPr>
          <w:rFonts w:ascii="Arial" w:cs="Arial" w:eastAsia="Arial" w:hAnsi="Arial"/>
          <w:sz w:val="16"/>
          <w:szCs w:val="16"/>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Diversified/Conglomerate Services</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Education</w:t>
      </w:r>
    </w:p>
    <w:p>
      <w:pPr>
        <w:spacing w:after="0" w:line="90" w:lineRule="exact"/>
        <w:rPr>
          <w:rFonts w:ascii="Arial" w:cs="Arial" w:eastAsia="Arial" w:hAnsi="Arial"/>
          <w:sz w:val="18"/>
          <w:szCs w:val="18"/>
          <w:color w:val="auto"/>
        </w:rPr>
      </w:pPr>
    </w:p>
    <w:p>
      <w:pPr>
        <w:ind w:left="720" w:hanging="280"/>
        <w:spacing w:after="0"/>
        <w:tabs>
          <w:tab w:leader="none" w:pos="72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Energy / Utilities</w:t>
      </w:r>
    </w:p>
    <w:p>
      <w:pPr>
        <w:spacing w:after="0" w:line="20" w:lineRule="exact"/>
        <w:rPr>
          <w:sz w:val="20"/>
          <w:szCs w:val="20"/>
          <w:color w:val="auto"/>
        </w:rPr>
      </w:pPr>
      <w:r>
        <w:rPr>
          <w:sz w:val="20"/>
          <w:szCs w:val="20"/>
          <w:color w:val="auto"/>
        </w:rPr>
        <w:br w:type="column"/>
      </w:r>
    </w:p>
    <w:p>
      <w:pPr>
        <w:spacing w:after="0" w:line="161" w:lineRule="exact"/>
        <w:rPr>
          <w:sz w:val="20"/>
          <w:szCs w:val="20"/>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Environmental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Financial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Grocery</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Healthcare, Education and Childcare</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High Tech Industries</w:t>
      </w:r>
    </w:p>
    <w:p>
      <w:pPr>
        <w:spacing w:after="0" w:line="90" w:lineRule="exact"/>
        <w:rPr>
          <w:rFonts w:ascii="Arial" w:cs="Arial" w:eastAsia="Arial" w:hAnsi="Arial"/>
          <w:sz w:val="18"/>
          <w:szCs w:val="18"/>
          <w:color w:val="auto"/>
        </w:rPr>
      </w:pPr>
    </w:p>
    <w:p>
      <w:pPr>
        <w:ind w:left="1300" w:right="120" w:hanging="429"/>
        <w:spacing w:after="0" w:line="268" w:lineRule="auto"/>
        <w:tabs>
          <w:tab w:leader="none" w:pos="1149"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Home &amp; Office Furnishings, Housewares &amp; Durable Consumer Products</w:t>
      </w:r>
    </w:p>
    <w:p>
      <w:pPr>
        <w:spacing w:after="0" w:line="5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Hotels, Motels, Inns and Gaming</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Insurance</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Leisure, Amusement, Motion Picture, Entertainment</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Logistics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Manufacturing / Basic Industries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Media; Broadcasting and Subscription</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Mining, Steel, Iron and Non-Precious Metals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Oil and Gas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Other Media</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Personal, Food and Miscellaneous Services</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Printing and Publishing</w:t>
      </w:r>
    </w:p>
    <w:p>
      <w:pPr>
        <w:spacing w:after="0" w:line="90" w:lineRule="exact"/>
        <w:rPr>
          <w:rFonts w:ascii="Arial" w:cs="Arial" w:eastAsia="Arial" w:hAnsi="Arial"/>
          <w:sz w:val="18"/>
          <w:szCs w:val="18"/>
          <w:color w:val="auto"/>
        </w:rPr>
      </w:pPr>
    </w:p>
    <w:p>
      <w:pPr>
        <w:ind w:left="1160" w:hanging="289"/>
        <w:spacing w:after="0"/>
        <w:tabs>
          <w:tab w:leader="none" w:pos="11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Retail Stores</w:t>
      </w:r>
    </w:p>
    <w:p>
      <w:pPr>
        <w:spacing w:after="0" w:line="90" w:lineRule="exact"/>
        <w:rPr>
          <w:rFonts w:ascii="Arial" w:cs="Arial" w:eastAsia="Arial" w:hAnsi="Arial"/>
          <w:sz w:val="18"/>
          <w:szCs w:val="18"/>
          <w:color w:val="auto"/>
        </w:rPr>
      </w:pPr>
    </w:p>
    <w:p>
      <w:pPr>
        <w:ind w:left="1140" w:hanging="269"/>
        <w:spacing w:after="0"/>
        <w:tabs>
          <w:tab w:leader="none" w:pos="11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Telecommunications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68</w:t>
      </w:r>
    </w:p>
    <w:p>
      <w:pPr>
        <w:sectPr>
          <w:pgSz w:w="11900" w:h="16838" w:orient="portrait"/>
          <w:cols w:equalWidth="0" w:num="2">
            <w:col w:w="4900" w:space="720"/>
            <w:col w:w="5740"/>
          </w:cols>
          <w:pgMar w:left="240" w:top="459" w:right="299" w:bottom="1440" w:gutter="0" w:footer="0" w:header="0"/>
          <w:type w:val="continuous"/>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Listed below are our top ten portfolio companies and industries represented as a percentage of our consolidated portfolio assets (excluding cash equivalents) as of:</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5"/>
              </w:rPr>
              <w:t>Portfolio Company</w:t>
            </w:r>
          </w:p>
        </w:tc>
        <w:tc>
          <w:tcPr>
            <w:tcW w:w="3400" w:type="dxa"/>
            <w:vAlign w:val="bottom"/>
            <w:vMerge w:val="restart"/>
          </w:tcPr>
          <w:p>
            <w:pPr>
              <w:spacing w:after="0"/>
              <w:rPr>
                <w:sz w:val="14"/>
                <w:szCs w:val="14"/>
                <w:color w:val="auto"/>
              </w:rPr>
            </w:pPr>
          </w:p>
        </w:tc>
        <w:tc>
          <w:tcPr>
            <w:tcW w:w="1060" w:type="dxa"/>
            <w:vAlign w:val="bottom"/>
            <w:gridSpan w:val="2"/>
          </w:tcPr>
          <w:p>
            <w:pPr>
              <w:jc w:val="right"/>
              <w:ind w:right="352"/>
              <w:spacing w:after="0"/>
              <w:rPr>
                <w:sz w:val="20"/>
                <w:szCs w:val="20"/>
                <w:color w:val="auto"/>
              </w:rPr>
            </w:pPr>
            <w:r>
              <w:rPr>
                <w:rFonts w:ascii="Arial" w:cs="Arial" w:eastAsia="Arial" w:hAnsi="Arial"/>
                <w:sz w:val="14"/>
                <w:szCs w:val="14"/>
                <w:b w:val="1"/>
                <w:bCs w:val="1"/>
                <w:color w:val="auto"/>
                <w:w w:val="92"/>
              </w:rPr>
              <w:t>March 31,</w:t>
            </w:r>
          </w:p>
        </w:tc>
        <w:tc>
          <w:tcPr>
            <w:tcW w:w="280" w:type="dxa"/>
            <w:vAlign w:val="bottom"/>
            <w:vMerge w:val="restart"/>
          </w:tcPr>
          <w:p>
            <w:pPr>
              <w:spacing w:after="0"/>
              <w:rPr>
                <w:sz w:val="14"/>
                <w:szCs w:val="14"/>
                <w:color w:val="auto"/>
              </w:rPr>
            </w:pP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4"/>
              </w:rPr>
              <w:t>Portfolio Company</w:t>
            </w:r>
          </w:p>
        </w:tc>
        <w:tc>
          <w:tcPr>
            <w:tcW w:w="3280" w:type="dxa"/>
            <w:vAlign w:val="bottom"/>
            <w:vMerge w:val="restart"/>
          </w:tcPr>
          <w:p>
            <w:pPr>
              <w:spacing w:after="0"/>
              <w:rPr>
                <w:sz w:val="14"/>
                <w:szCs w:val="1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53"/>
        </w:trPr>
        <w:tc>
          <w:tcPr>
            <w:tcW w:w="1220" w:type="dxa"/>
            <w:vAlign w:val="bottom"/>
            <w:tcBorders>
              <w:bottom w:val="single" w:sz="8" w:color="auto"/>
            </w:tcBorders>
            <w:gridSpan w:val="2"/>
            <w:vMerge w:val="continue"/>
          </w:tcPr>
          <w:p>
            <w:pPr>
              <w:spacing w:after="0"/>
              <w:rPr>
                <w:sz w:val="12"/>
                <w:szCs w:val="12"/>
                <w:color w:val="auto"/>
              </w:rPr>
            </w:pPr>
          </w:p>
        </w:tc>
        <w:tc>
          <w:tcPr>
            <w:tcW w:w="3400" w:type="dxa"/>
            <w:vAlign w:val="bottom"/>
            <w:vMerge w:val="continue"/>
          </w:tcPr>
          <w:p>
            <w:pPr>
              <w:spacing w:after="0"/>
              <w:rPr>
                <w:sz w:val="12"/>
                <w:szCs w:val="12"/>
                <w:color w:val="auto"/>
              </w:rPr>
            </w:pPr>
          </w:p>
        </w:tc>
        <w:tc>
          <w:tcPr>
            <w:tcW w:w="620" w:type="dxa"/>
            <w:vAlign w:val="bottom"/>
          </w:tcPr>
          <w:p>
            <w:pPr>
              <w:jc w:val="right"/>
              <w:ind w:right="76"/>
              <w:spacing w:after="0" w:line="148"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280" w:type="dxa"/>
            <w:vAlign w:val="bottom"/>
            <w:vMerge w:val="continue"/>
          </w:tcPr>
          <w:p>
            <w:pPr>
              <w:spacing w:after="0"/>
              <w:rPr>
                <w:sz w:val="12"/>
                <w:szCs w:val="12"/>
                <w:color w:val="auto"/>
              </w:rPr>
            </w:pPr>
          </w:p>
        </w:tc>
        <w:tc>
          <w:tcPr>
            <w:tcW w:w="1200" w:type="dxa"/>
            <w:vAlign w:val="bottom"/>
            <w:tcBorders>
              <w:bottom w:val="single" w:sz="8" w:color="auto"/>
            </w:tcBorders>
            <w:gridSpan w:val="3"/>
            <w:vMerge w:val="continue"/>
          </w:tcPr>
          <w:p>
            <w:pPr>
              <w:spacing w:after="0"/>
              <w:rPr>
                <w:sz w:val="12"/>
                <w:szCs w:val="12"/>
                <w:color w:val="auto"/>
              </w:rPr>
            </w:pPr>
          </w:p>
        </w:tc>
        <w:tc>
          <w:tcPr>
            <w:tcW w:w="3280" w:type="dxa"/>
            <w:vAlign w:val="bottom"/>
            <w:vMerge w:val="continue"/>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ALG USA Holdings, LLC</w:t>
            </w:r>
          </w:p>
        </w:tc>
        <w:tc>
          <w:tcPr>
            <w:tcW w:w="620" w:type="dxa"/>
            <w:vAlign w:val="bottom"/>
            <w:tcBorders>
              <w:left w:val="single" w:sz="8" w:color="CCEEFF"/>
              <w:right w:val="single" w:sz="8" w:color="auto"/>
            </w:tcBorders>
            <w:shd w:val="clear" w:color="auto" w:fill="000000"/>
          </w:tcPr>
          <w:p>
            <w:pPr>
              <w:spacing w:after="0" w:line="20" w:lineRule="exact"/>
              <w:rPr>
                <w:sz w:val="1"/>
                <w:szCs w:val="1"/>
                <w:color w:val="auto"/>
              </w:rPr>
            </w:pPr>
          </w:p>
        </w:tc>
        <w:tc>
          <w:tcPr>
            <w:tcW w:w="440" w:type="dxa"/>
            <w:vAlign w:val="bottom"/>
            <w:vMerge w:val="restart"/>
            <w:shd w:val="clear" w:color="auto" w:fill="CCEEFF"/>
          </w:tcPr>
          <w:p>
            <w:pPr>
              <w:jc w:val="right"/>
              <w:ind w:right="192"/>
              <w:spacing w:after="0"/>
              <w:rPr>
                <w:sz w:val="20"/>
                <w:szCs w:val="20"/>
                <w:color w:val="auto"/>
              </w:rPr>
            </w:pPr>
            <w:r>
              <w:rPr>
                <w:rFonts w:ascii="Arial" w:cs="Arial" w:eastAsia="Arial" w:hAnsi="Arial"/>
                <w:sz w:val="18"/>
                <w:szCs w:val="18"/>
                <w:color w:val="auto"/>
                <w:w w:val="87"/>
              </w:rPr>
              <w:t>%</w:t>
            </w:r>
          </w:p>
        </w:tc>
        <w:tc>
          <w:tcPr>
            <w:tcW w:w="4760" w:type="dxa"/>
            <w:vAlign w:val="bottom"/>
            <w:gridSpan w:val="5"/>
            <w:vMerge w:val="restart"/>
            <w:shd w:val="clear" w:color="auto" w:fill="CCEEFF"/>
          </w:tcPr>
          <w:p>
            <w:pPr>
              <w:ind w:left="280"/>
              <w:spacing w:after="0"/>
              <w:rPr>
                <w:sz w:val="20"/>
                <w:szCs w:val="20"/>
                <w:color w:val="auto"/>
              </w:rPr>
            </w:pPr>
            <w:r>
              <w:rPr>
                <w:rFonts w:ascii="Arial" w:cs="Arial" w:eastAsia="Arial" w:hAnsi="Arial"/>
                <w:sz w:val="18"/>
                <w:szCs w:val="18"/>
                <w:color w:val="auto"/>
              </w:rPr>
              <w:t>Healogics Inc. (f/k/a National Healing Corp.)</w:t>
            </w: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3"/>
            <w:vMerge w:val="continue"/>
            <w:shd w:val="clear" w:color="auto" w:fill="CCEEFF"/>
          </w:tcPr>
          <w:p>
            <w:pPr>
              <w:spacing w:after="0"/>
              <w:rPr>
                <w:sz w:val="17"/>
                <w:szCs w:val="17"/>
                <w:color w:val="auto"/>
              </w:rPr>
            </w:pPr>
          </w:p>
        </w:tc>
        <w:tc>
          <w:tcPr>
            <w:tcW w:w="620" w:type="dxa"/>
            <w:vAlign w:val="bottom"/>
            <w:tcBorders>
              <w:left w:val="single" w:sz="8" w:color="CCEEFF"/>
              <w:right w:val="single" w:sz="8" w:color="CCEEFF"/>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w:t>
            </w:r>
          </w:p>
        </w:tc>
        <w:tc>
          <w:tcPr>
            <w:tcW w:w="440" w:type="dxa"/>
            <w:vAlign w:val="bottom"/>
            <w:vMerge w:val="continue"/>
            <w:shd w:val="clear" w:color="auto" w:fill="CCEEFF"/>
          </w:tcPr>
          <w:p>
            <w:pPr>
              <w:spacing w:after="0"/>
              <w:rPr>
                <w:sz w:val="17"/>
                <w:szCs w:val="17"/>
                <w:color w:val="auto"/>
              </w:rPr>
            </w:pPr>
          </w:p>
        </w:tc>
        <w:tc>
          <w:tcPr>
            <w:tcW w:w="4760" w:type="dxa"/>
            <w:vAlign w:val="bottom"/>
            <w:gridSpan w:val="5"/>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K2 Pure Solutions NoCal, L.P.</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4760" w:type="dxa"/>
            <w:vAlign w:val="bottom"/>
            <w:gridSpan w:val="5"/>
          </w:tcPr>
          <w:p>
            <w:pPr>
              <w:ind w:left="280"/>
              <w:spacing w:after="0"/>
              <w:rPr>
                <w:sz w:val="20"/>
                <w:szCs w:val="20"/>
                <w:color w:val="auto"/>
              </w:rPr>
            </w:pPr>
            <w:r>
              <w:rPr>
                <w:rFonts w:ascii="Arial" w:cs="Arial" w:eastAsia="Arial" w:hAnsi="Arial"/>
                <w:sz w:val="18"/>
                <w:szCs w:val="18"/>
                <w:color w:val="auto"/>
              </w:rPr>
              <w:t>Instant Web, Inc.</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Penton Media, Inc.</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476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K2 Pure Solutions NoCal, L.P.</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Trusthouse Services Group, Inc</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4760" w:type="dxa"/>
            <w:vAlign w:val="bottom"/>
            <w:gridSpan w:val="5"/>
          </w:tcPr>
          <w:p>
            <w:pPr>
              <w:ind w:left="280"/>
              <w:spacing w:after="0"/>
              <w:rPr>
                <w:sz w:val="20"/>
                <w:szCs w:val="20"/>
                <w:color w:val="auto"/>
              </w:rPr>
            </w:pPr>
            <w:r>
              <w:rPr>
                <w:rFonts w:ascii="Arial" w:cs="Arial" w:eastAsia="Arial" w:hAnsi="Arial"/>
                <w:sz w:val="18"/>
                <w:szCs w:val="18"/>
                <w:color w:val="auto"/>
              </w:rPr>
              <w:t>KIK Custom Products Inc.</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KIK Custom Products Inc.</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40" w:type="dxa"/>
            <w:vAlign w:val="bottom"/>
            <w:shd w:val="clear" w:color="auto" w:fill="CCEEFF"/>
          </w:tcPr>
          <w:p>
            <w:pPr>
              <w:spacing w:after="0"/>
              <w:rPr>
                <w:sz w:val="18"/>
                <w:szCs w:val="18"/>
                <w:color w:val="auto"/>
              </w:rPr>
            </w:pPr>
          </w:p>
        </w:tc>
        <w:tc>
          <w:tcPr>
            <w:tcW w:w="476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Mood Media Corporation</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Instant Web, Inc.</w:t>
            </w:r>
          </w:p>
        </w:tc>
        <w:tc>
          <w:tcPr>
            <w:tcW w:w="620" w:type="dxa"/>
            <w:vAlign w:val="bottom"/>
          </w:tcPr>
          <w:p>
            <w:pPr>
              <w:jc w:val="right"/>
              <w:spacing w:after="0"/>
              <w:rPr>
                <w:sz w:val="20"/>
                <w:szCs w:val="20"/>
                <w:color w:val="auto"/>
              </w:rPr>
            </w:pPr>
            <w:r>
              <w:rPr>
                <w:rFonts w:ascii="Arial" w:cs="Arial" w:eastAsia="Arial" w:hAnsi="Arial"/>
                <w:sz w:val="18"/>
                <w:szCs w:val="18"/>
                <w:color w:val="auto"/>
              </w:rPr>
              <w:t>3</w:t>
            </w:r>
          </w:p>
        </w:tc>
        <w:tc>
          <w:tcPr>
            <w:tcW w:w="440" w:type="dxa"/>
            <w:vAlign w:val="bottom"/>
          </w:tcPr>
          <w:p>
            <w:pPr>
              <w:spacing w:after="0"/>
              <w:rPr>
                <w:sz w:val="18"/>
                <w:szCs w:val="18"/>
                <w:color w:val="auto"/>
              </w:rPr>
            </w:pPr>
          </w:p>
        </w:tc>
        <w:tc>
          <w:tcPr>
            <w:tcW w:w="4760" w:type="dxa"/>
            <w:vAlign w:val="bottom"/>
            <w:gridSpan w:val="5"/>
          </w:tcPr>
          <w:p>
            <w:pPr>
              <w:ind w:left="280"/>
              <w:spacing w:after="0"/>
              <w:rPr>
                <w:sz w:val="20"/>
                <w:szCs w:val="20"/>
                <w:color w:val="auto"/>
              </w:rPr>
            </w:pPr>
            <w:r>
              <w:rPr>
                <w:rFonts w:ascii="Arial" w:cs="Arial" w:eastAsia="Arial" w:hAnsi="Arial"/>
                <w:sz w:val="18"/>
                <w:szCs w:val="18"/>
                <w:color w:val="auto"/>
              </w:rPr>
              <w:t>Penton Media, Inc.</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Northfield Park Associates LLC</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476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Trusthouse Services Group, Inc.</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tcPr>
          <w:p>
            <w:pPr>
              <w:spacing w:after="0"/>
              <w:rPr>
                <w:sz w:val="20"/>
                <w:szCs w:val="20"/>
                <w:color w:val="auto"/>
              </w:rPr>
            </w:pPr>
            <w:r>
              <w:rPr>
                <w:rFonts w:ascii="Arial" w:cs="Arial" w:eastAsia="Arial" w:hAnsi="Arial"/>
                <w:sz w:val="18"/>
                <w:szCs w:val="18"/>
                <w:color w:val="auto"/>
              </w:rPr>
              <w:t>RiverBoat Corporation of Mississippi</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8"/>
                <w:szCs w:val="18"/>
                <w:color w:val="auto"/>
              </w:rPr>
            </w:pPr>
          </w:p>
        </w:tc>
        <w:tc>
          <w:tcPr>
            <w:tcW w:w="4760" w:type="dxa"/>
            <w:vAlign w:val="bottom"/>
            <w:gridSpan w:val="5"/>
          </w:tcPr>
          <w:p>
            <w:pPr>
              <w:ind w:left="280"/>
              <w:spacing w:after="0"/>
              <w:rPr>
                <w:sz w:val="20"/>
                <w:szCs w:val="20"/>
                <w:color w:val="auto"/>
              </w:rPr>
            </w:pPr>
            <w:r>
              <w:rPr>
                <w:rFonts w:ascii="Arial" w:cs="Arial" w:eastAsia="Arial" w:hAnsi="Arial"/>
                <w:sz w:val="18"/>
                <w:szCs w:val="18"/>
                <w:color w:val="auto"/>
              </w:rPr>
              <w:t>Yonkers Racing Corporation</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DS Waters of America, Inc.</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shd w:val="clear" w:color="auto" w:fill="CCEEFF"/>
          </w:tcPr>
          <w:p>
            <w:pPr>
              <w:spacing w:after="0"/>
              <w:rPr>
                <w:sz w:val="18"/>
                <w:szCs w:val="18"/>
                <w:color w:val="auto"/>
              </w:rPr>
            </w:pPr>
          </w:p>
        </w:tc>
        <w:tc>
          <w:tcPr>
            <w:tcW w:w="4760" w:type="dxa"/>
            <w:vAlign w:val="bottom"/>
            <w:gridSpan w:val="5"/>
            <w:shd w:val="clear" w:color="auto" w:fill="CCEEFF"/>
          </w:tcPr>
          <w:p>
            <w:pPr>
              <w:ind w:left="280"/>
              <w:spacing w:after="0"/>
              <w:rPr>
                <w:sz w:val="20"/>
                <w:szCs w:val="20"/>
                <w:color w:val="auto"/>
              </w:rPr>
            </w:pPr>
            <w:r>
              <w:rPr>
                <w:rFonts w:ascii="Arial" w:cs="Arial" w:eastAsia="Arial" w:hAnsi="Arial"/>
                <w:sz w:val="18"/>
                <w:szCs w:val="18"/>
                <w:color w:val="auto"/>
              </w:rPr>
              <w:t>DS Waters of America, Inc.</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2"/>
        </w:trPr>
        <w:tc>
          <w:tcPr>
            <w:tcW w:w="4620" w:type="dxa"/>
            <w:vAlign w:val="bottom"/>
            <w:gridSpan w:val="3"/>
          </w:tcPr>
          <w:p>
            <w:pPr>
              <w:spacing w:after="0"/>
              <w:rPr>
                <w:sz w:val="20"/>
                <w:szCs w:val="20"/>
                <w:color w:val="auto"/>
              </w:rPr>
            </w:pPr>
            <w:r>
              <w:rPr>
                <w:rFonts w:ascii="Arial" w:cs="Arial" w:eastAsia="Arial" w:hAnsi="Arial"/>
                <w:sz w:val="18"/>
                <w:szCs w:val="18"/>
                <w:color w:val="auto"/>
              </w:rPr>
              <w:t>Orbitz Worldwide, Inc.</w:t>
            </w:r>
          </w:p>
        </w:tc>
        <w:tc>
          <w:tcPr>
            <w:tcW w:w="62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19"/>
                <w:szCs w:val="19"/>
                <w:color w:val="auto"/>
              </w:rPr>
            </w:pPr>
          </w:p>
        </w:tc>
        <w:tc>
          <w:tcPr>
            <w:tcW w:w="4760" w:type="dxa"/>
            <w:vAlign w:val="bottom"/>
            <w:gridSpan w:val="5"/>
          </w:tcPr>
          <w:p>
            <w:pPr>
              <w:ind w:left="280"/>
              <w:spacing w:after="0"/>
              <w:rPr>
                <w:sz w:val="20"/>
                <w:szCs w:val="20"/>
                <w:color w:val="auto"/>
              </w:rPr>
            </w:pPr>
            <w:r>
              <w:rPr>
                <w:rFonts w:ascii="Arial" w:cs="Arial" w:eastAsia="Arial" w:hAnsi="Arial"/>
                <w:sz w:val="18"/>
                <w:szCs w:val="18"/>
                <w:color w:val="auto"/>
              </w:rPr>
              <w:t>Viamedia Services Corp.</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32"/>
        </w:trPr>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7"/>
              </w:rPr>
              <w:t>Industry</w:t>
            </w:r>
          </w:p>
        </w:tc>
        <w:tc>
          <w:tcPr>
            <w:tcW w:w="4060" w:type="dxa"/>
            <w:vAlign w:val="bottom"/>
            <w:gridSpan w:val="2"/>
            <w:vMerge w:val="restart"/>
          </w:tcPr>
          <w:p>
            <w:pPr>
              <w:spacing w:after="0"/>
              <w:rPr>
                <w:sz w:val="24"/>
                <w:szCs w:val="24"/>
                <w:color w:val="auto"/>
              </w:rPr>
            </w:pPr>
          </w:p>
        </w:tc>
        <w:tc>
          <w:tcPr>
            <w:tcW w:w="1060" w:type="dxa"/>
            <w:vAlign w:val="bottom"/>
            <w:gridSpan w:val="2"/>
          </w:tcPr>
          <w:p>
            <w:pPr>
              <w:jc w:val="right"/>
              <w:ind w:right="392"/>
              <w:spacing w:after="0"/>
              <w:rPr>
                <w:sz w:val="20"/>
                <w:szCs w:val="20"/>
                <w:color w:val="auto"/>
              </w:rPr>
            </w:pPr>
            <w:r>
              <w:rPr>
                <w:rFonts w:ascii="Arial" w:cs="Arial" w:eastAsia="Arial" w:hAnsi="Arial"/>
                <w:sz w:val="14"/>
                <w:szCs w:val="14"/>
                <w:b w:val="1"/>
                <w:bCs w:val="1"/>
                <w:color w:val="auto"/>
                <w:w w:val="86"/>
              </w:rPr>
              <w:t>March 31,</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7"/>
              </w:rPr>
              <w:t>Industry</w:t>
            </w:r>
          </w:p>
        </w:tc>
        <w:tc>
          <w:tcPr>
            <w:tcW w:w="3900" w:type="dxa"/>
            <w:vAlign w:val="bottom"/>
            <w:gridSpan w:val="2"/>
            <w:vMerge w:val="restart"/>
          </w:tcPr>
          <w:p>
            <w:pPr>
              <w:spacing w:after="0"/>
              <w:rPr>
                <w:sz w:val="24"/>
                <w:szCs w:val="24"/>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53"/>
        </w:trPr>
        <w:tc>
          <w:tcPr>
            <w:tcW w:w="560" w:type="dxa"/>
            <w:vAlign w:val="bottom"/>
            <w:tcBorders>
              <w:bottom w:val="single" w:sz="8" w:color="auto"/>
            </w:tcBorders>
            <w:vMerge w:val="continue"/>
          </w:tcPr>
          <w:p>
            <w:pPr>
              <w:spacing w:after="0"/>
              <w:rPr>
                <w:sz w:val="12"/>
                <w:szCs w:val="12"/>
                <w:color w:val="auto"/>
              </w:rPr>
            </w:pPr>
          </w:p>
        </w:tc>
        <w:tc>
          <w:tcPr>
            <w:tcW w:w="4060" w:type="dxa"/>
            <w:vAlign w:val="bottom"/>
            <w:gridSpan w:val="2"/>
            <w:vMerge w:val="continue"/>
          </w:tcPr>
          <w:p>
            <w:pPr>
              <w:spacing w:after="0"/>
              <w:rPr>
                <w:sz w:val="12"/>
                <w:szCs w:val="12"/>
                <w:color w:val="auto"/>
              </w:rPr>
            </w:pPr>
          </w:p>
        </w:tc>
        <w:tc>
          <w:tcPr>
            <w:tcW w:w="620" w:type="dxa"/>
            <w:vAlign w:val="bottom"/>
          </w:tcPr>
          <w:p>
            <w:pPr>
              <w:jc w:val="right"/>
              <w:ind w:right="116"/>
              <w:spacing w:after="0" w:line="148" w:lineRule="exact"/>
              <w:rPr>
                <w:sz w:val="20"/>
                <w:szCs w:val="20"/>
                <w:color w:val="auto"/>
              </w:rPr>
            </w:pPr>
            <w:r>
              <w:rPr>
                <w:rFonts w:ascii="Arial" w:cs="Arial" w:eastAsia="Arial" w:hAnsi="Arial"/>
                <w:sz w:val="14"/>
                <w:szCs w:val="14"/>
                <w:b w:val="1"/>
                <w:bCs w:val="1"/>
                <w:color w:val="auto"/>
              </w:rPr>
              <w:t>2013</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vMerge w:val="continue"/>
          </w:tcPr>
          <w:p>
            <w:pPr>
              <w:spacing w:after="0"/>
              <w:rPr>
                <w:sz w:val="12"/>
                <w:szCs w:val="12"/>
                <w:color w:val="auto"/>
              </w:rPr>
            </w:pPr>
          </w:p>
        </w:tc>
        <w:tc>
          <w:tcPr>
            <w:tcW w:w="3900" w:type="dxa"/>
            <w:vAlign w:val="bottom"/>
            <w:gridSpan w:val="2"/>
            <w:vMerge w:val="continue"/>
          </w:tcPr>
          <w:p>
            <w:pPr>
              <w:spacing w:after="0"/>
              <w:rPr>
                <w:sz w:val="12"/>
                <w:szCs w:val="12"/>
                <w:color w:val="auto"/>
              </w:rPr>
            </w:pPr>
          </w:p>
        </w:tc>
        <w:tc>
          <w:tcPr>
            <w:tcW w:w="8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2012</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2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620" w:type="dxa"/>
            <w:vAlign w:val="bottom"/>
            <w:tcBorders>
              <w:left w:val="single" w:sz="8" w:color="auto"/>
              <w:right w:val="single" w:sz="8" w:color="CCEEFF"/>
            </w:tcBorders>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46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8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20" w:type="dxa"/>
            <w:vAlign w:val="bottom"/>
            <w:gridSpan w:val="3"/>
            <w:vMerge w:val="continue"/>
            <w:shd w:val="clear" w:color="auto" w:fill="CCEEFF"/>
          </w:tcPr>
          <w:p>
            <w:pPr>
              <w:spacing w:after="0"/>
              <w:rPr>
                <w:sz w:val="17"/>
                <w:szCs w:val="17"/>
                <w:color w:val="auto"/>
              </w:rPr>
            </w:pPr>
          </w:p>
        </w:tc>
        <w:tc>
          <w:tcPr>
            <w:tcW w:w="1060" w:type="dxa"/>
            <w:vAlign w:val="bottom"/>
            <w:tcBorders>
              <w:left w:val="single" w:sz="8" w:color="CCEEFF"/>
            </w:tcBorders>
            <w:gridSpan w:val="2"/>
            <w:shd w:val="clear" w:color="auto" w:fill="CCEEFF"/>
          </w:tcPr>
          <w:p>
            <w:pPr>
              <w:jc w:val="right"/>
              <w:ind w:right="232"/>
              <w:spacing w:after="0" w:line="203" w:lineRule="exact"/>
              <w:rPr>
                <w:sz w:val="20"/>
                <w:szCs w:val="20"/>
                <w:color w:val="auto"/>
              </w:rPr>
            </w:pPr>
            <w:r>
              <w:rPr>
                <w:rFonts w:ascii="Arial" w:cs="Arial" w:eastAsia="Arial" w:hAnsi="Arial"/>
                <w:sz w:val="18"/>
                <w:szCs w:val="18"/>
                <w:color w:val="auto"/>
              </w:rPr>
              <w:t>13%</w:t>
            </w:r>
          </w:p>
        </w:tc>
        <w:tc>
          <w:tcPr>
            <w:tcW w:w="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460" w:type="dxa"/>
            <w:vAlign w:val="bottom"/>
            <w:gridSpan w:val="3"/>
            <w:vMerge w:val="continue"/>
            <w:shd w:val="clear" w:color="auto" w:fill="CCEEFF"/>
          </w:tcPr>
          <w:p>
            <w:pPr>
              <w:spacing w:after="0"/>
              <w:rPr>
                <w:sz w:val="17"/>
                <w:szCs w:val="17"/>
                <w:color w:val="auto"/>
              </w:rPr>
            </w:pPr>
          </w:p>
        </w:tc>
        <w:tc>
          <w:tcPr>
            <w:tcW w:w="98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8"/>
        </w:trPr>
        <w:tc>
          <w:tcPr>
            <w:tcW w:w="4620" w:type="dxa"/>
            <w:vAlign w:val="bottom"/>
            <w:gridSpan w:val="3"/>
          </w:tcPr>
          <w:p>
            <w:pPr>
              <w:spacing w:after="0"/>
              <w:rPr>
                <w:sz w:val="20"/>
                <w:szCs w:val="20"/>
                <w:color w:val="auto"/>
              </w:rPr>
            </w:pPr>
            <w:r>
              <w:rPr>
                <w:rFonts w:ascii="Arial" w:cs="Arial" w:eastAsia="Arial" w:hAnsi="Arial"/>
                <w:sz w:val="18"/>
                <w:szCs w:val="18"/>
                <w:color w:val="auto"/>
              </w:rPr>
              <w:t>Healthcare and Pharmaceuticals</w:t>
            </w:r>
          </w:p>
        </w:tc>
        <w:tc>
          <w:tcPr>
            <w:tcW w:w="620" w:type="dxa"/>
            <w:vAlign w:val="bottom"/>
          </w:tcPr>
          <w:p>
            <w:pPr>
              <w:jc w:val="right"/>
              <w:spacing w:after="0"/>
              <w:rPr>
                <w:sz w:val="20"/>
                <w:szCs w:val="20"/>
                <w:color w:val="auto"/>
              </w:rPr>
            </w:pPr>
            <w:r>
              <w:rPr>
                <w:rFonts w:ascii="Arial" w:cs="Arial" w:eastAsia="Arial" w:hAnsi="Arial"/>
                <w:sz w:val="18"/>
                <w:szCs w:val="18"/>
                <w:color w:val="auto"/>
              </w:rPr>
              <w:t>9</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Business Services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2"/>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8"/>
        </w:trPr>
        <w:tc>
          <w:tcPr>
            <w:tcW w:w="4620" w:type="dxa"/>
            <w:vAlign w:val="bottom"/>
            <w:gridSpan w:val="3"/>
          </w:tcPr>
          <w:p>
            <w:pPr>
              <w:spacing w:after="0"/>
              <w:rPr>
                <w:sz w:val="20"/>
                <w:szCs w:val="20"/>
                <w:color w:val="auto"/>
              </w:rPr>
            </w:pPr>
            <w:r>
              <w:rPr>
                <w:rFonts w:ascii="Arial" w:cs="Arial" w:eastAsia="Arial" w:hAnsi="Arial"/>
                <w:sz w:val="18"/>
                <w:szCs w:val="18"/>
                <w:color w:val="auto"/>
              </w:rPr>
              <w:t>Consumer Services</w:t>
            </w:r>
          </w:p>
        </w:tc>
        <w:tc>
          <w:tcPr>
            <w:tcW w:w="620" w:type="dxa"/>
            <w:vAlign w:val="bottom"/>
          </w:tcPr>
          <w:p>
            <w:pPr>
              <w:jc w:val="right"/>
              <w:spacing w:after="0"/>
              <w:rPr>
                <w:sz w:val="20"/>
                <w:szCs w:val="20"/>
                <w:color w:val="auto"/>
              </w:rPr>
            </w:pPr>
            <w:r>
              <w:rPr>
                <w:rFonts w:ascii="Arial" w:cs="Arial" w:eastAsia="Arial" w:hAnsi="Arial"/>
                <w:sz w:val="18"/>
                <w:szCs w:val="18"/>
                <w:color w:val="auto"/>
              </w:rPr>
              <w:t>8</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Hotel, Gaming and Leisure</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32"/>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4620" w:type="dxa"/>
            <w:vAlign w:val="bottom"/>
            <w:gridSpan w:val="3"/>
          </w:tcPr>
          <w:p>
            <w:pPr>
              <w:spacing w:after="0"/>
              <w:rPr>
                <w:sz w:val="20"/>
                <w:szCs w:val="20"/>
                <w:color w:val="auto"/>
              </w:rPr>
            </w:pPr>
            <w:r>
              <w:rPr>
                <w:rFonts w:ascii="Arial" w:cs="Arial" w:eastAsia="Arial" w:hAnsi="Arial"/>
                <w:sz w:val="18"/>
                <w:szCs w:val="18"/>
                <w:color w:val="auto"/>
              </w:rPr>
              <w:t>Business Services</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2"/>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8"/>
        </w:trPr>
        <w:tc>
          <w:tcPr>
            <w:tcW w:w="4620" w:type="dxa"/>
            <w:vAlign w:val="bottom"/>
            <w:gridSpan w:val="3"/>
          </w:tcPr>
          <w:p>
            <w:pPr>
              <w:spacing w:after="0"/>
              <w:rPr>
                <w:sz w:val="20"/>
                <w:szCs w:val="20"/>
                <w:color w:val="auto"/>
              </w:rPr>
            </w:pPr>
            <w:r>
              <w:rPr>
                <w:rFonts w:ascii="Arial" w:cs="Arial" w:eastAsia="Arial" w:hAnsi="Arial"/>
                <w:sz w:val="18"/>
                <w:szCs w:val="18"/>
                <w:color w:val="auto"/>
              </w:rPr>
              <w:t>Media: Advertising, Printing and Publishing</w:t>
            </w: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Media: Diversified and Production</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2"/>
        </w:trPr>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Automotive</w:t>
            </w:r>
          </w:p>
        </w:tc>
        <w:tc>
          <w:tcPr>
            <w:tcW w:w="620" w:type="dxa"/>
            <w:vAlign w:val="bottom"/>
            <w:tcBorders>
              <w:left w:val="single" w:sz="8" w:color="CCEEFF"/>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4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8"/>
        </w:trPr>
        <w:tc>
          <w:tcPr>
            <w:tcW w:w="4620" w:type="dxa"/>
            <w:vAlign w:val="bottom"/>
            <w:gridSpan w:val="3"/>
          </w:tcPr>
          <w:p>
            <w:pPr>
              <w:spacing w:after="0"/>
              <w:rPr>
                <w:sz w:val="20"/>
                <w:szCs w:val="20"/>
                <w:color w:val="auto"/>
              </w:rPr>
            </w:pPr>
            <w:r>
              <w:rPr>
                <w:rFonts w:ascii="Arial" w:cs="Arial" w:eastAsia="Arial" w:hAnsi="Arial"/>
                <w:sz w:val="18"/>
                <w:szCs w:val="18"/>
                <w:color w:val="auto"/>
              </w:rPr>
              <w:t>Chemicals, Plastics and Rubber</w:t>
            </w:r>
          </w:p>
        </w:tc>
        <w:tc>
          <w:tcPr>
            <w:tcW w:w="620" w:type="dxa"/>
            <w:vAlign w:val="bottom"/>
          </w:tcPr>
          <w:p>
            <w:pPr>
              <w:jc w:val="right"/>
              <w:spacing w:after="0"/>
              <w:rPr>
                <w:sz w:val="20"/>
                <w:szCs w:val="20"/>
                <w:color w:val="auto"/>
              </w:rPr>
            </w:pPr>
            <w:r>
              <w:rPr>
                <w:rFonts w:ascii="Arial" w:cs="Arial" w:eastAsia="Arial" w:hAnsi="Arial"/>
                <w:sz w:val="18"/>
                <w:szCs w:val="18"/>
                <w:color w:val="auto"/>
              </w:rPr>
              <w:t>5</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460" w:type="dxa"/>
            <w:vAlign w:val="bottom"/>
            <w:gridSpan w:val="3"/>
          </w:tcPr>
          <w:p>
            <w:pPr>
              <w:spacing w:after="0"/>
              <w:rPr>
                <w:sz w:val="20"/>
                <w:szCs w:val="20"/>
                <w:color w:val="auto"/>
              </w:rPr>
            </w:pPr>
            <w:r>
              <w:rPr>
                <w:rFonts w:ascii="Arial" w:cs="Arial" w:eastAsia="Arial" w:hAnsi="Arial"/>
                <w:sz w:val="18"/>
                <w:szCs w:val="18"/>
                <w:color w:val="auto"/>
              </w:rPr>
              <w:t>Telecommunications</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Our executive officers and directors, as well as the senior investment professionals of the Investment Adviser and Administrator, may serve as officers, directors or principals of entities that operate in the same or a related line of business as we do. Currently, the executive officers and directors, as well as the current senior investment professionals of the Investment Adviser and Administrator, serve as officers and directors of PennantPark Investment Corporation, a publicly traded BDC, and other managed funds. Accordingly they may have obligations to investors the fulfillment of which obligations might not be in the best interest of us or our stockholders. In addition, we note that any affiliated investment vehicle currently existing, or formed in the future, and managed by the Investment Adviser and or its affiliates may, notwithstanding different stated investment objectives, have overlapping investment objectives with our own and, accordingly, may invest in asset classes similar to those targeted by us. As a result, the Investment Adviser may face conflicts in allocating investment opportunities among us and such other entities. Although the Investment Adviser will endeavor to allocate investment opportunities in a fair and equitable manner, it is possible that, in the future, we may not be given the opportunity to participate in investments made by investment funds managed by the Investment Adviser or its affiliates. In any such case, when the Investment Adviser identifies an investment, it will choose which investment fund should receive the allocation. See “Risk Factors—Risks Relating to our Business and Structure—There are significant potential conflicts of interest which could impact our investment returns” for more information.</w:t>
      </w:r>
    </w:p>
    <w:p>
      <w:pPr>
        <w:spacing w:after="0" w:line="124"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may invest, to the extent permitted by law, in the securities and instruments of other investment companies and companies that would be investment companies but are excluded from the definition of an</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investment company provided in Section 3(c) of the 1940 Act. We may also co-invest in the future on a concurrent basis with affiliates of ours, subject to compliance with applicable regulations and our trade allocation procedures. Some types of negotiated co-investments may be made only if we receive an order from the SEC permitting us to do so. We have sought, and there can be no assurance that we will obtain, such order.</w:t>
      </w:r>
    </w:p>
    <w:p>
      <w:pPr>
        <w:spacing w:after="0" w:line="10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As of March 31, 2013, our portfolio consisted of 63 companies and was invested 87% in senior secured loans, 6% in second lien secured debt and 7% in subordinated debt and preferred and common equity investments.</w:t>
      </w:r>
    </w:p>
    <w:p>
      <w:pPr>
        <w:spacing w:after="0" w:line="132" w:lineRule="exact"/>
        <w:rPr>
          <w:sz w:val="20"/>
          <w:szCs w:val="20"/>
          <w:color w:val="auto"/>
        </w:rPr>
      </w:pPr>
    </w:p>
    <w:p>
      <w:pPr>
        <w:jc w:val="center"/>
        <w:ind w:right="120"/>
        <w:spacing w:after="0" w:line="440" w:lineRule="auto"/>
        <w:rPr>
          <w:sz w:val="20"/>
          <w:szCs w:val="20"/>
          <w:color w:val="auto"/>
        </w:rPr>
      </w:pPr>
      <w:r>
        <w:rPr>
          <w:rFonts w:ascii="Arial" w:cs="Arial" w:eastAsia="Arial" w:hAnsi="Arial"/>
          <w:sz w:val="18"/>
          <w:szCs w:val="18"/>
          <w:color w:val="auto"/>
        </w:rPr>
        <w:t>As of March 31, 2013, there was no portfolio company in which we have made an investment that represents greater than 5% of our total assets. 70</w:t>
      </w:r>
    </w:p>
    <w:p>
      <w:pPr>
        <w:sectPr>
          <w:pgSz w:w="11900" w:h="16838" w:orient="portrait"/>
          <w:cols w:equalWidth="0" w:num="1">
            <w:col w:w="11180"/>
          </w:cols>
          <w:pgMar w:left="240" w:top="459" w:right="47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PORTFOLIO COMPANIES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The following is a listing of each portfolio company or its affiliate, together referred to as portfolio companies, in which we had an investment at March 31, 2013. Percentages shown for class of investment securities held by us represent percentage of voting ownership and not economic ownership. Percentages shown for equity securities, other than warrants or options held, if any, represent the actual percentage of the class of security held before dilution. For additional information see our “Consolidated Schedule of Investments” in our March 31, 2013 Consolidated Financial Statements included elsewhere in this prospectus.</w:t>
      </w:r>
    </w:p>
    <w:p>
      <w:pPr>
        <w:spacing w:after="0" w:line="113"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portfolio companies are presented in three categories: “Companies less than 5% owned” which represent portfolio companies where we directly or indirectly own less than 5% of the outstanding voting securities of such portfolio company and where we have no other affiliations with such portfolio company; “Companies 5% to 24% owned” which represent portfolio companies where we directly or indirectly own 5% or more but less than 25% of the outstanding voting securities of such portfolio company or where we hold one or more seats on the portfolio company’s board of directors and, therefore, are deemed to be an affiliated person under the 1940 Act; and “Companies 25% or more owned” which represent portfolio companies where we directly or indirectly own 25% or more of the outstanding voting securities of such portfolio company and, therefore, are presumed to be controlled by us under the 1940 Act. We make available significant managerial assistance to our portfolio companies. Certain assets are pledged as collateral under our Credit Facility as disclosed in our Consolidated Schedule of Investments. Unless otherwise noted, we held no voting board membership on any of our portfolio companies.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Nature of Business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20" w:type="dxa"/>
            <w:vAlign w:val="bottom"/>
            <w:tcBorders>
              <w:top w:val="single" w:sz="8" w:color="auto"/>
            </w:tcBorders>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Companies less than 5% owned</w:t>
            </w:r>
          </w:p>
        </w:tc>
        <w:tc>
          <w:tcPr>
            <w:tcW w:w="1740" w:type="dxa"/>
            <w:vAlign w:val="bottom"/>
            <w:tcBorders>
              <w:top w:val="single" w:sz="8" w:color="CCEEFF"/>
            </w:tcBorders>
            <w:shd w:val="clear" w:color="auto" w:fill="CCEEFF"/>
          </w:tcPr>
          <w:p>
            <w:pPr>
              <w:spacing w:after="0"/>
              <w:rPr>
                <w:sz w:val="10"/>
                <w:szCs w:val="10"/>
                <w:color w:val="auto"/>
              </w:rPr>
            </w:pPr>
          </w:p>
        </w:tc>
        <w:tc>
          <w:tcPr>
            <w:tcW w:w="354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2000" w:type="dxa"/>
            <w:vAlign w:val="bottom"/>
            <w:tcBorders>
              <w:top w:val="single" w:sz="8" w:color="auto"/>
            </w:tcBorders>
            <w:shd w:val="clear" w:color="auto" w:fill="CCEEFF"/>
          </w:tcPr>
          <w:p>
            <w:pPr>
              <w:spacing w:after="0"/>
              <w:rPr>
                <w:sz w:val="10"/>
                <w:szCs w:val="10"/>
                <w:color w:val="auto"/>
              </w:rPr>
            </w:pPr>
          </w:p>
        </w:tc>
        <w:tc>
          <w:tcPr>
            <w:tcW w:w="42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Affinion Group Holdings, Inc.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Consumer Goods: Non-Durable</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Subordinated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100 Connecticut Avenue</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Norwalk, CT 06850</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ALG USA Holdings, LLC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8"/>
              </w:rPr>
              <w:t>Hotel, Gaming and Leisure</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 Campus Boulevard</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Newtown Square, PA 19073</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American Gilsonite Company</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Metals and Mining</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1717 St. James Place</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Houston, TX 77056</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ARC Auto Group, Inc. and Casco Auto Group, Inc.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91"/>
              </w:rPr>
              <w:t>Automotive</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855 Main Street, 10th Floor</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Bridgeport, CT 06604</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Aspen Dental Management, Inc.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Consumer Services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281 Sanders Creek Parkway</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East Syracuse, NY 13057</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ATI Holdings, Inc.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4"/>
              </w:rPr>
              <w:t>Healthcare and Pharmaceuticals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790 Remington Boulevard</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Bolingbrook, IL 60440</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Attachmate Corporation</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High Tech Industries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1500 Dexter Avenue N.</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Seattle, WA 98109</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Autoparts Holdings Limited</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91"/>
              </w:rPr>
              <w:t>Automotive</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39 Old Ridgebury Road</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Danbury, CT 06810</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BBB Industries, LLC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Automotive</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5640 Commerce Blvd. East</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Mobile, AL 36619</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428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Nature of Business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1740" w:type="dxa"/>
            <w:vAlign w:val="bottom"/>
          </w:tcPr>
          <w:p>
            <w:pPr>
              <w:spacing w:after="0"/>
              <w:rPr>
                <w:sz w:val="3"/>
                <w:szCs w:val="3"/>
                <w:color w:val="auto"/>
              </w:rPr>
            </w:pPr>
          </w:p>
        </w:tc>
        <w:tc>
          <w:tcPr>
            <w:tcW w:w="354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Berlin Packaging L.L.C.</w:t>
            </w:r>
          </w:p>
        </w:tc>
        <w:tc>
          <w:tcPr>
            <w:tcW w:w="396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525 West Monroe Street</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2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86"/>
              </w:rPr>
              <w:t>Second Lien Secured Debt</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Chicago, IL 60661</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Brand Energy and Infrastructure Services, Inc.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Energy: Oil and Gas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600 Travis Street, Suite 600</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Houston, TX 77002</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Cannery Casino Resorts, LLC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8"/>
              </w:rPr>
              <w:t>Hotel, Gaming and Leisure</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6"/>
              </w:rPr>
              <w:t>Second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2121 E Craig Road</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North Las Vegas, NV 89030</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DCS Business Services, Inc.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3"/>
              </w:rPr>
              <w:t>Business Services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333 North Canyon Parkway, Suite 100</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Livermore, CA 94551</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Document Technologies, Inc.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3"/>
              </w:rPr>
              <w:t>Business Services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Two Ravinia Dr., Suite 850</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Atlanta, GA 30346</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DS Waters Of America, Inc.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4"/>
              </w:rPr>
              <w:t>Beverage, Food and Tobacco</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5660 New Northside Drive, Suite 500</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Atlanta, GA 30328</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EAG, Inc.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3"/>
              </w:rPr>
              <w:t>Business Services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810 Kifer Road</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Sunnyvale, CA 94086</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Edmenturn, Inc. (f/k/a Archipelago Learning, Inc.)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Media: Broadcasting and Subscription</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5600 West 83rd Street, Suite 300</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8200 Tower, Bloomington, MN 55437</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EIG Investors Corp.</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High Tech Industries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 Corporate Drive</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Burlington, MA 01803</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Emerald Performance Materials, LLC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6"/>
              </w:rPr>
              <w:t>Chemicals, Plastics and Rubber</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2020 Front Street, Suite 100</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Cuyahoga Falls, OH 44221</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eResearchtechnology, Inc.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4"/>
              </w:rPr>
              <w:t>Healthcare and Pharmaceuticals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1818 Market Street</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Philandelphia, PA 19103</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Fishnet Security, Inc.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High Tech Industries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6130 Sprint Parkway, Suite 400</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Overland Park, KS 66211</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GFA Brands, Inc.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4"/>
              </w:rPr>
              <w:t>Beverage, Food and Tobacco</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115 West Century Road, Suite 260</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Paramus, NJ 07652</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Graton Economic Development Authority</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8"/>
              </w:rPr>
              <w:t>Hotel, Gaming and Leisure</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Federated Indians of Graton Rancheria</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6400 Redwood Drive, Suite 300</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Rohnert Park, CA 94928</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2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GSE Environmental, Inc.</w:t>
            </w: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8"/>
              </w:rPr>
              <w:t>Environmental Industries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19103 Gundle Road</w:t>
            </w: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Houston, TX 77073</w:t>
            </w: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280" w:type="dxa"/>
            <w:vAlign w:val="bottom"/>
            <w:gridSpan w:val="3"/>
          </w:tcPr>
          <w:p>
            <w:pPr>
              <w:spacing w:after="0"/>
              <w:rPr>
                <w:sz w:val="20"/>
                <w:szCs w:val="20"/>
                <w:color w:val="auto"/>
              </w:rPr>
            </w:pPr>
            <w:r>
              <w:rPr>
                <w:rFonts w:ascii="Arial" w:cs="Arial" w:eastAsia="Arial" w:hAnsi="Arial"/>
                <w:sz w:val="14"/>
                <w:szCs w:val="14"/>
                <w:color w:val="auto"/>
              </w:rPr>
              <w:t>HMK Intermediate Holding LLC</w:t>
            </w: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9"/>
              </w:rPr>
              <w:t>Retail</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280" w:type="dxa"/>
            <w:vAlign w:val="bottom"/>
            <w:gridSpan w:val="3"/>
          </w:tcPr>
          <w:p>
            <w:pPr>
              <w:spacing w:after="0" w:line="149" w:lineRule="exact"/>
              <w:rPr>
                <w:sz w:val="20"/>
                <w:szCs w:val="20"/>
                <w:color w:val="auto"/>
              </w:rPr>
            </w:pPr>
            <w:r>
              <w:rPr>
                <w:rFonts w:ascii="Arial" w:cs="Arial" w:eastAsia="Arial" w:hAnsi="Arial"/>
                <w:sz w:val="14"/>
                <w:szCs w:val="14"/>
                <w:color w:val="auto"/>
              </w:rPr>
              <w:t>1000 South Oyster Bay Road</w:t>
            </w: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280" w:type="dxa"/>
            <w:vAlign w:val="bottom"/>
            <w:gridSpan w:val="3"/>
          </w:tcPr>
          <w:p>
            <w:pPr>
              <w:spacing w:after="0"/>
              <w:rPr>
                <w:sz w:val="20"/>
                <w:szCs w:val="20"/>
                <w:color w:val="auto"/>
              </w:rPr>
            </w:pPr>
            <w:r>
              <w:rPr>
                <w:rFonts w:ascii="Arial" w:cs="Arial" w:eastAsia="Arial" w:hAnsi="Arial"/>
                <w:sz w:val="14"/>
                <w:szCs w:val="14"/>
                <w:color w:val="auto"/>
              </w:rPr>
              <w:t>Hicksville, NY 11801</w:t>
            </w: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35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740" w:type="dxa"/>
            <w:vAlign w:val="bottom"/>
          </w:tcPr>
          <w:p>
            <w:pPr>
              <w:spacing w:after="0"/>
              <w:rPr>
                <w:sz w:val="15"/>
                <w:szCs w:val="15"/>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4"/>
              </w:rPr>
              <w:t>Nature of Business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Type of Investment</w:t>
            </w:r>
          </w:p>
        </w:tc>
        <w:tc>
          <w:tcPr>
            <w:tcW w:w="7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1740" w:type="dxa"/>
            <w:vAlign w:val="bottom"/>
          </w:tcPr>
          <w:p>
            <w:pPr>
              <w:spacing w:after="0"/>
              <w:rPr>
                <w:sz w:val="3"/>
                <w:szCs w:val="3"/>
                <w:color w:val="auto"/>
              </w:rPr>
            </w:pPr>
          </w:p>
        </w:tc>
        <w:tc>
          <w:tcPr>
            <w:tcW w:w="354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200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Howard Berger Co. LLC</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5"/>
              </w:rPr>
              <w:t>Wholesale</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324A Half Acre Road</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Cranbury, NJ 08512</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IDQ Holdings, Inc.</w:t>
            </w:r>
          </w:p>
        </w:tc>
        <w:tc>
          <w:tcPr>
            <w:tcW w:w="1740" w:type="dxa"/>
            <w:vAlign w:val="bottom"/>
          </w:tcPr>
          <w:p>
            <w:pPr>
              <w:spacing w:after="0"/>
              <w:rPr>
                <w:sz w:val="17"/>
                <w:szCs w:val="17"/>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91"/>
              </w:rPr>
              <w:t>Automotive</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2901 West Kingsley Road</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Garland, TX 75041</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Ikaria, Inc.</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4"/>
              </w:rPr>
              <w:t>Healthcare and Pharmaceuticals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Perryville III Corporate Park</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53 Frontage Road, 3rd FL.</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PO BOX 9001</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Hampton, NJ 08827</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InfuSystem Holdings, Inc.</w:t>
            </w:r>
          </w:p>
        </w:tc>
        <w:tc>
          <w:tcPr>
            <w:tcW w:w="1740" w:type="dxa"/>
            <w:vAlign w:val="bottom"/>
          </w:tcPr>
          <w:p>
            <w:pPr>
              <w:spacing w:after="0"/>
              <w:rPr>
                <w:sz w:val="17"/>
                <w:szCs w:val="17"/>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4"/>
              </w:rPr>
              <w:t>Healthcare and Pharmaceuticals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31700 Reseach Park Drive</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Madison Heights, MI 48071</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Instant Web, Inc.</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90"/>
              </w:rPr>
              <w:t>Media: Advertising, Printing and Publishing</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7951 Powers Boulevard</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Chanhassen, MN 55317</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Jackson Hewitt Tax Service Inc.</w:t>
            </w:r>
          </w:p>
        </w:tc>
        <w:tc>
          <w:tcPr>
            <w:tcW w:w="1740" w:type="dxa"/>
            <w:vAlign w:val="bottom"/>
          </w:tcPr>
          <w:p>
            <w:pPr>
              <w:spacing w:after="0"/>
              <w:rPr>
                <w:sz w:val="17"/>
                <w:szCs w:val="17"/>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5"/>
              </w:rPr>
              <w:t>Consumer Services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3 Sylvan Way</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Parsippany, NJ 07054</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K2 Pure Solutions NoCal, L.P.</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6"/>
              </w:rPr>
              <w:t>Chemicals, Plastics and Rubber</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Soho Centre</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260 Queen St.</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W. Toronto, Canada</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KIK Custom Products Inc.</w:t>
            </w:r>
          </w:p>
        </w:tc>
        <w:tc>
          <w:tcPr>
            <w:tcW w:w="1740" w:type="dxa"/>
            <w:vAlign w:val="bottom"/>
          </w:tcPr>
          <w:p>
            <w:pPr>
              <w:spacing w:after="0"/>
              <w:rPr>
                <w:sz w:val="17"/>
                <w:szCs w:val="17"/>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Consumer Goods: Non-Durable</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101 Macintosh Boulevard</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Concord, ON L4K 4L5</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Canada</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Milk Specialties Company</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7"/>
              </w:rPr>
              <w:t>Consumer Goods: Non-Durable</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7500 Flying Cloud Drive, Suite 500</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Eden Prairie, MN 55344</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MModal Inc.</w:t>
            </w:r>
          </w:p>
        </w:tc>
        <w:tc>
          <w:tcPr>
            <w:tcW w:w="1740" w:type="dxa"/>
            <w:vAlign w:val="bottom"/>
          </w:tcPr>
          <w:p>
            <w:pPr>
              <w:spacing w:after="0"/>
              <w:rPr>
                <w:sz w:val="17"/>
                <w:szCs w:val="17"/>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3"/>
              </w:rPr>
              <w:t>Business Services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9009 Carothers Parkway, Suite C-1</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Franklin, TN 37067</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Mood Media Corporation</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20 York Mills Road, 6th Floor</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Toronto, ON M2P 2C2</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Canada</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MOSAID Technologies Incorporated</w:t>
            </w:r>
          </w:p>
        </w:tc>
        <w:tc>
          <w:tcPr>
            <w:tcW w:w="1740" w:type="dxa"/>
            <w:vAlign w:val="bottom"/>
          </w:tcPr>
          <w:p>
            <w:pPr>
              <w:spacing w:after="0"/>
              <w:rPr>
                <w:sz w:val="17"/>
                <w:szCs w:val="17"/>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7"/>
              </w:rPr>
              <w:t>High Tech Industries</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11 Hines Road, Suite 203</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Ottawa, Ontario, Canada</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K2K 2X1</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MX USA, INC.</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4"/>
              </w:rPr>
              <w:t>Healthcare and Pharmaceuticals</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930 Ridgebrook Rd, 3rd FL</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Sparks, MD 21152</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NAB Holdings, LLC</w:t>
            </w:r>
          </w:p>
        </w:tc>
        <w:tc>
          <w:tcPr>
            <w:tcW w:w="1740" w:type="dxa"/>
            <w:vAlign w:val="bottom"/>
          </w:tcPr>
          <w:p>
            <w:pPr>
              <w:spacing w:after="0"/>
              <w:rPr>
                <w:sz w:val="17"/>
                <w:szCs w:val="17"/>
                <w:color w:val="auto"/>
              </w:rPr>
            </w:pPr>
          </w:p>
        </w:tc>
        <w:tc>
          <w:tcPr>
            <w:tcW w:w="3960" w:type="dxa"/>
            <w:vAlign w:val="bottom"/>
            <w:gridSpan w:val="2"/>
          </w:tcPr>
          <w:p>
            <w:pPr>
              <w:jc w:val="center"/>
              <w:ind w:right="420"/>
              <w:spacing w:after="0"/>
              <w:rPr>
                <w:sz w:val="20"/>
                <w:szCs w:val="20"/>
                <w:color w:val="auto"/>
              </w:rPr>
            </w:pPr>
            <w:r>
              <w:rPr>
                <w:rFonts w:ascii="Arial" w:cs="Arial" w:eastAsia="Arial" w:hAnsi="Arial"/>
                <w:sz w:val="14"/>
                <w:szCs w:val="14"/>
                <w:color w:val="auto"/>
                <w:w w:val="86"/>
              </w:rPr>
              <w:t>Banking, Finance, Insurance and Real Estate</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250 Stephenson Highway</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Troy, MI 48083</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40" w:type="dxa"/>
            <w:vAlign w:val="bottom"/>
          </w:tcPr>
          <w:p>
            <w:pPr>
              <w:spacing w:after="0"/>
              <w:rPr>
                <w:sz w:val="5"/>
                <w:szCs w:val="5"/>
                <w:color w:val="auto"/>
              </w:rPr>
            </w:pPr>
          </w:p>
        </w:tc>
        <w:tc>
          <w:tcPr>
            <w:tcW w:w="35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Northfield Park Associates LLC</w:t>
            </w:r>
          </w:p>
        </w:tc>
        <w:tc>
          <w:tcPr>
            <w:tcW w:w="1740" w:type="dxa"/>
            <w:vAlign w:val="bottom"/>
            <w:shd w:val="clear" w:color="auto" w:fill="CCEEFF"/>
          </w:tcPr>
          <w:p>
            <w:pPr>
              <w:spacing w:after="0"/>
              <w:rPr>
                <w:sz w:val="11"/>
                <w:szCs w:val="11"/>
                <w:color w:val="auto"/>
              </w:rPr>
            </w:pPr>
          </w:p>
        </w:tc>
        <w:tc>
          <w:tcPr>
            <w:tcW w:w="3960" w:type="dxa"/>
            <w:vAlign w:val="bottom"/>
            <w:gridSpan w:val="2"/>
            <w:shd w:val="clear" w:color="auto" w:fill="CCEEFF"/>
          </w:tcPr>
          <w:p>
            <w:pPr>
              <w:jc w:val="center"/>
              <w:ind w:right="400"/>
              <w:spacing w:after="0" w:line="138" w:lineRule="exact"/>
              <w:rPr>
                <w:sz w:val="20"/>
                <w:szCs w:val="20"/>
                <w:color w:val="auto"/>
              </w:rPr>
            </w:pPr>
            <w:r>
              <w:rPr>
                <w:rFonts w:ascii="Arial" w:cs="Arial" w:eastAsia="Arial" w:hAnsi="Arial"/>
                <w:sz w:val="14"/>
                <w:szCs w:val="14"/>
                <w:color w:val="auto"/>
                <w:w w:val="88"/>
              </w:rPr>
              <w:t>Hotel, Gaming and Leisure</w:t>
            </w:r>
          </w:p>
        </w:tc>
        <w:tc>
          <w:tcPr>
            <w:tcW w:w="242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10705 Northfield Road</w:t>
            </w:r>
          </w:p>
        </w:tc>
        <w:tc>
          <w:tcPr>
            <w:tcW w:w="1740" w:type="dxa"/>
            <w:vAlign w:val="bottom"/>
            <w:shd w:val="clear" w:color="auto" w:fill="CCEEFF"/>
          </w:tcPr>
          <w:p>
            <w:pPr>
              <w:spacing w:after="0"/>
              <w:rPr>
                <w:sz w:val="12"/>
                <w:szCs w:val="12"/>
                <w:color w:val="auto"/>
              </w:rPr>
            </w:pPr>
          </w:p>
        </w:tc>
        <w:tc>
          <w:tcPr>
            <w:tcW w:w="35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Northfield, OH 44067</w:t>
            </w:r>
          </w:p>
        </w:tc>
        <w:tc>
          <w:tcPr>
            <w:tcW w:w="1740" w:type="dxa"/>
            <w:vAlign w:val="bottom"/>
            <w:shd w:val="clear" w:color="auto" w:fill="CCEEFF"/>
          </w:tcPr>
          <w:p>
            <w:pPr>
              <w:spacing w:after="0"/>
              <w:rPr>
                <w:sz w:val="15"/>
                <w:szCs w:val="15"/>
                <w:color w:val="auto"/>
              </w:rPr>
            </w:pPr>
          </w:p>
        </w:tc>
        <w:tc>
          <w:tcPr>
            <w:tcW w:w="35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0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Orbitz Worldwide, Inc.</w:t>
            </w:r>
          </w:p>
        </w:tc>
        <w:tc>
          <w:tcPr>
            <w:tcW w:w="1740" w:type="dxa"/>
            <w:vAlign w:val="bottom"/>
          </w:tcPr>
          <w:p>
            <w:pPr>
              <w:spacing w:after="0"/>
              <w:rPr>
                <w:sz w:val="17"/>
                <w:szCs w:val="17"/>
                <w:color w:val="auto"/>
              </w:rPr>
            </w:pPr>
          </w:p>
        </w:tc>
        <w:tc>
          <w:tcPr>
            <w:tcW w:w="3960" w:type="dxa"/>
            <w:vAlign w:val="bottom"/>
            <w:gridSpan w:val="2"/>
          </w:tcPr>
          <w:p>
            <w:pPr>
              <w:jc w:val="center"/>
              <w:ind w:right="400"/>
              <w:spacing w:after="0"/>
              <w:rPr>
                <w:sz w:val="20"/>
                <w:szCs w:val="20"/>
                <w:color w:val="auto"/>
              </w:rPr>
            </w:pPr>
            <w:r>
              <w:rPr>
                <w:rFonts w:ascii="Arial" w:cs="Arial" w:eastAsia="Arial" w:hAnsi="Arial"/>
                <w:sz w:val="14"/>
                <w:szCs w:val="14"/>
                <w:color w:val="auto"/>
                <w:w w:val="86"/>
              </w:rPr>
              <w:t>Transportation: Consumer</w:t>
            </w:r>
          </w:p>
        </w:tc>
        <w:tc>
          <w:tcPr>
            <w:tcW w:w="242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500 W. Madison Street, Suite 1000</w:t>
            </w:r>
          </w:p>
        </w:tc>
        <w:tc>
          <w:tcPr>
            <w:tcW w:w="174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Chicago, IL 60661</w:t>
            </w:r>
          </w:p>
        </w:tc>
        <w:tc>
          <w:tcPr>
            <w:tcW w:w="174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20"/>
          </w:cols>
          <w:pgMar w:left="240" w:top="459" w:right="23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3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4360" w:type="dxa"/>
            <w:vAlign w:val="bottom"/>
            <w:gridSpan w:val="3"/>
          </w:tcPr>
          <w:p>
            <w:pPr>
              <w:spacing w:after="0"/>
              <w:rPr>
                <w:sz w:val="20"/>
                <w:szCs w:val="20"/>
                <w:color w:val="auto"/>
              </w:rPr>
            </w:pPr>
            <w:r>
              <w:rPr>
                <w:rFonts w:ascii="Arial" w:cs="Arial" w:eastAsia="Arial" w:hAnsi="Arial"/>
                <w:sz w:val="14"/>
                <w:szCs w:val="14"/>
                <w:b w:val="1"/>
                <w:bCs w:val="1"/>
                <w:color w:val="auto"/>
              </w:rPr>
              <w:t>Name and Address of Portfolio Company</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4"/>
              </w:rPr>
              <w:t>Nature of Business</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6"/>
              </w:rPr>
              <w:t>Type of Investment</w:t>
            </w:r>
          </w:p>
        </w:tc>
        <w:tc>
          <w:tcPr>
            <w:tcW w:w="7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1820" w:type="dxa"/>
            <w:vAlign w:val="bottom"/>
          </w:tcPr>
          <w:p>
            <w:pPr>
              <w:spacing w:after="0"/>
              <w:rPr>
                <w:sz w:val="3"/>
                <w:szCs w:val="3"/>
                <w:color w:val="auto"/>
              </w:rPr>
            </w:pPr>
          </w:p>
        </w:tc>
        <w:tc>
          <w:tcPr>
            <w:tcW w:w="348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98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Pelican Products, Inc.</w:t>
            </w:r>
          </w:p>
        </w:tc>
        <w:tc>
          <w:tcPr>
            <w:tcW w:w="390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5"/>
              </w:rPr>
              <w:t>Containers, Packaging and Glass</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23215 Early Avenue</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Torrance, CA 90505</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gridSpan w:val="3"/>
          </w:tcPr>
          <w:p>
            <w:pPr>
              <w:spacing w:after="0"/>
              <w:rPr>
                <w:sz w:val="20"/>
                <w:szCs w:val="20"/>
                <w:color w:val="auto"/>
              </w:rPr>
            </w:pPr>
            <w:r>
              <w:rPr>
                <w:rFonts w:ascii="Arial" w:cs="Arial" w:eastAsia="Arial" w:hAnsi="Arial"/>
                <w:sz w:val="14"/>
                <w:szCs w:val="14"/>
                <w:color w:val="auto"/>
              </w:rPr>
              <w:t>Penton Media, Inc.</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Media: Diversified and Production</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360" w:type="dxa"/>
            <w:vAlign w:val="bottom"/>
            <w:gridSpan w:val="3"/>
          </w:tcPr>
          <w:p>
            <w:pPr>
              <w:spacing w:after="0" w:line="165" w:lineRule="exact"/>
              <w:rPr>
                <w:sz w:val="20"/>
                <w:szCs w:val="20"/>
                <w:color w:val="auto"/>
              </w:rPr>
            </w:pPr>
            <w:r>
              <w:rPr>
                <w:rFonts w:ascii="Arial" w:cs="Arial" w:eastAsia="Arial" w:hAnsi="Arial"/>
                <w:sz w:val="12"/>
                <w:szCs w:val="12"/>
                <w:color w:val="auto"/>
              </w:rPr>
              <w:t>249 W. 17</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Street, 4</w:t>
            </w:r>
            <w:r>
              <w:rPr>
                <w:rFonts w:ascii="Arial" w:cs="Arial" w:eastAsia="Arial" w:hAnsi="Arial"/>
                <w:sz w:val="19"/>
                <w:szCs w:val="19"/>
                <w:color w:val="auto"/>
                <w:vertAlign w:val="superscript"/>
              </w:rPr>
              <w:t>th</w:t>
            </w:r>
            <w:r>
              <w:rPr>
                <w:rFonts w:ascii="Arial" w:cs="Arial" w:eastAsia="Arial" w:hAnsi="Arial"/>
                <w:sz w:val="12"/>
                <w:szCs w:val="12"/>
                <w:color w:val="auto"/>
              </w:rPr>
              <w:t xml:space="preserve"> Floor</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New York, NY 10011</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Premier Dental Services,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5"/>
              </w:rPr>
              <w:t>Consumer Services</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530 S Main Street, 6th FL</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Orange CA 92868</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spacing w:after="0"/>
              <w:rPr>
                <w:sz w:val="20"/>
                <w:szCs w:val="20"/>
                <w:color w:val="auto"/>
              </w:rPr>
            </w:pPr>
            <w:r>
              <w:rPr>
                <w:rFonts w:ascii="Arial" w:cs="Arial" w:eastAsia="Arial" w:hAnsi="Arial"/>
                <w:sz w:val="14"/>
                <w:szCs w:val="14"/>
                <w:color w:val="auto"/>
              </w:rPr>
              <w:t>RiverBoat Corporation of Mississippi</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Hotel, Gaming and Leisure</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1510 West Loop South</w:t>
            </w: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Houston, TX 77027</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Sabre Industries,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90"/>
              </w:rPr>
              <w:t>Construction and Building</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8653 East Highway 67</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Alvarado, TX 76009</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60" w:type="dxa"/>
            <w:vAlign w:val="bottom"/>
            <w:gridSpan w:val="3"/>
          </w:tcPr>
          <w:p>
            <w:pPr>
              <w:spacing w:after="0"/>
              <w:rPr>
                <w:sz w:val="20"/>
                <w:szCs w:val="20"/>
                <w:color w:val="auto"/>
              </w:rPr>
            </w:pPr>
            <w:r>
              <w:rPr>
                <w:rFonts w:ascii="Arial" w:cs="Arial" w:eastAsia="Arial" w:hAnsi="Arial"/>
                <w:sz w:val="14"/>
                <w:szCs w:val="14"/>
                <w:color w:val="auto"/>
              </w:rPr>
              <w:t>Seven Seas Cruises R.L.</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Hotel, Gaming and Leisure</w:t>
            </w:r>
          </w:p>
        </w:tc>
        <w:tc>
          <w:tcPr>
            <w:tcW w:w="2400" w:type="dxa"/>
            <w:vAlign w:val="bottom"/>
            <w:gridSpan w:val="2"/>
          </w:tcPr>
          <w:p>
            <w:pPr>
              <w:jc w:val="center"/>
              <w:ind w:right="440"/>
              <w:spacing w:after="0"/>
              <w:rPr>
                <w:sz w:val="20"/>
                <w:szCs w:val="20"/>
                <w:color w:val="auto"/>
              </w:rPr>
            </w:pPr>
            <w:r>
              <w:rPr>
                <w:rFonts w:ascii="Arial" w:cs="Arial" w:eastAsia="Arial" w:hAnsi="Arial"/>
                <w:sz w:val="14"/>
                <w:szCs w:val="14"/>
                <w:color w:val="auto"/>
                <w:w w:val="86"/>
              </w:rPr>
              <w:t>Second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5"/>
        </w:trPr>
        <w:tc>
          <w:tcPr>
            <w:tcW w:w="4360" w:type="dxa"/>
            <w:vAlign w:val="bottom"/>
            <w:gridSpan w:val="3"/>
          </w:tcPr>
          <w:p>
            <w:pPr>
              <w:spacing w:after="0" w:line="165" w:lineRule="exact"/>
              <w:rPr>
                <w:sz w:val="20"/>
                <w:szCs w:val="20"/>
                <w:color w:val="auto"/>
              </w:rPr>
            </w:pPr>
            <w:r>
              <w:rPr>
                <w:rFonts w:ascii="Arial" w:cs="Arial" w:eastAsia="Arial" w:hAnsi="Arial"/>
                <w:sz w:val="12"/>
                <w:szCs w:val="12"/>
                <w:color w:val="auto"/>
              </w:rPr>
              <w:t>8300 NW 33</w:t>
            </w:r>
            <w:r>
              <w:rPr>
                <w:rFonts w:ascii="Arial" w:cs="Arial" w:eastAsia="Arial" w:hAnsi="Arial"/>
                <w:sz w:val="19"/>
                <w:szCs w:val="19"/>
                <w:color w:val="auto"/>
                <w:vertAlign w:val="superscript"/>
              </w:rPr>
              <w:t>rd</w:t>
            </w:r>
            <w:r>
              <w:rPr>
                <w:rFonts w:ascii="Arial" w:cs="Arial" w:eastAsia="Arial" w:hAnsi="Arial"/>
                <w:sz w:val="12"/>
                <w:szCs w:val="12"/>
                <w:color w:val="auto"/>
              </w:rPr>
              <w:t xml:space="preserve"> Street, Suite 308</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Miami, FL 33122</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Sotera Defense Solutions,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5"/>
              </w:rPr>
              <w:t>Aerospace and Defense</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1501 Farm Credit Drive, Suite 2300</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McLean, VA 22102</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spacing w:after="0"/>
              <w:rPr>
                <w:sz w:val="20"/>
                <w:szCs w:val="20"/>
                <w:color w:val="auto"/>
              </w:rPr>
            </w:pPr>
            <w:r>
              <w:rPr>
                <w:rFonts w:ascii="Arial" w:cs="Arial" w:eastAsia="Arial" w:hAnsi="Arial"/>
                <w:sz w:val="14"/>
                <w:szCs w:val="14"/>
                <w:color w:val="auto"/>
              </w:rPr>
              <w:t>St. George’s University Scholastic Services LLC</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Consumer Services</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3500 Sunrise Highway, Bldg. 300</w:t>
            </w: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Great River, NY 11739</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Sutherland Global Services,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3"/>
              </w:rPr>
              <w:t>Business Services</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1160 Pittsford Victor Road</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Pittsford, NY 14534</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spacing w:after="0"/>
              <w:rPr>
                <w:sz w:val="20"/>
                <w:szCs w:val="20"/>
                <w:color w:val="auto"/>
              </w:rPr>
            </w:pPr>
            <w:r>
              <w:rPr>
                <w:rFonts w:ascii="Arial" w:cs="Arial" w:eastAsia="Arial" w:hAnsi="Arial"/>
                <w:sz w:val="14"/>
                <w:szCs w:val="14"/>
                <w:color w:val="auto"/>
              </w:rPr>
              <w:t>Tekelec Global, Inc.</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Telecommunications</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173"/>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5200 Paramount Parkway</w:t>
            </w: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Morrisville, NC 27560</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Therakos,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4"/>
              </w:rPr>
              <w:t>Healthcare and Pharmaceuticals</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1001 US Route 202</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Raritan, NJ 08869</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spacing w:after="0"/>
              <w:rPr>
                <w:sz w:val="20"/>
                <w:szCs w:val="20"/>
                <w:color w:val="auto"/>
              </w:rPr>
            </w:pPr>
            <w:r>
              <w:rPr>
                <w:rFonts w:ascii="Arial" w:cs="Arial" w:eastAsia="Arial" w:hAnsi="Arial"/>
                <w:sz w:val="14"/>
                <w:szCs w:val="14"/>
                <w:color w:val="auto"/>
              </w:rPr>
              <w:t>TrustHouse Services Group, Inc.</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4"/>
              </w:rPr>
              <w:t>Beverage, Food and Tobacco</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Subordinated Debt</w:t>
            </w:r>
          </w:p>
        </w:tc>
        <w:tc>
          <w:tcPr>
            <w:tcW w:w="760" w:type="dxa"/>
            <w:vAlign w:val="bottom"/>
          </w:tcPr>
          <w:p>
            <w:pPr>
              <w:jc w:val="right"/>
              <w:ind w:right="173"/>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2201 Water Ridge Parkway, Suite 320</w:t>
            </w: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0" w:type="dxa"/>
            <w:vAlign w:val="bottom"/>
            <w:gridSpan w:val="2"/>
          </w:tcPr>
          <w:p>
            <w:pPr>
              <w:jc w:val="center"/>
              <w:ind w:right="420"/>
              <w:spacing w:after="0" w:line="149" w:lineRule="exact"/>
              <w:rPr>
                <w:sz w:val="20"/>
                <w:szCs w:val="20"/>
                <w:color w:val="auto"/>
              </w:rPr>
            </w:pPr>
            <w:r>
              <w:rPr>
                <w:rFonts w:ascii="Arial" w:cs="Arial" w:eastAsia="Arial" w:hAnsi="Arial"/>
                <w:sz w:val="14"/>
                <w:szCs w:val="14"/>
                <w:color w:val="auto"/>
                <w:w w:val="88"/>
              </w:rPr>
              <w:t>Preferred Equity</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Charlotte, NC 28217</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90"/>
              </w:rPr>
              <w:t>Common Equity</w:t>
            </w: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UniTek Global Services,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Telecommunications</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1777 Sentry Parkway West</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Gwynedd Hall Suite 202</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Blue Bell, PA 19422</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spacing w:after="0"/>
              <w:rPr>
                <w:sz w:val="20"/>
                <w:szCs w:val="20"/>
                <w:color w:val="auto"/>
              </w:rPr>
            </w:pPr>
            <w:r>
              <w:rPr>
                <w:rFonts w:ascii="Arial" w:cs="Arial" w:eastAsia="Arial" w:hAnsi="Arial"/>
                <w:sz w:val="14"/>
                <w:szCs w:val="14"/>
                <w:color w:val="auto"/>
              </w:rPr>
              <w:t>Univita Health, Inc.</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Consumer Services</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8601 North Scottsdale Road, Suite 335</w:t>
            </w: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Scottsdale, AZ 85253</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Valitas Health Services,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4"/>
              </w:rPr>
              <w:t>Healthcare and Pharmaceuticals</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jc w:val="right"/>
              <w:ind w:right="293"/>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12647 Olive Boulevard</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St. Louis, MO 63141</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4360" w:type="dxa"/>
            <w:vAlign w:val="bottom"/>
            <w:gridSpan w:val="3"/>
          </w:tcPr>
          <w:p>
            <w:pPr>
              <w:spacing w:after="0"/>
              <w:rPr>
                <w:sz w:val="20"/>
                <w:szCs w:val="20"/>
                <w:color w:val="auto"/>
              </w:rPr>
            </w:pPr>
            <w:r>
              <w:rPr>
                <w:rFonts w:ascii="Arial" w:cs="Arial" w:eastAsia="Arial" w:hAnsi="Arial"/>
                <w:sz w:val="14"/>
                <w:szCs w:val="14"/>
                <w:color w:val="auto"/>
              </w:rPr>
              <w:t>Varel International Energy Mezzanine Funding Corp.</w:t>
            </w:r>
          </w:p>
        </w:tc>
        <w:tc>
          <w:tcPr>
            <w:tcW w:w="3900" w:type="dxa"/>
            <w:vAlign w:val="bottom"/>
            <w:gridSpan w:val="2"/>
          </w:tcPr>
          <w:p>
            <w:pPr>
              <w:jc w:val="center"/>
              <w:ind w:right="420"/>
              <w:spacing w:after="0"/>
              <w:rPr>
                <w:sz w:val="20"/>
                <w:szCs w:val="20"/>
                <w:color w:val="auto"/>
              </w:rPr>
            </w:pPr>
            <w:r>
              <w:rPr>
                <w:rFonts w:ascii="Arial" w:cs="Arial" w:eastAsia="Arial" w:hAnsi="Arial"/>
                <w:sz w:val="14"/>
                <w:szCs w:val="14"/>
                <w:color w:val="auto"/>
                <w:w w:val="88"/>
              </w:rPr>
              <w:t>Energy: Oil and Gas</w:t>
            </w:r>
          </w:p>
        </w:tc>
        <w:tc>
          <w:tcPr>
            <w:tcW w:w="2400" w:type="dxa"/>
            <w:vAlign w:val="bottom"/>
            <w:gridSpan w:val="2"/>
          </w:tcPr>
          <w:p>
            <w:pPr>
              <w:jc w:val="center"/>
              <w:ind w:right="420"/>
              <w:spacing w:after="0"/>
              <w:rPr>
                <w:sz w:val="20"/>
                <w:szCs w:val="20"/>
                <w:color w:val="auto"/>
              </w:rPr>
            </w:pPr>
            <w:r>
              <w:rPr>
                <w:rFonts w:ascii="Arial" w:cs="Arial" w:eastAsia="Arial" w:hAnsi="Arial"/>
                <w:sz w:val="14"/>
                <w:szCs w:val="14"/>
                <w:color w:val="auto"/>
                <w:w w:val="87"/>
              </w:rPr>
              <w:t>Subordinated Debt</w:t>
            </w:r>
          </w:p>
        </w:tc>
        <w:tc>
          <w:tcPr>
            <w:tcW w:w="760" w:type="dxa"/>
            <w:vAlign w:val="bottom"/>
          </w:tcPr>
          <w:p>
            <w:pPr>
              <w:jc w:val="right"/>
              <w:ind w:right="29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360" w:type="dxa"/>
            <w:vAlign w:val="bottom"/>
            <w:gridSpan w:val="3"/>
          </w:tcPr>
          <w:p>
            <w:pPr>
              <w:spacing w:after="0" w:line="149" w:lineRule="exact"/>
              <w:rPr>
                <w:sz w:val="20"/>
                <w:szCs w:val="20"/>
                <w:color w:val="auto"/>
              </w:rPr>
            </w:pPr>
            <w:r>
              <w:rPr>
                <w:rFonts w:ascii="Arial" w:cs="Arial" w:eastAsia="Arial" w:hAnsi="Arial"/>
                <w:sz w:val="14"/>
                <w:szCs w:val="14"/>
                <w:color w:val="auto"/>
              </w:rPr>
              <w:t>1625W. Crossby Road, Suite 124</w:t>
            </w:r>
          </w:p>
        </w:tc>
        <w:tc>
          <w:tcPr>
            <w:tcW w:w="3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360" w:type="dxa"/>
            <w:vAlign w:val="bottom"/>
            <w:gridSpan w:val="3"/>
          </w:tcPr>
          <w:p>
            <w:pPr>
              <w:spacing w:after="0"/>
              <w:rPr>
                <w:sz w:val="20"/>
                <w:szCs w:val="20"/>
                <w:color w:val="auto"/>
              </w:rPr>
            </w:pPr>
            <w:r>
              <w:rPr>
                <w:rFonts w:ascii="Arial" w:cs="Arial" w:eastAsia="Arial" w:hAnsi="Arial"/>
                <w:sz w:val="14"/>
                <w:szCs w:val="14"/>
                <w:color w:val="auto"/>
              </w:rPr>
              <w:t>Carrollton, Dallas County, TX 75006</w:t>
            </w:r>
          </w:p>
        </w:tc>
        <w:tc>
          <w:tcPr>
            <w:tcW w:w="3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4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Vestcom International, Inc.</w:t>
            </w:r>
          </w:p>
        </w:tc>
        <w:tc>
          <w:tcPr>
            <w:tcW w:w="39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90"/>
              </w:rPr>
              <w:t>Media: Advertising, Printing and Publishing</w:t>
            </w:r>
          </w:p>
        </w:tc>
        <w:tc>
          <w:tcPr>
            <w:tcW w:w="2400" w:type="dxa"/>
            <w:vAlign w:val="bottom"/>
            <w:gridSpan w:val="2"/>
            <w:shd w:val="clear" w:color="auto" w:fill="CCEEFF"/>
          </w:tcPr>
          <w:p>
            <w:pPr>
              <w:jc w:val="center"/>
              <w:ind w:right="420"/>
              <w:spacing w:after="0" w:line="138" w:lineRule="exact"/>
              <w:rPr>
                <w:sz w:val="20"/>
                <w:szCs w:val="20"/>
                <w:color w:val="auto"/>
              </w:rPr>
            </w:pPr>
            <w:r>
              <w:rPr>
                <w:rFonts w:ascii="Arial" w:cs="Arial" w:eastAsia="Arial" w:hAnsi="Arial"/>
                <w:sz w:val="14"/>
                <w:szCs w:val="14"/>
                <w:color w:val="auto"/>
                <w:w w:val="87"/>
              </w:rPr>
              <w:t>Subordinated Debt</w:t>
            </w:r>
          </w:p>
        </w:tc>
        <w:tc>
          <w:tcPr>
            <w:tcW w:w="760" w:type="dxa"/>
            <w:vAlign w:val="bottom"/>
            <w:shd w:val="clear" w:color="auto" w:fill="CCEEFF"/>
          </w:tcPr>
          <w:p>
            <w:pPr>
              <w:jc w:val="right"/>
              <w:ind w:right="173"/>
              <w:spacing w:after="0" w:line="138"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7302 Kanis Road</w:t>
            </w:r>
          </w:p>
        </w:tc>
        <w:tc>
          <w:tcPr>
            <w:tcW w:w="34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0" w:type="dxa"/>
            <w:vAlign w:val="bottom"/>
            <w:gridSpan w:val="2"/>
            <w:shd w:val="clear" w:color="auto" w:fill="CCEEFF"/>
          </w:tcPr>
          <w:p>
            <w:pPr>
              <w:jc w:val="center"/>
              <w:ind w:right="420"/>
              <w:spacing w:after="0" w:line="149" w:lineRule="exact"/>
              <w:rPr>
                <w:sz w:val="20"/>
                <w:szCs w:val="20"/>
                <w:color w:val="auto"/>
              </w:rPr>
            </w:pPr>
            <w:r>
              <w:rPr>
                <w:rFonts w:ascii="Arial" w:cs="Arial" w:eastAsia="Arial" w:hAnsi="Arial"/>
                <w:sz w:val="14"/>
                <w:szCs w:val="14"/>
                <w:color w:val="auto"/>
                <w:w w:val="90"/>
              </w:rPr>
              <w:t>Common Equity</w:t>
            </w: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34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Little Rock, AR 72204</w:t>
            </w:r>
          </w:p>
        </w:tc>
        <w:tc>
          <w:tcPr>
            <w:tcW w:w="34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459" w:right="2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Voting</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Percentage</w:t>
            </w:r>
          </w:p>
        </w:tc>
        <w:tc>
          <w:tcPr>
            <w:tcW w:w="0" w:type="dxa"/>
            <w:vAlign w:val="bottom"/>
          </w:tcPr>
          <w:p>
            <w:pPr>
              <w:spacing w:after="0"/>
              <w:rPr>
                <w:sz w:val="1"/>
                <w:szCs w:val="1"/>
                <w:color w:val="auto"/>
              </w:rPr>
            </w:pPr>
          </w:p>
        </w:tc>
      </w:tr>
      <w:tr>
        <w:trPr>
          <w:trHeight w:val="182"/>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w w:val="92"/>
              </w:rPr>
              <w:t>Name and Address of Portfolio Company</w:t>
            </w:r>
          </w:p>
        </w:tc>
        <w:tc>
          <w:tcPr>
            <w:tcW w:w="1700" w:type="dxa"/>
            <w:vAlign w:val="bottom"/>
          </w:tcPr>
          <w:p>
            <w:pPr>
              <w:spacing w:after="0"/>
              <w:rPr>
                <w:sz w:val="15"/>
                <w:szCs w:val="15"/>
                <w:color w:val="auto"/>
              </w:rPr>
            </w:pPr>
          </w:p>
        </w:tc>
        <w:tc>
          <w:tcPr>
            <w:tcW w:w="4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4"/>
              </w:rPr>
              <w:t>Nature of Business</w:t>
            </w:r>
          </w:p>
        </w:tc>
        <w:tc>
          <w:tcPr>
            <w:tcW w:w="23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6"/>
              </w:rPr>
              <w:t>Type of Investment</w:t>
            </w:r>
          </w:p>
        </w:tc>
        <w:tc>
          <w:tcPr>
            <w:tcW w:w="760" w:type="dxa"/>
            <w:vAlign w:val="bottom"/>
          </w:tcPr>
          <w:p>
            <w:pPr>
              <w:jc w:val="center"/>
              <w:spacing w:after="0" w:line="162" w:lineRule="exact"/>
              <w:rPr>
                <w:sz w:val="20"/>
                <w:szCs w:val="20"/>
                <w:color w:val="auto"/>
              </w:rPr>
            </w:pPr>
            <w:r>
              <w:rPr>
                <w:rFonts w:ascii="Arial" w:cs="Arial" w:eastAsia="Arial" w:hAnsi="Arial"/>
                <w:sz w:val="12"/>
                <w:szCs w:val="12"/>
                <w:b w:val="1"/>
                <w:bCs w:val="1"/>
                <w:color w:val="auto"/>
                <w:w w:val="99"/>
              </w:rPr>
              <w:t>Ownership</w:t>
            </w:r>
            <w:r>
              <w:rPr>
                <w:rFonts w:ascii="Arial" w:cs="Arial" w:eastAsia="Arial" w:hAnsi="Arial"/>
                <w:sz w:val="18"/>
                <w:szCs w:val="18"/>
                <w:b w:val="1"/>
                <w:bCs w:val="1"/>
                <w:color w:val="auto"/>
                <w:w w:val="99"/>
                <w:vertAlign w:val="superscript"/>
              </w:rPr>
              <w:t>(1)</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2520" w:type="dxa"/>
            <w:vAlign w:val="bottom"/>
            <w:tcBorders>
              <w:top w:val="single" w:sz="8" w:color="auto"/>
            </w:tcBorders>
          </w:tcPr>
          <w:p>
            <w:pPr>
              <w:spacing w:after="0"/>
              <w:rPr>
                <w:sz w:val="3"/>
                <w:szCs w:val="3"/>
                <w:color w:val="auto"/>
              </w:rPr>
            </w:pPr>
          </w:p>
        </w:tc>
        <w:tc>
          <w:tcPr>
            <w:tcW w:w="1700" w:type="dxa"/>
            <w:vAlign w:val="bottom"/>
          </w:tcPr>
          <w:p>
            <w:pPr>
              <w:spacing w:after="0"/>
              <w:rPr>
                <w:sz w:val="3"/>
                <w:szCs w:val="3"/>
                <w:color w:val="auto"/>
              </w:rPr>
            </w:pPr>
          </w:p>
        </w:tc>
        <w:tc>
          <w:tcPr>
            <w:tcW w:w="362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1960" w:type="dxa"/>
            <w:vAlign w:val="bottom"/>
            <w:tcBorders>
              <w:top w:val="single" w:sz="8" w:color="auto"/>
            </w:tcBorders>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Borders>
              <w:top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700" w:type="dxa"/>
            <w:vAlign w:val="bottom"/>
            <w:shd w:val="clear" w:color="auto" w:fill="CCEEFF"/>
          </w:tcPr>
          <w:p>
            <w:pPr>
              <w:spacing w:after="0"/>
              <w:rPr>
                <w:sz w:val="11"/>
                <w:szCs w:val="11"/>
                <w:color w:val="auto"/>
              </w:rPr>
            </w:pPr>
          </w:p>
        </w:tc>
        <w:tc>
          <w:tcPr>
            <w:tcW w:w="404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90"/>
              </w:rPr>
              <w:t>Media: Advertising, Printing and Publishing</w:t>
            </w:r>
          </w:p>
        </w:tc>
        <w:tc>
          <w:tcPr>
            <w:tcW w:w="238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220 Lexington Green Circle, Suite 300</w:t>
            </w:r>
          </w:p>
        </w:tc>
        <w:tc>
          <w:tcPr>
            <w:tcW w:w="17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Lexington, KY 40503</w:t>
            </w:r>
          </w:p>
        </w:tc>
        <w:tc>
          <w:tcPr>
            <w:tcW w:w="170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Virtual Radiologic Corporation</w:t>
            </w:r>
          </w:p>
        </w:tc>
        <w:tc>
          <w:tcPr>
            <w:tcW w:w="1700" w:type="dxa"/>
            <w:vAlign w:val="bottom"/>
          </w:tcPr>
          <w:p>
            <w:pPr>
              <w:spacing w:after="0"/>
              <w:rPr>
                <w:sz w:val="17"/>
                <w:szCs w:val="17"/>
                <w:color w:val="auto"/>
              </w:rPr>
            </w:pPr>
          </w:p>
        </w:tc>
        <w:tc>
          <w:tcPr>
            <w:tcW w:w="4040" w:type="dxa"/>
            <w:vAlign w:val="bottom"/>
            <w:gridSpan w:val="2"/>
          </w:tcPr>
          <w:p>
            <w:pPr>
              <w:jc w:val="center"/>
              <w:ind w:right="420"/>
              <w:spacing w:after="0"/>
              <w:rPr>
                <w:sz w:val="20"/>
                <w:szCs w:val="20"/>
                <w:color w:val="auto"/>
              </w:rPr>
            </w:pPr>
            <w:r>
              <w:rPr>
                <w:rFonts w:ascii="Arial" w:cs="Arial" w:eastAsia="Arial" w:hAnsi="Arial"/>
                <w:sz w:val="14"/>
                <w:szCs w:val="14"/>
                <w:color w:val="auto"/>
                <w:w w:val="85"/>
              </w:rPr>
              <w:t>Business Services</w:t>
            </w:r>
          </w:p>
        </w:tc>
        <w:tc>
          <w:tcPr>
            <w:tcW w:w="2380" w:type="dxa"/>
            <w:vAlign w:val="bottom"/>
            <w:gridSpan w:val="2"/>
          </w:tcPr>
          <w:p>
            <w:pPr>
              <w:jc w:val="center"/>
              <w:ind w:right="44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11995 Singletree Lane, Suite 500</w:t>
            </w:r>
          </w:p>
        </w:tc>
        <w:tc>
          <w:tcPr>
            <w:tcW w:w="17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Eden Prairie, MN 55344</w:t>
            </w:r>
          </w:p>
        </w:tc>
        <w:tc>
          <w:tcPr>
            <w:tcW w:w="1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Water Pik, Inc.</w:t>
            </w:r>
          </w:p>
        </w:tc>
        <w:tc>
          <w:tcPr>
            <w:tcW w:w="1700" w:type="dxa"/>
            <w:vAlign w:val="bottom"/>
            <w:shd w:val="clear" w:color="auto" w:fill="CCEEFF"/>
          </w:tcPr>
          <w:p>
            <w:pPr>
              <w:spacing w:after="0"/>
              <w:rPr>
                <w:sz w:val="11"/>
                <w:szCs w:val="11"/>
                <w:color w:val="auto"/>
              </w:rPr>
            </w:pPr>
          </w:p>
        </w:tc>
        <w:tc>
          <w:tcPr>
            <w:tcW w:w="404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6"/>
              </w:rPr>
              <w:t>Consumer Goods: Durable</w:t>
            </w:r>
          </w:p>
        </w:tc>
        <w:tc>
          <w:tcPr>
            <w:tcW w:w="238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1730 East Prospect Road</w:t>
            </w:r>
          </w:p>
        </w:tc>
        <w:tc>
          <w:tcPr>
            <w:tcW w:w="17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Fort Collins, CO 80553</w:t>
            </w:r>
          </w:p>
        </w:tc>
        <w:tc>
          <w:tcPr>
            <w:tcW w:w="170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540" w:type="dxa"/>
            <w:vAlign w:val="bottom"/>
            <w:gridSpan w:val="2"/>
          </w:tcPr>
          <w:p>
            <w:pPr>
              <w:spacing w:after="0"/>
              <w:rPr>
                <w:sz w:val="20"/>
                <w:szCs w:val="20"/>
                <w:color w:val="auto"/>
              </w:rPr>
            </w:pPr>
            <w:r>
              <w:rPr>
                <w:rFonts w:ascii="Arial" w:cs="Arial" w:eastAsia="Arial" w:hAnsi="Arial"/>
                <w:sz w:val="14"/>
                <w:szCs w:val="14"/>
                <w:color w:val="auto"/>
              </w:rPr>
              <w:t>Wilton Brands, LLC</w:t>
            </w:r>
          </w:p>
        </w:tc>
        <w:tc>
          <w:tcPr>
            <w:tcW w:w="1700" w:type="dxa"/>
            <w:vAlign w:val="bottom"/>
          </w:tcPr>
          <w:p>
            <w:pPr>
              <w:spacing w:after="0"/>
              <w:rPr>
                <w:sz w:val="17"/>
                <w:szCs w:val="17"/>
                <w:color w:val="auto"/>
              </w:rPr>
            </w:pPr>
          </w:p>
        </w:tc>
        <w:tc>
          <w:tcPr>
            <w:tcW w:w="4040" w:type="dxa"/>
            <w:vAlign w:val="bottom"/>
            <w:gridSpan w:val="2"/>
          </w:tcPr>
          <w:p>
            <w:pPr>
              <w:jc w:val="center"/>
              <w:ind w:right="440"/>
              <w:spacing w:after="0"/>
              <w:rPr>
                <w:sz w:val="20"/>
                <w:szCs w:val="20"/>
                <w:color w:val="auto"/>
              </w:rPr>
            </w:pPr>
            <w:r>
              <w:rPr>
                <w:rFonts w:ascii="Arial" w:cs="Arial" w:eastAsia="Arial" w:hAnsi="Arial"/>
                <w:sz w:val="14"/>
                <w:szCs w:val="14"/>
                <w:color w:val="auto"/>
                <w:w w:val="87"/>
              </w:rPr>
              <w:t>Consumer Goods: Non-Durable</w:t>
            </w:r>
          </w:p>
        </w:tc>
        <w:tc>
          <w:tcPr>
            <w:tcW w:w="2380" w:type="dxa"/>
            <w:vAlign w:val="bottom"/>
            <w:gridSpan w:val="2"/>
          </w:tcPr>
          <w:p>
            <w:pPr>
              <w:jc w:val="center"/>
              <w:ind w:right="440"/>
              <w:spacing w:after="0"/>
              <w:rPr>
                <w:sz w:val="20"/>
                <w:szCs w:val="20"/>
                <w:color w:val="auto"/>
              </w:rPr>
            </w:pPr>
            <w:r>
              <w:rPr>
                <w:rFonts w:ascii="Arial" w:cs="Arial" w:eastAsia="Arial" w:hAnsi="Arial"/>
                <w:sz w:val="14"/>
                <w:szCs w:val="14"/>
                <w:color w:val="auto"/>
                <w:w w:val="88"/>
              </w:rPr>
              <w:t>First Lien Secured Debt</w:t>
            </w:r>
          </w:p>
        </w:tc>
        <w:tc>
          <w:tcPr>
            <w:tcW w:w="760" w:type="dxa"/>
            <w:vAlign w:val="bottom"/>
          </w:tcPr>
          <w:p>
            <w:pPr>
              <w:ind w:left="2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540" w:type="dxa"/>
            <w:vAlign w:val="bottom"/>
            <w:gridSpan w:val="2"/>
          </w:tcPr>
          <w:p>
            <w:pPr>
              <w:spacing w:after="0" w:line="149" w:lineRule="exact"/>
              <w:rPr>
                <w:sz w:val="20"/>
                <w:szCs w:val="20"/>
                <w:color w:val="auto"/>
              </w:rPr>
            </w:pPr>
            <w:r>
              <w:rPr>
                <w:rFonts w:ascii="Arial" w:cs="Arial" w:eastAsia="Arial" w:hAnsi="Arial"/>
                <w:sz w:val="14"/>
                <w:szCs w:val="14"/>
                <w:color w:val="auto"/>
              </w:rPr>
              <w:t>2240 W. 75th Street</w:t>
            </w:r>
          </w:p>
        </w:tc>
        <w:tc>
          <w:tcPr>
            <w:tcW w:w="170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540" w:type="dxa"/>
            <w:vAlign w:val="bottom"/>
            <w:gridSpan w:val="2"/>
          </w:tcPr>
          <w:p>
            <w:pPr>
              <w:spacing w:after="0"/>
              <w:rPr>
                <w:sz w:val="20"/>
                <w:szCs w:val="20"/>
                <w:color w:val="auto"/>
              </w:rPr>
            </w:pPr>
            <w:r>
              <w:rPr>
                <w:rFonts w:ascii="Arial" w:cs="Arial" w:eastAsia="Arial" w:hAnsi="Arial"/>
                <w:sz w:val="14"/>
                <w:szCs w:val="14"/>
                <w:color w:val="auto"/>
              </w:rPr>
              <w:t>Woodridge, IL 60517</w:t>
            </w:r>
          </w:p>
        </w:tc>
        <w:tc>
          <w:tcPr>
            <w:tcW w:w="170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20" w:type="dxa"/>
            <w:vAlign w:val="bottom"/>
            <w:vMerge w:val="restart"/>
          </w:tcPr>
          <w:p>
            <w:pPr>
              <w:spacing w:after="0"/>
              <w:rPr>
                <w:sz w:val="5"/>
                <w:szCs w:val="5"/>
                <w:color w:val="auto"/>
              </w:rPr>
            </w:pPr>
          </w:p>
        </w:tc>
        <w:tc>
          <w:tcPr>
            <w:tcW w:w="25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3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5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Z Wireless</w:t>
            </w:r>
          </w:p>
        </w:tc>
        <w:tc>
          <w:tcPr>
            <w:tcW w:w="1700" w:type="dxa"/>
            <w:vAlign w:val="bottom"/>
            <w:shd w:val="clear" w:color="auto" w:fill="CCEEFF"/>
          </w:tcPr>
          <w:p>
            <w:pPr>
              <w:spacing w:after="0"/>
              <w:rPr>
                <w:sz w:val="11"/>
                <w:szCs w:val="11"/>
                <w:color w:val="auto"/>
              </w:rPr>
            </w:pPr>
          </w:p>
        </w:tc>
        <w:tc>
          <w:tcPr>
            <w:tcW w:w="404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9"/>
              </w:rPr>
              <w:t>Retail</w:t>
            </w:r>
          </w:p>
        </w:tc>
        <w:tc>
          <w:tcPr>
            <w:tcW w:w="2380" w:type="dxa"/>
            <w:vAlign w:val="bottom"/>
            <w:gridSpan w:val="2"/>
            <w:shd w:val="clear" w:color="auto" w:fill="CCEEFF"/>
          </w:tcPr>
          <w:p>
            <w:pPr>
              <w:jc w:val="center"/>
              <w:ind w:right="440"/>
              <w:spacing w:after="0" w:line="138" w:lineRule="exact"/>
              <w:rPr>
                <w:sz w:val="20"/>
                <w:szCs w:val="20"/>
                <w:color w:val="auto"/>
              </w:rPr>
            </w:pPr>
            <w:r>
              <w:rPr>
                <w:rFonts w:ascii="Arial" w:cs="Arial" w:eastAsia="Arial" w:hAnsi="Arial"/>
                <w:sz w:val="14"/>
                <w:szCs w:val="14"/>
                <w:color w:val="auto"/>
                <w:w w:val="88"/>
              </w:rPr>
              <w:t>First Lien Secured Debt</w:t>
            </w:r>
          </w:p>
        </w:tc>
        <w:tc>
          <w:tcPr>
            <w:tcW w:w="760" w:type="dxa"/>
            <w:vAlign w:val="bottom"/>
            <w:shd w:val="clear" w:color="auto" w:fill="CCEEFF"/>
          </w:tcPr>
          <w:p>
            <w:pPr>
              <w:ind w:left="280"/>
              <w:spacing w:after="0" w:line="138"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3109 West 41st Street, # 113</w:t>
            </w:r>
          </w:p>
        </w:tc>
        <w:tc>
          <w:tcPr>
            <w:tcW w:w="1700" w:type="dxa"/>
            <w:vAlign w:val="bottom"/>
            <w:shd w:val="clear" w:color="auto" w:fill="CCEEFF"/>
          </w:tcPr>
          <w:p>
            <w:pPr>
              <w:spacing w:after="0"/>
              <w:rPr>
                <w:sz w:val="12"/>
                <w:szCs w:val="12"/>
                <w:color w:val="auto"/>
              </w:rPr>
            </w:pPr>
          </w:p>
        </w:tc>
        <w:tc>
          <w:tcPr>
            <w:tcW w:w="36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9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520" w:type="dxa"/>
            <w:vAlign w:val="bottom"/>
            <w:shd w:val="clear" w:color="auto" w:fill="CCEEFF"/>
          </w:tcPr>
          <w:p>
            <w:pPr>
              <w:spacing w:after="0"/>
              <w:rPr>
                <w:sz w:val="20"/>
                <w:szCs w:val="20"/>
                <w:color w:val="auto"/>
              </w:rPr>
            </w:pPr>
            <w:r>
              <w:rPr>
                <w:rFonts w:ascii="Arial" w:cs="Arial" w:eastAsia="Arial" w:hAnsi="Arial"/>
                <w:sz w:val="14"/>
                <w:szCs w:val="14"/>
                <w:color w:val="auto"/>
              </w:rPr>
              <w:t>Sioux Falls, SD 57105</w:t>
            </w:r>
          </w:p>
        </w:tc>
        <w:tc>
          <w:tcPr>
            <w:tcW w:w="1700" w:type="dxa"/>
            <w:vAlign w:val="bottom"/>
            <w:shd w:val="clear" w:color="auto" w:fill="CCEEFF"/>
          </w:tcPr>
          <w:p>
            <w:pPr>
              <w:spacing w:after="0"/>
              <w:rPr>
                <w:sz w:val="15"/>
                <w:szCs w:val="15"/>
                <w:color w:val="auto"/>
              </w:rPr>
            </w:pPr>
          </w:p>
        </w:tc>
        <w:tc>
          <w:tcPr>
            <w:tcW w:w="36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8" w:lineRule="exact"/>
        <w:rPr>
          <w:sz w:val="20"/>
          <w:szCs w:val="20"/>
          <w:color w:val="auto"/>
        </w:rPr>
      </w:pPr>
    </w:p>
    <w:p>
      <w:pPr>
        <w:ind w:left="340" w:hanging="332"/>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Voting ownership percentage refers only to common equity, preferred equity and warrants held, if any, were we have voting rights.</w:t>
      </w:r>
    </w:p>
    <w:p>
      <w:pPr>
        <w:spacing w:after="0" w:line="15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March 31, 2013 and September 30, 2012.</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80" w:type="dxa"/>
            <w:vAlign w:val="bottom"/>
            <w:gridSpan w:val="3"/>
          </w:tcPr>
          <w:p>
            <w:pPr>
              <w:spacing w:after="0"/>
              <w:rPr>
                <w:sz w:val="20"/>
                <w:szCs w:val="20"/>
                <w:color w:val="auto"/>
              </w:rPr>
            </w:pPr>
            <w:r>
              <w:rPr>
                <w:rFonts w:ascii="Arial" w:cs="Arial" w:eastAsia="Arial" w:hAnsi="Arial"/>
                <w:sz w:val="14"/>
                <w:szCs w:val="14"/>
                <w:b w:val="1"/>
                <w:bCs w:val="1"/>
                <w:color w:val="auto"/>
              </w:rPr>
              <w:t>Industry Classification</w:t>
            </w:r>
          </w:p>
        </w:tc>
        <w:tc>
          <w:tcPr>
            <w:tcW w:w="3440" w:type="dxa"/>
            <w:vAlign w:val="bottom"/>
          </w:tcPr>
          <w:p>
            <w:pPr>
              <w:spacing w:after="0"/>
              <w:rPr>
                <w:sz w:val="14"/>
                <w:szCs w:val="14"/>
                <w:color w:val="auto"/>
              </w:rPr>
            </w:pPr>
          </w:p>
        </w:tc>
        <w:tc>
          <w:tcPr>
            <w:tcW w:w="226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w w:val="88"/>
              </w:rPr>
              <w:t>March 31, 2013</w:t>
            </w:r>
          </w:p>
        </w:tc>
        <w:tc>
          <w:tcPr>
            <w:tcW w:w="13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September 30, 2012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CCEEFF"/>
            </w:tcBorders>
            <w:shd w:val="clear" w:color="auto" w:fill="000000"/>
          </w:tcPr>
          <w:p>
            <w:pPr>
              <w:spacing w:after="0" w:line="20" w:lineRule="exact"/>
              <w:rPr>
                <w:sz w:val="1"/>
                <w:szCs w:val="1"/>
                <w:color w:val="auto"/>
              </w:rPr>
            </w:pPr>
          </w:p>
        </w:tc>
        <w:tc>
          <w:tcPr>
            <w:tcW w:w="2980" w:type="dxa"/>
            <w:vAlign w:val="bottom"/>
            <w:tcBorders>
              <w:bottom w:val="single" w:sz="8" w:color="CCEEFF"/>
            </w:tcBorders>
          </w:tcPr>
          <w:p>
            <w:pPr>
              <w:spacing w:after="0" w:line="20" w:lineRule="exact"/>
              <w:rPr>
                <w:sz w:val="1"/>
                <w:szCs w:val="1"/>
                <w:color w:val="auto"/>
              </w:rPr>
            </w:pPr>
          </w:p>
        </w:tc>
        <w:tc>
          <w:tcPr>
            <w:tcW w:w="344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Hotel, Gaming and Leisure</w:t>
            </w:r>
          </w:p>
        </w:tc>
        <w:tc>
          <w:tcPr>
            <w:tcW w:w="3440" w:type="dxa"/>
            <w:vAlign w:val="bottom"/>
            <w:shd w:val="clear" w:color="auto" w:fill="CCEEFF"/>
          </w:tcPr>
          <w:p>
            <w:pPr>
              <w:spacing w:after="0"/>
              <w:rPr>
                <w:sz w:val="17"/>
                <w:szCs w:val="17"/>
                <w:color w:val="auto"/>
              </w:rPr>
            </w:pPr>
          </w:p>
        </w:tc>
        <w:tc>
          <w:tcPr>
            <w:tcW w:w="2260" w:type="dxa"/>
            <w:vAlign w:val="bottom"/>
            <w:gridSpan w:val="2"/>
            <w:shd w:val="clear" w:color="auto" w:fill="CCEEFF"/>
          </w:tcPr>
          <w:p>
            <w:pPr>
              <w:jc w:val="right"/>
              <w:ind w:right="1200"/>
              <w:spacing w:after="0" w:line="203" w:lineRule="exact"/>
              <w:rPr>
                <w:sz w:val="20"/>
                <w:szCs w:val="20"/>
                <w:color w:val="auto"/>
              </w:rPr>
            </w:pPr>
            <w:r>
              <w:rPr>
                <w:rFonts w:ascii="Arial" w:cs="Arial" w:eastAsia="Arial" w:hAnsi="Arial"/>
                <w:sz w:val="18"/>
                <w:szCs w:val="18"/>
                <w:color w:val="auto"/>
              </w:rPr>
              <w:t>13%</w:t>
            </w:r>
          </w:p>
        </w:tc>
        <w:tc>
          <w:tcPr>
            <w:tcW w:w="134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9%</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8%</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8%</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6%</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6%</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6%</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5%</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5%</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4%</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3%</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3%</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Energy: Oil and Gas</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Metals and Mining</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Consumer</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Environmental Industries</w:t>
            </w:r>
          </w:p>
        </w:tc>
        <w:tc>
          <w:tcPr>
            <w:tcW w:w="5700" w:type="dxa"/>
            <w:vAlign w:val="bottom"/>
            <w:gridSpan w:val="3"/>
          </w:tcPr>
          <w:p>
            <w:pPr>
              <w:jc w:val="right"/>
              <w:ind w:right="1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5700" w:type="dxa"/>
            <w:vAlign w:val="bottom"/>
            <w:gridSpan w:val="3"/>
            <w:shd w:val="clear" w:color="auto" w:fill="CCEEFF"/>
          </w:tcPr>
          <w:p>
            <w:pPr>
              <w:jc w:val="right"/>
              <w:ind w:right="1200"/>
              <w:spacing w:after="0"/>
              <w:rPr>
                <w:sz w:val="20"/>
                <w:szCs w:val="20"/>
                <w:color w:val="auto"/>
              </w:rPr>
            </w:pPr>
            <w:r>
              <w:rPr>
                <w:rFonts w:ascii="Arial" w:cs="Arial" w:eastAsia="Arial" w:hAnsi="Arial"/>
                <w:sz w:val="18"/>
                <w:szCs w:val="18"/>
                <w:color w:val="auto"/>
              </w:rPr>
              <w:t>1%</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gridSpan w:val="2"/>
          </w:tcPr>
          <w:p>
            <w:pPr>
              <w:spacing w:after="0"/>
              <w:rPr>
                <w:sz w:val="20"/>
                <w:szCs w:val="20"/>
                <w:color w:val="auto"/>
              </w:rPr>
            </w:pPr>
            <w:r>
              <w:rPr>
                <w:rFonts w:ascii="Arial" w:cs="Arial" w:eastAsia="Arial" w:hAnsi="Arial"/>
                <w:sz w:val="18"/>
                <w:szCs w:val="18"/>
                <w:color w:val="auto"/>
              </w:rPr>
              <w:t>All Other</w:t>
            </w:r>
          </w:p>
        </w:tc>
        <w:tc>
          <w:tcPr>
            <w:tcW w:w="3440" w:type="dxa"/>
            <w:vAlign w:val="bottom"/>
          </w:tcPr>
          <w:p>
            <w:pPr>
              <w:spacing w:after="0"/>
              <w:rPr>
                <w:sz w:val="18"/>
                <w:szCs w:val="18"/>
                <w:color w:val="auto"/>
              </w:rPr>
            </w:pPr>
          </w:p>
        </w:tc>
        <w:tc>
          <w:tcPr>
            <w:tcW w:w="2260" w:type="dxa"/>
            <w:vAlign w:val="bottom"/>
            <w:gridSpan w:val="2"/>
          </w:tcPr>
          <w:p>
            <w:pPr>
              <w:jc w:val="right"/>
              <w:ind w:right="1200"/>
              <w:spacing w:after="0"/>
              <w:rPr>
                <w:sz w:val="20"/>
                <w:szCs w:val="20"/>
                <w:color w:val="auto"/>
              </w:rPr>
            </w:pPr>
            <w:r>
              <w:rPr>
                <w:rFonts w:ascii="Arial" w:cs="Arial" w:eastAsia="Arial" w:hAnsi="Arial"/>
                <w:sz w:val="18"/>
                <w:szCs w:val="18"/>
                <w:color w:val="auto"/>
              </w:rPr>
              <w:t>1%</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380" w:type="dxa"/>
            <w:vAlign w:val="bottom"/>
          </w:tcPr>
          <w:p>
            <w:pPr>
              <w:spacing w:after="0"/>
              <w:rPr>
                <w:sz w:val="2"/>
                <w:szCs w:val="2"/>
                <w:color w:val="auto"/>
              </w:rPr>
            </w:pPr>
          </w:p>
        </w:tc>
        <w:tc>
          <w:tcPr>
            <w:tcW w:w="2980" w:type="dxa"/>
            <w:vAlign w:val="bottom"/>
          </w:tcPr>
          <w:p>
            <w:pPr>
              <w:spacing w:after="0"/>
              <w:rPr>
                <w:sz w:val="2"/>
                <w:szCs w:val="2"/>
                <w:color w:val="auto"/>
              </w:rPr>
            </w:pPr>
          </w:p>
        </w:tc>
        <w:tc>
          <w:tcPr>
            <w:tcW w:w="344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344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100%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3440" w:type="dxa"/>
            <w:vAlign w:val="bottom"/>
            <w:vMerge w:val="restart"/>
          </w:tcPr>
          <w:p>
            <w:pPr>
              <w:jc w:val="right"/>
              <w:ind w:right="1932"/>
              <w:spacing w:after="0"/>
              <w:rPr>
                <w:sz w:val="20"/>
                <w:szCs w:val="20"/>
                <w:color w:val="auto"/>
              </w:rPr>
            </w:pPr>
            <w:r>
              <w:rPr>
                <w:rFonts w:ascii="Arial" w:cs="Arial" w:eastAsia="Arial" w:hAnsi="Arial"/>
                <w:sz w:val="18"/>
                <w:szCs w:val="18"/>
                <w:color w:val="auto"/>
              </w:rPr>
              <w:t>75</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w:t>
      </w:r>
    </w:p>
    <w:p>
      <w:pPr>
        <w:spacing w:after="0" w:line="17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Our business and affairs are managed under the direction of our board of directors. The board of directors currently consists of five members, four of whom are not “interested persons” of the Company as defined in Section 2(a)(19) of the 1940 Act. We refer to these individuals as our Independent Directors. Our board of directors elects our officers, who serve at the discretion of the board of directors.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Under our charter, our directors are divided into three classes. Each class of directors holds office for a three-year term. At each annual meeting of our stockholders, the successors to the class of directors whose terms expire at such meeting will be elected to hold office for a term expiring at the annual meeting of stockholders held in the third year following the year of their election. Each director holds office for the term to which he or she is elected and until his or her successor is duly elected and qualifies.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Information regarding the board of directors is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4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vMerge w:val="restart"/>
          </w:tcPr>
          <w:p>
            <w:pPr>
              <w:spacing w:after="0"/>
              <w:rPr>
                <w:sz w:val="20"/>
                <w:szCs w:val="20"/>
                <w:color w:val="auto"/>
              </w:rPr>
            </w:pPr>
            <w:r>
              <w:rPr>
                <w:rFonts w:ascii="Arial" w:cs="Arial" w:eastAsia="Arial" w:hAnsi="Arial"/>
                <w:sz w:val="14"/>
                <w:szCs w:val="14"/>
                <w:b w:val="1"/>
                <w:bCs w:val="1"/>
                <w:color w:val="auto"/>
                <w:w w:val="83"/>
              </w:rPr>
              <w:t>Position</w:t>
            </w:r>
          </w:p>
        </w:tc>
        <w:tc>
          <w:tcPr>
            <w:tcW w:w="3860" w:type="dxa"/>
            <w:vAlign w:val="bottom"/>
            <w:vMerge w:val="restart"/>
          </w:tcPr>
          <w:p>
            <w:pPr>
              <w:spacing w:after="0"/>
              <w:rPr>
                <w:sz w:val="14"/>
                <w:szCs w:val="14"/>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Director</w:t>
            </w: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87"/>
              </w:rPr>
              <w:t>Expiration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400" w:type="dxa"/>
            <w:vAlign w:val="bottom"/>
            <w:vMerge w:val="continue"/>
          </w:tcPr>
          <w:p>
            <w:pPr>
              <w:spacing w:after="0"/>
              <w:rPr>
                <w:sz w:val="14"/>
                <w:szCs w:val="14"/>
                <w:color w:val="auto"/>
              </w:rPr>
            </w:pPr>
          </w:p>
        </w:tc>
        <w:tc>
          <w:tcPr>
            <w:tcW w:w="66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w w:val="83"/>
              </w:rPr>
              <w:t>Age</w:t>
            </w:r>
          </w:p>
        </w:tc>
        <w:tc>
          <w:tcPr>
            <w:tcW w:w="480" w:type="dxa"/>
            <w:vAlign w:val="bottom"/>
            <w:tcBorders>
              <w:bottom w:val="single" w:sz="8" w:color="auto"/>
            </w:tcBorders>
            <w:vMerge w:val="continue"/>
          </w:tcPr>
          <w:p>
            <w:pPr>
              <w:spacing w:after="0"/>
              <w:rPr>
                <w:sz w:val="14"/>
                <w:szCs w:val="14"/>
                <w:color w:val="auto"/>
              </w:rPr>
            </w:pPr>
          </w:p>
        </w:tc>
        <w:tc>
          <w:tcPr>
            <w:tcW w:w="3860" w:type="dxa"/>
            <w:vAlign w:val="bottom"/>
            <w:vMerge w:val="continue"/>
          </w:tcPr>
          <w:p>
            <w:pPr>
              <w:spacing w:after="0"/>
              <w:rPr>
                <w:sz w:val="14"/>
                <w:szCs w:val="14"/>
                <w:color w:val="auto"/>
              </w:rPr>
            </w:pPr>
          </w:p>
        </w:tc>
        <w:tc>
          <w:tcPr>
            <w:tcW w:w="92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Since</w:t>
            </w:r>
          </w:p>
        </w:tc>
        <w:tc>
          <w:tcPr>
            <w:tcW w:w="620" w:type="dxa"/>
            <w:vAlign w:val="bottom"/>
          </w:tcPr>
          <w:p>
            <w:pPr>
              <w:jc w:val="right"/>
              <w:spacing w:after="0" w:line="148" w:lineRule="exact"/>
              <w:rPr>
                <w:sz w:val="20"/>
                <w:szCs w:val="20"/>
                <w:color w:val="auto"/>
              </w:rPr>
            </w:pPr>
            <w:r>
              <w:rPr>
                <w:rFonts w:ascii="Arial" w:cs="Arial" w:eastAsia="Arial" w:hAnsi="Arial"/>
                <w:sz w:val="14"/>
                <w:szCs w:val="14"/>
                <w:b w:val="1"/>
                <w:bCs w:val="1"/>
                <w:color w:val="auto"/>
              </w:rPr>
              <w:t>of Term</w:t>
            </w:r>
          </w:p>
        </w:tc>
        <w:tc>
          <w:tcPr>
            <w:tcW w:w="0" w:type="dxa"/>
            <w:vAlign w:val="bottom"/>
          </w:tcPr>
          <w:p>
            <w:pPr>
              <w:spacing w:after="0"/>
              <w:rPr>
                <w:sz w:val="1"/>
                <w:szCs w:val="1"/>
                <w:color w:val="auto"/>
              </w:rPr>
            </w:pPr>
          </w:p>
        </w:tc>
      </w:tr>
      <w:tr>
        <w:trPr>
          <w:trHeight w:val="181"/>
        </w:trPr>
        <w:tc>
          <w:tcPr>
            <w:tcW w:w="4780" w:type="dxa"/>
            <w:vAlign w:val="bottom"/>
            <w:gridSpan w:val="2"/>
          </w:tcPr>
          <w:p>
            <w:pPr>
              <w:spacing w:after="0" w:line="182" w:lineRule="exact"/>
              <w:rPr>
                <w:sz w:val="20"/>
                <w:szCs w:val="20"/>
                <w:color w:val="auto"/>
              </w:rPr>
            </w:pPr>
            <w:r>
              <w:rPr>
                <w:rFonts w:ascii="Arial" w:cs="Arial" w:eastAsia="Arial" w:hAnsi="Arial"/>
                <w:sz w:val="18"/>
                <w:szCs w:val="18"/>
                <w:b w:val="1"/>
                <w:bCs w:val="1"/>
                <w:color w:val="auto"/>
              </w:rPr>
              <w:t>Independent Directors</w:t>
            </w:r>
          </w:p>
        </w:tc>
        <w:tc>
          <w:tcPr>
            <w:tcW w:w="24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Adam K. Bernstein</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00" w:type="dxa"/>
            <w:vAlign w:val="bottom"/>
          </w:tcPr>
          <w:p>
            <w:pPr>
              <w:jc w:val="right"/>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Marshall Brozost</w:t>
            </w:r>
          </w:p>
        </w:tc>
        <w:tc>
          <w:tcPr>
            <w:tcW w:w="240" w:type="dxa"/>
            <w:vAlign w:val="bottom"/>
          </w:tcPr>
          <w:p>
            <w:pPr>
              <w:jc w:val="right"/>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00" w:type="dxa"/>
            <w:vAlign w:val="bottom"/>
          </w:tcPr>
          <w:p>
            <w:pPr>
              <w:jc w:val="right"/>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Jeffrey Flug</w:t>
            </w:r>
          </w:p>
        </w:tc>
        <w:tc>
          <w:tcPr>
            <w:tcW w:w="240" w:type="dxa"/>
            <w:vAlign w:val="bottom"/>
          </w:tcPr>
          <w:p>
            <w:pPr>
              <w:jc w:val="right"/>
              <w:spacing w:after="0"/>
              <w:rPr>
                <w:sz w:val="20"/>
                <w:szCs w:val="20"/>
                <w:color w:val="auto"/>
              </w:rPr>
            </w:pPr>
            <w:r>
              <w:rPr>
                <w:rFonts w:ascii="Arial" w:cs="Arial" w:eastAsia="Arial" w:hAnsi="Arial"/>
                <w:sz w:val="18"/>
                <w:szCs w:val="18"/>
                <w:color w:val="auto"/>
              </w:rPr>
              <w:t>50</w:t>
            </w:r>
          </w:p>
        </w:tc>
        <w:tc>
          <w:tcPr>
            <w:tcW w:w="420" w:type="dxa"/>
            <w:vAlign w:val="bottom"/>
          </w:tcPr>
          <w:p>
            <w:pPr>
              <w:spacing w:after="0"/>
              <w:rPr>
                <w:sz w:val="18"/>
                <w:szCs w:val="18"/>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00" w:type="dxa"/>
            <w:vAlign w:val="bottom"/>
          </w:tcPr>
          <w:p>
            <w:pPr>
              <w:jc w:val="right"/>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Samuel L. Katz</w:t>
            </w:r>
          </w:p>
        </w:tc>
        <w:tc>
          <w:tcPr>
            <w:tcW w:w="240" w:type="dxa"/>
            <w:vAlign w:val="bottom"/>
          </w:tcPr>
          <w:p>
            <w:pPr>
              <w:jc w:val="right"/>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00" w:type="dxa"/>
            <w:vAlign w:val="bottom"/>
          </w:tcPr>
          <w:p>
            <w:pPr>
              <w:jc w:val="right"/>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2015</w:t>
            </w:r>
          </w:p>
        </w:tc>
        <w:tc>
          <w:tcPr>
            <w:tcW w:w="0" w:type="dxa"/>
            <w:vAlign w:val="bottom"/>
          </w:tcPr>
          <w:p>
            <w:pPr>
              <w:spacing w:after="0"/>
              <w:rPr>
                <w:sz w:val="1"/>
                <w:szCs w:val="1"/>
                <w:color w:val="auto"/>
              </w:rPr>
            </w:pPr>
          </w:p>
        </w:tc>
      </w:tr>
      <w:tr>
        <w:trPr>
          <w:trHeight w:val="318"/>
        </w:trPr>
        <w:tc>
          <w:tcPr>
            <w:tcW w:w="478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Arthur H. Penn</w:t>
            </w:r>
          </w:p>
        </w:tc>
        <w:tc>
          <w:tcPr>
            <w:tcW w:w="240" w:type="dxa"/>
            <w:vAlign w:val="bottom"/>
          </w:tcPr>
          <w:p>
            <w:pPr>
              <w:jc w:val="right"/>
              <w:spacing w:after="0"/>
              <w:rPr>
                <w:sz w:val="20"/>
                <w:szCs w:val="20"/>
                <w:color w:val="auto"/>
              </w:rPr>
            </w:pPr>
            <w:r>
              <w:rPr>
                <w:rFonts w:ascii="Arial" w:cs="Arial" w:eastAsia="Arial" w:hAnsi="Arial"/>
                <w:sz w:val="18"/>
                <w:szCs w:val="18"/>
                <w:color w:val="auto"/>
              </w:rPr>
              <w:t>49</w:t>
            </w:r>
          </w:p>
        </w:tc>
        <w:tc>
          <w:tcPr>
            <w:tcW w:w="420" w:type="dxa"/>
            <w:vAlign w:val="bottom"/>
          </w:tcPr>
          <w:p>
            <w:pPr>
              <w:spacing w:after="0"/>
              <w:rPr>
                <w:sz w:val="19"/>
                <w:szCs w:val="19"/>
                <w:color w:val="auto"/>
              </w:rPr>
            </w:pPr>
          </w:p>
        </w:tc>
        <w:tc>
          <w:tcPr>
            <w:tcW w:w="4340" w:type="dxa"/>
            <w:vAlign w:val="bottom"/>
            <w:gridSpan w:val="2"/>
          </w:tcPr>
          <w:p>
            <w:pPr>
              <w:spacing w:after="0"/>
              <w:rPr>
                <w:sz w:val="20"/>
                <w:szCs w:val="20"/>
                <w:color w:val="auto"/>
              </w:rPr>
            </w:pPr>
            <w:r>
              <w:rPr>
                <w:rFonts w:ascii="Arial" w:cs="Arial" w:eastAsia="Arial" w:hAnsi="Arial"/>
                <w:sz w:val="18"/>
                <w:szCs w:val="18"/>
                <w:color w:val="auto"/>
              </w:rPr>
              <w:t>Chairman of the Board and Chief Executive Officer</w:t>
            </w:r>
          </w:p>
        </w:tc>
        <w:tc>
          <w:tcPr>
            <w:tcW w:w="500" w:type="dxa"/>
            <w:vAlign w:val="bottom"/>
          </w:tcPr>
          <w:p>
            <w:pPr>
              <w:jc w:val="right"/>
              <w:spacing w:after="0"/>
              <w:rPr>
                <w:sz w:val="20"/>
                <w:szCs w:val="20"/>
                <w:color w:val="auto"/>
              </w:rPr>
            </w:pPr>
            <w:r>
              <w:rPr>
                <w:rFonts w:ascii="Arial" w:cs="Arial" w:eastAsia="Arial" w:hAnsi="Arial"/>
                <w:sz w:val="18"/>
                <w:szCs w:val="18"/>
                <w:color w:val="auto"/>
              </w:rPr>
              <w:t>2010</w:t>
            </w:r>
          </w:p>
        </w:tc>
        <w:tc>
          <w:tcPr>
            <w:tcW w:w="42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2014</w:t>
            </w: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executive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3620" w:type="dxa"/>
            <w:vAlign w:val="bottom"/>
          </w:tcPr>
          <w:p>
            <w:pPr>
              <w:spacing w:after="0"/>
              <w:rPr>
                <w:sz w:val="15"/>
                <w:szCs w:val="15"/>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5"/>
              </w:rPr>
              <w:t>Age</w:t>
            </w: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2160" w:type="dxa"/>
            <w:vAlign w:val="bottom"/>
          </w:tcPr>
          <w:p>
            <w:pPr>
              <w:spacing w:after="0"/>
              <w:rPr>
                <w:sz w:val="15"/>
                <w:szCs w:val="15"/>
                <w:color w:val="auto"/>
              </w:rPr>
            </w:pPr>
          </w:p>
        </w:tc>
      </w:tr>
      <w:tr>
        <w:trPr>
          <w:trHeight w:val="209"/>
        </w:trPr>
        <w:tc>
          <w:tcPr>
            <w:tcW w:w="920" w:type="dxa"/>
            <w:vAlign w:val="bottom"/>
          </w:tcPr>
          <w:p>
            <w:pPr>
              <w:spacing w:after="0" w:line="202" w:lineRule="exact"/>
              <w:rPr>
                <w:sz w:val="20"/>
                <w:szCs w:val="20"/>
                <w:color w:val="auto"/>
              </w:rPr>
            </w:pPr>
            <w:r>
              <w:rPr>
                <w:rFonts w:ascii="Arial" w:cs="Arial" w:eastAsia="Arial" w:hAnsi="Arial"/>
                <w:sz w:val="18"/>
                <w:szCs w:val="18"/>
                <w:color w:val="auto"/>
              </w:rPr>
              <w:t>Aviv Efrat</w:t>
            </w:r>
          </w:p>
        </w:tc>
        <w:tc>
          <w:tcPr>
            <w:tcW w:w="3620" w:type="dxa"/>
            <w:vAlign w:val="bottom"/>
          </w:tcPr>
          <w:p>
            <w:pPr>
              <w:spacing w:after="0"/>
              <w:rPr>
                <w:sz w:val="18"/>
                <w:szCs w:val="18"/>
                <w:color w:val="auto"/>
              </w:rPr>
            </w:pP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49</w:t>
            </w:r>
          </w:p>
        </w:tc>
        <w:tc>
          <w:tcPr>
            <w:tcW w:w="320" w:type="dxa"/>
            <w:vAlign w:val="bottom"/>
          </w:tcPr>
          <w:p>
            <w:pPr>
              <w:spacing w:after="0"/>
              <w:rPr>
                <w:sz w:val="18"/>
                <w:szCs w:val="18"/>
                <w:color w:val="auto"/>
              </w:rPr>
            </w:pPr>
          </w:p>
        </w:tc>
        <w:tc>
          <w:tcPr>
            <w:tcW w:w="2640" w:type="dxa"/>
            <w:vAlign w:val="bottom"/>
            <w:gridSpan w:val="2"/>
          </w:tcPr>
          <w:p>
            <w:pPr>
              <w:spacing w:after="0" w:line="202" w:lineRule="exact"/>
              <w:rPr>
                <w:sz w:val="20"/>
                <w:szCs w:val="20"/>
                <w:color w:val="auto"/>
              </w:rPr>
            </w:pPr>
            <w:r>
              <w:rPr>
                <w:rFonts w:ascii="Arial" w:cs="Arial" w:eastAsia="Arial" w:hAnsi="Arial"/>
                <w:sz w:val="18"/>
                <w:szCs w:val="18"/>
                <w:color w:val="auto"/>
                <w:w w:val="88"/>
              </w:rPr>
              <w:t>Chief Financial Officer and Treasurer</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Officer Who is Not a Director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pertains to our officer who is not a director of PennantPark Floating Rate Capital Ltd.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Name Address</w:t>
            </w:r>
          </w:p>
        </w:tc>
        <w:tc>
          <w:tcPr>
            <w:tcW w:w="3600" w:type="dxa"/>
            <w:vAlign w:val="bottom"/>
          </w:tcPr>
          <w:p>
            <w:pPr>
              <w:spacing w:after="0"/>
              <w:rPr>
                <w:sz w:val="15"/>
                <w:szCs w:val="15"/>
                <w:color w:val="auto"/>
              </w:rPr>
            </w:pPr>
          </w:p>
        </w:tc>
        <w:tc>
          <w:tcPr>
            <w:tcW w:w="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75"/>
              </w:rPr>
              <w:t>Age</w:t>
            </w: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3"/>
              </w:rPr>
              <w:t>Position</w:t>
            </w:r>
          </w:p>
        </w:tc>
        <w:tc>
          <w:tcPr>
            <w:tcW w:w="1340" w:type="dxa"/>
            <w:vAlign w:val="bottom"/>
          </w:tcPr>
          <w:p>
            <w:pPr>
              <w:spacing w:after="0"/>
              <w:rPr>
                <w:sz w:val="15"/>
                <w:szCs w:val="15"/>
                <w:color w:val="auto"/>
              </w:rPr>
            </w:pPr>
          </w:p>
        </w:tc>
      </w:tr>
      <w:tr>
        <w:trPr>
          <w:trHeight w:val="209"/>
        </w:trPr>
        <w:tc>
          <w:tcPr>
            <w:tcW w:w="4520" w:type="dxa"/>
            <w:vAlign w:val="bottom"/>
            <w:gridSpan w:val="2"/>
          </w:tcPr>
          <w:p>
            <w:pPr>
              <w:spacing w:after="0" w:line="202" w:lineRule="exact"/>
              <w:rPr>
                <w:sz w:val="20"/>
                <w:szCs w:val="20"/>
                <w:color w:val="auto"/>
              </w:rPr>
            </w:pPr>
            <w:r>
              <w:rPr>
                <w:rFonts w:ascii="Arial" w:cs="Arial" w:eastAsia="Arial" w:hAnsi="Arial"/>
                <w:sz w:val="18"/>
                <w:szCs w:val="18"/>
                <w:color w:val="auto"/>
              </w:rPr>
              <w:t>Guy F. Talarico</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57</w:t>
            </w:r>
          </w:p>
        </w:tc>
        <w:tc>
          <w:tcPr>
            <w:tcW w:w="320" w:type="dxa"/>
            <w:vAlign w:val="bottom"/>
          </w:tcPr>
          <w:p>
            <w:pPr>
              <w:spacing w:after="0"/>
              <w:rPr>
                <w:sz w:val="18"/>
                <w:szCs w:val="18"/>
                <w:color w:val="auto"/>
              </w:rPr>
            </w:pPr>
          </w:p>
        </w:tc>
        <w:tc>
          <w:tcPr>
            <w:tcW w:w="1820" w:type="dxa"/>
            <w:vAlign w:val="bottom"/>
            <w:gridSpan w:val="2"/>
          </w:tcPr>
          <w:p>
            <w:pPr>
              <w:spacing w:after="0" w:line="202" w:lineRule="exact"/>
              <w:rPr>
                <w:sz w:val="20"/>
                <w:szCs w:val="20"/>
                <w:color w:val="auto"/>
              </w:rPr>
            </w:pPr>
            <w:r>
              <w:rPr>
                <w:rFonts w:ascii="Arial" w:cs="Arial" w:eastAsia="Arial" w:hAnsi="Arial"/>
                <w:sz w:val="18"/>
                <w:szCs w:val="18"/>
                <w:color w:val="auto"/>
                <w:w w:val="89"/>
              </w:rPr>
              <w:t>Chief Compliance Officer</w:t>
            </w: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executive offices are located at 590 Madison Avenue, 15th Floor, New York, New York 10022.</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Composition and Leadership Structure</w:t>
      </w:r>
    </w:p>
    <w:p>
      <w:pPr>
        <w:spacing w:after="0" w:line="90"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The 1940 Act requires that at least a majority of our directors not be “interested persons” (as defined in the 1940 Act) of the Company. Currently, four of our five directors are Independent Directors. The Chairman of our board of directors is our Chief Executive Officer and therefore an interested person of us. The Independent Directors believe that the combined positions of our Chief Executive Officer and Chairman of the board of directors results in efficiencies in managing us by eliminating the need to transfer substantial information quickly</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459" w:right="2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and repeatedly between the Chief Executive Officer and the Chairman and by offering the ability to capitalize on the specialized knowledge acquired from the duties of the roles. The board of directors has not identified a lead Independent Director; however, it has determined that its leadership structure, in which 80% of the directors are Independent Directors and, as such, are not affiliated with the Investment Adviser or Administrator, is appropriate in light of the services that the Investment Adviser and the Administrator provides us and the potential conflicts of interest that could arise from these relationships.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of Directors’ Risk Oversight Role</w:t>
      </w:r>
    </w:p>
    <w:p>
      <w:pPr>
        <w:spacing w:after="0" w:line="90"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board of directors performs its risk oversight function primarily through (1) its two standing committees, described more fully below, which report to the entire board of directors and are comprised solely of Independent Directors and (2) monitoring by our Chief Compliance Officer in accordance with our compliance policies and procedures.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As described below in more detail under “Audit Committee” and “Nominating and Corporate Governance Committee,” the board of directors’ Audit Committee and Nominating and Corporate Governance Committee assist the board of directors in fulfilling its risk oversight responsibilities. The Audit Committee’s risk oversight responsibilities include overseeing our accounting and financial reporting processes, including the annual audit of our financial statements and systems of internal controls regarding finance and accounting, pre-approving the independent accountants’ engagement to render audit and/or permissible non-audit services; and evaluating the qualifications, performance and independence of the independent accountants. The Nominating and Corporate Governance Committee’s risk oversight responsibilities include selecting, researching and nominating directors for election by our stockholders, developing and recommending to the board of directors a set of corporate governance principles and overseeing the evaluation of the directors and our management. Both the Audit Committee and the Nominating and Corporate Governance Committee consist solely of Independent Directors.</w:t>
      </w:r>
    </w:p>
    <w:p>
      <w:pPr>
        <w:spacing w:after="0" w:line="11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The board of directors also performs its risk oversight responsibilities with the assistance of the Chief Compliance Officer. Our Chief Compliance Officer prepares a written report annually discussing the adequacy and effectiveness of our compliance policies and procedures and certain of our service providers. The Chief Compliance Officer’s report, which is reviewed by the board of directors, addresses at a minimum (1) the operation of our compliance policies and procedures and certain of our service providers since the last report; (2) any material changes to such policies and procedures since the last report; (3) any recommendations for material changes to such policies and procedures as a result of the Chief Compliance Officer’s annual review; and (4) any compliance matter that has occurred since the date of the last report about which the board of directors would reasonably need to know to oversee our compliance activities and risks. In addition, the Chief Compliance Officer meets separately in executive session with the Independent Directors at least once each year.</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believe that the board of directors’ role in risk oversight is effective and appropriate given the extensive regulation to which it is already subject as a BDC. Specifically, as a BDC, we must comply with certain regulatory requirements that control the levels of risk in its business and operations. For example, our ability to incur indebtedness is limited such that we are in compliance with our asset coverage ratio, as set forth in the 1940 Act, and we generally must invest at least 70% of our total assets in “qualifying assets.” In addition, we elected to be treated as a RIC under the Code. As a RIC we must, among other things, meet certain income source and asset diversification requirements.</w:t>
      </w:r>
    </w:p>
    <w:p>
      <w:pPr>
        <w:spacing w:after="0" w:line="1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believe that the extent of the board of directors’ and its committees’ roles in risk oversight complements the board of directors leadership structure. Because they are comprised solely of Independent Directors, the Audit Committee and the Nominating and Corporate Governance Committee are able to exercise their oversight responsibilities without any conflict of interest that might discourage critical questioning and review. Through regular executive session meetings with the independent auditors, Chief Compliance Officer and Chief Executive Officer, the Independent Directors have similarly established direct communication and oversight channels that the board of directors believes foster open communication and early detection of issues of concern.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00"/>
          </w:cols>
          <w:pgMar w:left="240" w:top="459" w:right="2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believe that board of directors’ role in risk oversight must be evaluated on a case by case basis and that the current configuration and allocation of responsibilities among the board of directors and its committees with respect to the oversight of risk is appropriate. However, the board of directors and its committees continually re-examine the manner in which they administers their respective risk oversight functions, including through formal annual assessments, to ensure that they meet our needs.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Biographical Information</w:t>
      </w:r>
    </w:p>
    <w:p>
      <w:pPr>
        <w:spacing w:after="0" w:line="96" w:lineRule="exact"/>
        <w:rPr>
          <w:sz w:val="20"/>
          <w:szCs w:val="20"/>
          <w:color w:val="auto"/>
        </w:rPr>
      </w:pPr>
    </w:p>
    <w:p>
      <w:pPr>
        <w:ind w:right="180" w:firstLine="456"/>
        <w:spacing w:after="0" w:line="298" w:lineRule="auto"/>
        <w:rPr>
          <w:sz w:val="20"/>
          <w:szCs w:val="20"/>
          <w:color w:val="auto"/>
        </w:rPr>
      </w:pPr>
      <w:r>
        <w:rPr>
          <w:rFonts w:ascii="Arial" w:cs="Arial" w:eastAsia="Arial" w:hAnsi="Arial"/>
          <w:sz w:val="16"/>
          <w:szCs w:val="16"/>
          <w:color w:val="auto"/>
        </w:rPr>
        <w:t>The board of directors believes that, collectively, the directors have balanced and diverse experience, qualifications, attributes and skills, which allow the board of directors to operate effectively in governing us and protecting the interests of our stockholders. Below is a description of the various experiences, qualifications, attributes and/or skills with respect to each director considered by the board of directors. Our directors have been divided into two groups-interested directors and Independent Directors. Interested directors are “interested persons” as defined in the 1940 Act.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Independent Directors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Adam K. Bernstein (49), Director. Mr. Bernstein became a Director of PennantPark Floating Rate Capital Ltd. and PennantPark Investment Corporation in October 2010 and February 2007, respectively. Mr. Bernstein is currently President of The Bernstein Companies, a Washington, D.C.-based real estate firm which he joined in 1986. Mr. Bernstein also serves as the President and Chief Executive Officer of Consortium Atlantic Realty Trust, Inc., a private real estate investment trust operating in the Mid-Atlantic region since its formation in 2000. Mr. Bernstein is the President of the Mid-Atlantic Regional Advisory Board of the University of Pennsylvania.</w:t>
      </w:r>
    </w:p>
    <w:p>
      <w:pPr>
        <w:spacing w:after="0" w:line="143" w:lineRule="exact"/>
        <w:rPr>
          <w:sz w:val="20"/>
          <w:szCs w:val="20"/>
          <w:color w:val="auto"/>
        </w:rPr>
      </w:pPr>
    </w:p>
    <w:p>
      <w:pPr>
        <w:ind w:right="340" w:firstLine="456"/>
        <w:spacing w:after="0" w:line="255" w:lineRule="auto"/>
        <w:rPr>
          <w:sz w:val="20"/>
          <w:szCs w:val="20"/>
          <w:color w:val="auto"/>
        </w:rPr>
      </w:pPr>
      <w:r>
        <w:rPr>
          <w:rFonts w:ascii="Arial" w:cs="Arial" w:eastAsia="Arial" w:hAnsi="Arial"/>
          <w:sz w:val="18"/>
          <w:szCs w:val="18"/>
          <w:color w:val="auto"/>
        </w:rPr>
        <w:t>Marshall Brozost (45), Director. Mr. Brozost became a Director of PennantPark Floating Rate Capital Ltd. and PennantPark Investment Corporation in October 2010 and February 2007, respectively. Since May 2012, Mr. Brozost has been a Partner at Schulte Roth &amp; Zabel, LLP, where he practices in the real estate and private equity groups. Prior to Schulte Roth &amp; Zabel, Mr. Brozost practiced law at O’Melveny &amp; Myers LLP from 2001 to 2004 and Solomon &amp; Weinberg LLP from 2004 to 2005 and Dewey &amp; LeBoeuf LLP from 2005 to 2012. Mr. Brozost also served as a Vice President of Nomura Asset Capital Corporation from 1997 through 2000.</w:t>
      </w:r>
    </w:p>
    <w:p>
      <w:pPr>
        <w:spacing w:after="0" w:line="143"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Jeffrey Flug (50), Director. Mr. Flug became a Director of PennantPark Floating Rate Capital Ltd. and PennantPark Investment Corporation in October 2010 and February 2007, respectively. Since October 2012, Mr. Flug has been a director of Sears Hometown and outlet store. Since 2009, Mr. Flug has been the President of Union Square Hospitality Group, LLC, an exclusive chain of restaurants. Mr. Flug was Chief Executive Officer and Executive Director of Millennium Promise Alliance, Inc. from 2006 to 2008. Millennium Promise is a non-profit organization whose mission is to eradicate extreme global poverty. Mr. Flug was Managing Director and Head of North American Institutional Sales at JP Morgan’s Investment Bank from 2000 to 2006. From 1988 to 2000, Mr. Flug was Managing Director for Goldman Sachs &amp; Co. in its Fixed Income Division.</w:t>
      </w:r>
    </w:p>
    <w:p>
      <w:pPr>
        <w:spacing w:after="0" w:line="12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Samuel L. Katz (47), Director. Mr. Katz became a Director of PennantPark Floating Rate Capital Ltd. and PennantPark Investment Corporation in October 2010 and February 2007, respectively. Since 2007, Mr. Katz has been the Managing Partner of TZP Group LLC, a private equity fund. He served as Chief Executive Officer of MacAndrews &amp; Forbes Acquisition Holdings, Inc. from 2006 to 2007. From 1996 to 2006, Mr. Katz held a variety of senior positions at Cendant Corporation including, most recently, Chairman and Chief Executive Officer of the Cendant Travel Distribution Services Division from 2001 to 2005. Mr. Katz was also Co-Chairman of Cendant’s Marketing Services Division as well as Chief Strategic Officer.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Interested Director</w:t>
      </w:r>
    </w:p>
    <w:p>
      <w:pPr>
        <w:spacing w:after="0" w:line="90"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Arthur H. Penn (49), Founder, Chief Executive Officer and Chairman of the board of directors. Mr. Penn became the Chief Executive Officer and a Director of PennantPark Floating Rate Capital Ltd. and PennantPark Investment Corporation at their inception in October 2010 and January 2007, respectively. He also founded and became Managing Member of PennantPark Investment Advisers in January 2007. Mr. Penn co-founded Apollo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00"/>
          </w:cols>
          <w:pgMar w:left="240" w:top="459" w:right="2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Investment Management in 2004, where he was a Managing Partner from 2004 to 2006. He also served as Chief Operating Officer of Apollo Investment Corporation from its inception in 2004 to 2006 and served as President and Chief Operating Officer of that company in 2006. Mr. Penn was formerly a Managing Partner of Apollo Value Fund L.P. (formerly Apollo Distressed Investment Fund, L.P.) from 2003 to 2006. From 2002 to 2003, prior to joining Apollo, Mr. Penn was a Managing Director of CDC-IXIS Capital Markets. Mr. Penn previously served as Global Head of Leveraged Finance at UBS Warburg LLC (now UBS Investment Bank) from 1999 through 2001. Prior to joining UBS Warburg, Mr. Penn was Global Head of Fixed Income Capital markets for BT Securities and BT Alex. Brown Incorporated from 1994 to 1999. From 1992 to 1994, Mr. Penn served as Head of High-Yield Capital Markets at Lehman Brothers.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 and Officer who are not Directors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Aviv Efrat (49), Chief Financial Officer and Treasurer. Mr. Efrat became the Chief Financial Officer and Treasurer of PennantPark Floating Rate Capital Ltd. and PennantPark Investment Corporation in October 2010 and February 2007, respectively. Mr. Efrat is also a Managing Director of PennantPark Investment Administration, LLC. Mr. Efrat was a Director at BlackRock, Inc., where he was responsible for a variety of administrative, operational, and financial aspects of closed-end and open-end registered investment companies, from 1997 to 2007. From 1994 to 1997, Mr. Efrat was in the Investment Companies Business Unit at Deloitte &amp; Touche LLP. He is a member of the American Institute of Certified Public Accountants and the New York State Society of Certified Public Accountants.</w:t>
      </w:r>
    </w:p>
    <w:p>
      <w:pPr>
        <w:spacing w:after="0" w:line="14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Guy F. Talarico (57), Chief Compliance Officer. Mr. Talarico became the Chief Compliance Officer of PennantPark Floating Rate Capital Ltd. and PennantPark Investment Corporation in March 2011 and May 2008, respectively. Mr. Talarico has served as Chief Compliance Officer for investment advisers, private funds and investment companies since 2004. From 2001 to 2004, Mr. Talarico was Senior Director at Investors Bank &amp; Trust Company where he was servicing investment advisers, mutual funds and institutions. From 1986 to 2001, Mr. Talarico was a division executive with JPMorgan Chase Bank, N.A., servicing equity and fixed-income portfolio management, money market trading and custody functions, as well as overseeing compliance. Mr. Talarico has been admitted to practice law in the States of New Jersey and New York.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96"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For the fiscal year ended September 30, 2012, we held four board of directors’ meetings, four Audit Committee meetings and one Nominating and Corporate Governance Committee Meeting. All directors attended at least 75% of the aggregate number of meetings of the board of directors and of the respective committees on which they served. We requires each director to make a diligent effort to attend all board of directors and committee meetings, and encourage directors to attend the annual stockholders meetings.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Committee</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members of the Audit Committee are Messrs. Bernstein, Brozost, Flug and Katz, each of whom is independent for purposes of the 1940 Act and the NASDAQ corporate governance rules. Messrs. Flug and Katz serve as Co-Chairman of the Audit Committee. The Audit Committee operates pursuant to an Audit Committee Charter approved by the board of directors. The charter sets forth the responsibilities of the Audit Committee, which include selecting or retaining each year an independent registered public accounting firm (the “auditors”) to audit our accounts and records; reviewing and discussing with management and our auditors the annual audited financial statements, including disclosures made in management’s discussion and analysis of financial condition and results of operations, and recommending to the board of directors whether the audited financial statements should be included in our annual report on Form 10-K; reviewing and discussing with management and the auditors our quarterly financial statements prior to the filings of our quarterly reports on Form 10-Q; pre-approving the auditors’ engagement to render audit and/or permissible non-audit services; and evaluating the qualifications, performance and independence of the auditors. The Audit Committee is also responsible for aiding</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459" w:right="23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 xml:space="preserve">our board of directors in fair value pricing of debt and equity securities. The board of directors and Audit Committee use the services of nationally recognized independent valuation firms to help them determine the fair value of certain securities. The Company’s board of directors has determined that each of Messrs. Flug and Katz is an “audit committee financial expert” as that term is defined under Item 407 of Regulation S-K under the Exchange Act. The Audit Committee Charter is available on our website </w:t>
      </w:r>
      <w:r>
        <w:rPr>
          <w:rFonts w:ascii="Arial" w:cs="Arial" w:eastAsia="Arial" w:hAnsi="Arial"/>
          <w:sz w:val="18"/>
          <w:szCs w:val="18"/>
          <w:i w:val="1"/>
          <w:iCs w:val="1"/>
          <w:u w:val="single" w:color="auto"/>
          <w:color w:val="auto"/>
        </w:rPr>
        <w:t>www.pennantpark.com</w:t>
      </w:r>
      <w:r>
        <w:rPr>
          <w:rFonts w:ascii="Arial" w:cs="Arial" w:eastAsia="Arial" w:hAnsi="Arial"/>
          <w:sz w:val="18"/>
          <w:szCs w:val="18"/>
          <w:color w:val="auto"/>
        </w:rPr>
        <w: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Nominating and Corporate Governance Committee</w:t>
      </w:r>
    </w:p>
    <w:p>
      <w:pPr>
        <w:spacing w:after="0" w:line="96"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 xml:space="preserve">The members of the Nominating and Corporate Governance Committee are Messrs. Bernstein, Brozost, Flug and Katz, each of whom is independent for purposes of the 1940 Act and the NASDAQ corporate governance rules. Messrs. Bernstein and Brozost serve as co-chairmen of the Nominating and Corporate Governance Committee. The Nominating and Corporate Governance Committee is responsible for selecting, researching and nominating directors for election by our stockholders, selecting nominees to fill vacancies on the board of directors or a committee of the board of directors, developing and recommending to the board of directors a set of corporate governance principles and overseeing the evaluation of the board and our management. The Nominating and Corporate Governance Committee has adopted a written Nominating and Corporate Governance Committee Charter that is available on our website </w:t>
      </w:r>
      <w:r>
        <w:rPr>
          <w:rFonts w:ascii="Arial" w:cs="Arial" w:eastAsia="Arial" w:hAnsi="Arial"/>
          <w:sz w:val="15"/>
          <w:szCs w:val="15"/>
          <w:i w:val="1"/>
          <w:iCs w:val="1"/>
          <w:u w:val="single" w:color="auto"/>
          <w:color w:val="auto"/>
        </w:rPr>
        <w:t>www.pennantpark.com</w:t>
      </w:r>
      <w:r>
        <w:rPr>
          <w:rFonts w:ascii="Arial" w:cs="Arial" w:eastAsia="Arial" w:hAnsi="Arial"/>
          <w:sz w:val="15"/>
          <w:szCs w:val="15"/>
          <w:i w:val="1"/>
          <w:iCs w:val="1"/>
          <w:color w:val="auto"/>
        </w:rPr>
        <w:t>.</w:t>
      </w:r>
    </w:p>
    <w:p>
      <w:pPr>
        <w:spacing w:after="0" w:line="10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The Nominating and Corporate Governance Committee will consider stockholder recommendations for possible nominees for election as directors when such recommendations are submitted in accordance with the Company’s bylaws, the Nominating and Corporate Governance Committee Charter and any applicable law, rule or regulation regarding director nominations. Nominations should be sent to Thomas Friedmann, Secretary, c/o PennantPark Floating Rate Capital Ltd., 590 Madison Avenue, 15th Floor, New York, New York 10022. When submitting a nomination to the Company for consideration, a stockholder must provide all information that would be required under applicable SEC rules to be disclosed in connection with election of a director, including the following minimum information for each director nominee: full name, age and address; principal occupation during the past five years; directorships on publicly held companies and investment companies during the past five years; number of shares of our common stock owned, if any; and a written consent of the individual to stand for election if nominated by the board of directors and to serve if elected by the stockholders.</w:t>
      </w:r>
    </w:p>
    <w:p>
      <w:pPr>
        <w:spacing w:after="0" w:line="118" w:lineRule="exact"/>
        <w:rPr>
          <w:sz w:val="20"/>
          <w:szCs w:val="20"/>
          <w:color w:val="auto"/>
        </w:rPr>
      </w:pPr>
    </w:p>
    <w:p>
      <w:pPr>
        <w:ind w:right="120" w:firstLine="456"/>
        <w:spacing w:after="0" w:line="287" w:lineRule="auto"/>
        <w:rPr>
          <w:sz w:val="20"/>
          <w:szCs w:val="20"/>
          <w:color w:val="auto"/>
        </w:rPr>
      </w:pPr>
      <w:r>
        <w:rPr>
          <w:rFonts w:ascii="Arial" w:cs="Arial" w:eastAsia="Arial" w:hAnsi="Arial"/>
          <w:sz w:val="16"/>
          <w:szCs w:val="16"/>
          <w:color w:val="auto"/>
        </w:rPr>
        <w:t>Criteria considered by the Nominating and Corporate Governance Committee in evaluating the qualifications of individuals for election as director of the board of directors include compliance with the independence and other applicable requirements of the NASDAQ corporate governance rules and the 1940 Act, and all other applicable laws, rules, regulations and listing standards; the criteria, policies and principles set forth in our Nominating and Corporate Governance Committee Charters; and the ability to contribute to our effective management, taking into account our needs and such factors as the individual’s experience, perspective, skills and knowledge of the industry in which we operate. The Nominating and Corporate Governance Committee has not adopted a formal policy with regard to the consideration of diversity in identifying individuals for election as members of the board of directors, but the Committee will consider such factors as they may deem are in the best interests of us and our stockholders. Those factors may include a person’s differences of viewpoint, professional experience, education and skills, as well as his or her race, gender and national origin. In addition, as part of the board of director’s annual-self assessment, the members of the Nominating and Corporate Governance Committee evaluate the membership of the board of directors and whether the board of directors maintains satisfactory policies regarding membership selection.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540" w:firstLine="456"/>
        <w:spacing w:after="0" w:line="370" w:lineRule="auto"/>
        <w:rPr>
          <w:sz w:val="20"/>
          <w:szCs w:val="20"/>
          <w:color w:val="auto"/>
        </w:rPr>
      </w:pPr>
      <w:r>
        <w:rPr>
          <w:rFonts w:ascii="Arial" w:cs="Arial" w:eastAsia="Arial" w:hAnsi="Arial"/>
          <w:sz w:val="15"/>
          <w:szCs w:val="15"/>
          <w:color w:val="auto"/>
        </w:rPr>
        <w:t>We do not have a compensation committee because our executive officers do not receive compensation from us. Our board of directors, as a whole, participates in the consideration of director compensation and decisions are based on a review of data of comparable companies, amongst other factors.</w:t>
      </w:r>
    </w:p>
    <w:p>
      <w:pPr>
        <w:spacing w:after="0" w:line="4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360"/>
          </w:cols>
          <w:pgMar w:left="240" w:top="459" w:right="29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of Directors</w:t>
      </w:r>
    </w:p>
    <w:p>
      <w:pPr>
        <w:spacing w:after="0" w:line="90"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The following table shows information regarding the compensation paid by us to our directors for the fiscal year ended September 30, 2012. No compensation is paid directly by us to any interested director or executive officer of the Company.</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00" w:type="dxa"/>
            <w:vAlign w:val="bottom"/>
            <w:tcBorders>
              <w:bottom w:val="single" w:sz="8" w:color="auto"/>
            </w:tcBorders>
            <w:gridSpan w:val="5"/>
          </w:tcPr>
          <w:p>
            <w:pPr>
              <w:ind w:left="520"/>
              <w:spacing w:after="0"/>
              <w:rPr>
                <w:sz w:val="20"/>
                <w:szCs w:val="20"/>
                <w:color w:val="auto"/>
              </w:rPr>
            </w:pPr>
            <w:r>
              <w:rPr>
                <w:rFonts w:ascii="Arial" w:cs="Arial" w:eastAsia="Arial" w:hAnsi="Arial"/>
                <w:sz w:val="14"/>
                <w:szCs w:val="14"/>
                <w:b w:val="1"/>
                <w:bCs w:val="1"/>
                <w:color w:val="auto"/>
                <w:w w:val="91"/>
              </w:rPr>
              <w:t>PennantPark Floating Rate Capital Ltd.</w:t>
            </w:r>
          </w:p>
        </w:tc>
        <w:tc>
          <w:tcPr>
            <w:tcW w:w="5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ind w:left="580"/>
              <w:spacing w:after="0"/>
              <w:rPr>
                <w:sz w:val="20"/>
                <w:szCs w:val="20"/>
                <w:color w:val="auto"/>
              </w:rPr>
            </w:pPr>
            <w:r>
              <w:rPr>
                <w:rFonts w:ascii="Arial" w:cs="Arial" w:eastAsia="Arial" w:hAnsi="Arial"/>
                <w:sz w:val="14"/>
                <w:szCs w:val="14"/>
                <w:b w:val="1"/>
                <w:bCs w:val="1"/>
                <w:color w:val="auto"/>
                <w:w w:val="89"/>
              </w:rPr>
              <w:t>PennantPark Investment Corporation</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3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5"/>
              </w:rPr>
              <w:t>Pension or</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420" w:type="dxa"/>
            <w:vAlign w:val="bottom"/>
            <w:gridSpan w:val="2"/>
          </w:tcPr>
          <w:p>
            <w:pPr>
              <w:jc w:val="center"/>
              <w:ind w:right="420"/>
              <w:spacing w:after="0" w:line="129" w:lineRule="exact"/>
              <w:rPr>
                <w:sz w:val="20"/>
                <w:szCs w:val="20"/>
                <w:color w:val="auto"/>
              </w:rPr>
            </w:pPr>
            <w:r>
              <w:rPr>
                <w:rFonts w:ascii="Arial" w:cs="Arial" w:eastAsia="Arial" w:hAnsi="Arial"/>
                <w:sz w:val="14"/>
                <w:szCs w:val="14"/>
                <w:b w:val="1"/>
                <w:bCs w:val="1"/>
                <w:color w:val="auto"/>
                <w:w w:val="82"/>
              </w:rPr>
              <w:t>Pension or</w:t>
            </w: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6"/>
              </w:rPr>
              <w:t>Aggregate</w:t>
            </w: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retirement</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3"/>
              </w:rPr>
              <w:t>Aggregate</w:t>
            </w: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7"/>
              </w:rPr>
              <w:t>retirement</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benefits</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compensation</w:t>
            </w:r>
          </w:p>
        </w:tc>
        <w:tc>
          <w:tcPr>
            <w:tcW w:w="14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1"/>
              </w:rPr>
              <w:t>benefits</w:t>
            </w: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4"/>
        </w:trPr>
        <w:tc>
          <w:tcPr>
            <w:tcW w:w="380" w:type="dxa"/>
            <w:vAlign w:val="bottom"/>
          </w:tcPr>
          <w:p>
            <w:pPr>
              <w:spacing w:after="0"/>
              <w:rPr>
                <w:sz w:val="11"/>
                <w:szCs w:val="11"/>
                <w:color w:val="auto"/>
              </w:rPr>
            </w:pPr>
          </w:p>
        </w:tc>
        <w:tc>
          <w:tcPr>
            <w:tcW w:w="24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540"/>
              <w:spacing w:after="0" w:line="135" w:lineRule="exact"/>
              <w:rPr>
                <w:sz w:val="20"/>
                <w:szCs w:val="20"/>
                <w:color w:val="auto"/>
              </w:rPr>
            </w:pPr>
            <w:r>
              <w:rPr>
                <w:rFonts w:ascii="Arial" w:cs="Arial" w:eastAsia="Arial" w:hAnsi="Arial"/>
                <w:sz w:val="14"/>
                <w:szCs w:val="14"/>
                <w:b w:val="1"/>
                <w:bCs w:val="1"/>
                <w:color w:val="auto"/>
                <w:w w:val="85"/>
              </w:rPr>
              <w:t>from the</w:t>
            </w:r>
          </w:p>
        </w:tc>
        <w:tc>
          <w:tcPr>
            <w:tcW w:w="14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1100" w:type="dxa"/>
            <w:vAlign w:val="bottom"/>
            <w:gridSpan w:val="3"/>
          </w:tcPr>
          <w:p>
            <w:pPr>
              <w:jc w:val="right"/>
              <w:ind w:right="300"/>
              <w:spacing w:after="0" w:line="135" w:lineRule="exact"/>
              <w:rPr>
                <w:sz w:val="20"/>
                <w:szCs w:val="20"/>
                <w:color w:val="auto"/>
              </w:rPr>
            </w:pPr>
            <w:r>
              <w:rPr>
                <w:rFonts w:ascii="Arial" w:cs="Arial" w:eastAsia="Arial" w:hAnsi="Arial"/>
                <w:sz w:val="14"/>
                <w:szCs w:val="14"/>
                <w:b w:val="1"/>
                <w:bCs w:val="1"/>
                <w:color w:val="auto"/>
                <w:w w:val="93"/>
              </w:rPr>
              <w:t>Total paid to</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gridSpan w:val="2"/>
          </w:tcPr>
          <w:p>
            <w:pPr>
              <w:jc w:val="center"/>
              <w:ind w:right="520"/>
              <w:spacing w:after="0" w:line="135" w:lineRule="exact"/>
              <w:rPr>
                <w:sz w:val="20"/>
                <w:szCs w:val="20"/>
                <w:color w:val="auto"/>
              </w:rPr>
            </w:pPr>
            <w:r>
              <w:rPr>
                <w:rFonts w:ascii="Arial" w:cs="Arial" w:eastAsia="Arial" w:hAnsi="Arial"/>
                <w:sz w:val="14"/>
                <w:szCs w:val="14"/>
                <w:b w:val="1"/>
                <w:bCs w:val="1"/>
                <w:color w:val="auto"/>
                <w:w w:val="89"/>
              </w:rPr>
              <w:t>from the</w:t>
            </w:r>
          </w:p>
        </w:tc>
        <w:tc>
          <w:tcPr>
            <w:tcW w:w="1420" w:type="dxa"/>
            <w:vAlign w:val="bottom"/>
            <w:gridSpan w:val="2"/>
          </w:tcPr>
          <w:p>
            <w:pPr>
              <w:jc w:val="center"/>
              <w:ind w:right="440"/>
              <w:spacing w:after="0" w:line="135" w:lineRule="exact"/>
              <w:rPr>
                <w:sz w:val="20"/>
                <w:szCs w:val="20"/>
                <w:color w:val="auto"/>
              </w:rPr>
            </w:pPr>
            <w:r>
              <w:rPr>
                <w:rFonts w:ascii="Arial" w:cs="Arial" w:eastAsia="Arial" w:hAnsi="Arial"/>
                <w:sz w:val="14"/>
                <w:szCs w:val="14"/>
                <w:b w:val="1"/>
                <w:bCs w:val="1"/>
                <w:color w:val="auto"/>
                <w:w w:val="86"/>
              </w:rPr>
              <w:t>accrued as part</w:t>
            </w:r>
          </w:p>
        </w:tc>
        <w:tc>
          <w:tcPr>
            <w:tcW w:w="980" w:type="dxa"/>
            <w:vAlign w:val="bottom"/>
            <w:gridSpan w:val="3"/>
          </w:tcPr>
          <w:p>
            <w:pPr>
              <w:ind w:left="80"/>
              <w:spacing w:after="0" w:line="135" w:lineRule="exact"/>
              <w:rPr>
                <w:sz w:val="20"/>
                <w:szCs w:val="20"/>
                <w:color w:val="auto"/>
              </w:rPr>
            </w:pPr>
            <w:r>
              <w:rPr>
                <w:rFonts w:ascii="Arial" w:cs="Arial" w:eastAsia="Arial" w:hAnsi="Arial"/>
                <w:sz w:val="14"/>
                <w:szCs w:val="14"/>
                <w:b w:val="1"/>
                <w:bCs w:val="1"/>
                <w:color w:val="auto"/>
              </w:rPr>
              <w:t>Total paid to</w:t>
            </w: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24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Company</w:t>
            </w:r>
          </w:p>
        </w:tc>
        <w:tc>
          <w:tcPr>
            <w:tcW w:w="1420" w:type="dxa"/>
            <w:vAlign w:val="bottom"/>
            <w:gridSpan w:val="2"/>
          </w:tcPr>
          <w:p>
            <w:pPr>
              <w:jc w:val="right"/>
              <w:ind w:right="440"/>
              <w:spacing w:after="0" w:line="162" w:lineRule="exact"/>
              <w:rPr>
                <w:sz w:val="20"/>
                <w:szCs w:val="20"/>
                <w:color w:val="auto"/>
              </w:rPr>
            </w:pPr>
            <w:r>
              <w:rPr>
                <w:rFonts w:ascii="Arial" w:cs="Arial" w:eastAsia="Arial" w:hAnsi="Arial"/>
                <w:sz w:val="12"/>
                <w:szCs w:val="12"/>
                <w:b w:val="1"/>
                <w:bCs w:val="1"/>
                <w:color w:val="auto"/>
                <w:w w:val="95"/>
              </w:rPr>
              <w:t>of our expense</w:t>
            </w:r>
            <w:r>
              <w:rPr>
                <w:rFonts w:ascii="Arial" w:cs="Arial" w:eastAsia="Arial" w:hAnsi="Arial"/>
                <w:sz w:val="18"/>
                <w:szCs w:val="18"/>
                <w:b w:val="1"/>
                <w:bCs w:val="1"/>
                <w:color w:val="auto"/>
                <w:w w:val="95"/>
                <w:vertAlign w:val="superscript"/>
              </w:rPr>
              <w:t>(1)</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director/officer</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7"/>
              </w:rPr>
              <w:t>Company</w:t>
            </w:r>
          </w:p>
        </w:tc>
        <w:tc>
          <w:tcPr>
            <w:tcW w:w="1420" w:type="dxa"/>
            <w:vAlign w:val="bottom"/>
            <w:gridSpan w:val="2"/>
          </w:tcPr>
          <w:p>
            <w:pPr>
              <w:jc w:val="right"/>
              <w:ind w:right="440"/>
              <w:spacing w:after="0" w:line="162" w:lineRule="exact"/>
              <w:rPr>
                <w:sz w:val="20"/>
                <w:szCs w:val="20"/>
                <w:color w:val="auto"/>
              </w:rPr>
            </w:pPr>
            <w:r>
              <w:rPr>
                <w:rFonts w:ascii="Arial" w:cs="Arial" w:eastAsia="Arial" w:hAnsi="Arial"/>
                <w:sz w:val="12"/>
                <w:szCs w:val="12"/>
                <w:b w:val="1"/>
                <w:bCs w:val="1"/>
                <w:color w:val="auto"/>
                <w:w w:val="95"/>
              </w:rPr>
              <w:t>of our expense</w:t>
            </w:r>
            <w:r>
              <w:rPr>
                <w:rFonts w:ascii="Arial" w:cs="Arial" w:eastAsia="Arial" w:hAnsi="Arial"/>
                <w:sz w:val="18"/>
                <w:szCs w:val="18"/>
                <w:b w:val="1"/>
                <w:bCs w:val="1"/>
                <w:color w:val="auto"/>
                <w:w w:val="95"/>
                <w:vertAlign w:val="superscript"/>
              </w:rPr>
              <w:t>(1)</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director/officer</w:t>
            </w:r>
          </w:p>
        </w:tc>
      </w:tr>
      <w:tr>
        <w:trPr>
          <w:trHeight w:val="190"/>
        </w:trPr>
        <w:tc>
          <w:tcPr>
            <w:tcW w:w="2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Independent directors</w:t>
            </w:r>
          </w:p>
        </w:tc>
        <w:tc>
          <w:tcPr>
            <w:tcW w:w="10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0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98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r>
      <w:tr>
        <w:trPr>
          <w:trHeight w:val="216"/>
        </w:trPr>
        <w:tc>
          <w:tcPr>
            <w:tcW w:w="38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rPr>
              <w:t>Adam K. Bernstein</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56,250</w:t>
            </w:r>
          </w:p>
        </w:tc>
        <w:tc>
          <w:tcPr>
            <w:tcW w:w="44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None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56,250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102,500</w:t>
            </w:r>
          </w:p>
        </w:tc>
        <w:tc>
          <w:tcPr>
            <w:tcW w:w="44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102,500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Marshall Brozost</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56,250</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56,250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102,500</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102,500</w:t>
            </w:r>
          </w:p>
        </w:tc>
        <w:tc>
          <w:tcPr>
            <w:tcW w:w="100" w:type="dxa"/>
            <w:vAlign w:val="bottom"/>
            <w:shd w:val="clear" w:color="auto" w:fill="CCEEFF"/>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2420" w:type="dxa"/>
            <w:vAlign w:val="bottom"/>
          </w:tcPr>
          <w:p>
            <w:pPr>
              <w:ind w:left="60"/>
              <w:spacing w:after="0"/>
              <w:rPr>
                <w:sz w:val="20"/>
                <w:szCs w:val="20"/>
                <w:color w:val="auto"/>
              </w:rPr>
            </w:pPr>
            <w:r>
              <w:rPr>
                <w:rFonts w:ascii="Arial" w:cs="Arial" w:eastAsia="Arial" w:hAnsi="Arial"/>
                <w:sz w:val="18"/>
                <w:szCs w:val="18"/>
                <w:color w:val="auto"/>
              </w:rPr>
              <w:t>Jeffrey Flug</w:t>
            </w:r>
          </w:p>
        </w:tc>
        <w:tc>
          <w:tcPr>
            <w:tcW w:w="1100" w:type="dxa"/>
            <w:vAlign w:val="bottom"/>
            <w:gridSpan w:val="2"/>
          </w:tcPr>
          <w:p>
            <w:pPr>
              <w:ind w:left="100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58,750</w:t>
            </w:r>
          </w:p>
        </w:tc>
        <w:tc>
          <w:tcPr>
            <w:tcW w:w="44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None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w w:val="94"/>
              </w:rPr>
              <w:t>58,750</w:t>
            </w:r>
          </w:p>
        </w:tc>
        <w:tc>
          <w:tcPr>
            <w:tcW w:w="320" w:type="dxa"/>
            <w:vAlign w:val="bottom"/>
            <w:gridSpan w:val="2"/>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112,500</w:t>
            </w:r>
          </w:p>
        </w:tc>
        <w:tc>
          <w:tcPr>
            <w:tcW w:w="440" w:type="dxa"/>
            <w:vAlign w:val="bottom"/>
          </w:tcPr>
          <w:p>
            <w:pPr>
              <w:spacing w:after="0"/>
              <w:rPr>
                <w:sz w:val="18"/>
                <w:szCs w:val="18"/>
                <w:color w:val="auto"/>
              </w:rPr>
            </w:pPr>
          </w:p>
        </w:tc>
        <w:tc>
          <w:tcPr>
            <w:tcW w:w="1420" w:type="dxa"/>
            <w:vAlign w:val="bottom"/>
            <w:gridSpan w:val="2"/>
          </w:tcPr>
          <w:p>
            <w:pPr>
              <w:jc w:val="right"/>
              <w:ind w:right="440"/>
              <w:spacing w:after="0"/>
              <w:rPr>
                <w:sz w:val="20"/>
                <w:szCs w:val="20"/>
                <w:color w:val="auto"/>
              </w:rPr>
            </w:pPr>
            <w:r>
              <w:rPr>
                <w:rFonts w:ascii="Arial" w:cs="Arial" w:eastAsia="Arial" w:hAnsi="Arial"/>
                <w:sz w:val="18"/>
                <w:szCs w:val="18"/>
                <w:color w:val="auto"/>
              </w:rPr>
              <w:t>None</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112,500</w:t>
            </w: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Samuel L. Katz</w:t>
            </w:r>
          </w:p>
        </w:tc>
        <w:tc>
          <w:tcPr>
            <w:tcW w:w="110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58,750</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58,750</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4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112,500</w:t>
            </w:r>
          </w:p>
        </w:tc>
        <w:tc>
          <w:tcPr>
            <w:tcW w:w="100" w:type="dxa"/>
            <w:vAlign w:val="bottom"/>
            <w:shd w:val="clear" w:color="auto" w:fill="CCEEFF"/>
          </w:tcPr>
          <w:p>
            <w:pPr>
              <w:spacing w:after="0"/>
              <w:rPr>
                <w:sz w:val="18"/>
                <w:szCs w:val="18"/>
                <w:color w:val="auto"/>
              </w:rPr>
            </w:pP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Arthur H. Penn</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r>
        <w:trPr>
          <w:trHeight w:val="216"/>
        </w:trPr>
        <w:tc>
          <w:tcPr>
            <w:tcW w:w="28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0" w:type="dxa"/>
            <w:vAlign w:val="bottom"/>
            <w:shd w:val="clear" w:color="auto" w:fill="CCEEFF"/>
          </w:tcPr>
          <w:p>
            <w:pPr>
              <w:spacing w:after="0"/>
              <w:rPr>
                <w:sz w:val="18"/>
                <w:szCs w:val="18"/>
                <w:color w:val="auto"/>
              </w:rPr>
            </w:pPr>
          </w:p>
        </w:tc>
        <w:tc>
          <w:tcPr>
            <w:tcW w:w="24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Aviv Efrat</w:t>
            </w:r>
            <w:r>
              <w:rPr>
                <w:rFonts w:ascii="Arial" w:cs="Arial" w:eastAsia="Arial" w:hAnsi="Arial"/>
                <w:sz w:val="11"/>
                <w:szCs w:val="11"/>
                <w:color w:val="auto"/>
              </w:rPr>
              <w:t>(2)</w:t>
            </w: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3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None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14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None</w:t>
            </w:r>
          </w:p>
        </w:tc>
        <w:tc>
          <w:tcPr>
            <w:tcW w:w="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None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do not have a profit sharing or retirement plan, and directors do not receive any pension or retirement benefits from us.</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Mr. Efrat is an employee of the Administrator.</w:t>
      </w:r>
    </w:p>
    <w:p>
      <w:pPr>
        <w:spacing w:after="0" w:line="165"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Each Independent Director receives an annual payment of $50,000 for services performed on behalf of us as a director. The Independent Directors also receive $1,250 plus reimbursement of reasonable out-of-pocket expenses incurred in connection with attending each board of directors meeting and receive $500 plus reimbursement of reasonable out-of-pocket expenses incurred in connection with attending each committee meeting (unless combined with a board of directors meeting). In addition, each Co-Chairman of the Audit Committee receives an annual fee of $3,750 and each Co-Chairman of any other committee receives an annual fee of $1,250 for his additional services in these capacities. Also, we have purchased directors’ and officers’ liability insurance on behalf of our directors and officers. Independent Directors have the option to receive their directors’ fees paid in shares of our common stock issued at a price per share equal to the greater of net asset value or the market price at the time of payment. No compensation is paid to directors who are “interested persons (as defined in the 1940 Act).”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Portfolio Managers, or Senior Investment Professionals, Biographical Information.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Our Investment Adviser has three experienced senior investment professionals in addition to Mr. Penn. These senior investment professionals of the Investment Adviser have worked together for many years, and average over 20 years of experience in the mezzanine lending, leveraged finance, distressed debt and private equity businesses. In addition, our senior investment professionals have been involved in originating, structuring, negotiating, managing and monitoring investments in each of these businesses across economic and market cycles. We believe this experience and history has resulted in a strong reputation with financial sponsors, management teams, investment bankers, attorneys and accountants, which provides us with access to substantial investment opportunities across the capital markets. Below is a summary of their biographical information. Our investment professionals receive no compensation from us. The compensation of these individuals is paid by our Investment Adviser and compensation includes a base salary and a bonus contingent upon past and future performance.</w:t>
      </w:r>
    </w:p>
    <w:p>
      <w:pPr>
        <w:spacing w:after="0" w:line="11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Jose A. Briones joined PennantPark Investment Advisers in December 2009. Mr. Briones was most recently a Partner of Apollo Investment Management, L.P. and a member of its investment committee since 2006. He was a Managing Director with UBS Securities LLC in the Financial Sponsors and Leveraged Finance Group from</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20"/>
          </w:cols>
          <w:pgMar w:left="240" w:top="459" w:right="2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2001 to 2006. Prior to joining UBS he was a Vice President with JP Morgan in the Global Leveraged Finance Group from 1999 to 2001. From 1992 to 1999, Mr. Briones was a Vice President at BT Securities and BT Alex Brown Inc. in the Corporate Finance Department.</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Salvatore Giannetti III joined PennantPark Investment Advisers in February 2007. Mr. Giannetti was most recently Partner in the private equity firm Wilton Ivy Partners since 2004. He was a Managing Director at UBS Securities LLC in its Financial Sponsors and Leveraged Finance Group from 2000 to 2001. From 1997 to 2000, Mr. Giannetti was a Managing Director in the Investment Banking Division at Deutsche Bank (joining BT Securities and BT Alex Brown Inc.). From 1986 to 1997, Mr. Giannetti worked in the Investment Banking, Syndicated Loan &amp; Private Equity groups at Chase Securities Inc. and its predecessor firms, Chemical Securities and Manufacturers Hanover.</w:t>
      </w:r>
    </w:p>
    <w:p>
      <w:pPr>
        <w:spacing w:after="0" w:line="143"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P. Whitridge Williams, Jr. joined PennantPark Investment Advisers in March 2007. Mr. Williams was most recently a Managing Director in the Financial Sponsors and Leveraged Finance Group at UBS Securities LLC. Mr. Williams worked at UBS and predecessor firms, including Dillon Read and Co. Inc. from 1996 to 2007. During Mr. Williams’ tenure at UBS, he spent four years as a senior member of the Telecom, Media and Technology Group.</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addition to managing our investments, as of March 31, 2013 our portfolio managers also managed investments on behalf of the following entities: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3940" w:type="dxa"/>
            <w:vAlign w:val="bottom"/>
            <w:vMerge w:val="restart"/>
          </w:tcPr>
          <w:p>
            <w:pPr>
              <w:spacing w:after="0"/>
              <w:rPr>
                <w:sz w:val="14"/>
                <w:szCs w:val="14"/>
                <w:color w:val="auto"/>
              </w:rPr>
            </w:pPr>
          </w:p>
        </w:tc>
        <w:tc>
          <w:tcPr>
            <w:tcW w:w="1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100" w:type="dxa"/>
            <w:vAlign w:val="bottom"/>
            <w:gridSpan w:val="2"/>
            <w:vMerge w:val="restart"/>
          </w:tcPr>
          <w:p>
            <w:pPr>
              <w:ind w:left="1400"/>
              <w:spacing w:after="0"/>
              <w:rPr>
                <w:sz w:val="20"/>
                <w:szCs w:val="20"/>
                <w:color w:val="auto"/>
              </w:rPr>
            </w:pPr>
            <w:r>
              <w:rPr>
                <w:rFonts w:ascii="Arial" w:cs="Arial" w:eastAsia="Arial" w:hAnsi="Arial"/>
                <w:sz w:val="14"/>
                <w:szCs w:val="14"/>
                <w:b w:val="1"/>
                <w:bCs w:val="1"/>
                <w:color w:val="auto"/>
              </w:rPr>
              <w:t>Investment Focus</w:t>
            </w:r>
          </w:p>
        </w:tc>
        <w:tc>
          <w:tcPr>
            <w:tcW w:w="10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79"/>
              </w:rPr>
              <w:t>Gross Assets</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3940" w:type="dxa"/>
            <w:vAlign w:val="bottom"/>
            <w:vMerge w:val="continue"/>
          </w:tcPr>
          <w:p>
            <w:pPr>
              <w:spacing w:after="0"/>
              <w:rPr>
                <w:sz w:val="14"/>
                <w:szCs w:val="14"/>
                <w:color w:val="auto"/>
              </w:rPr>
            </w:pPr>
          </w:p>
        </w:tc>
        <w:tc>
          <w:tcPr>
            <w:tcW w:w="1680" w:type="dxa"/>
            <w:vAlign w:val="bottom"/>
          </w:tcPr>
          <w:p>
            <w:pPr>
              <w:ind w:left="680"/>
              <w:spacing w:after="0" w:line="148" w:lineRule="exact"/>
              <w:rPr>
                <w:sz w:val="20"/>
                <w:szCs w:val="20"/>
                <w:color w:val="auto"/>
              </w:rPr>
            </w:pPr>
            <w:r>
              <w:rPr>
                <w:rFonts w:ascii="Arial" w:cs="Arial" w:eastAsia="Arial" w:hAnsi="Arial"/>
                <w:sz w:val="14"/>
                <w:szCs w:val="14"/>
                <w:b w:val="1"/>
                <w:bCs w:val="1"/>
                <w:color w:val="auto"/>
              </w:rPr>
              <w:t>Entity</w:t>
            </w:r>
          </w:p>
        </w:tc>
        <w:tc>
          <w:tcPr>
            <w:tcW w:w="320" w:type="dxa"/>
            <w:vAlign w:val="bottom"/>
          </w:tcPr>
          <w:p>
            <w:pPr>
              <w:spacing w:after="0"/>
              <w:rPr>
                <w:sz w:val="14"/>
                <w:szCs w:val="14"/>
                <w:color w:val="auto"/>
              </w:rPr>
            </w:pPr>
          </w:p>
        </w:tc>
        <w:tc>
          <w:tcPr>
            <w:tcW w:w="4100" w:type="dxa"/>
            <w:vAlign w:val="bottom"/>
            <w:gridSpan w:val="2"/>
            <w:vMerge w:val="continue"/>
          </w:tcPr>
          <w:p>
            <w:pPr>
              <w:spacing w:after="0"/>
              <w:rPr>
                <w:sz w:val="14"/>
                <w:szCs w:val="14"/>
                <w:color w:val="auto"/>
              </w:rPr>
            </w:pPr>
          </w:p>
        </w:tc>
        <w:tc>
          <w:tcPr>
            <w:tcW w:w="1000" w:type="dxa"/>
            <w:vAlign w:val="bottom"/>
            <w:gridSpan w:val="3"/>
          </w:tcPr>
          <w:p>
            <w:pPr>
              <w:jc w:val="center"/>
              <w:ind w:right="80"/>
              <w:spacing w:after="0" w:line="148" w:lineRule="exact"/>
              <w:rPr>
                <w:sz w:val="20"/>
                <w:szCs w:val="20"/>
                <w:color w:val="auto"/>
              </w:rPr>
            </w:pPr>
            <w:r>
              <w:rPr>
                <w:rFonts w:ascii="Arial" w:cs="Arial" w:eastAsia="Arial" w:hAnsi="Arial"/>
                <w:sz w:val="14"/>
                <w:szCs w:val="14"/>
                <w:b w:val="1"/>
                <w:bCs w:val="1"/>
                <w:color w:val="auto"/>
                <w:w w:val="88"/>
              </w:rPr>
              <w:t>($ in millions)</w:t>
            </w:r>
          </w:p>
        </w:tc>
        <w:tc>
          <w:tcPr>
            <w:tcW w:w="0" w:type="dxa"/>
            <w:vAlign w:val="bottom"/>
          </w:tcPr>
          <w:p>
            <w:pPr>
              <w:spacing w:after="0"/>
              <w:rPr>
                <w:sz w:val="1"/>
                <w:szCs w:val="1"/>
                <w:color w:val="auto"/>
              </w:rPr>
            </w:pPr>
          </w:p>
        </w:tc>
      </w:tr>
      <w:tr>
        <w:trPr>
          <w:trHeight w:val="195"/>
        </w:trPr>
        <w:tc>
          <w:tcPr>
            <w:tcW w:w="4320" w:type="dxa"/>
            <w:vAlign w:val="bottom"/>
            <w:tcBorders>
              <w:top w:val="single" w:sz="8" w:color="CCEEFF"/>
            </w:tcBorders>
            <w:gridSpan w:val="2"/>
            <w:shd w:val="clear" w:color="auto" w:fill="CCEEFF"/>
          </w:tcPr>
          <w:p>
            <w:pPr>
              <w:spacing w:after="0" w:line="195" w:lineRule="exact"/>
              <w:rPr>
                <w:sz w:val="20"/>
                <w:szCs w:val="20"/>
                <w:color w:val="auto"/>
              </w:rPr>
            </w:pPr>
            <w:r>
              <w:rPr>
                <w:rFonts w:ascii="Arial" w:cs="Arial" w:eastAsia="Arial" w:hAnsi="Arial"/>
                <w:sz w:val="18"/>
                <w:szCs w:val="18"/>
                <w:color w:val="auto"/>
              </w:rPr>
              <w:t>PennantPark Investment Corporation</w:t>
            </w:r>
            <w:r>
              <w:rPr>
                <w:rFonts w:ascii="Arial" w:cs="Arial" w:eastAsia="Arial" w:hAnsi="Arial"/>
                <w:sz w:val="11"/>
                <w:szCs w:val="11"/>
                <w:color w:val="auto"/>
              </w:rPr>
              <w:t>(1)</w:t>
            </w:r>
          </w:p>
        </w:tc>
        <w:tc>
          <w:tcPr>
            <w:tcW w:w="16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Business development</w:t>
            </w:r>
          </w:p>
        </w:tc>
        <w:tc>
          <w:tcPr>
            <w:tcW w:w="320" w:type="dxa"/>
            <w:vAlign w:val="bottom"/>
            <w:tcBorders>
              <w:top w:val="single" w:sz="8" w:color="CCEEFF"/>
            </w:tcBorders>
            <w:shd w:val="clear" w:color="auto" w:fill="CCEEFF"/>
          </w:tcPr>
          <w:p>
            <w:pPr>
              <w:spacing w:after="0"/>
              <w:rPr>
                <w:sz w:val="16"/>
                <w:szCs w:val="16"/>
                <w:color w:val="auto"/>
              </w:rPr>
            </w:pPr>
          </w:p>
        </w:tc>
        <w:tc>
          <w:tcPr>
            <w:tcW w:w="376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Primarily in U.S. middle-market companies in the</w:t>
            </w:r>
          </w:p>
        </w:tc>
        <w:tc>
          <w:tcPr>
            <w:tcW w:w="3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company</w:t>
            </w:r>
          </w:p>
        </w:tc>
        <w:tc>
          <w:tcPr>
            <w:tcW w:w="4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form of senior secured loans, mezzanine debt and</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0" w:type="dxa"/>
            <w:vAlign w:val="bottom"/>
            <w:shd w:val="clear" w:color="auto" w:fill="CCEEFF"/>
          </w:tcPr>
          <w:p>
            <w:pPr>
              <w:spacing w:after="0"/>
              <w:rPr>
                <w:sz w:val="20"/>
                <w:szCs w:val="20"/>
                <w:color w:val="auto"/>
              </w:rPr>
            </w:pPr>
          </w:p>
        </w:tc>
        <w:tc>
          <w:tcPr>
            <w:tcW w:w="3940" w:type="dxa"/>
            <w:vAlign w:val="bottom"/>
            <w:shd w:val="clear" w:color="auto" w:fill="CCEEFF"/>
          </w:tcPr>
          <w:p>
            <w:pPr>
              <w:spacing w:after="0"/>
              <w:rPr>
                <w:sz w:val="20"/>
                <w:szCs w:val="20"/>
                <w:color w:val="auto"/>
              </w:rPr>
            </w:pPr>
          </w:p>
        </w:tc>
        <w:tc>
          <w:tcPr>
            <w:tcW w:w="1680" w:type="dxa"/>
            <w:vAlign w:val="bottom"/>
            <w:shd w:val="clear" w:color="auto" w:fill="CCEEFF"/>
          </w:tcPr>
          <w:p>
            <w:pPr>
              <w:spacing w:after="0"/>
              <w:rPr>
                <w:sz w:val="20"/>
                <w:szCs w:val="20"/>
                <w:color w:val="auto"/>
              </w:rPr>
            </w:pPr>
          </w:p>
        </w:tc>
        <w:tc>
          <w:tcPr>
            <w:tcW w:w="44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equity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1,152</w:t>
            </w:r>
          </w:p>
        </w:tc>
        <w:tc>
          <w:tcPr>
            <w:tcW w:w="0" w:type="dxa"/>
            <w:vAlign w:val="bottom"/>
          </w:tcPr>
          <w:p>
            <w:pPr>
              <w:spacing w:after="0"/>
              <w:rPr>
                <w:sz w:val="1"/>
                <w:szCs w:val="1"/>
                <w:color w:val="auto"/>
              </w:rPr>
            </w:pPr>
          </w:p>
        </w:tc>
      </w:tr>
      <w:tr>
        <w:trPr>
          <w:trHeight w:val="275"/>
        </w:trPr>
        <w:tc>
          <w:tcPr>
            <w:tcW w:w="4320" w:type="dxa"/>
            <w:vAlign w:val="bottom"/>
            <w:gridSpan w:val="2"/>
          </w:tcPr>
          <w:p>
            <w:pPr>
              <w:spacing w:after="0"/>
              <w:rPr>
                <w:sz w:val="20"/>
                <w:szCs w:val="20"/>
                <w:color w:val="auto"/>
              </w:rPr>
            </w:pPr>
            <w:r>
              <w:rPr>
                <w:rFonts w:ascii="Arial" w:cs="Arial" w:eastAsia="Arial" w:hAnsi="Arial"/>
                <w:sz w:val="18"/>
                <w:szCs w:val="18"/>
                <w:color w:val="auto"/>
              </w:rPr>
              <w:t>Other Managed Fund</w:t>
            </w:r>
            <w:r>
              <w:rPr>
                <w:rFonts w:ascii="Arial" w:cs="Arial" w:eastAsia="Arial" w:hAnsi="Arial"/>
                <w:sz w:val="11"/>
                <w:szCs w:val="11"/>
                <w:color w:val="auto"/>
              </w:rPr>
              <w:t>(1)</w:t>
            </w:r>
          </w:p>
        </w:tc>
        <w:tc>
          <w:tcPr>
            <w:tcW w:w="1680" w:type="dxa"/>
            <w:vAlign w:val="bottom"/>
          </w:tcPr>
          <w:p>
            <w:pPr>
              <w:spacing w:after="0"/>
              <w:rPr>
                <w:sz w:val="20"/>
                <w:szCs w:val="20"/>
                <w:color w:val="auto"/>
              </w:rPr>
            </w:pPr>
            <w:r>
              <w:rPr>
                <w:rFonts w:ascii="Arial" w:cs="Arial" w:eastAsia="Arial" w:hAnsi="Arial"/>
                <w:sz w:val="18"/>
                <w:szCs w:val="18"/>
                <w:color w:val="auto"/>
              </w:rPr>
              <w:t>Private Investment</w:t>
            </w:r>
          </w:p>
        </w:tc>
        <w:tc>
          <w:tcPr>
            <w:tcW w:w="4420" w:type="dxa"/>
            <w:vAlign w:val="bottom"/>
            <w:gridSpan w:val="3"/>
          </w:tcPr>
          <w:p>
            <w:pPr>
              <w:ind w:left="320"/>
              <w:spacing w:after="0"/>
              <w:rPr>
                <w:sz w:val="20"/>
                <w:szCs w:val="20"/>
                <w:color w:val="auto"/>
              </w:rPr>
            </w:pPr>
            <w:r>
              <w:rPr>
                <w:rFonts w:ascii="Arial" w:cs="Arial" w:eastAsia="Arial" w:hAnsi="Arial"/>
                <w:sz w:val="18"/>
                <w:szCs w:val="18"/>
                <w:color w:val="auto"/>
              </w:rPr>
              <w:t>Other credit opportunities</w:t>
            </w:r>
          </w:p>
        </w:tc>
        <w:tc>
          <w:tcPr>
            <w:tcW w:w="100" w:type="dxa"/>
            <w:vAlign w:val="bottom"/>
          </w:tcPr>
          <w:p>
            <w:pPr>
              <w:spacing w:after="0"/>
              <w:rPr>
                <w:sz w:val="23"/>
                <w:szCs w:val="23"/>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2"/>
        </w:trPr>
        <w:tc>
          <w:tcPr>
            <w:tcW w:w="380" w:type="dxa"/>
            <w:vAlign w:val="bottom"/>
          </w:tcPr>
          <w:p>
            <w:pPr>
              <w:spacing w:after="0"/>
              <w:rPr>
                <w:sz w:val="19"/>
                <w:szCs w:val="19"/>
                <w:color w:val="auto"/>
              </w:rPr>
            </w:pPr>
          </w:p>
        </w:tc>
        <w:tc>
          <w:tcPr>
            <w:tcW w:w="3940" w:type="dxa"/>
            <w:vAlign w:val="bottom"/>
          </w:tcPr>
          <w:p>
            <w:pPr>
              <w:spacing w:after="0"/>
              <w:rPr>
                <w:sz w:val="19"/>
                <w:szCs w:val="19"/>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Fund</w:t>
            </w:r>
          </w:p>
        </w:tc>
        <w:tc>
          <w:tcPr>
            <w:tcW w:w="320" w:type="dxa"/>
            <w:vAlign w:val="bottom"/>
          </w:tcPr>
          <w:p>
            <w:pPr>
              <w:spacing w:after="0"/>
              <w:rPr>
                <w:sz w:val="19"/>
                <w:szCs w:val="19"/>
                <w:color w:val="auto"/>
              </w:rPr>
            </w:pPr>
          </w:p>
        </w:tc>
        <w:tc>
          <w:tcPr>
            <w:tcW w:w="3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5620" w:right="4460" w:hanging="5612"/>
        <w:spacing w:after="0" w:line="525" w:lineRule="auto"/>
        <w:tabs>
          <w:tab w:leader="none" w:pos="448"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management and incentive fees are based on gross assets and performance, respectively. 82</w:t>
      </w:r>
    </w:p>
    <w:p>
      <w:pPr>
        <w:sectPr>
          <w:pgSz w:w="11900" w:h="16838" w:orient="portrait"/>
          <w:cols w:equalWidth="0" w:num="1">
            <w:col w:w="11420"/>
          </w:cols>
          <w:pgMar w:left="240" w:top="459" w:right="23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CONTROL PERSONS AND PRINCIPAL STOCKHOLDERS</w:t>
      </w:r>
    </w:p>
    <w:p>
      <w:pPr>
        <w:spacing w:after="0" w:line="177"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The following table sets forth, as of July 1, 2013, certain ownership information with respect to our common stock for those persons who directly or indirectly own, control or hold with the power to vote, 5 percent or more of our outstanding common stock and all officers and directors, as a group.</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126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2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Common</w:t>
            </w:r>
          </w:p>
        </w:tc>
        <w:tc>
          <w:tcPr>
            <w:tcW w:w="0" w:type="dxa"/>
            <w:vAlign w:val="bottom"/>
          </w:tcPr>
          <w:p>
            <w:pPr>
              <w:spacing w:after="0"/>
              <w:rPr>
                <w:sz w:val="1"/>
                <w:szCs w:val="1"/>
                <w:color w:val="auto"/>
              </w:rPr>
            </w:pPr>
          </w:p>
        </w:tc>
      </w:tr>
      <w:tr>
        <w:trPr>
          <w:trHeight w:val="135"/>
        </w:trPr>
        <w:tc>
          <w:tcPr>
            <w:tcW w:w="1260" w:type="dxa"/>
            <w:vAlign w:val="bottom"/>
            <w:vMerge w:val="restart"/>
          </w:tcPr>
          <w:p>
            <w:pPr>
              <w:spacing w:after="0"/>
              <w:rPr>
                <w:sz w:val="20"/>
                <w:szCs w:val="20"/>
                <w:color w:val="auto"/>
              </w:rPr>
            </w:pPr>
            <w:r>
              <w:rPr>
                <w:rFonts w:ascii="Arial" w:cs="Arial" w:eastAsia="Arial" w:hAnsi="Arial"/>
                <w:sz w:val="14"/>
                <w:szCs w:val="14"/>
                <w:b w:val="1"/>
                <w:bCs w:val="1"/>
                <w:color w:val="auto"/>
                <w:w w:val="87"/>
              </w:rPr>
              <w:t>Name and address</w:t>
            </w:r>
            <w:r>
              <w:rPr>
                <w:rFonts w:ascii="Arial" w:cs="Arial" w:eastAsia="Arial" w:hAnsi="Arial"/>
                <w:sz w:val="22"/>
                <w:szCs w:val="22"/>
                <w:b w:val="1"/>
                <w:bCs w:val="1"/>
                <w:color w:val="auto"/>
                <w:w w:val="87"/>
                <w:vertAlign w:val="superscript"/>
              </w:rPr>
              <w:t>(1)</w:t>
            </w:r>
          </w:p>
        </w:tc>
        <w:tc>
          <w:tcPr>
            <w:tcW w:w="5600" w:type="dxa"/>
            <w:vAlign w:val="bottom"/>
            <w:vMerge w:val="restart"/>
          </w:tcPr>
          <w:p>
            <w:pPr>
              <w:spacing w:after="0"/>
              <w:rPr>
                <w:sz w:val="11"/>
                <w:szCs w:val="11"/>
                <w:color w:val="auto"/>
              </w:rPr>
            </w:pPr>
          </w:p>
        </w:tc>
        <w:tc>
          <w:tcPr>
            <w:tcW w:w="2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Type of ownership</w:t>
            </w:r>
            <w:r>
              <w:rPr>
                <w:rFonts w:ascii="Arial" w:cs="Arial" w:eastAsia="Arial" w:hAnsi="Arial"/>
                <w:sz w:val="22"/>
                <w:szCs w:val="22"/>
                <w:b w:val="1"/>
                <w:bCs w:val="1"/>
                <w:color w:val="auto"/>
                <w:vertAlign w:val="superscript"/>
              </w:rPr>
              <w:t>(2)</w:t>
            </w:r>
          </w:p>
        </w:tc>
        <w:tc>
          <w:tcPr>
            <w:tcW w:w="1420" w:type="dxa"/>
            <w:vAlign w:val="bottom"/>
            <w:gridSpan w:val="2"/>
            <w:vMerge w:val="continue"/>
          </w:tcPr>
          <w:p>
            <w:pPr>
              <w:spacing w:after="0"/>
              <w:rPr>
                <w:sz w:val="11"/>
                <w:szCs w:val="11"/>
                <w:color w:val="auto"/>
              </w:rPr>
            </w:pPr>
          </w:p>
        </w:tc>
        <w:tc>
          <w:tcPr>
            <w:tcW w:w="9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3"/>
              </w:rPr>
              <w:t>Stock</w:t>
            </w:r>
          </w:p>
        </w:tc>
        <w:tc>
          <w:tcPr>
            <w:tcW w:w="0" w:type="dxa"/>
            <w:vAlign w:val="bottom"/>
          </w:tcPr>
          <w:p>
            <w:pPr>
              <w:spacing w:after="0"/>
              <w:rPr>
                <w:sz w:val="1"/>
                <w:szCs w:val="1"/>
                <w:color w:val="auto"/>
              </w:rPr>
            </w:pPr>
          </w:p>
        </w:tc>
      </w:tr>
      <w:tr>
        <w:trPr>
          <w:trHeight w:val="181"/>
        </w:trPr>
        <w:tc>
          <w:tcPr>
            <w:tcW w:w="1260" w:type="dxa"/>
            <w:vAlign w:val="bottom"/>
            <w:tcBorders>
              <w:bottom w:val="single" w:sz="8" w:color="auto"/>
            </w:tcBorders>
            <w:vMerge w:val="continue"/>
          </w:tcPr>
          <w:p>
            <w:pPr>
              <w:spacing w:after="0"/>
              <w:rPr>
                <w:sz w:val="15"/>
                <w:szCs w:val="15"/>
                <w:color w:val="auto"/>
              </w:rPr>
            </w:pPr>
          </w:p>
        </w:tc>
        <w:tc>
          <w:tcPr>
            <w:tcW w:w="5600" w:type="dxa"/>
            <w:vAlign w:val="bottom"/>
            <w:vMerge w:val="continue"/>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42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owned</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Outstanding</w:t>
            </w:r>
          </w:p>
        </w:tc>
        <w:tc>
          <w:tcPr>
            <w:tcW w:w="0" w:type="dxa"/>
            <w:vAlign w:val="bottom"/>
          </w:tcPr>
          <w:p>
            <w:pPr>
              <w:spacing w:after="0"/>
              <w:rPr>
                <w:sz w:val="1"/>
                <w:szCs w:val="1"/>
                <w:color w:val="auto"/>
              </w:rPr>
            </w:pPr>
          </w:p>
        </w:tc>
      </w:tr>
      <w:tr>
        <w:trPr>
          <w:trHeight w:val="181"/>
        </w:trPr>
        <w:tc>
          <w:tcPr>
            <w:tcW w:w="686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Morgan Stanley and Co. Inc.</w:t>
            </w:r>
          </w:p>
        </w:tc>
        <w:tc>
          <w:tcPr>
            <w:tcW w:w="16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1585 Broadway</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NY 10036-8293</w:t>
            </w:r>
          </w:p>
        </w:tc>
        <w:tc>
          <w:tcPr>
            <w:tcW w:w="2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598,858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6860" w:type="dxa"/>
            <w:vAlign w:val="bottom"/>
            <w:gridSpan w:val="2"/>
          </w:tcPr>
          <w:p>
            <w:pPr>
              <w:spacing w:after="0"/>
              <w:rPr>
                <w:sz w:val="20"/>
                <w:szCs w:val="20"/>
                <w:color w:val="auto"/>
              </w:rPr>
            </w:pPr>
            <w:r>
              <w:rPr>
                <w:rFonts w:ascii="Arial" w:cs="Arial" w:eastAsia="Arial" w:hAnsi="Arial"/>
                <w:sz w:val="18"/>
                <w:szCs w:val="18"/>
                <w:b w:val="1"/>
                <w:bCs w:val="1"/>
                <w:color w:val="auto"/>
              </w:rPr>
              <w:t>Independent Directors</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Adam K. Bernstein</w:t>
            </w:r>
          </w:p>
        </w:tc>
        <w:tc>
          <w:tcPr>
            <w:tcW w:w="2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5,000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Marshall Brozost</w:t>
            </w: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Jeffrey Flug</w:t>
            </w:r>
          </w:p>
        </w:tc>
        <w:tc>
          <w:tcPr>
            <w:tcW w:w="2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Samuel L. Katz</w:t>
            </w: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59,500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Interested director</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149,209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Executive officer</w:t>
            </w:r>
          </w:p>
        </w:tc>
        <w:tc>
          <w:tcPr>
            <w:tcW w:w="16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60" w:type="dxa"/>
            <w:vAlign w:val="bottom"/>
            <w:gridSpan w:val="2"/>
          </w:tcPr>
          <w:p>
            <w:pPr>
              <w:ind w:left="440"/>
              <w:spacing w:after="0"/>
              <w:rPr>
                <w:sz w:val="20"/>
                <w:szCs w:val="20"/>
                <w:color w:val="auto"/>
              </w:rPr>
            </w:pPr>
            <w:r>
              <w:rPr>
                <w:rFonts w:ascii="Arial" w:cs="Arial" w:eastAsia="Arial" w:hAnsi="Arial"/>
                <w:sz w:val="18"/>
                <w:szCs w:val="18"/>
                <w:color w:val="auto"/>
              </w:rPr>
              <w:t>Aviv Efrat</w:t>
            </w:r>
          </w:p>
        </w:tc>
        <w:tc>
          <w:tcPr>
            <w:tcW w:w="2160" w:type="dxa"/>
            <w:vAlign w:val="bottom"/>
            <w:gridSpan w:val="2"/>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tcPr>
          <w:p>
            <w:pPr>
              <w:jc w:val="right"/>
              <w:ind w:right="540"/>
              <w:spacing w:after="0"/>
              <w:rPr>
                <w:sz w:val="20"/>
                <w:szCs w:val="20"/>
                <w:color w:val="auto"/>
              </w:rPr>
            </w:pPr>
            <w:r>
              <w:rPr>
                <w:rFonts w:ascii="Arial" w:cs="Arial" w:eastAsia="Arial" w:hAnsi="Arial"/>
                <w:sz w:val="18"/>
                <w:szCs w:val="18"/>
                <w:color w:val="auto"/>
              </w:rPr>
              <w:t>13,750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directors and executive officer as a group (6 persons)</w:t>
            </w:r>
          </w:p>
        </w:tc>
        <w:tc>
          <w:tcPr>
            <w:tcW w:w="216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Record/Beneficial</w:t>
            </w:r>
          </w:p>
        </w:tc>
        <w:tc>
          <w:tcPr>
            <w:tcW w:w="14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219,459</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address for each officer and director is c/o PennantPark Floating Rate Capital Ltd., 590 Madison Avenue, 15th Floor, New York, New York 10022.</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9" w:lineRule="exact"/>
        <w:rPr>
          <w:rFonts w:ascii="Arial" w:cs="Arial" w:eastAsia="Arial" w:hAnsi="Arial"/>
          <w:sz w:val="18"/>
          <w:szCs w:val="18"/>
          <w:color w:val="auto"/>
        </w:rPr>
      </w:pPr>
    </w:p>
    <w:p>
      <w:pPr>
        <w:ind w:left="460" w:right="40" w:hanging="452"/>
        <w:spacing w:after="0" w:line="250" w:lineRule="auto"/>
        <w:tabs>
          <w:tab w:leader="none" w:pos="4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Mr. Penn is the Managing Member of PennantPark Investment Advisers, LLC and may therefore be deemed to own beneficially the 149,209 shares held by PennantPark Investment Advisers, LLC.</w:t>
      </w:r>
    </w:p>
    <w:p>
      <w:pPr>
        <w:spacing w:after="0" w:line="1"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459" w:right="2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Dollar Range of Securities Beneficially Owned by Directors, Officers and Senior Investment Professionals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following table sets forth the dollar range of our common stock beneficially owned by each of our directors, officers and senior investment professionals as of July 1, 2013. Information as to the beneficial ownerships is based on information furnished to us by such persons. We are not part of a “family of investment companies,” as that term is defined in the 1940 Act.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5000" w:type="dxa"/>
            <w:vAlign w:val="bottom"/>
            <w:gridSpan w:val="2"/>
          </w:tcPr>
          <w:p>
            <w:pPr>
              <w:spacing w:after="0"/>
              <w:rPr>
                <w:sz w:val="20"/>
                <w:szCs w:val="20"/>
                <w:color w:val="auto"/>
              </w:rPr>
            </w:pPr>
            <w:r>
              <w:rPr>
                <w:rFonts w:ascii="Arial" w:cs="Arial" w:eastAsia="Arial" w:hAnsi="Arial"/>
                <w:sz w:val="14"/>
                <w:szCs w:val="14"/>
                <w:b w:val="1"/>
                <w:bCs w:val="1"/>
                <w:color w:val="auto"/>
              </w:rPr>
              <w:t>Directors</w:t>
            </w:r>
          </w:p>
        </w:tc>
        <w:tc>
          <w:tcPr>
            <w:tcW w:w="1540" w:type="dxa"/>
            <w:vAlign w:val="bottom"/>
          </w:tcPr>
          <w:p>
            <w:pPr>
              <w:spacing w:after="0"/>
              <w:rPr>
                <w:sz w:val="22"/>
                <w:szCs w:val="22"/>
                <w:color w:val="auto"/>
              </w:rPr>
            </w:pPr>
          </w:p>
        </w:tc>
        <w:tc>
          <w:tcPr>
            <w:tcW w:w="3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Dollar Range of the Common Stock of each Company</w:t>
            </w:r>
            <w:r>
              <w:rPr>
                <w:rFonts w:ascii="Arial" w:cs="Arial" w:eastAsia="Arial" w:hAnsi="Arial"/>
                <w:sz w:val="22"/>
                <w:szCs w:val="22"/>
                <w:b w:val="1"/>
                <w:bCs w:val="1"/>
                <w:color w:val="auto"/>
                <w:w w:val="86"/>
                <w:vertAlign w:val="superscript"/>
              </w:rPr>
              <w:t>(1)</w:t>
            </w:r>
          </w:p>
        </w:tc>
        <w:tc>
          <w:tcPr>
            <w:tcW w:w="1540" w:type="dxa"/>
            <w:vAlign w:val="bottom"/>
          </w:tcPr>
          <w:p>
            <w:pPr>
              <w:spacing w:after="0"/>
              <w:rPr>
                <w:sz w:val="22"/>
                <w:szCs w:val="22"/>
                <w:color w:val="auto"/>
              </w:rPr>
            </w:pPr>
          </w:p>
        </w:tc>
      </w:tr>
      <w:tr>
        <w:trPr>
          <w:trHeight w:val="136"/>
        </w:trPr>
        <w:tc>
          <w:tcPr>
            <w:tcW w:w="560" w:type="dxa"/>
            <w:vAlign w:val="bottom"/>
            <w:tcBorders>
              <w:top w:val="single" w:sz="8" w:color="auto"/>
            </w:tcBorders>
          </w:tcPr>
          <w:p>
            <w:pPr>
              <w:spacing w:after="0"/>
              <w:rPr>
                <w:sz w:val="11"/>
                <w:szCs w:val="11"/>
                <w:color w:val="auto"/>
              </w:rPr>
            </w:pPr>
          </w:p>
        </w:tc>
        <w:tc>
          <w:tcPr>
            <w:tcW w:w="4440" w:type="dxa"/>
            <w:vAlign w:val="bottom"/>
          </w:tcPr>
          <w:p>
            <w:pPr>
              <w:spacing w:after="0"/>
              <w:rPr>
                <w:sz w:val="11"/>
                <w:szCs w:val="11"/>
                <w:color w:val="auto"/>
              </w:rPr>
            </w:pPr>
          </w:p>
        </w:tc>
        <w:tc>
          <w:tcPr>
            <w:tcW w:w="1540" w:type="dxa"/>
            <w:vAlign w:val="bottom"/>
            <w:tcBorders>
              <w:top w:val="single" w:sz="8" w:color="auto"/>
            </w:tcBorders>
          </w:tcPr>
          <w:p>
            <w:pPr>
              <w:jc w:val="center"/>
              <w:spacing w:after="0" w:line="136" w:lineRule="exact"/>
              <w:rPr>
                <w:sz w:val="20"/>
                <w:szCs w:val="20"/>
                <w:color w:val="auto"/>
              </w:rPr>
            </w:pPr>
            <w:r>
              <w:rPr>
                <w:rFonts w:ascii="Arial" w:cs="Arial" w:eastAsia="Arial" w:hAnsi="Arial"/>
                <w:sz w:val="14"/>
                <w:szCs w:val="14"/>
                <w:b w:val="1"/>
                <w:bCs w:val="1"/>
                <w:color w:val="auto"/>
                <w:w w:val="88"/>
              </w:rPr>
              <w:t>PennantPark Floating</w:t>
            </w:r>
          </w:p>
        </w:tc>
        <w:tc>
          <w:tcPr>
            <w:tcW w:w="820" w:type="dxa"/>
            <w:vAlign w:val="bottom"/>
            <w:tcBorders>
              <w:top w:val="single" w:sz="8" w:color="auto"/>
            </w:tcBorders>
          </w:tcPr>
          <w:p>
            <w:pPr>
              <w:spacing w:after="0"/>
              <w:rPr>
                <w:sz w:val="11"/>
                <w:szCs w:val="11"/>
                <w:color w:val="auto"/>
              </w:rPr>
            </w:pPr>
          </w:p>
        </w:tc>
        <w:tc>
          <w:tcPr>
            <w:tcW w:w="2520" w:type="dxa"/>
            <w:vAlign w:val="bottom"/>
            <w:tcBorders>
              <w:top w:val="single" w:sz="8" w:color="auto"/>
            </w:tcBorders>
            <w:gridSpan w:val="2"/>
          </w:tcPr>
          <w:p>
            <w:pPr>
              <w:jc w:val="center"/>
              <w:ind w:right="840"/>
              <w:spacing w:after="0" w:line="136" w:lineRule="exact"/>
              <w:rPr>
                <w:sz w:val="20"/>
                <w:szCs w:val="20"/>
                <w:color w:val="auto"/>
              </w:rPr>
            </w:pPr>
            <w:r>
              <w:rPr>
                <w:rFonts w:ascii="Arial" w:cs="Arial" w:eastAsia="Arial" w:hAnsi="Arial"/>
                <w:sz w:val="14"/>
                <w:szCs w:val="14"/>
                <w:b w:val="1"/>
                <w:bCs w:val="1"/>
                <w:color w:val="auto"/>
                <w:w w:val="88"/>
              </w:rPr>
              <w:t>PennantPark Investment</w:t>
            </w:r>
          </w:p>
        </w:tc>
        <w:tc>
          <w:tcPr>
            <w:tcW w:w="1540" w:type="dxa"/>
            <w:vAlign w:val="bottom"/>
            <w:tcBorders>
              <w:top w:val="single" w:sz="8" w:color="auto"/>
            </w:tcBorders>
          </w:tcPr>
          <w:p>
            <w:pPr>
              <w:spacing w:after="0"/>
              <w:rPr>
                <w:sz w:val="11"/>
                <w:szCs w:val="11"/>
                <w:color w:val="auto"/>
              </w:rPr>
            </w:pPr>
          </w:p>
        </w:tc>
      </w:tr>
      <w:tr>
        <w:trPr>
          <w:trHeight w:val="161"/>
        </w:trPr>
        <w:tc>
          <w:tcPr>
            <w:tcW w:w="560" w:type="dxa"/>
            <w:vAlign w:val="bottom"/>
          </w:tcPr>
          <w:p>
            <w:pPr>
              <w:spacing w:after="0"/>
              <w:rPr>
                <w:sz w:val="14"/>
                <w:szCs w:val="14"/>
                <w:color w:val="auto"/>
              </w:rPr>
            </w:pPr>
          </w:p>
        </w:tc>
        <w:tc>
          <w:tcPr>
            <w:tcW w:w="444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90"/>
              </w:rPr>
              <w:t>Rate Capital Ltd.</w:t>
            </w:r>
          </w:p>
        </w:tc>
        <w:tc>
          <w:tcPr>
            <w:tcW w:w="820" w:type="dxa"/>
            <w:vAlign w:val="bottom"/>
          </w:tcPr>
          <w:p>
            <w:pPr>
              <w:spacing w:after="0"/>
              <w:rPr>
                <w:sz w:val="14"/>
                <w:szCs w:val="14"/>
                <w:color w:val="auto"/>
              </w:rPr>
            </w:pPr>
          </w:p>
        </w:tc>
        <w:tc>
          <w:tcPr>
            <w:tcW w:w="25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9"/>
              </w:rPr>
              <w:t>Corporation</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Total</w:t>
            </w:r>
          </w:p>
        </w:tc>
      </w:tr>
      <w:tr>
        <w:trPr>
          <w:trHeight w:val="196"/>
        </w:trPr>
        <w:tc>
          <w:tcPr>
            <w:tcW w:w="500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Independent Directors</w:t>
            </w:r>
          </w:p>
        </w:tc>
        <w:tc>
          <w:tcPr>
            <w:tcW w:w="154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Adam K. Bernstein</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$ 50,001–$  100,000</w:t>
            </w:r>
          </w:p>
        </w:tc>
        <w:tc>
          <w:tcPr>
            <w:tcW w:w="820" w:type="dxa"/>
            <w:vAlign w:val="bottom"/>
          </w:tcPr>
          <w:p>
            <w:pPr>
              <w:spacing w:after="0"/>
              <w:rPr>
                <w:sz w:val="18"/>
                <w:szCs w:val="18"/>
                <w:color w:val="auto"/>
              </w:rPr>
            </w:pPr>
          </w:p>
        </w:tc>
        <w:tc>
          <w:tcPr>
            <w:tcW w:w="2520" w:type="dxa"/>
            <w:vAlign w:val="bottom"/>
            <w:gridSpan w:val="2"/>
          </w:tcPr>
          <w:p>
            <w:pPr>
              <w:jc w:val="center"/>
              <w:ind w:right="820"/>
              <w:spacing w:after="0"/>
              <w:rPr>
                <w:sz w:val="20"/>
                <w:szCs w:val="20"/>
                <w:color w:val="auto"/>
              </w:rPr>
            </w:pPr>
            <w:r>
              <w:rPr>
                <w:rFonts w:ascii="Arial" w:cs="Arial" w:eastAsia="Arial" w:hAnsi="Arial"/>
                <w:sz w:val="18"/>
                <w:szCs w:val="18"/>
                <w:color w:val="auto"/>
                <w:w w:val="87"/>
              </w:rPr>
              <w:t>$500,001–$1,000,000</w:t>
            </w:r>
            <w:r>
              <w:rPr>
                <w:rFonts w:ascii="Arial" w:cs="Arial" w:eastAsia="Arial" w:hAnsi="Arial"/>
                <w:sz w:val="11"/>
                <w:szCs w:val="11"/>
                <w:color w:val="auto"/>
                <w:w w:val="87"/>
              </w:rPr>
              <w:t>(2)</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Over $1,000,000</w:t>
            </w: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Marshall Brozost</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None</w:t>
            </w:r>
          </w:p>
        </w:tc>
        <w:tc>
          <w:tcPr>
            <w:tcW w:w="8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0"/>
              </w:rPr>
              <w:t>$100,001–$  500,000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$100,001–$  500,000</w:t>
            </w: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Jeffrey Flug</w:t>
            </w:r>
          </w:p>
        </w:tc>
        <w:tc>
          <w:tcPr>
            <w:tcW w:w="1540" w:type="dxa"/>
            <w:vAlign w:val="bottom"/>
          </w:tcPr>
          <w:p>
            <w:pPr>
              <w:jc w:val="center"/>
              <w:spacing w:after="0"/>
              <w:rPr>
                <w:sz w:val="20"/>
                <w:szCs w:val="20"/>
                <w:color w:val="auto"/>
              </w:rPr>
            </w:pPr>
            <w:r>
              <w:rPr>
                <w:rFonts w:ascii="Arial" w:cs="Arial" w:eastAsia="Arial" w:hAnsi="Arial"/>
                <w:sz w:val="18"/>
                <w:szCs w:val="18"/>
                <w:color w:val="auto"/>
                <w:w w:val="88"/>
              </w:rPr>
              <w:t>None</w:t>
            </w:r>
          </w:p>
        </w:tc>
        <w:tc>
          <w:tcPr>
            <w:tcW w:w="820" w:type="dxa"/>
            <w:vAlign w:val="bottom"/>
          </w:tcPr>
          <w:p>
            <w:pPr>
              <w:spacing w:after="0"/>
              <w:rPr>
                <w:sz w:val="18"/>
                <w:szCs w:val="18"/>
                <w:color w:val="auto"/>
              </w:rPr>
            </w:pPr>
          </w:p>
        </w:tc>
        <w:tc>
          <w:tcPr>
            <w:tcW w:w="2520" w:type="dxa"/>
            <w:vAlign w:val="bottom"/>
            <w:gridSpan w:val="2"/>
          </w:tcPr>
          <w:p>
            <w:pPr>
              <w:jc w:val="center"/>
              <w:ind w:right="820"/>
              <w:spacing w:after="0"/>
              <w:rPr>
                <w:sz w:val="20"/>
                <w:szCs w:val="20"/>
                <w:color w:val="auto"/>
              </w:rPr>
            </w:pPr>
            <w:r>
              <w:rPr>
                <w:rFonts w:ascii="Arial" w:cs="Arial" w:eastAsia="Arial" w:hAnsi="Arial"/>
                <w:sz w:val="18"/>
                <w:szCs w:val="18"/>
                <w:color w:val="auto"/>
                <w:w w:val="87"/>
              </w:rPr>
              <w:t>Over $1,000,000</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Over $1,000,000</w:t>
            </w: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Samuel L. Katz</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$500,001–$1,000,000</w:t>
            </w:r>
          </w:p>
        </w:tc>
        <w:tc>
          <w:tcPr>
            <w:tcW w:w="8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87"/>
              </w:rPr>
              <w:t>Over $1,000,000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Interested director</w:t>
            </w: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7"/>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Arthur H. Penn</w:t>
            </w:r>
            <w:r>
              <w:rPr>
                <w:rFonts w:ascii="Arial" w:cs="Arial" w:eastAsia="Arial" w:hAnsi="Arial"/>
                <w:sz w:val="11"/>
                <w:szCs w:val="11"/>
                <w:color w:val="auto"/>
              </w:rPr>
              <w:t>(3)</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Over $1,000,000</w:t>
            </w:r>
          </w:p>
        </w:tc>
        <w:tc>
          <w:tcPr>
            <w:tcW w:w="8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87"/>
              </w:rPr>
              <w:t>Over $1,000,000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w:t>
            </w: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7"/>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Aviv Efrat</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$100,001–$  500,000</w:t>
            </w:r>
          </w:p>
        </w:tc>
        <w:tc>
          <w:tcPr>
            <w:tcW w:w="8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90"/>
              </w:rPr>
              <w:t>$100,001–$  500,000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$500,001–$1,000,000</w:t>
            </w:r>
          </w:p>
        </w:tc>
      </w:tr>
      <w:tr>
        <w:trPr>
          <w:trHeight w:val="3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Senior Investment Professionals</w:t>
            </w: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217"/>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Jose A. Briones</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$500,001–$1,000,000</w:t>
            </w:r>
          </w:p>
        </w:tc>
        <w:tc>
          <w:tcPr>
            <w:tcW w:w="8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87"/>
              </w:rPr>
              <w:t>$500,001–$1,000,000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r>
      <w:tr>
        <w:trPr>
          <w:trHeight w:val="216"/>
        </w:trPr>
        <w:tc>
          <w:tcPr>
            <w:tcW w:w="5000" w:type="dxa"/>
            <w:vAlign w:val="bottom"/>
            <w:gridSpan w:val="2"/>
          </w:tcPr>
          <w:p>
            <w:pPr>
              <w:ind w:left="440"/>
              <w:spacing w:after="0"/>
              <w:rPr>
                <w:sz w:val="20"/>
                <w:szCs w:val="20"/>
                <w:color w:val="auto"/>
              </w:rPr>
            </w:pPr>
            <w:r>
              <w:rPr>
                <w:rFonts w:ascii="Arial" w:cs="Arial" w:eastAsia="Arial" w:hAnsi="Arial"/>
                <w:sz w:val="18"/>
                <w:szCs w:val="18"/>
                <w:color w:val="auto"/>
              </w:rPr>
              <w:t>Salvatore Giannetti III</w:t>
            </w:r>
          </w:p>
        </w:tc>
        <w:tc>
          <w:tcPr>
            <w:tcW w:w="1540" w:type="dxa"/>
            <w:vAlign w:val="bottom"/>
          </w:tcPr>
          <w:p>
            <w:pPr>
              <w:jc w:val="center"/>
              <w:spacing w:after="0"/>
              <w:rPr>
                <w:sz w:val="20"/>
                <w:szCs w:val="20"/>
                <w:color w:val="auto"/>
              </w:rPr>
            </w:pPr>
            <w:r>
              <w:rPr>
                <w:rFonts w:ascii="Arial" w:cs="Arial" w:eastAsia="Arial" w:hAnsi="Arial"/>
                <w:sz w:val="18"/>
                <w:szCs w:val="18"/>
                <w:color w:val="auto"/>
                <w:w w:val="86"/>
              </w:rPr>
              <w:t>$500,001–$1,000,000</w:t>
            </w:r>
          </w:p>
        </w:tc>
        <w:tc>
          <w:tcPr>
            <w:tcW w:w="820" w:type="dxa"/>
            <w:vAlign w:val="bottom"/>
          </w:tcPr>
          <w:p>
            <w:pPr>
              <w:spacing w:after="0"/>
              <w:rPr>
                <w:sz w:val="18"/>
                <w:szCs w:val="18"/>
                <w:color w:val="auto"/>
              </w:rPr>
            </w:pPr>
          </w:p>
        </w:tc>
        <w:tc>
          <w:tcPr>
            <w:tcW w:w="2520" w:type="dxa"/>
            <w:vAlign w:val="bottom"/>
            <w:gridSpan w:val="2"/>
          </w:tcPr>
          <w:p>
            <w:pPr>
              <w:jc w:val="center"/>
              <w:ind w:right="820"/>
              <w:spacing w:after="0"/>
              <w:rPr>
                <w:sz w:val="20"/>
                <w:szCs w:val="20"/>
                <w:color w:val="auto"/>
              </w:rPr>
            </w:pPr>
            <w:r>
              <w:rPr>
                <w:rFonts w:ascii="Arial" w:cs="Arial" w:eastAsia="Arial" w:hAnsi="Arial"/>
                <w:sz w:val="18"/>
                <w:szCs w:val="18"/>
                <w:color w:val="auto"/>
                <w:w w:val="90"/>
              </w:rPr>
              <w:t>$100,001–$  500,000</w:t>
            </w: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$500,001–$1,000,000</w:t>
            </w:r>
          </w:p>
        </w:tc>
      </w:tr>
      <w:tr>
        <w:trPr>
          <w:trHeight w:val="216"/>
        </w:trPr>
        <w:tc>
          <w:tcPr>
            <w:tcW w:w="50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P. Whitridge Williams, Jr.</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$500,001–$1,000,000</w:t>
            </w:r>
          </w:p>
        </w:tc>
        <w:tc>
          <w:tcPr>
            <w:tcW w:w="820" w:type="dxa"/>
            <w:vAlign w:val="bottom"/>
            <w:shd w:val="clear" w:color="auto" w:fill="CCEEFF"/>
          </w:tcPr>
          <w:p>
            <w:pPr>
              <w:spacing w:after="0"/>
              <w:rPr>
                <w:sz w:val="18"/>
                <w:szCs w:val="18"/>
                <w:color w:val="auto"/>
              </w:rPr>
            </w:pPr>
          </w:p>
        </w:tc>
        <w:tc>
          <w:tcPr>
            <w:tcW w:w="2520" w:type="dxa"/>
            <w:vAlign w:val="bottom"/>
            <w:gridSpan w:val="2"/>
            <w:shd w:val="clear" w:color="auto" w:fill="CCEEFF"/>
          </w:tcPr>
          <w:p>
            <w:pPr>
              <w:jc w:val="center"/>
              <w:ind w:right="820"/>
              <w:spacing w:after="0"/>
              <w:rPr>
                <w:sz w:val="20"/>
                <w:szCs w:val="20"/>
                <w:color w:val="auto"/>
              </w:rPr>
            </w:pPr>
            <w:r>
              <w:rPr>
                <w:rFonts w:ascii="Arial" w:cs="Arial" w:eastAsia="Arial" w:hAnsi="Arial"/>
                <w:sz w:val="18"/>
                <w:szCs w:val="18"/>
                <w:color w:val="auto"/>
                <w:w w:val="87"/>
              </w:rPr>
              <w:t>$500,001–$1,000,000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Over $1,000,000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59"/>
        </w:numPr>
        <w:rPr>
          <w:rFonts w:ascii="Arial" w:cs="Arial" w:eastAsia="Arial" w:hAnsi="Arial"/>
          <w:sz w:val="16"/>
          <w:szCs w:val="16"/>
          <w:color w:val="auto"/>
        </w:rPr>
      </w:pPr>
      <w:r>
        <w:rPr>
          <w:rFonts w:ascii="Arial" w:cs="Arial" w:eastAsia="Arial" w:hAnsi="Arial"/>
          <w:sz w:val="16"/>
          <w:szCs w:val="16"/>
          <w:color w:val="auto"/>
        </w:rPr>
        <w:t>Dollar ranges are as follows: None; $1-$10,000; $10,001-$50,000; $50,001-$100,000; $100,001-$500,000; $500,001-$1,000,000; or over $1,000,000.</w:t>
      </w:r>
    </w:p>
    <w:p>
      <w:pPr>
        <w:spacing w:after="0" w:line="38" w:lineRule="exact"/>
        <w:rPr>
          <w:rFonts w:ascii="Arial" w:cs="Arial" w:eastAsia="Arial" w:hAnsi="Arial"/>
          <w:sz w:val="16"/>
          <w:szCs w:val="16"/>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Also reflects holdings of JAM Investments, LLC.</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Also reflects holdings of PennantPark Investment Advisers, LLC.</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459" w:right="2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TRANSACTIONS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Management Agreement</w:t>
      </w:r>
    </w:p>
    <w:p>
      <w:pPr>
        <w:spacing w:after="0" w:line="96" w:lineRule="exact"/>
        <w:rPr>
          <w:sz w:val="20"/>
          <w:szCs w:val="20"/>
          <w:color w:val="auto"/>
        </w:rPr>
      </w:pPr>
    </w:p>
    <w:p>
      <w:pPr>
        <w:ind w:right="120" w:firstLine="456"/>
        <w:spacing w:after="0" w:line="253" w:lineRule="auto"/>
        <w:rPr>
          <w:sz w:val="20"/>
          <w:szCs w:val="20"/>
          <w:color w:val="auto"/>
        </w:rPr>
      </w:pPr>
      <w:r>
        <w:rPr>
          <w:rFonts w:ascii="Arial" w:cs="Arial" w:eastAsia="Arial" w:hAnsi="Arial"/>
          <w:sz w:val="18"/>
          <w:szCs w:val="18"/>
          <w:color w:val="auto"/>
        </w:rPr>
        <w:t>PennantPark Floating Rate Capital Ltd. has entered into the Investment Management Agreement with the Investment Adviser under which the Investment Adviser, subject to the overall supervision of Company’s board of directors, manages the day-to-day operations of and provides investment advisory services to the Company. Mr. Penn, our Chairman and Chief Executive Officer, is the managing member and a senior investment professional of, and has a financial and controlling interests in PennantPark Investment Advisers. The Company, through the Investment Adviser, manages day-to-day operations of and provides investment advisory services to Funding I under its collateral management agreement. Funding I’s collateral management agreement does not affect the management or incentive fees that we pay to the Investment Adviser on a consolidated basis. Under the terms of our Investment Management Agreement, PennantPark Investment Advisers:</w:t>
      </w:r>
    </w:p>
    <w:p>
      <w:pPr>
        <w:spacing w:after="0" w:line="66" w:lineRule="exact"/>
        <w:rPr>
          <w:sz w:val="20"/>
          <w:szCs w:val="20"/>
          <w:color w:val="auto"/>
        </w:rPr>
      </w:pPr>
    </w:p>
    <w:p>
      <w:pPr>
        <w:ind w:left="900" w:hanging="446"/>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determines the composition of our portfolio, the nature and timing of the changes to our portfolio and the manner of implementing such changes;</w:t>
      </w:r>
    </w:p>
    <w:p>
      <w:pPr>
        <w:spacing w:after="0" w:line="99" w:lineRule="exact"/>
        <w:rPr>
          <w:rFonts w:ascii="Arial" w:cs="Arial" w:eastAsia="Arial" w:hAnsi="Arial"/>
          <w:sz w:val="16"/>
          <w:szCs w:val="16"/>
          <w:color w:val="auto"/>
        </w:rPr>
      </w:pPr>
    </w:p>
    <w:p>
      <w:pPr>
        <w:ind w:left="900" w:right="540" w:hanging="446"/>
        <w:spacing w:after="0" w:line="268"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identifies, evaluates and negotiates the structure of the investments we make (including performing due diligence on our prospective portfolio companies); and</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closes and monitors the investments we make.</w:t>
      </w:r>
    </w:p>
    <w:p>
      <w:pPr>
        <w:spacing w:after="0" w:line="171" w:lineRule="exact"/>
        <w:rPr>
          <w:sz w:val="20"/>
          <w:szCs w:val="20"/>
          <w:color w:val="auto"/>
        </w:rPr>
      </w:pPr>
    </w:p>
    <w:p>
      <w:pPr>
        <w:jc w:val="both"/>
        <w:ind w:right="420" w:firstLine="456"/>
        <w:spacing w:after="0" w:line="298" w:lineRule="auto"/>
        <w:rPr>
          <w:sz w:val="20"/>
          <w:szCs w:val="20"/>
          <w:color w:val="auto"/>
        </w:rPr>
      </w:pPr>
      <w:r>
        <w:rPr>
          <w:rFonts w:ascii="Arial" w:cs="Arial" w:eastAsia="Arial" w:hAnsi="Arial"/>
          <w:sz w:val="16"/>
          <w:szCs w:val="16"/>
          <w:color w:val="auto"/>
        </w:rPr>
        <w:t>PennantPark Investment Advisers’ services under our Investment Management Agreement are not exclusive, and it is free to furnish similar services, without the prior approval of our stockholders or our board of directors, to other entities so long as its services to us are not impaired. Our board of directors would monitor any potential conflicts that may arise upon such a development. For providing these services, the Investment Adviser receives a fee from us, consisting of two components a base management fee and an incentive fee, collectively, Management Fees.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Advisory Fees</w:t>
      </w:r>
    </w:p>
    <w:p>
      <w:pPr>
        <w:spacing w:after="0" w:line="90"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temporary draws under any Credit Facility and/or repurchase agreements or other balance sheet transactions undertaken at the end of a fiscal quarter for purposes of preserving investment flexibility for the next quarter, or “average adjusted gross assets,” if any (see example below)) and is payable quarterly in arrears. The base management fee is calculated based on the average value of our average adjusted gross total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PennantPark Investment Advisers, however, has waived the portion of the base management fee payable on any net proceeds of the initial public offering that were not invested in portfolio investments, inclusive of any temporary investments in cash, cash equivalents, U.S. government securities and other high-quality investment grade debt investments that mature in 12 months or less from the date of investment. For the three and six months ended March 31, 2013, the Investment Adviser earned base management fee of $0.5 million and $0.9 million, respectively, from us. For the three and six months ended March 31, 2012, the Investment Adviser earned base management fee of $0.4 million and $0.7 million, respectively, from us. For the fiscal year ended September 30, 2012, and for the period March 4, 2011 (commencement of operations) to September 30, 2011, the Investment Adviser earned base management fees of $1.5 million and $0.4 million, respectively, from us.</w:t>
      </w:r>
    </w:p>
    <w:p>
      <w:pPr>
        <w:spacing w:after="0" w:line="1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hypothetical example of the calculation of average adjusted gross assets: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December 31, 20XX = $160 million</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U.S. Treasury bills and temporary draws on credit facilities as of December 31, 20XX = $10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Adjusted gross assets as of December 31, 20XX = $150 million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00"/>
          </w:cols>
          <w:pgMar w:left="240" w:top="459" w:right="2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Gross assets as of March 31, 20XX = $200 million</w:t>
      </w:r>
    </w:p>
    <w:p>
      <w:pPr>
        <w:spacing w:after="0" w:line="15" w:lineRule="exact"/>
        <w:rPr>
          <w:sz w:val="20"/>
          <w:szCs w:val="20"/>
          <w:color w:val="auto"/>
        </w:rPr>
      </w:pPr>
    </w:p>
    <w:p>
      <w:pPr>
        <w:ind w:left="460" w:right="4120"/>
        <w:spacing w:after="0" w:line="261" w:lineRule="auto"/>
        <w:rPr>
          <w:sz w:val="20"/>
          <w:szCs w:val="20"/>
          <w:color w:val="auto"/>
        </w:rPr>
      </w:pPr>
      <w:r>
        <w:rPr>
          <w:rFonts w:ascii="Arial" w:cs="Arial" w:eastAsia="Arial" w:hAnsi="Arial"/>
          <w:sz w:val="18"/>
          <w:szCs w:val="18"/>
          <w:color w:val="auto"/>
        </w:rPr>
        <w:t>U.S. Treasury bills and temporary draws on credit facilities as of March 31, 20XX = $20 million Adjusted gross assets as of March 31, 20XX = $180 million</w:t>
      </w:r>
    </w:p>
    <w:p>
      <w:pPr>
        <w:spacing w:after="0" w:line="57" w:lineRule="exact"/>
        <w:rPr>
          <w:sz w:val="20"/>
          <w:szCs w:val="20"/>
          <w:color w:val="auto"/>
        </w:rPr>
      </w:pPr>
    </w:p>
    <w:p>
      <w:pPr>
        <w:ind w:left="460" w:right="140"/>
        <w:spacing w:after="0" w:line="332" w:lineRule="auto"/>
        <w:rPr>
          <w:sz w:val="20"/>
          <w:szCs w:val="20"/>
          <w:color w:val="auto"/>
        </w:rPr>
      </w:pPr>
      <w:r>
        <w:rPr>
          <w:rFonts w:ascii="Arial" w:cs="Arial" w:eastAsia="Arial" w:hAnsi="Arial"/>
          <w:sz w:val="16"/>
          <w:szCs w:val="16"/>
          <w:color w:val="auto"/>
        </w:rPr>
        <w:t>Average value of adjusted gross assets as of March 31, 20XX at the end of the two most recently completed calendar quarters, and appropriately adjusted for any share issuances or repurchases during the current calendar quarter = ($150 million + $180 million) / 2 = $165 million</w:t>
      </w:r>
    </w:p>
    <w:p>
      <w:pPr>
        <w:spacing w:after="0" w:line="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structuring, diligence and consulting fees or other fees that we receive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 (1) no incentive fee in any calendar quarter in which our Pre-Incentive Fee Net Investment Income does not exceed the hurdle rate of 1.75%,</w:t>
      </w:r>
    </w:p>
    <w:p>
      <w:pPr>
        <w:spacing w:after="0" w:line="4" w:lineRule="exact"/>
        <w:rPr>
          <w:sz w:val="20"/>
          <w:szCs w:val="20"/>
          <w:color w:val="auto"/>
        </w:rPr>
      </w:pPr>
    </w:p>
    <w:p>
      <w:pPr>
        <w:ind w:right="60" w:firstLine="8"/>
        <w:spacing w:after="0" w:line="308" w:lineRule="auto"/>
        <w:tabs>
          <w:tab w:leader="none" w:pos="249" w:val="left"/>
        </w:tabs>
        <w:numPr>
          <w:ilvl w:val="0"/>
          <w:numId w:val="61"/>
        </w:numPr>
        <w:rPr>
          <w:rFonts w:ascii="Arial" w:cs="Arial" w:eastAsia="Arial" w:hAnsi="Arial"/>
          <w:sz w:val="15"/>
          <w:szCs w:val="15"/>
          <w:color w:val="auto"/>
        </w:rPr>
      </w:pPr>
      <w:r>
        <w:rPr>
          <w:rFonts w:ascii="Arial" w:cs="Arial" w:eastAsia="Arial" w:hAnsi="Arial"/>
          <w:sz w:val="15"/>
          <w:szCs w:val="15"/>
          <w:color w:val="auto"/>
        </w:rPr>
        <w:t>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For the three and six months ended March 31, 2013, the Investment Adviser earned a performance based incentive fee on net investment income as calculated under the Investment Management Agreement of $0.3 million and $0.7 million, respectively. For the three and six months ended March 31, 2012, the Investment Adviser earned a performance based incentive fee on net investment income as calculated under the Investment Management Agreement, which resulted in an accrual of less than $0.1 million.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The following is a graphical representation of the calculation of quarterly incentive fee based on Pre-Incentive Fee Net Investment Income</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i w:val="1"/>
          <w:iCs w:val="1"/>
          <w:color w:val="auto"/>
        </w:rPr>
        <w:t>Pre-Incentive Fee Net Investment Income</w:t>
      </w:r>
    </w:p>
    <w:p>
      <w:pPr>
        <w:jc w:val="center"/>
        <w:ind w:right="-59"/>
        <w:spacing w:after="0"/>
        <w:rPr>
          <w:sz w:val="20"/>
          <w:szCs w:val="20"/>
          <w:color w:val="auto"/>
        </w:rPr>
      </w:pPr>
      <w:r>
        <w:rPr>
          <w:rFonts w:ascii="Arial" w:cs="Arial" w:eastAsia="Arial" w:hAnsi="Arial"/>
          <w:sz w:val="14"/>
          <w:szCs w:val="14"/>
          <w:b w:val="1"/>
          <w:bCs w:val="1"/>
          <w:i w:val="1"/>
          <w:iCs w:val="1"/>
          <w:color w:val="auto"/>
        </w:rPr>
        <w:t>(expressed as a percentage of the value of net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120015</wp:posOffset>
            </wp:positionV>
            <wp:extent cx="2435225" cy="47180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2435225" cy="4718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Percentage of Pre-Incentive Fee Net Investment Income</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allocated to income-related portion of incentive fee</w:t>
      </w:r>
    </w:p>
    <w:p>
      <w:pPr>
        <w:spacing w:after="0" w:line="1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360"/>
          </w:cols>
          <w:pgMar w:left="240" w:top="459" w:right="29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color w:val="auto"/>
        </w:rPr>
        <w:t>The second part of the incentive fee is determined and payable in arrears as of the end of each calendar year commencing on December 31, 2011 (or upon termination of the Investment Management Agreement, as of the termination date) and equals 20.0%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For the three and six months ended March 31, 2013 and 2012, the Investment Adviser did not earn a performance based incentive fee on capital gains as calculated under the Investment Management Agreement.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05"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aggregate cumulative unrealized capital appreciation or depreciation. If such amount is positive at the end of a period, then we record a capital gains incentive fee equal to 20% of such amount, less the aggregate amount of actual capital gains related incentive fees paid in all prior years. If such amount is negative, then there is no accrual for such year. There can be no assurance that such unrealized capital appreciation will be realized in the future. For the three and six months ended March 31, 2013, the Investment Adviser earned a performance based incentive fee on unrealized and realized capital gains as calculated under GAAP of approximately $0.3 million. For the three and six months ended March 31, 2012, the Investment Adviser earned a performance based incentive fee on unrealized and realized capital gains as calculated under GAAP, which resulted in an accrual of less than $0.1 million.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Examples of Quarterly Incentive Fee Calculation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1: Income Related Portion of Incentive Fee (*):</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1.25%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5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460" w:right="4240"/>
        <w:spacing w:after="0" w:line="402" w:lineRule="auto"/>
        <w:rPr>
          <w:sz w:val="20"/>
          <w:szCs w:val="20"/>
          <w:color w:val="auto"/>
        </w:rPr>
      </w:pPr>
      <w:r>
        <w:rPr>
          <w:rFonts w:ascii="Arial" w:cs="Arial" w:eastAsia="Arial" w:hAnsi="Arial"/>
          <w:sz w:val="16"/>
          <w:szCs w:val="16"/>
          <w:color w:val="auto"/>
        </w:rPr>
        <w:t>(investment income—(base management fee + other expenses)) = 0.80% Pre-incentive net investment income does not exceed hurdle; therefore there is no incentive fee.</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2.70%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459" w:right="23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2.25%</w:t>
      </w:r>
    </w:p>
    <w:p>
      <w:pPr>
        <w:spacing w:after="0" w:line="212" w:lineRule="exact"/>
        <w:rPr>
          <w:sz w:val="20"/>
          <w:szCs w:val="20"/>
          <w:color w:val="auto"/>
        </w:rPr>
      </w:pPr>
    </w:p>
    <w:p>
      <w:pPr>
        <w:ind w:left="920"/>
        <w:spacing w:after="0"/>
        <w:tabs>
          <w:tab w:leader="none" w:pos="2540" w:val="left"/>
        </w:tabs>
        <w:rPr>
          <w:sz w:val="20"/>
          <w:szCs w:val="20"/>
          <w:color w:val="auto"/>
        </w:rPr>
      </w:pPr>
      <w:r>
        <w:rPr>
          <w:rFonts w:ascii="Arial" w:cs="Arial" w:eastAsia="Arial" w:hAnsi="Arial"/>
          <w:sz w:val="18"/>
          <w:szCs w:val="18"/>
          <w:color w:val="auto"/>
        </w:rPr>
        <w:t>Incentive fee</w:t>
      </w:r>
      <w:r>
        <w:rPr>
          <w:sz w:val="20"/>
          <w:szCs w:val="20"/>
          <w:color w:val="auto"/>
        </w:rPr>
        <w:tab/>
      </w:r>
      <w:r>
        <w:rPr>
          <w:rFonts w:ascii="Arial" w:cs="Arial" w:eastAsia="Arial" w:hAnsi="Arial"/>
          <w:sz w:val="16"/>
          <w:szCs w:val="16"/>
          <w:color w:val="auto"/>
        </w:rPr>
        <w:t>= 50% X Pre-Incentive Fee Net Investment Income, subject to “catch-up”</w:t>
      </w:r>
    </w:p>
    <w:p>
      <w:pPr>
        <w:spacing w:after="0" w:line="15" w:lineRule="exact"/>
        <w:rPr>
          <w:sz w:val="20"/>
          <w:szCs w:val="20"/>
          <w:color w:val="auto"/>
        </w:rPr>
      </w:pPr>
    </w:p>
    <w:p>
      <w:pPr>
        <w:ind w:left="2700" w:hanging="139"/>
        <w:spacing w:after="0"/>
        <w:tabs>
          <w:tab w:leader="none" w:pos="2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50% X (2.25% - 1.75%)</w:t>
      </w:r>
    </w:p>
    <w:p>
      <w:pPr>
        <w:spacing w:after="0" w:line="9" w:lineRule="exact"/>
        <w:rPr>
          <w:rFonts w:ascii="Arial" w:cs="Arial" w:eastAsia="Arial" w:hAnsi="Arial"/>
          <w:sz w:val="18"/>
          <w:szCs w:val="18"/>
          <w:color w:val="auto"/>
        </w:rPr>
      </w:pPr>
    </w:p>
    <w:p>
      <w:pPr>
        <w:ind w:left="2700" w:hanging="139"/>
        <w:spacing w:after="0"/>
        <w:tabs>
          <w:tab w:leader="none" w:pos="27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0.25%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3</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 (including interest, distributions, fees, etc.) = 4.00%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Hurdle</w:t>
      </w:r>
      <w:r>
        <w:rPr>
          <w:rFonts w:ascii="Arial" w:cs="Arial" w:eastAsia="Arial" w:hAnsi="Arial"/>
          <w:sz w:val="11"/>
          <w:szCs w:val="11"/>
          <w:color w:val="auto"/>
        </w:rPr>
        <w:t>(1)</w:t>
      </w:r>
      <w:r>
        <w:rPr>
          <w:rFonts w:ascii="Arial" w:cs="Arial" w:eastAsia="Arial" w:hAnsi="Arial"/>
          <w:sz w:val="18"/>
          <w:szCs w:val="18"/>
          <w:color w:val="auto"/>
        </w:rPr>
        <w:t xml:space="preserve"> = 1.75%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management fee</w:t>
      </w:r>
      <w:r>
        <w:rPr>
          <w:rFonts w:ascii="Arial" w:cs="Arial" w:eastAsia="Arial" w:hAnsi="Arial"/>
          <w:sz w:val="11"/>
          <w:szCs w:val="11"/>
          <w:color w:val="auto"/>
        </w:rPr>
        <w:t>(2)</w:t>
      </w:r>
      <w:r>
        <w:rPr>
          <w:rFonts w:ascii="Arial" w:cs="Arial" w:eastAsia="Arial" w:hAnsi="Arial"/>
          <w:sz w:val="18"/>
          <w:szCs w:val="18"/>
          <w:color w:val="auto"/>
        </w:rPr>
        <w:t xml:space="preserve"> = 0.25%</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expenses (legal, accounting, custodian, transfer agent, etc.)</w:t>
      </w:r>
      <w:r>
        <w:rPr>
          <w:rFonts w:ascii="Arial" w:cs="Arial" w:eastAsia="Arial" w:hAnsi="Arial"/>
          <w:sz w:val="11"/>
          <w:szCs w:val="11"/>
          <w:color w:val="auto"/>
        </w:rPr>
        <w:t>(3)</w:t>
      </w:r>
      <w:r>
        <w:rPr>
          <w:rFonts w:ascii="Arial" w:cs="Arial" w:eastAsia="Arial" w:hAnsi="Arial"/>
          <w:sz w:val="18"/>
          <w:szCs w:val="18"/>
          <w:color w:val="auto"/>
        </w:rPr>
        <w:t xml:space="preserve"> = 0.20%</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Pre-Incentive Fee Net Investment Income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 income—(base management fee + other expenses)) = 3.55%</w:t>
      </w:r>
    </w:p>
    <w:p>
      <w:pPr>
        <w:spacing w:after="0" w:line="212"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Incentive fee</w:t>
            </w:r>
          </w:p>
        </w:tc>
        <w:tc>
          <w:tcPr>
            <w:tcW w:w="840" w:type="dxa"/>
            <w:vAlign w:val="bottom"/>
          </w:tcPr>
          <w:p>
            <w:pPr>
              <w:ind w:left="360"/>
              <w:spacing w:after="0"/>
              <w:rPr>
                <w:sz w:val="20"/>
                <w:szCs w:val="20"/>
                <w:color w:val="auto"/>
              </w:rPr>
            </w:pPr>
            <w:r>
              <w:rPr>
                <w:rFonts w:ascii="Arial" w:cs="Arial" w:eastAsia="Arial" w:hAnsi="Arial"/>
                <w:sz w:val="18"/>
                <w:szCs w:val="18"/>
                <w:color w:val="auto"/>
                <w:w w:val="89"/>
              </w:rPr>
              <w:t>= 20%</w:t>
            </w:r>
          </w:p>
        </w:tc>
        <w:tc>
          <w:tcPr>
            <w:tcW w:w="5580" w:type="dxa"/>
            <w:vAlign w:val="bottom"/>
          </w:tcPr>
          <w:p>
            <w:pPr>
              <w:ind w:left="20"/>
              <w:spacing w:after="0"/>
              <w:rPr>
                <w:sz w:val="20"/>
                <w:szCs w:val="20"/>
                <w:color w:val="auto"/>
              </w:rPr>
            </w:pPr>
            <w:r>
              <w:rPr>
                <w:rFonts w:ascii="Arial" w:cs="Arial" w:eastAsia="Arial" w:hAnsi="Arial"/>
                <w:sz w:val="18"/>
                <w:szCs w:val="18"/>
                <w:color w:val="auto"/>
              </w:rPr>
              <w:t>X Pre-Incentive Fee Net Investment Income, subject to “catch-up”</w:t>
            </w:r>
            <w:r>
              <w:rPr>
                <w:rFonts w:ascii="Arial" w:cs="Arial" w:eastAsia="Arial" w:hAnsi="Arial"/>
                <w:sz w:val="11"/>
                <w:szCs w:val="11"/>
                <w:color w:val="auto"/>
              </w:rPr>
              <w:t>(4)</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Incentive fee</w:t>
            </w:r>
          </w:p>
        </w:tc>
        <w:tc>
          <w:tcPr>
            <w:tcW w:w="840" w:type="dxa"/>
            <w:vAlign w:val="bottom"/>
          </w:tcPr>
          <w:p>
            <w:pPr>
              <w:ind w:left="360"/>
              <w:spacing w:after="0"/>
              <w:rPr>
                <w:sz w:val="20"/>
                <w:szCs w:val="20"/>
                <w:color w:val="auto"/>
              </w:rPr>
            </w:pPr>
            <w:r>
              <w:rPr>
                <w:rFonts w:ascii="Arial" w:cs="Arial" w:eastAsia="Arial" w:hAnsi="Arial"/>
                <w:sz w:val="18"/>
                <w:szCs w:val="18"/>
                <w:color w:val="auto"/>
                <w:w w:val="89"/>
              </w:rPr>
              <w:t>= 50%</w:t>
            </w:r>
          </w:p>
        </w:tc>
        <w:tc>
          <w:tcPr>
            <w:tcW w:w="5580" w:type="dxa"/>
            <w:vAlign w:val="bottom"/>
          </w:tcPr>
          <w:p>
            <w:pPr>
              <w:ind w:left="20"/>
              <w:spacing w:after="0"/>
              <w:rPr>
                <w:sz w:val="20"/>
                <w:szCs w:val="20"/>
                <w:color w:val="auto"/>
              </w:rPr>
            </w:pPr>
            <w:r>
              <w:rPr>
                <w:rFonts w:ascii="Arial" w:cs="Arial" w:eastAsia="Arial" w:hAnsi="Arial"/>
                <w:sz w:val="18"/>
                <w:szCs w:val="18"/>
                <w:color w:val="auto"/>
                <w:w w:val="89"/>
              </w:rPr>
              <w:t>X “catch-up” + (20% x (Pre-Incentive Fee Net Investment Income - 2.9167%))</w:t>
            </w: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Catch-up</w:t>
            </w: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=2.9167%-1.75%</w:t>
            </w:r>
          </w:p>
        </w:tc>
      </w:tr>
      <w:tr>
        <w:trPr>
          <w:trHeight w:val="216"/>
        </w:trPr>
        <w:tc>
          <w:tcPr>
            <w:tcW w:w="1280" w:type="dxa"/>
            <w:vAlign w:val="bottom"/>
          </w:tcPr>
          <w:p>
            <w:pPr>
              <w:spacing w:after="0"/>
              <w:rPr>
                <w:sz w:val="18"/>
                <w:szCs w:val="18"/>
                <w:color w:val="auto"/>
              </w:rPr>
            </w:pP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=1.1667%</w:t>
            </w:r>
          </w:p>
        </w:tc>
      </w:tr>
      <w:tr>
        <w:trPr>
          <w:trHeight w:val="216"/>
        </w:trPr>
        <w:tc>
          <w:tcPr>
            <w:tcW w:w="1280" w:type="dxa"/>
            <w:vAlign w:val="bottom"/>
          </w:tcPr>
          <w:p>
            <w:pPr>
              <w:spacing w:after="0"/>
              <w:rPr>
                <w:sz w:val="18"/>
                <w:szCs w:val="18"/>
                <w:color w:val="auto"/>
              </w:rPr>
            </w:pP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=(50% X 1.1667%) + (20% X (3.55% -2.9167%))</w:t>
            </w:r>
          </w:p>
        </w:tc>
      </w:tr>
      <w:tr>
        <w:trPr>
          <w:trHeight w:val="222"/>
        </w:trPr>
        <w:tc>
          <w:tcPr>
            <w:tcW w:w="1280" w:type="dxa"/>
            <w:vAlign w:val="bottom"/>
          </w:tcPr>
          <w:p>
            <w:pPr>
              <w:spacing w:after="0"/>
              <w:rPr>
                <w:sz w:val="19"/>
                <w:szCs w:val="19"/>
                <w:color w:val="auto"/>
              </w:rPr>
            </w:pPr>
          </w:p>
        </w:tc>
        <w:tc>
          <w:tcPr>
            <w:tcW w:w="6420" w:type="dxa"/>
            <w:vAlign w:val="bottom"/>
            <w:gridSpan w:val="2"/>
          </w:tcPr>
          <w:p>
            <w:pPr>
              <w:ind w:left="360"/>
              <w:spacing w:after="0"/>
              <w:rPr>
                <w:sz w:val="20"/>
                <w:szCs w:val="20"/>
                <w:color w:val="auto"/>
              </w:rPr>
            </w:pPr>
            <w:r>
              <w:rPr>
                <w:rFonts w:ascii="Arial" w:cs="Arial" w:eastAsia="Arial" w:hAnsi="Arial"/>
                <w:sz w:val="18"/>
                <w:szCs w:val="18"/>
                <w:color w:val="auto"/>
              </w:rPr>
              <w:t>=0.5833% + (20% X 0.6333%)</w:t>
            </w:r>
          </w:p>
        </w:tc>
      </w:tr>
    </w:tbl>
    <w:p>
      <w:pPr>
        <w:ind w:left="2560"/>
        <w:spacing w:after="0"/>
        <w:rPr>
          <w:sz w:val="20"/>
          <w:szCs w:val="20"/>
          <w:color w:val="auto"/>
        </w:rPr>
      </w:pPr>
      <w:r>
        <w:rPr>
          <w:rFonts w:ascii="Arial" w:cs="Arial" w:eastAsia="Arial" w:hAnsi="Arial"/>
          <w:sz w:val="18"/>
          <w:szCs w:val="18"/>
          <w:color w:val="auto"/>
        </w:rPr>
        <w:t>=0.5833% + 0.1267%</w:t>
      </w:r>
    </w:p>
    <w:p>
      <w:pPr>
        <w:spacing w:after="0" w:line="9" w:lineRule="exact"/>
        <w:rPr>
          <w:sz w:val="20"/>
          <w:szCs w:val="20"/>
          <w:color w:val="auto"/>
        </w:rPr>
      </w:pPr>
    </w:p>
    <w:p>
      <w:pPr>
        <w:ind w:left="2560"/>
        <w:spacing w:after="0"/>
        <w:rPr>
          <w:sz w:val="20"/>
          <w:szCs w:val="20"/>
          <w:color w:val="auto"/>
        </w:rPr>
      </w:pPr>
      <w:r>
        <w:rPr>
          <w:rFonts w:ascii="Arial" w:cs="Arial" w:eastAsia="Arial" w:hAnsi="Arial"/>
          <w:sz w:val="18"/>
          <w:szCs w:val="18"/>
          <w:color w:val="auto"/>
        </w:rPr>
        <w:t>=0.71%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hypothetical amount of Pre-Incentive Fee Net Investment Income shown is based on a percentage of total net assets.</w:t>
      </w:r>
    </w:p>
    <w:p>
      <w:pPr>
        <w:spacing w:after="0" w:line="15" w:lineRule="exact"/>
        <w:rPr>
          <w:sz w:val="20"/>
          <w:szCs w:val="20"/>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7.0% annualized Hurdle.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Represents 1.0% annualized base management fee.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Excludes organizational and offering expenses.</w:t>
      </w:r>
    </w:p>
    <w:p>
      <w:pPr>
        <w:spacing w:after="0" w:line="9" w:lineRule="exact"/>
        <w:rPr>
          <w:rFonts w:ascii="Arial" w:cs="Arial" w:eastAsia="Arial" w:hAnsi="Arial"/>
          <w:sz w:val="18"/>
          <w:szCs w:val="18"/>
          <w:color w:val="auto"/>
        </w:rPr>
      </w:pPr>
    </w:p>
    <w:p>
      <w:pPr>
        <w:ind w:left="460" w:hanging="452"/>
        <w:spacing w:after="0" w:line="323" w:lineRule="auto"/>
        <w:tabs>
          <w:tab w:leader="none" w:pos="460" w:val="left"/>
        </w:tabs>
        <w:numPr>
          <w:ilvl w:val="0"/>
          <w:numId w:val="64"/>
        </w:numPr>
        <w:rPr>
          <w:rFonts w:ascii="Arial" w:cs="Arial" w:eastAsia="Arial" w:hAnsi="Arial"/>
          <w:sz w:val="16"/>
          <w:szCs w:val="16"/>
          <w:color w:val="auto"/>
        </w:rPr>
      </w:pPr>
      <w:r>
        <w:rPr>
          <w:rFonts w:ascii="Arial" w:cs="Arial" w:eastAsia="Arial" w:hAnsi="Arial"/>
          <w:sz w:val="16"/>
          <w:szCs w:val="16"/>
          <w:color w:val="auto"/>
        </w:rPr>
        <w:t>The “catch-up” provision is intended to provide the Investment Adviser with an incentive fee of approximately 20% on all of our Pre-Incentive Fee Net Investment Income as if a hurdle rate did not apply when our net investment income exceeds 2.9167% in any calendar quarter.</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Example 2: Capital Gains Portion of Incentive Fee:</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1:</w:t>
      </w:r>
    </w:p>
    <w:p>
      <w:pPr>
        <w:spacing w:after="0" w:line="6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Year 1: $20 million investment made in Company A (“Investment A”), and $30 million investment made in Company B (“Investment B”)</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Investment A sold for $50 million and fair market value (“FMV”) of Investment B determined to be $32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$25 million</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Investment B sold for $31 million</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15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00"/>
          </w:cols>
          <w:pgMar w:left="240" w:top="459" w:right="5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$6 million capital gains incentive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$30 million realized capital gains on sale of Investment A multiplied by 20%</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None</w:t>
      </w:r>
    </w:p>
    <w:p>
      <w:pPr>
        <w:spacing w:after="0" w:line="90" w:lineRule="exact"/>
        <w:rPr>
          <w:sz w:val="20"/>
          <w:szCs w:val="20"/>
          <w:color w:val="auto"/>
        </w:rPr>
      </w:pPr>
    </w:p>
    <w:p>
      <w:pPr>
        <w:ind w:left="460" w:right="240"/>
        <w:spacing w:after="0" w:line="254" w:lineRule="auto"/>
        <w:rPr>
          <w:sz w:val="20"/>
          <w:szCs w:val="20"/>
          <w:color w:val="auto"/>
        </w:rPr>
      </w:pPr>
      <w:r>
        <w:rPr>
          <w:rFonts w:ascii="Arial" w:cs="Arial" w:eastAsia="Arial" w:hAnsi="Arial"/>
          <w:sz w:val="18"/>
          <w:szCs w:val="18"/>
          <w:color w:val="auto"/>
        </w:rPr>
        <w:t>$5 million cumulative fee (20% multiplied by $25 million ($30 million cumulative capital gains less $5 million cumulative capital depreciation)) less $6 million</w:t>
      </w:r>
    </w:p>
    <w:p>
      <w:pPr>
        <w:ind w:left="460"/>
        <w:spacing w:after="0"/>
        <w:rPr>
          <w:sz w:val="20"/>
          <w:szCs w:val="20"/>
          <w:color w:val="auto"/>
        </w:rPr>
      </w:pPr>
      <w:r>
        <w:rPr>
          <w:rFonts w:ascii="Arial" w:cs="Arial" w:eastAsia="Arial" w:hAnsi="Arial"/>
          <w:sz w:val="18"/>
          <w:szCs w:val="18"/>
          <w:color w:val="auto"/>
        </w:rPr>
        <w:t>(previous capital gains fee paid in Year 2)</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$200,000 capital gains incentive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$6.2 million cumulative fee ($31 million cumulative realized capital gains multiplied by 20%) less $6 million (previous capital gains fee paid in Year 2)</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Alternative 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left="460" w:right="400"/>
        <w:spacing w:after="0" w:line="268" w:lineRule="auto"/>
        <w:rPr>
          <w:sz w:val="20"/>
          <w:szCs w:val="20"/>
          <w:color w:val="auto"/>
        </w:rPr>
      </w:pPr>
      <w:r>
        <w:rPr>
          <w:rFonts w:ascii="Arial" w:cs="Arial" w:eastAsia="Arial" w:hAnsi="Arial"/>
          <w:sz w:val="18"/>
          <w:szCs w:val="18"/>
          <w:color w:val="auto"/>
        </w:rPr>
        <w:t>Year 1: $20 million investment made in Company A (“Investment A”), $30 million investment made in Company B (“Investment B”) and $25 million investment made in Company C (“Investment C”)</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Year 2: Investment A sold for $50 million, FMV of Investment B determined to be $25 million and FMV of Investment C determined to be $25 million</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FMV of Investment B determined to be $27 million and Investment C sold for $30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FMV of Investment B determined to be $35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Investment B sold for $20 million</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capital gains portion of the incentive fee, if any, would be: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1: None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2: $5 million capital gains incentive fee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20% multiplied by $25 million ($30 million realized capital gains on sale of Investment A less $5 million unrealized capital depreciation on Investment B)</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3: $1.4 million capital gains incentive fee</w:t>
      </w:r>
      <w:r>
        <w:rPr>
          <w:rFonts w:ascii="Arial" w:cs="Arial" w:eastAsia="Arial" w:hAnsi="Arial"/>
          <w:sz w:val="11"/>
          <w:szCs w:val="11"/>
          <w:color w:val="auto"/>
        </w:rPr>
        <w:t>( 1)</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$6.4 million cumulative fee (20% multiplied by $32 million ($35 million cumulative realized capital gains less $3 million unrealized capital depreciation))</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less $5 million (previous capital gains fee paid in Year 2)</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4: None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Year 5: None</w:t>
      </w:r>
    </w:p>
    <w:p>
      <w:pPr>
        <w:spacing w:after="0" w:line="90" w:lineRule="exact"/>
        <w:rPr>
          <w:sz w:val="20"/>
          <w:szCs w:val="20"/>
          <w:color w:val="auto"/>
        </w:rPr>
      </w:pPr>
    </w:p>
    <w:p>
      <w:pPr>
        <w:ind w:left="460" w:right="100"/>
        <w:spacing w:after="0" w:line="268" w:lineRule="auto"/>
        <w:rPr>
          <w:sz w:val="20"/>
          <w:szCs w:val="20"/>
          <w:color w:val="auto"/>
        </w:rPr>
      </w:pPr>
      <w:r>
        <w:rPr>
          <w:rFonts w:ascii="Arial" w:cs="Arial" w:eastAsia="Arial" w:hAnsi="Arial"/>
          <w:sz w:val="18"/>
          <w:szCs w:val="18"/>
          <w:color w:val="auto"/>
        </w:rPr>
        <w:t>$5 million cumulative fee (20% multiplied by $25 million ($35 million cumulative realized capital gains less $10 million realized capital losses)) less $6.4 million (previous cumulative capital gains fee paid in Year 2 and Year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7289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98" w:lineRule="exact"/>
        <w:rPr>
          <w:sz w:val="20"/>
          <w:szCs w:val="20"/>
          <w:color w:val="auto"/>
        </w:rPr>
      </w:pPr>
    </w:p>
    <w:p>
      <w:pPr>
        <w:ind w:left="460" w:right="120" w:hanging="452"/>
        <w:spacing w:after="0" w:line="252" w:lineRule="auto"/>
        <w:tabs>
          <w:tab w:leader="none" w:pos="460" w:val="left"/>
        </w:tabs>
        <w:numPr>
          <w:ilvl w:val="0"/>
          <w:numId w:val="65"/>
        </w:numPr>
        <w:rPr>
          <w:rFonts w:ascii="Arial" w:cs="Arial" w:eastAsia="Arial" w:hAnsi="Arial"/>
          <w:sz w:val="21"/>
          <w:szCs w:val="21"/>
          <w:color w:val="auto"/>
          <w:vertAlign w:val="superscript"/>
        </w:rPr>
      </w:pPr>
      <w:r>
        <w:rPr>
          <w:rFonts w:ascii="Arial" w:cs="Arial" w:eastAsia="Arial" w:hAnsi="Arial"/>
          <w:sz w:val="17"/>
          <w:szCs w:val="17"/>
          <w:color w:val="auto"/>
        </w:rPr>
        <w:t>As illustrated in Year 3 of Alternative 1 above, if PennantPark Floating Rate Capital Ltd. were to be wound up on a date other than December 31 of any year, PennantPark Floating Rate Capital Ltd. may have paid aggregate capital gain incentive fees that are more than the amount of such fees that would be payable if PennantPark Floating Rate Capital Ltd. had been wound up on December 31 of such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Duration and Termination</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Investment Management Agreement was re-approved by our board of directors, including a majority of our directors who are not interested persons of us or the Investment Adviser, in February 2013. Unless terminated earlier as described below, the Investment Management Agreement will continue in effect for a period of one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459" w:right="23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288" w:lineRule="auto"/>
        <w:rPr>
          <w:sz w:val="20"/>
          <w:szCs w:val="20"/>
          <w:color w:val="auto"/>
        </w:rPr>
      </w:pPr>
      <w:r>
        <w:rPr>
          <w:rFonts w:ascii="Arial" w:cs="Arial" w:eastAsia="Arial" w:hAnsi="Arial"/>
          <w:sz w:val="16"/>
          <w:szCs w:val="16"/>
          <w:color w:val="auto"/>
        </w:rPr>
        <w:t>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In determining to re-approve the Investment Management Agreement, our board of directors requested information from the Investment Adviser that enabled it to evaluate a number of factors relevant to its determination. These factors included the nature, quality and extent of services performed by the Investment Adviser, our ability to manage conflicts of interest effectively, our short and long-term performance, our costs, including as compared to comparable externally and internally managed publicly traded BDCs that engage in similar investing activities, our profitability and any economies of scale. Based on the information reviewed and the considerations detailed above, our board of directors, including all of our directors who are not interested persons of the Investment Adviser, concluded that the investment advisory fee rates and terms are fair and reasonable in relation to the services provided and re-approved the Investment Management Agreement as being in the best interests of our stockholders.</w:t>
      </w:r>
    </w:p>
    <w:p>
      <w:pPr>
        <w:spacing w:after="0" w:line="120" w:lineRule="exact"/>
        <w:rPr>
          <w:sz w:val="20"/>
          <w:szCs w:val="20"/>
          <w:color w:val="auto"/>
        </w:rPr>
      </w:pPr>
    </w:p>
    <w:p>
      <w:pPr>
        <w:jc w:val="both"/>
        <w:ind w:right="360" w:firstLine="456"/>
        <w:spacing w:after="0" w:line="298" w:lineRule="auto"/>
        <w:rPr>
          <w:sz w:val="20"/>
          <w:szCs w:val="20"/>
          <w:color w:val="auto"/>
        </w:rPr>
      </w:pPr>
      <w:r>
        <w:rPr>
          <w:rFonts w:ascii="Arial" w:cs="Arial" w:eastAsia="Arial" w:hAnsi="Arial"/>
          <w:sz w:val="16"/>
          <w:szCs w:val="16"/>
          <w:color w:val="auto"/>
        </w:rPr>
        <w:t>The Investment Management Agreement will automatically terminate in the event of its assignment. The Investment Management Agreement may be terminated by either party without penalty upon 60 days’ written notice to the other. See “Risk Factors—Risks relating to our business and structure—We are dependent upon our Investment Adviser’s key personnel for our future success, and if we are or our Investment Adviser is unable to hire and retain qualified personnel or if we lose any member of our management team, our ability to achieve our investment objectives could be significantly harmed.”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of the Investment Adviser</w:t>
      </w:r>
    </w:p>
    <w:p>
      <w:pPr>
        <w:spacing w:after="0" w:line="90"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PennantPark Investment Advisers is a registered investment adviser under the Investment Advisers Act of 1940, as amended, or the Advisers Act. The principal executive office of PennantPark Investment Advisers is located at 590 Madison Avenue, 15th Floor, New York, NY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 Agreement</w:t>
      </w:r>
    </w:p>
    <w:p>
      <w:pPr>
        <w:spacing w:after="0" w:line="96"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Pursuant to the Administration Agreement, the Administrator furnishes us with office facilities, equipment and clerical, bookkeeping and record keeping services at such facilities. Under our Administration Agreement, the Administrator performs, or oversees the performance of, our required administrative services, which include, among other things, being responsible for the financial records which we are required to maintain and preparing reports to our stockholders and reports filed with the SEC. In addition, the Administrator assists us in determining and publishing our net asset value, oversees the preparation and filing of our tax returns and the printing and dissemination of reports to our stockholders, and generally oversees the payment of our expenses and the performance of administrative and professional services rendered to us by others. Payments under our Administration Agreement are equal to an amount based upon our allocable portion of the Administrator’s overhead in performing its obligations under our Administration Agreement, including rent and our allocable portion of the cost of compensation and related expenses of our Chief Compliance Officer and Chief Financial Officer and their respective staffs. Under our Administration Agreement, the Administrator offers, on our behalf, managerial assistance to those portfolio companies to which we are required to offer such assistance. To the extent that our Administrator outsources any of its functions, we will pay the fees associated with such functions on a direct basis without profit to the Administrator. For the three and six months ended March 31, 2013, the Investment Adviser was reimbursed approximately $0.1 million and $0.2 million, respectively, from us, including expenses it incurred on behalf of the Administrator, for services described above. For the three and six months ended March 31, 2012, the Investment Adviser was reimbursed approximately $0.1 million in total from us, including expenses it incurred on behalf of the Administrator, for services described above.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the Investment Adviser incurred on behalf of the Administrator, for the services described above.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459" w:right="2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Duration and Termination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Administration Agreement was re-approved by our board of directors, including a majority of our directors who are not interested persons of us, in February 2013. Unless terminated earlier as described below, our Administration Agreement will continue in effect for a period of one year through February 2014. It will remain in effect if approved annually by our board of directors, or by the affirmative vote of the holders of a majority of our outstanding voting securities, including, in either case, approval by a majority of our directors who are not interested persons. The Administration Agreement may not be assigned by either party without the consent of the other party. The Administration Agreement may be terminated by either party without penalty upon not more than 60 days’ written notice to the other. See “Risk Factors—Risks Relating to our Business and Structure—We are dependent upon our Investment Adviser’s key personnel for our future success, and if we or our Investment Adviser is unable to hire and retain qualified personnel or if we lose any member of our management team, our ability to achieve our investment objectives could be significantly harmed” for more information.</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90"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Our Investment Management Agreement and Administration Agreement provide that, absent willful misfeasance, bad faith or gross negligence in the performance of their duties or by reason of the reckless disregard of their duties and obligations, PennantPark Investment Advisers and PennantPark Investment Administration and their officers, manager, partners, agents, employees, controlling persons, members and any other person or entity affiliated with them are entitled to indemnification from us for any damages, liabilities, costs and expenses (including reasonable attorneys’ fees and amounts reasonably paid in settlement) arising from the rendering of PennantPark Investment Advisers’ and PennantPark Investment Administration’s services under our Investment Management Agreement or Administration Agreement or otherwise as Investment Adviser or Administrator for us.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We have entered into the License Agreement with PennantPark Investment Advisers pursuant to which PennantPark Investment Advisers has granted us a royalty-free, non-exclusive license to use the name “PennantPark.” Under this agreement, we have a right to use the PennantPark name, for so long as PennantPark Investment Advisers or one of its affiliates remains our Investment Adviser. Other than with respect to this limited license, we have no legal right to the “PennantPark” name.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Load Repayment</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equaled or exceeded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used such amounts to purchase shares of our common stock in the secondary market.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20"/>
          </w:cols>
          <w:pgMar w:left="240" w:top="459" w:right="23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DETERMINATION OF NET ASSET VALUE</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net asset value per share of our outstanding shares of common stock is determined quarterly by dividing the value of total assets minus liabilities by the total number of shares outstanding.</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As a BDC, we generally invest in illiquid securities including debt and equity investments of middle-market companies. Our board of directors generally uses market quotations to assess the value of our investments for which market quotations are readily available. We obtain these market values from independent pricing services or at the bid prices obtained from at least two broker/dealers if available, otherwise by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value.</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We expect that there will not be readily available market values for most, if not all, of the investments which are or will be in our portfolio, and we value such investments at fair value as determined in good faith by or under the direction of our board of directors using a documented valuation policy, described herein,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differences may be material.</w:t>
      </w:r>
    </w:p>
    <w:p>
      <w:pPr>
        <w:spacing w:after="0" w:line="108"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8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the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60" w:hanging="446"/>
        <w:spacing w:after="0" w:line="256"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an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62" w:lineRule="exact"/>
        <w:rPr>
          <w:rFonts w:ascii="Arial" w:cs="Arial" w:eastAsia="Arial" w:hAnsi="Arial"/>
          <w:sz w:val="18"/>
          <w:szCs w:val="18"/>
          <w:color w:val="auto"/>
        </w:rPr>
      </w:pPr>
    </w:p>
    <w:p>
      <w:pPr>
        <w:ind w:left="900" w:right="300" w:hanging="446"/>
        <w:spacing w:after="0" w:line="332" w:lineRule="auto"/>
        <w:tabs>
          <w:tab w:leader="none" w:pos="900" w:val="left"/>
        </w:tabs>
        <w:numPr>
          <w:ilvl w:val="0"/>
          <w:numId w:val="66"/>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the Investment Adviser and that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board of directors discusses these valuations and determines the fair value of each investment in our portfolio in good faith, based on the input of our Investment Adviser, the independent valuation firms and the audit committee.</w:t>
      </w:r>
    </w:p>
    <w:p>
      <w:pPr>
        <w:spacing w:after="0" w:line="132" w:lineRule="exact"/>
        <w:rPr>
          <w:sz w:val="20"/>
          <w:szCs w:val="20"/>
          <w:color w:val="auto"/>
        </w:rPr>
      </w:pPr>
    </w:p>
    <w:p>
      <w:pPr>
        <w:jc w:val="center"/>
        <w:ind w:left="280" w:right="420"/>
        <w:spacing w:after="0" w:line="440" w:lineRule="auto"/>
        <w:rPr>
          <w:sz w:val="20"/>
          <w:szCs w:val="20"/>
          <w:color w:val="auto"/>
        </w:rPr>
      </w:pPr>
      <w:r>
        <w:rPr>
          <w:rFonts w:ascii="Arial" w:cs="Arial" w:eastAsia="Arial" w:hAnsi="Arial"/>
          <w:sz w:val="18"/>
          <w:szCs w:val="18"/>
          <w:color w:val="auto"/>
        </w:rPr>
        <w:t>To the extent we invest in derivative instruments in the future, such instruments would be valued at fair value in accordance with our valuation policy. 92</w:t>
      </w:r>
    </w:p>
    <w:p>
      <w:pPr>
        <w:sectPr>
          <w:pgSz w:w="11900" w:h="16838" w:orient="portrait"/>
          <w:cols w:equalWidth="0" w:num="1">
            <w:col w:w="11420"/>
          </w:cols>
          <w:pgMar w:left="240" w:top="459" w:right="2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at the reporting period 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Determinations In Connection With Offerings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In connection with each offering of shares of our common stock, our board of directors or a committee thereof is required to make the determination that we are not selling shares of our common stock at a price below net asset value of our common stock at the time at which the sale is made unless we receive the consent of the majority of our common stockholders to do so, and the board of directors decides that such an offering is in the best interests of our common stockholders. Our board of directors will consider the following factors, among others, in making such determination:</w:t>
      </w:r>
    </w:p>
    <w:p>
      <w:pPr>
        <w:spacing w:after="0" w:line="32" w:lineRule="exact"/>
        <w:rPr>
          <w:sz w:val="20"/>
          <w:szCs w:val="20"/>
          <w:color w:val="auto"/>
        </w:rPr>
      </w:pPr>
    </w:p>
    <w:p>
      <w:pPr>
        <w:ind w:left="900" w:hanging="446"/>
        <w:spacing w:after="0"/>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net asset value of our common stock disclosed in the most recent periodic report that we filed with the SEC;</w:t>
      </w:r>
    </w:p>
    <w:p>
      <w:pPr>
        <w:spacing w:after="0" w:line="90" w:lineRule="exact"/>
        <w:rPr>
          <w:rFonts w:ascii="Arial" w:cs="Arial" w:eastAsia="Arial" w:hAnsi="Arial"/>
          <w:sz w:val="18"/>
          <w:szCs w:val="18"/>
          <w:color w:val="auto"/>
        </w:rPr>
      </w:pPr>
    </w:p>
    <w:p>
      <w:pPr>
        <w:jc w:val="both"/>
        <w:ind w:left="900" w:right="180" w:hanging="446"/>
        <w:spacing w:after="0" w:line="306" w:lineRule="auto"/>
        <w:tabs>
          <w:tab w:leader="none" w:pos="9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our management’s assessment of whether any change in the net asset value of our common stock has occurred (including through the realization of gains on the sale of our portfolio securities) during the period beginning on the date of the most recent public filing with the SEC that discloses the net asset value of our common stock and ending two days prior to the date of the sale of our common stock; and</w:t>
      </w:r>
    </w:p>
    <w:p>
      <w:pPr>
        <w:spacing w:after="0" w:line="25" w:lineRule="exact"/>
        <w:rPr>
          <w:rFonts w:ascii="Arial" w:cs="Arial" w:eastAsia="Arial" w:hAnsi="Arial"/>
          <w:sz w:val="16"/>
          <w:szCs w:val="16"/>
          <w:color w:val="auto"/>
        </w:rPr>
      </w:pPr>
    </w:p>
    <w:p>
      <w:pPr>
        <w:ind w:left="900" w:right="20" w:hanging="446"/>
        <w:spacing w:after="0" w:line="268" w:lineRule="auto"/>
        <w:tabs>
          <w:tab w:leader="none" w:pos="9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magnitude of the difference between the offering price of the shares of our common stock in the proposed offering and management’s assessment of any change in the net asset value of our common stock during the period discussed above.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Importantly, this determination will not necessarily require that we calculate the net asset value of our common stock in connection with each offering of shares of our common stock, but instead it will involve the determination by our board of directors or a committee thereof that we are not selling shares of our common stock at a price below the then current net asset value of our common stock at the time at which the sale is made or otherwise in violation of the 1940 Act. However, if we receive the consent of a majority of our common stockholders to issue shares of our common stock at a price below our then current NAV and our board of directors decides that such an offering is in the best interest of our common stockholders, then we may undertake such an offering. See “Sales Of Common Stock Below Net Asset Value” for more information.</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To the extent that the above procedures result in even a remote possibility that we may (i) in the absence of stockholder approval issue shares of our common stock at a price below the then current net asset value of our common stock at the time at which the sale is made or (ii) trigger our undertaking to suspend the offering of shares of our common stock pursuant to this prospectus if the net asset value fluctuates by certain amounts in certain circumstances until the prospectus is amended, the board of directors or a committee thereof will elect, in the case of clause (i) above, either to postpone the offering until such time that there is no longer the possibility of the occurrence of such event or to undertake to determine net asset value within two days prior to any such sale to ensure that such sale will not be below our then current net asset value, and, in the case of clause (ii) above, to comply with such undertaking or to undertake to determine net asset value to ensure that such undertaking has not been triggered.</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may, however, subject to the requirements of the 1940 Act, issue subscription rights to acquire our common stock at a price below the current net asset value of the common stock if our board of directors determines that such sale is in our best interests and the best interests of our common stockholders. In any such case, the price at which our securities are to be issued and sold may not be less than a price, that in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00"/>
          </w:cols>
          <w:pgMar w:left="240" w:top="459" w:right="2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determination of our board of directors, closely approximates the market value of such securities.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addition, we note that for us to file a post-effective amendment to this registration statement on Form N-2, we must then be qualified to register our securities on Form N-2. If we raise additional funds by issuing more common stock or warrants or senior securities convertible into, or exchangeable for, our common stock, the percentage ownership of our common stockholders at that time would decrease, and our common stockholders may experience dilution.</w:t>
      </w:r>
    </w:p>
    <w:p>
      <w:pPr>
        <w:spacing w:after="0" w:line="118"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These processes and procedures are part of our compliance policies and procedures. Records will be made contemporaneously with all determinations of the board of directors described in this section, and we will maintain these records with other records that we are required to maintain under the 1940 Act.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00"/>
          </w:cols>
          <w:pgMar w:left="240" w:top="459" w:right="2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DIVIDEND REINVESTMENT PLAN</w:t>
      </w:r>
    </w:p>
    <w:p>
      <w:pPr>
        <w:spacing w:after="0" w:line="17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We have adopted a dividend reinvestment plan that provides for reinvestment of our dividends and other distributions on behalf of our stockholders, unless a stockholder elects to receive cash as provided below. As a result, if our board of directors authorizes, and we declare, a cash dividend or other distribution, then our stockholders who have not ‘opted out’ of our dividend reinvestment plan will have their cash distribution automatically reinvested in additional shares of our common stock, rather than receiving the cash distribution.</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No action is required on the part of registered stockholders to have their cash dividend or other distribution reinvested in shares of our common stock. A registered stockholder may elect to receive an entire distribution in cash by notifying American Stock Transfer &amp; Trust Company, LLC the plan administrator and our transfer agent and registrar, in writing so that such notice is received by the plan administrator no later than the record date for distributions to stockholders. The plan administrator will set up an account for shares acquired through the plan for each stockholder who has not elected to receive dividends or other distributions in cash and hold such shares in non-certificated form. Upon request by a stockholder participating in the plan, received in writing not less than 10 days prior to the record date, the plan administrator will, instead of crediting shares to the participant’s account, issue a certificate registered in the participant’s name for the number of whole shares of our common stock and a check for any fractional share.</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Those stockholders whose shares are held by a broker or other financial intermediary may receive dividends and other distributions in cash by notifying their broker or other financial intermediary of their election.</w:t>
      </w:r>
    </w:p>
    <w:p>
      <w:pPr>
        <w:spacing w:after="0" w:line="132"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Generally, we intend to issue shares to implement the plan, when our shares are trading at a premium to our net asset value per share. However, we reserve the right to purchase shares in the open market in connection with our implementation of the plan. The number of shares to be issued to a stockholder is determined by dividing the total dollar amount of the distribution payable to such stockholder by the market price per share of our common stock at the close of regular trading on the NASDAQ Global Select Market on the valuation date for such distribution. Market price per share on that date will be the closing price for such shares on the NASDAQ Global Select Market or, if no sale is reported for such day, at the average of their reported bid and asked prices. The number of shares of our common stock to be outstanding after giving effect to payment of the dividend or other distribution cannot be established until the value per share at which additional shares will be issued has been determined and elections of our stockholders have been tabulated.</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Except as described below, the plan administrator’s fees will be paid by us. 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$15.00 transaction fee plus a $0.10 per share brokerage commissions from the proceeds. Additionally, there are brokerage commissions, currently $0.03 per share, incurred in connection with open market purchases.</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Stockholders who receive dividends and other distributions in the form of stock are subject to the same federal, state and local tax consequences as are stockholders who elect to receive their distributions in cash. A stockholder’s basis for determining gain or loss upon the sale of stock received in a dividend or other distribution from us will be equal to the total dollar amount of the distribution payable to the stockholder. Any stock received in a dividend or other distribution will have a new holding period for tax purposes commencing on the day following the day on which the shares are credited to the U.S. stockholder’s account.</w:t>
      </w:r>
    </w:p>
    <w:p>
      <w:pPr>
        <w:spacing w:after="0" w:line="143"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 xml:space="preserve">Participants may terminate their accounts under the plan by notifying the plan administrator via its website at </w:t>
      </w:r>
      <w:r>
        <w:rPr>
          <w:rFonts w:ascii="Arial" w:cs="Arial" w:eastAsia="Arial" w:hAnsi="Arial"/>
          <w:sz w:val="18"/>
          <w:szCs w:val="18"/>
          <w:i w:val="1"/>
          <w:iCs w:val="1"/>
          <w:u w:val="single" w:color="auto"/>
          <w:color w:val="auto"/>
        </w:rPr>
        <w:t>www.amstock.com</w:t>
      </w:r>
      <w:r>
        <w:rPr>
          <w:rFonts w:ascii="Arial" w:cs="Arial" w:eastAsia="Arial" w:hAnsi="Arial"/>
          <w:sz w:val="18"/>
          <w:szCs w:val="18"/>
          <w:color w:val="auto"/>
        </w:rPr>
        <w:t xml:space="preserve"> or by filling out the transaction request form located at bottom of their statement and sending it to the plan administrator.</w:t>
      </w:r>
    </w:p>
    <w:p>
      <w:pPr>
        <w:spacing w:after="0" w:line="132"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The plan may be terminated by us upon notice in writing mailed to each participant at least 30 days prior to any record date for the payment of any dividend by us. All correspondence concerning the plan should be directed to the plan administrator by mail at American Stock Transfer &amp; Trust Company, LLC, 6201 15</w:t>
      </w:r>
      <w:r>
        <w:rPr>
          <w:rFonts w:ascii="Arial" w:cs="Arial" w:eastAsia="Arial" w:hAnsi="Arial"/>
          <w:sz w:val="10"/>
          <w:szCs w:val="10"/>
          <w:color w:val="auto"/>
        </w:rPr>
        <w:t>th</w:t>
      </w:r>
      <w:r>
        <w:rPr>
          <w:rFonts w:ascii="Arial" w:cs="Arial" w:eastAsia="Arial" w:hAnsi="Arial"/>
          <w:sz w:val="16"/>
          <w:szCs w:val="16"/>
          <w:color w:val="auto"/>
        </w:rPr>
        <w:t xml:space="preserve"> Avenue, 3</w:t>
      </w:r>
      <w:r>
        <w:rPr>
          <w:rFonts w:ascii="Arial" w:cs="Arial" w:eastAsia="Arial" w:hAnsi="Arial"/>
          <w:sz w:val="10"/>
          <w:szCs w:val="10"/>
          <w:color w:val="auto"/>
        </w:rPr>
        <w:t>rd</w:t>
      </w:r>
      <w:r>
        <w:rPr>
          <w:rFonts w:ascii="Arial" w:cs="Arial" w:eastAsia="Arial" w:hAnsi="Arial"/>
          <w:sz w:val="16"/>
          <w:szCs w:val="16"/>
          <w:color w:val="auto"/>
        </w:rPr>
        <w:t xml:space="preserve"> Floor, Brooklyn, New York 11219, or by the plan administrator’s Interactive Voice Response System at 1-800-278-4353.</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459" w:right="23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CAPITAL STOCK</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The following description is based on relevant portions of the Maryland General Corporation Law and on our charter and bylaws. This summary is not necessarily complete, and we refer you to the Maryland General Corporation Law and our charter and bylaws for a more detailed description of the provisions summarized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Stock</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As of July 1, 2013, our authorized capital stock consisted of 100,000,000 shares of stock, par value $0.001 per share, all of which is classified as common stock. Our common stock is quoted on the NASDAQ Global Select Market under the ticker symbol “PFLT.” There are no outstanding options or warrants to purchase our stock. No stock has been authorized for issuance under any equity compensation plans. Under Maryland law, our stockholders generally are not personally liable for our debts or obligations.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last reported closing market price of our common stock on July 1, 2013 was $14.22 per share. As of July 1, 2013, we had three stockholders of record.</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our outstanding classes of securities as of July 1, 2013:</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0" w:type="dxa"/>
            <w:vAlign w:val="bottom"/>
          </w:tcPr>
          <w:p>
            <w:pPr>
              <w:spacing w:after="0"/>
              <w:rPr>
                <w:sz w:val="14"/>
                <w:szCs w:val="14"/>
                <w:color w:val="auto"/>
              </w:rPr>
            </w:pPr>
          </w:p>
        </w:tc>
        <w:tc>
          <w:tcPr>
            <w:tcW w:w="66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Amount Held by</w:t>
            </w:r>
          </w:p>
        </w:tc>
        <w:tc>
          <w:tcPr>
            <w:tcW w:w="1020" w:type="dxa"/>
            <w:vAlign w:val="bottom"/>
          </w:tcPr>
          <w:p>
            <w:pPr>
              <w:spacing w:after="0"/>
              <w:rPr>
                <w:sz w:val="14"/>
                <w:szCs w:val="14"/>
                <w:color w:val="auto"/>
              </w:rPr>
            </w:pPr>
          </w:p>
        </w:tc>
      </w:tr>
      <w:tr>
        <w:trPr>
          <w:trHeight w:val="149"/>
        </w:trPr>
        <w:tc>
          <w:tcPr>
            <w:tcW w:w="800" w:type="dxa"/>
            <w:vAlign w:val="bottom"/>
          </w:tcPr>
          <w:p>
            <w:pPr>
              <w:spacing w:after="0"/>
              <w:rPr>
                <w:sz w:val="12"/>
                <w:szCs w:val="12"/>
                <w:color w:val="auto"/>
              </w:rPr>
            </w:pPr>
          </w:p>
        </w:tc>
        <w:tc>
          <w:tcPr>
            <w:tcW w:w="664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Amount</w:t>
            </w:r>
          </w:p>
        </w:tc>
        <w:tc>
          <w:tcPr>
            <w:tcW w:w="14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Us or for Our</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Amount</w:t>
            </w:r>
          </w:p>
        </w:tc>
      </w:tr>
      <w:tr>
        <w:trPr>
          <w:trHeight w:val="181"/>
        </w:trPr>
        <w:tc>
          <w:tcPr>
            <w:tcW w:w="8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Title of Class</w:t>
            </w:r>
          </w:p>
        </w:tc>
        <w:tc>
          <w:tcPr>
            <w:tcW w:w="6640" w:type="dxa"/>
            <w:vAlign w:val="bottom"/>
          </w:tcPr>
          <w:p>
            <w:pPr>
              <w:spacing w:after="0"/>
              <w:rPr>
                <w:sz w:val="15"/>
                <w:szCs w:val="15"/>
                <w:color w:val="auto"/>
              </w:rPr>
            </w:pP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Authorized</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Account</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7"/>
              </w:rPr>
              <w:t>Outstanding</w:t>
            </w:r>
          </w:p>
        </w:tc>
      </w:tr>
      <w:tr>
        <w:trPr>
          <w:trHeight w:val="203"/>
        </w:trPr>
        <w:tc>
          <w:tcPr>
            <w:tcW w:w="74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Common Stock, par value $0.001 per share</w:t>
            </w:r>
          </w:p>
        </w:tc>
        <w:tc>
          <w:tcPr>
            <w:tcW w:w="1380" w:type="dxa"/>
            <w:vAlign w:val="bottom"/>
            <w:tcBorders>
              <w:top w:val="single" w:sz="8" w:color="auto"/>
            </w:tcBorders>
            <w:shd w:val="clear" w:color="auto" w:fill="CCEEFF"/>
          </w:tcPr>
          <w:p>
            <w:pPr>
              <w:jc w:val="right"/>
              <w:ind w:right="26"/>
              <w:spacing w:after="0" w:line="203" w:lineRule="exact"/>
              <w:rPr>
                <w:sz w:val="20"/>
                <w:szCs w:val="20"/>
                <w:color w:val="auto"/>
              </w:rPr>
            </w:pPr>
            <w:r>
              <w:rPr>
                <w:rFonts w:ascii="Arial" w:cs="Arial" w:eastAsia="Arial" w:hAnsi="Arial"/>
                <w:sz w:val="18"/>
                <w:szCs w:val="18"/>
                <w:color w:val="auto"/>
              </w:rPr>
              <w:t>100,000,000</w:t>
            </w:r>
          </w:p>
        </w:tc>
        <w:tc>
          <w:tcPr>
            <w:tcW w:w="100" w:type="dxa"/>
            <w:vAlign w:val="bottom"/>
            <w:tcBorders>
              <w:top w:val="single" w:sz="8" w:color="CCEEFF"/>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ind w:left="560"/>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10,304,692</w:t>
            </w:r>
          </w:p>
        </w:tc>
      </w:tr>
    </w:tbl>
    <w:p>
      <w:pPr>
        <w:spacing w:after="0" w:line="154" w:lineRule="exact"/>
        <w:rPr>
          <w:sz w:val="20"/>
          <w:szCs w:val="20"/>
          <w:color w:val="auto"/>
        </w:rPr>
      </w:pPr>
    </w:p>
    <w:p>
      <w:pPr>
        <w:ind w:right="240" w:firstLine="456"/>
        <w:spacing w:after="0" w:line="298" w:lineRule="auto"/>
        <w:rPr>
          <w:sz w:val="20"/>
          <w:szCs w:val="20"/>
          <w:color w:val="auto"/>
        </w:rPr>
      </w:pPr>
      <w:r>
        <w:rPr>
          <w:rFonts w:ascii="Arial" w:cs="Arial" w:eastAsia="Arial" w:hAnsi="Arial"/>
          <w:sz w:val="16"/>
          <w:szCs w:val="16"/>
          <w:color w:val="auto"/>
        </w:rPr>
        <w:t>Under our charter, our board of directors is authorized to classify and reclassify any unissued shares of stock into other classes or series of stock and authorize the issuance of shares of stock without obtaining stockholder approval. As permitted by the Maryland General Corporation Law, our charter provides that the board of directors, without any action by our stockholders, may amend the charter from time to time to increase or decrease the aggregate number of shares of stock or the number of shares of stock of any class or series that we have authority to issue.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96"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All shares of our common stock have equal rights as to earnings, assets, distributions and voting and, when they are issued, will be duly authorized, validly issued, fully paid and nonassessable. Distributions may be paid to the holders of our common stock if, as and when authorized by our board of directors and declared by us out of funds legally available. Shares of our common stock have no preemptive, exchange, conversion or redemption rights and are freely transferable, except where their transfer is restricted by federal and state securities laws or by contract. In the event of a liquidation, dissolution or winding up of us, each share of our common stock would be entitled to share ratably in all of our assets that are legally available for distribution after we pay all debts and other liabilities and subject to any preferential rights of holders of our preferred stock, if any preferred stock is outstanding at such time. Each share of our common stock is entitled to one vote on all matters submitted to a vote of stockholders, including the election of directors. Except as provided with respect to any other class or series of stock, the holders of our common stock will possess exclusive voting power. There is no cumulative voting in the election of directors, which means that holders of a majority of the outstanding shares of common stock can elect all of our directors, and holders of less than a majority of such shares will be unable to elect any director.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of Directors and Officers; Indemnification and Advance of Expenses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Maryland law permits a Maryland corporation to include in its charter a provision limiting the liability of its directors and officers to the corporation and its stockholders for money damages except for liability resulting from (a) actual receipt of an improper benefit or profit in money, property or services or (b) active and deliberate dishonesty established by a final judgment as being material to the cause of action. Our charter contains such a provision which eliminates directors’ and officers’ liability to the maximum extent permitted by Maryland law, subject to the requirements of the 1940 Act.</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459" w:right="23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Our charter authorizes us, to the maximum extent permitted by Maryland law and subject to the requirements of the 1940 Act, to obligate us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from and against any claim or liability to which that person may become subject or which that person may incur by reason of his or her service in any such capacity and to pay or reimburse their reasonable expenses in advance of final disposition of a proceeding.</w:t>
      </w:r>
    </w:p>
    <w:p>
      <w:pPr>
        <w:spacing w:after="0" w:line="1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Our bylaws obligate us, to the maximum extent permitted by Maryland law and subject to the requirements of the 1940 Act, to indemnify any present or former director or officer or any individual who, while a director or officer and at our request, serves or has served another corporation, real estate investment trust, partnership, joint venture, trust, employee benefit plan, or any other enterprise as a director, officer, partner or trustee and who is made, or threatened to be made, a party to a proceeding by reason of his or her service in any such capacity from and against any claim or liability to which that person may become subject or which that person may incur by reason of his or her service in any such capacity and to pay or reimburse their reasonable expenses in advance of final disposition of a proceeding. The charter and bylaws also permit us to indemnify and advance expenses to any person who served a predecessor of us in any of the capacities described above and any of our employees or agents or any employees or agents of our predecessor. In accordance with the 1940 Act, we will not indemnify any person for any liability to which such person would be subject by reason of such person’s willful misfeasance, bad faith, gross negligence or reckless disregard of the duties involved in the conduct of his or her office.</w:t>
      </w:r>
    </w:p>
    <w:p>
      <w:pPr>
        <w:spacing w:after="0" w:line="120"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Maryland law requires a corporation (unless its charter provides otherwise, which our charter does not) to indemnify a director or officer who has been successful, on the merits or otherwise, in the defense of any proceeding to which he or she is made, or threatened to be made, a party by reason of his or her service in that capacity. Maryland law permits a corporation to indemnify its present and former directors and officers, among others, against judgments, penalties, fines, settlements and reasonable expenses actually incurred by them in connection with any proceeding to which they may be made, or threatened to be made, a party by reason of their service in those or other capacities unless it is established that (a) the act or omission of the director or officer was material to the matter giving rise to the proceeding and (1) was committed in bad faith or (2)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under Maryland law, a Maryland corporation may not indemnify for an adverse judgment in a suit by or in the right of the corporation or for a judgment of liability on the basis that a personal benefit was improperly received unless, in either case, a court orders indemnification, and then only for expenses. In addition, Maryland law permits a corporation to advance reasonable expenses to a director or officer upon the corporation’s receipt of (a) a written affirmation by the director or officer of his or her good faith belief that he or she has met the standard of conduct necessary for indemnification by the corporation and (b) a written undertaking by him or her or on his or her behalf to repay the amount paid or reimbursed by the corporation if it is ultimately determined that the standard of conduct was not met.</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of the Maryland General Corporation Law and our Charter and Bylaws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Maryland General Corporation Law and our charter and bylaws contain provisions that could make it more difficult for a potential acquirer to acquire us by means of a tender offer, proxy contest or otherwise. These provisions are expected to discourage certain coercive takeover practices and inadequate takeover bids and to encourage persons seeking to acquire control of us to negotiate first with our board of directors. We believe that the benefits of these provisions outweigh the potential disadvantages of discouraging any such acquisition proposals because, among other things, the negotiation of such proposals may improve their terms.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Classified board of directors</w:t>
      </w:r>
    </w:p>
    <w:p>
      <w:pPr>
        <w:spacing w:after="0" w:line="90"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Our board of directors is divided into three classes of directors serving staggered three-year terms. The terms of the first, second and third classes will expire in 2015, 2016, and 2014, respectively, and in each case,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459" w:right="23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those directors will serve until their successors are duly elected and qualify. Upon expiration of their current terms, directors of each class will be elected to serve for three-year terms or until their successors are duly elected and qualify and each year one class of directors will be elected by the stockholders. A classified board may render a change in control of us or removal of our incumbent management more difficult. We believe, however, that the longer time required to elect a majority of a classified board of directors will help to ensure the continuity and stability of our management and policies.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of directors</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charter and bylaws provide that the affirmative vote of the holders of a majority of the total votes cast for and affirmatively withheld as to a nominee in the election of directors is required to elect a director. Pursuant to the charter, our board of directors may amend the bylaws to alter the vote required to elect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Number of directors; vacancies; removal</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Our charter provides that the number of directors will be set only by the board of directors in accordance with our bylaws. Our bylaws provide that a majority of our entire board of directors may at any time increase or decrease the number of directors. However, unless our bylaws are amended, the number of directors may never be less than four nor more than eight. We have elected to be subject to the provision of Subtitle 8 of Title 3 of the Maryland General Corporation Law regarding the filling of vacancies on the board of directors. Accordingly, except as may be provided by the board of directors in setting the terms of any class or series of preferred stock, any and all vacancies on the board of directors may be filled only by the affirmative vote of a majority of the remaining directors in office, even if the remaining directors do not constitute a quorum, and any director elected to fill a vacancy will serve until the next annual meeting and until a successor is elected and qualifies, subject to any applicable requirements of the 1940 Act.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charter provides that a director may be removed only for cause, as defined in our charter, and then only by the affirmative vote of at least two-thirds of the votes entitled to be cast in the election of directors.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Action by stockholders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Under the Maryland General Corporation Law, stockholder action can be taken only at an annual or special meeting of stockholders or by unanimous written consent in lieu of a meeting (unless the charter provides for stockholder action by less than unanimous consent, which our charter does not). These provisions, combined with the requirements of our bylaws regarding the calling of a stockholder-requested special meeting of stockholders discussed below, may have the effect of delaying consideration of a stockholder proposal until the next annual meeting.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nominations and stockholder proposals</w:t>
      </w:r>
    </w:p>
    <w:p>
      <w:pPr>
        <w:spacing w:after="0" w:line="9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bylaws provide that with respect to an annual meeting of stockholders, nominations of persons for election to the board of directors and the proposal of business to be considered by stockholders may be made only (1) pursuant to our notice of the meeting, (2) by the board of directors or (3) by a stockholder who is entitled to vote at the meeting and who has complied with the advance notice procedures of the bylaws. With respect to special meetings of stockholders, only the business specified in our notice of the meeting may be brought before the meeting. Nominations of persons for election to the board of directors at a special meeting may be made only (1) pursuant to our notice of the meeting, (2) by the board of directors or (3) provided that the board of directors has determined that directors will be elected at the meeting, by a stockholder who is entitled to vote at the meeting and who has complied with the advance notice provisions of the bylaws.</w:t>
      </w:r>
    </w:p>
    <w:p>
      <w:pPr>
        <w:spacing w:after="0" w:line="147" w:lineRule="exact"/>
        <w:rPr>
          <w:sz w:val="20"/>
          <w:szCs w:val="20"/>
          <w:color w:val="auto"/>
        </w:rPr>
      </w:pPr>
    </w:p>
    <w:p>
      <w:pPr>
        <w:ind w:right="260" w:firstLine="456"/>
        <w:spacing w:after="0" w:line="306" w:lineRule="auto"/>
        <w:rPr>
          <w:sz w:val="20"/>
          <w:szCs w:val="20"/>
          <w:color w:val="auto"/>
        </w:rPr>
      </w:pPr>
      <w:r>
        <w:rPr>
          <w:rFonts w:ascii="Arial" w:cs="Arial" w:eastAsia="Arial" w:hAnsi="Arial"/>
          <w:sz w:val="16"/>
          <w:szCs w:val="16"/>
          <w:color w:val="auto"/>
        </w:rPr>
        <w:t>The purpose of requiring stockholders to give us advance notice of nominations and other business is to afford our board of directors a meaningful opportunity to consider the qualifications of the proposed nominees and the advisability of any other proposed business and, to the extent deemed necessary or desirable by our board of directors, to inform stockholders and make recommendations about such qualifications or business, as well as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459" w:right="2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to provide a more orderly procedure for conducting meetings of stockholders. Although our bylaws do not give our board of directors any power to disapprove stockholder nominations for the election of directors or proposals recommending certain action, they may have the effect of precluding a contest for the election of directors or the consideration of stockholder proposals if proper procedures are not followed and of discouraging or deterring a third party from conducting a solicitation of proxies to elect its own slate of directors or to approve its own proposal without regard to whether consideration of such nominees or proposals might be harmful or beneficial to us and our stockholders.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Calling of special meetings of stockholders</w:t>
      </w:r>
    </w:p>
    <w:p>
      <w:pPr>
        <w:spacing w:after="0" w:line="90" w:lineRule="exact"/>
        <w:rPr>
          <w:sz w:val="20"/>
          <w:szCs w:val="20"/>
          <w:color w:val="auto"/>
        </w:rPr>
      </w:pPr>
    </w:p>
    <w:p>
      <w:pPr>
        <w:jc w:val="both"/>
        <w:ind w:right="360" w:firstLine="456"/>
        <w:spacing w:after="0" w:line="256" w:lineRule="auto"/>
        <w:rPr>
          <w:sz w:val="20"/>
          <w:szCs w:val="20"/>
          <w:color w:val="auto"/>
        </w:rPr>
      </w:pPr>
      <w:r>
        <w:rPr>
          <w:rFonts w:ascii="Arial" w:cs="Arial" w:eastAsia="Arial" w:hAnsi="Arial"/>
          <w:sz w:val="18"/>
          <w:szCs w:val="18"/>
          <w:color w:val="auto"/>
        </w:rPr>
        <w:t>Our bylaws provide that special meetings of stockholders may be called by our board of directors and certain of our officers. Additionally, our bylaws provide that, subject to the satisfaction of certain procedural and informational requirements by the stockholders requesting the meeting, a special meeting of stockholders will be called by the secretary of the corporation upon the written request of stockholders entitled to cast not less than a majority of all the votes entitled to be cast at such meeting.</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Approval of extraordinary corporate action; amendment of charter and bylaws</w:t>
      </w:r>
    </w:p>
    <w:p>
      <w:pPr>
        <w:spacing w:after="0" w:line="9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Under Maryland law, a Maryland corporation generally cannot dissolve, amend its charter, merge, sell all or substantially all of its assets, engage in a share exchange or engage in similar transactions outside the ordinary course of business, unless approved by the affirmative vote of stockholders entitled to cast at least two-thirds of the votes entitled to be cast on the matter. However, a Maryland corporation may provide in its charter for approval of these matters by a lesser percentage, but not less than a majority of all of the votes entitled to be cast on the matter. Our charter generally provides for approval of charter amendments and extraordinary transactions by the stockholders entitled to cast at least a majority of the votes entitled to be cast on the matter. Our charter also provides that certain charter amendments and any proposal for our conversion, whether by merger or otherwise, from a closed-end company to an open-end company or any proposal for our liquidation or dissolution requires the approval of the stockholders entitled to cast at least 80 percent of the votes entitled to be cast on such matter. However, if such amendment or proposal is approved by at least two-thirds of our continuing directors (in addition to approval by our board of directors), such amendment or proposal may be approved by a majority of the votes entitled to be cast on such a matter. The “continuing directors” are defined in our charter as our current directors as well as those directors whose nomination for election by the stockholders or whose election by the directors to fill vacancies is approved by a majority of the continuing directors then on the board of directors.</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Our charter and bylaws provide that the board of directors will have the exclusive power to adopt, alter or repeal any provision of our bylaws and to make new bylaws.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90" w:lineRule="exact"/>
        <w:rPr>
          <w:sz w:val="20"/>
          <w:szCs w:val="20"/>
          <w:color w:val="auto"/>
        </w:rPr>
      </w:pPr>
    </w:p>
    <w:p>
      <w:pPr>
        <w:ind w:right="600" w:firstLine="456"/>
        <w:spacing w:after="0" w:line="332" w:lineRule="auto"/>
        <w:rPr>
          <w:sz w:val="20"/>
          <w:szCs w:val="20"/>
          <w:color w:val="auto"/>
        </w:rPr>
      </w:pPr>
      <w:r>
        <w:rPr>
          <w:rFonts w:ascii="Arial" w:cs="Arial" w:eastAsia="Arial" w:hAnsi="Arial"/>
          <w:sz w:val="16"/>
          <w:szCs w:val="16"/>
          <w:color w:val="auto"/>
        </w:rPr>
        <w:t>Except with respect to appraisal rights arising in connection with the Maryland Control Share Acquisition Act discussed below, as permitted by the Maryland General Corporation Law, our charter provides that stockholders will not be entitled to exercise appraisal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90" w:lineRule="exact"/>
        <w:rPr>
          <w:sz w:val="20"/>
          <w:szCs w:val="20"/>
          <w:color w:val="auto"/>
        </w:rPr>
      </w:pPr>
    </w:p>
    <w:p>
      <w:pPr>
        <w:ind w:right="220" w:firstLine="456"/>
        <w:spacing w:after="0" w:line="254" w:lineRule="auto"/>
        <w:rPr>
          <w:sz w:val="20"/>
          <w:szCs w:val="20"/>
          <w:color w:val="auto"/>
        </w:rPr>
      </w:pPr>
      <w:r>
        <w:rPr>
          <w:rFonts w:ascii="Arial" w:cs="Arial" w:eastAsia="Arial" w:hAnsi="Arial"/>
          <w:sz w:val="18"/>
          <w:szCs w:val="18"/>
          <w:color w:val="auto"/>
        </w:rPr>
        <w:t>The Control Share Acquisition Act provides that control shares of a Maryland corporation acquired in a control share acquisition have no voting rights except to the extent approved by the affirmative vote of two-thirds of the votes entitled to be cast on the matter. Shares owned by the acquirer, by officers or by directors who are employees of the corporation are excluded from shares entitled to vote on the matter. Control shares are voting shares of stock which, if aggregated with all other shares of stock owned by the acquirer or in respect of which the acquirer is able to exercise or direct the exercise of voting power (except solely by virtue of a revocable proxy), would entitle the acquirer to exercise voting power in electing directors within one of the following ranges of voting power:</w:t>
      </w:r>
    </w:p>
    <w:p>
      <w:pPr>
        <w:spacing w:after="0" w:line="63" w:lineRule="exact"/>
        <w:rPr>
          <w:sz w:val="20"/>
          <w:szCs w:val="20"/>
          <w:color w:val="auto"/>
        </w:rPr>
      </w:pPr>
    </w:p>
    <w:p>
      <w:pPr>
        <w:ind w:left="900" w:hanging="446"/>
        <w:spacing w:after="0"/>
        <w:tabs>
          <w:tab w:leader="none" w:pos="9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one-tenth or more but less than one-third;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00"/>
          </w:cols>
          <w:pgMar w:left="240" w:top="459" w:right="2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one-third or more but less than a majority;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 majority or more of all voting power.</w:t>
      </w:r>
    </w:p>
    <w:p>
      <w:pPr>
        <w:spacing w:after="0" w:line="171"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requisite stockholder approval must be obtained each time an acquirer crosses one of the thresholds of voting power set forth above. Control shares do not include shares the acquiring person is then entitled to vote as a result of having previously obtained stockholder approval. A control share acquisition means the acquisition of issued and outstanding control shares, subject to certain exceptions.</w:t>
      </w:r>
    </w:p>
    <w:p>
      <w:pPr>
        <w:spacing w:after="0" w:line="14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 person who has made or proposes to make a control share acquisition may compel the board of directors of the corporation to call a special meeting of stockholders to be held within 50 days of demand to consider the voting rights of the shares. The right to compel the calling of a special meeting is subject to the satisfaction of certain conditions, including an undertaking to pay the expenses of the meeting. If no request for a meeting is made, the corporation may itself present the question at any stockholders meeting.</w:t>
      </w:r>
    </w:p>
    <w:p>
      <w:pPr>
        <w:spacing w:after="0" w:line="143"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If voting rights are not approved at the meeting or if the acquiring person does not deliver an acquiring person statement as required by the statute, then the corporation may repurchase for fair value any or all of the control shares, except those for which voting rights have previously been approved. The right of the corporation to repurchase control shares is subject to certain conditions and limitations, including, as provided in our bylaws, compliance with the 1940 Act. Fair value is determined, without regard to the absence of voting rights for the control shares, as of the date of the last control share acquisition by the acquirer or of any meeting of stockholders at which the voting rights of the shares are considered and not approved. If voting rights for control shares are approved at a stockholders meeting and the acquirer becomes entitled to vote a majority of the shares entitled to vote, all other stockholders may exercise appraisal rights. The fair value of the shares as determined for purposes of appraisal rights may not be less than the highest price per share paid by the acquirer in the control share acquisition.</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The Control Share Acquisition Act does not apply (a) to shares acquired in a merger, consolidation or share exchange if the corporation is a party to the transaction or (b) to acquisitions approved or exempted by the charter or bylaws of the corporation.</w:t>
      </w:r>
    </w:p>
    <w:p>
      <w:pPr>
        <w:spacing w:after="0" w:line="132" w:lineRule="exact"/>
        <w:rPr>
          <w:sz w:val="20"/>
          <w:szCs w:val="20"/>
          <w:color w:val="auto"/>
        </w:rPr>
      </w:pPr>
    </w:p>
    <w:p>
      <w:pPr>
        <w:ind w:right="60" w:firstLine="456"/>
        <w:spacing w:after="0" w:line="332" w:lineRule="auto"/>
        <w:rPr>
          <w:sz w:val="20"/>
          <w:szCs w:val="20"/>
          <w:color w:val="auto"/>
        </w:rPr>
      </w:pPr>
      <w:r>
        <w:rPr>
          <w:rFonts w:ascii="Arial" w:cs="Arial" w:eastAsia="Arial" w:hAnsi="Arial"/>
          <w:sz w:val="16"/>
          <w:szCs w:val="16"/>
          <w:color w:val="auto"/>
        </w:rPr>
        <w:t>Our bylaws contain a provision exempting from the Control Share Acquisition Act any and all acquisitions by any person of our shares of stock. There can be no assurance that such provision will not be amended or eliminated at any time in the future to the extent permitted by the 1940 Act.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Maryland law, “business combinations” between a Maryland corporation and an interested stockholder or an affiliate of an interested stockholder are prohibited for five years after the most recent date on which the interested stockholder becomes an interested stockholder. These business combinations include a merger, consolidation, share exchange or, in circumstances specified in the statute, an asset transfer or issuance or reclassification of equity securities. An interested stockholder is defined as:</w:t>
      </w:r>
    </w:p>
    <w:p>
      <w:pPr>
        <w:spacing w:after="0" w:line="62" w:lineRule="exact"/>
        <w:rPr>
          <w:sz w:val="20"/>
          <w:szCs w:val="20"/>
          <w:color w:val="auto"/>
        </w:rPr>
      </w:pPr>
    </w:p>
    <w:p>
      <w:pPr>
        <w:ind w:left="900" w:hanging="446"/>
        <w:spacing w:after="0"/>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the corporation’s shares; or</w:t>
      </w:r>
    </w:p>
    <w:p>
      <w:pPr>
        <w:spacing w:after="0" w:line="90" w:lineRule="exact"/>
        <w:rPr>
          <w:rFonts w:ascii="Arial" w:cs="Arial" w:eastAsia="Arial" w:hAnsi="Arial"/>
          <w:sz w:val="18"/>
          <w:szCs w:val="18"/>
          <w:color w:val="auto"/>
        </w:rPr>
      </w:pPr>
    </w:p>
    <w:p>
      <w:pPr>
        <w:ind w:left="900" w:right="80" w:hanging="446"/>
        <w:spacing w:after="0" w:line="268" w:lineRule="auto"/>
        <w:tabs>
          <w:tab w:leader="none" w:pos="9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an affiliate or associate of the corporation who, at any time within the two-year period prior to the date in question, was the beneficial owner of 10% or more of the voting power of the then outstanding voting stock of the corporation.</w:t>
      </w:r>
    </w:p>
    <w:p>
      <w:pPr>
        <w:spacing w:after="0" w:line="132"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person is not an interested stockholder under this statute if the board of directors approved in advance the transaction by which he otherwise would have become an interested stockholder. However, in approving a transaction, the board of directors may provide that its approval is subject to compliance, at or after the time of approval, with any terms and conditions determined by the board.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00"/>
          </w:cols>
          <w:pgMar w:left="240" w:top="459" w:right="25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After the five-year prohibition, any business combination between the corporation and an interested stockholder generally must be recommended by the board of directors of the corporation and approved by the affirmative vote of at least:</w:t>
      </w:r>
    </w:p>
    <w:p>
      <w:pPr>
        <w:spacing w:after="0" w:line="51" w:lineRule="exact"/>
        <w:rPr>
          <w:sz w:val="20"/>
          <w:szCs w:val="20"/>
          <w:color w:val="auto"/>
        </w:rPr>
      </w:pPr>
    </w:p>
    <w:p>
      <w:pPr>
        <w:ind w:left="900" w:hanging="446"/>
        <w:spacing w:after="0"/>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80% of the votes entitled to be cast by holders of outstanding shares of voting stock of the corporation; and</w:t>
      </w:r>
    </w:p>
    <w:p>
      <w:pPr>
        <w:spacing w:after="0" w:line="90" w:lineRule="exact"/>
        <w:rPr>
          <w:rFonts w:ascii="Arial" w:cs="Arial" w:eastAsia="Arial" w:hAnsi="Arial"/>
          <w:sz w:val="18"/>
          <w:szCs w:val="18"/>
          <w:color w:val="auto"/>
        </w:rPr>
      </w:pPr>
    </w:p>
    <w:p>
      <w:pPr>
        <w:ind w:left="900" w:right="440" w:hanging="446"/>
        <w:spacing w:after="0" w:line="332" w:lineRule="auto"/>
        <w:tabs>
          <w:tab w:leader="none" w:pos="900" w:val="left"/>
        </w:tabs>
        <w:numPr>
          <w:ilvl w:val="0"/>
          <w:numId w:val="71"/>
        </w:numPr>
        <w:rPr>
          <w:rFonts w:ascii="Arial" w:cs="Arial" w:eastAsia="Arial" w:hAnsi="Arial"/>
          <w:sz w:val="16"/>
          <w:szCs w:val="16"/>
          <w:color w:val="auto"/>
        </w:rPr>
      </w:pPr>
      <w:r>
        <w:rPr>
          <w:rFonts w:ascii="Arial" w:cs="Arial" w:eastAsia="Arial" w:hAnsi="Arial"/>
          <w:sz w:val="16"/>
          <w:szCs w:val="16"/>
          <w:color w:val="auto"/>
        </w:rPr>
        <w:t>two-thirds of the votes entitled to be cast by holders of voting stock of the corporation other than shares held by the interested stockholder with whom or with whose affiliate the business combination is to be effected or held by an affiliate or associate of the interested stockholder.</w:t>
      </w:r>
    </w:p>
    <w:p>
      <w:pPr>
        <w:spacing w:after="0" w:line="85"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These super-majority vote requirements do not apply if the corporation’s common stockholders receive a minimum price, as defined under Maryland law, for their shares in the form of cash or other consideration in the same form as previously paid by the interested stockholder for its shares.</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statute permits various exemptions from its provisions, including business combinations that are exempted by the board of directors before the time that the interested stockholder becomes an interested stockholder. Our board of directors has adopted a resolution that any business combination between us and any other person is exempted from the provisions of the Business Combination Act, provided that the business combination is first approved by the board of directors, including a majority of the directors who are not interested persons as defined in the 1940 Act. This resolution, however, may be altered or repealed in whole or in part at any time. If this resolution is repealed, or the board of directors does not otherwise approve a business combination, the statute may discourage others from trying to acquire control of us and increase the difficulty of consummating any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 with 1940 Act</w:t>
      </w:r>
    </w:p>
    <w:p>
      <w:pPr>
        <w:spacing w:after="0" w:line="9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If and to the extent that any provision of the Maryland General Corporation Law, including the Control Share Acquisition Act (if we amend our bylaws to be subject to such Act) and the Business Combination Act, or any provision of our charter or bylaws conflicts with any provision of the 1940 Act, the applicable provision of the 1940 Act will control.</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380"/>
          </w:cols>
          <w:pgMar w:left="240" w:top="459" w:right="27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OUR PREFERRED STOCK</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charter authorizes our board of directors to classify and reclassify any unissued shares of stock into other classes or series of stock, including preferred stock. Prior to issuance of shares of each class or series, the board of directors is required by Maryland law and by our charter to set the terms, preferences, conversion or other rights, voting powers, restrictions, limitations as to dividends or other distributions, qualifications and terms or conditions of redemption for each class or series. Thus, the board of directors could authorize the issuance of shares of preferred stock with terms and conditions which could have the effect of delaying, deferring or preventing a transaction or a change in control that might involve a premium price for holders of our common stock or otherwise be in their best interest. You should note, however, that any issuance of preferred stock must comply with the requirements of the 1940 Act.</w:t>
      </w:r>
    </w:p>
    <w:p>
      <w:pPr>
        <w:spacing w:after="0" w:line="12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The 1940 Act generally requires that (1) immediately after issuance and before any distribution is made with respect to our common stock and before any purchase of common stock is made, such preferred stock together with all other senior securities must not exceed an amount equal to 50% of our total assets less liabilities not represented by indebtedness, and (2) the holders of shares of preferred stock, if any are issued, must be entitled as a class to elect two directors at all times and to elect a majority of the directors if distributions on such preferred stock are in arrears by two years or more. 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will provide us with increased flexibility in structuring future financings and acquisitions.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For any series of preferred stock that we may issue, our board of directors will determine and the prospectus supplement relating to such series will describe:</w:t>
      </w:r>
    </w:p>
    <w:p>
      <w:pPr>
        <w:spacing w:after="0" w:line="51" w:lineRule="exact"/>
        <w:rPr>
          <w:sz w:val="20"/>
          <w:szCs w:val="20"/>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designation and number of shares of such series;</w:t>
      </w:r>
    </w:p>
    <w:p>
      <w:pPr>
        <w:spacing w:after="0" w:line="90" w:lineRule="exact"/>
        <w:rPr>
          <w:rFonts w:ascii="Arial" w:cs="Arial" w:eastAsia="Arial" w:hAnsi="Arial"/>
          <w:sz w:val="18"/>
          <w:szCs w:val="18"/>
          <w:color w:val="auto"/>
        </w:rPr>
      </w:pPr>
    </w:p>
    <w:p>
      <w:pPr>
        <w:ind w:left="900" w:right="22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rate and time at which, and the preferences and conditions under which, any dividends will be paid on shares of such series, as well as whether such dividends are cumulative or non-cumulative and participating or non-participating;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provisions relating to convertibility or exchangeability of the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rights and preferences, if any, of holders of shares of such series upon our liquidation, dissolution or winding up of our affairs;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voting powers, if any, of the holders of shares of such series;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provisions relating to the redemption of the shares of such series;</w:t>
      </w:r>
    </w:p>
    <w:p>
      <w:pPr>
        <w:spacing w:after="0" w:line="90" w:lineRule="exact"/>
        <w:rPr>
          <w:rFonts w:ascii="Arial" w:cs="Arial" w:eastAsia="Arial" w:hAnsi="Arial"/>
          <w:sz w:val="18"/>
          <w:szCs w:val="18"/>
          <w:color w:val="auto"/>
        </w:rPr>
      </w:pPr>
    </w:p>
    <w:p>
      <w:pPr>
        <w:ind w:left="900" w:right="62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limitations on our ability to pay dividends or make distributions on, or acquire or redeem, other securities while shares of such series are outstanding;</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conditions or restrictions on our ability to issue additional shares of such series or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any other relative power, preferences and participating, optional or special rights of shares of such series, and the qualifications, limitations or restrictions thereof.</w:t>
      </w:r>
    </w:p>
    <w:p>
      <w:pPr>
        <w:spacing w:after="0" w:line="132"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shares of preferred stock that we may issue will be identical and of equal rank except as to the particular terms thereof that may be fixed by our board of directors, and all shares of each series of preferred stock will be identical and of equal rank except as to the dates from which cumulative dividends, if any, thereon will be cumulative. If we issue shares of preferred stock, holders of such preferred stock will be entitled to receive cash dividends at an annual rate that will be fixed or will vary for the successive dividend periods for each series. In general, the dividend periods for fixed rate preferred stock can range from quarterly to weekly and are subject to extension. We expect the dividend rate to be variable and determined for each dividend period.</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00"/>
          </w:cols>
          <w:pgMar w:left="240" w:top="459" w:right="2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DESCRIPTION OF OUR WARRANTS</w:t>
      </w:r>
    </w:p>
    <w:p>
      <w:pPr>
        <w:spacing w:after="0" w:line="177"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following is a general description of the terms of the warrants we may issue from time to time. Particular terms of any warrants we offer will be described in the prospectus supplement relating to such warrants.</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may issue warrants to purchase shares of our common stock, preferred stock or debt securities. Such warrants may be issued independently or together with shares of common or preferred stock or a specified principal amount of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prospectus supplement will describe the particular terms of any series of warrants we may issue, including the following:</w:t>
      </w:r>
    </w:p>
    <w:p>
      <w:pPr>
        <w:spacing w:after="0" w:line="90" w:lineRule="exact"/>
        <w:rPr>
          <w:sz w:val="20"/>
          <w:szCs w:val="20"/>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title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aggregate number of such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price or prices at which such warrants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currency or currencies, including composite currencies, in which the price of such warrants may be payable;</w:t>
      </w:r>
    </w:p>
    <w:p>
      <w:pPr>
        <w:spacing w:after="0" w:line="90" w:lineRule="exact"/>
        <w:rPr>
          <w:rFonts w:ascii="Arial" w:cs="Arial" w:eastAsia="Arial" w:hAnsi="Arial"/>
          <w:sz w:val="18"/>
          <w:szCs w:val="18"/>
          <w:color w:val="auto"/>
        </w:rPr>
      </w:pPr>
    </w:p>
    <w:p>
      <w:pPr>
        <w:ind w:left="900" w:right="480" w:hanging="446"/>
        <w:spacing w:after="0" w:line="268"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w:t>
      </w:r>
    </w:p>
    <w:p>
      <w:pPr>
        <w:spacing w:after="0" w:line="59" w:lineRule="exact"/>
        <w:rPr>
          <w:rFonts w:ascii="Arial" w:cs="Arial" w:eastAsia="Arial" w:hAnsi="Arial"/>
          <w:sz w:val="18"/>
          <w:szCs w:val="18"/>
          <w:color w:val="auto"/>
        </w:rPr>
      </w:pPr>
    </w:p>
    <w:p>
      <w:pPr>
        <w:ind w:left="900" w:right="80" w:hanging="446"/>
        <w:spacing w:after="0" w:line="259"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date on which the right to exercise such warrants will commence and the date on which such right will expire;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whether such warrants will be issued in registered form or bearer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applicable, the minimum or maximum amount of such warrants which may be exercised at any one time;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applicable, the date on and after which such warrants and the related securities will be separately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terms of the securities issuable upon exercise of the warrants;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if applicable, a discussion of certain U.S. federal income tax considerations;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19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w:t>
      </w:r>
    </w:p>
    <w:p>
      <w:pPr>
        <w:spacing w:after="0" w:line="12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320"/>
          </w:cols>
          <w:pgMar w:left="24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1940 Act, we may generally only offer warrants provided that (1) the warrants expire by their terms within ten years, (2) the exercise price is not less than the market value of our common stock at the date of issuance, (3) if no such market value exists for our common stock, the exercise price is not less than the then current net asset value per share of our common stock (unless the requirements of Section 63 of the 1940 Act are met), (4) our stockholders authorize the proposal to issue such warrants, and our board of directors approves such issuance on the basis that the issuance is in the best interests of us and our stockholders and (5)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 of our outstanding voting securities.</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00"/>
          </w:cols>
          <w:pgMar w:left="240" w:top="459" w:right="2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OUR SUBSCRIPTION RIGHTS</w:t>
      </w:r>
    </w:p>
    <w:p>
      <w:pPr>
        <w:spacing w:after="0" w:line="17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may issue subscription rights to purchase common stock. Subscription rights may be issued independently or together with any other offered security and may or may not be transferable by the person purchasing or receiving the subscription rights. In connection with any subscription rights offering to our stockholders, we may enter into a standby underwriting or other arrangement with one or more underwriters or other persons pursuant to which such underwriters or other persons would purchase any offered securities remaining unsubscribed for after such subscription rights offering. We will not offer transferable subscription rights to our stockholders at a price equivalent to less than the then current net asset value per share of common stock, excluding underwriting commissions, unless we first file a post-effective amendment that is declared effective by the SEC with respect to such issuance and the common stock to be purchased in connection with the rights represents no more than one-third of our outstanding common stock at the time such rights are issued.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applicable prospectus supplement would describe the following terms of subscription rights in respect of which this prospectus is being delivered:</w:t>
      </w:r>
    </w:p>
    <w:p>
      <w:pPr>
        <w:spacing w:after="0" w:line="113" w:lineRule="exact"/>
        <w:rPr>
          <w:sz w:val="20"/>
          <w:szCs w:val="20"/>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title of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exercise price or a formula for the determination of the exercise price for such subscription rights;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number or a formula for the determination of the number of such subscription rights issued to each stockholder;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extent to which such subscription rights are transferable;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if applicable, a discussion of the material U.S. federal income tax considerations applicable to the issuance or exercise of such subscription rights;</w:t>
      </w:r>
    </w:p>
    <w:p>
      <w:pPr>
        <w:spacing w:after="0" w:line="113" w:lineRule="exact"/>
        <w:rPr>
          <w:rFonts w:ascii="Arial" w:cs="Arial" w:eastAsia="Arial" w:hAnsi="Arial"/>
          <w:sz w:val="16"/>
          <w:szCs w:val="16"/>
          <w:color w:val="auto"/>
        </w:rPr>
      </w:pPr>
    </w:p>
    <w:p>
      <w:pPr>
        <w:ind w:left="900" w:right="48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date on which the right to exercise such subscription rights would commence, and the date on which such rights will expire (subject to any extension);</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extent to which such subscription rights include an over-subscription privilege with respect to unsubscribed securities;</w:t>
      </w:r>
    </w:p>
    <w:p>
      <w:pPr>
        <w:spacing w:after="0" w:line="90" w:lineRule="exact"/>
        <w:rPr>
          <w:rFonts w:ascii="Arial" w:cs="Arial" w:eastAsia="Arial" w:hAnsi="Arial"/>
          <w:sz w:val="18"/>
          <w:szCs w:val="18"/>
          <w:color w:val="auto"/>
        </w:rPr>
      </w:pPr>
    </w:p>
    <w:p>
      <w:pPr>
        <w:ind w:left="900" w:right="82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applicable, the material terms of any standby underwriting or other purchase arrangement that we may enter into in connection with the subscription rights offering; and</w:t>
      </w:r>
    </w:p>
    <w:p>
      <w:pPr>
        <w:spacing w:after="0" w:line="5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any other terms of such subscription rights, including terms, procedures and limitations relating to the exchange and exercise of such subscription rights.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Exercise of Subscription Rights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Each subscription right would entitle the holder of the subscription right to purchase for cash such amount of shares of common stock or other securities at such exercise price as will in each case be set forth in, or be determinable as set forth in, the prospectus supplement relating to the subscription rights offered thereby or another report filed with the SEC. Subscription rights may be exercised at any time up to the close of business on the expiration date for such subscription rights set forth in the applicable prospectus supplement. After the close of business on the expiration date, all unexercised subscription rights would become void.</w:t>
      </w:r>
    </w:p>
    <w:p>
      <w:pPr>
        <w:spacing w:after="0" w:line="143"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or other securities purchasable upon such exercise. We may determine to offer any unsubscribed offered securities directly to stockholders, persons other than stockholders, to or through agents, underwriters or dealers or through a combination of such methods, including pursuant to standby underwriting or other arrangements, as set forth in the applicable prospectus supplement.</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380"/>
          </w:cols>
          <w:pgMar w:left="240" w:top="459" w:right="2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DEBT SECURITIES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For a complete description of the terms of a particular series of debt securities, you should read both this prospectus and the prospectus supplement relating to that particular series.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required by federal law for all bonds and notes of companies that are publicly offered, the debt securities are governed by a document called an “indenture.” An indenture is a contract between us and a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third paragraph under “Description of our Debt Securities—Events of Default.” Second, the trustee performs certain administrative duties for us, such as sending interest and principal payments to holders.</w:t>
      </w:r>
    </w:p>
    <w:p>
      <w:pPr>
        <w:spacing w:after="0" w:line="11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Because this section is a summary, it does not describe every aspect of the debt securities and the indenture. We urge you to read the indenture because it, and not this description, defines your rights as a holder of debt securities. For example, in this section, we use capitalized words to signify terms that are specifically defined in the indenture. Some of the definitions are repeated in this prospectus, but for the rest, you will need to read the indenture. We have filed the form of the indenture with the SEC.</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prospectus supplement, which will accompany this prospectus, will describe the particular series of debt securities being offered by including:</w:t>
      </w:r>
    </w:p>
    <w:p>
      <w:pPr>
        <w:spacing w:after="0" w:line="113" w:lineRule="exact"/>
        <w:rPr>
          <w:sz w:val="20"/>
          <w:szCs w:val="20"/>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designation or title of the series of debt securities;</w:t>
      </w:r>
    </w:p>
    <w:p>
      <w:pPr>
        <w:spacing w:after="0" w:line="90" w:lineRule="exact"/>
        <w:rPr>
          <w:rFonts w:ascii="Arial" w:cs="Arial" w:eastAsia="Arial" w:hAnsi="Arial"/>
          <w:sz w:val="18"/>
          <w:szCs w:val="18"/>
          <w:color w:val="auto"/>
        </w:rPr>
      </w:pPr>
    </w:p>
    <w:p>
      <w:pPr>
        <w:ind w:left="900" w:right="16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total principal amount of the series of debt securities and whether or not the offering may be reopened for additional securities of that series and on what terms;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percentage of the principal amount at which the series of debt securities will be offered;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or dates on which principal will be payable;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rate or rates (which may be either fixed or variable) and/or the method of determining such rate or rates of interest, if any;</w:t>
      </w:r>
    </w:p>
    <w:p>
      <w:pPr>
        <w:spacing w:after="0" w:line="9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date or dates from which any interest will accrue, or the method of determining such date or dates, and the date or dates on which any interest will be payable;</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terms for redemption, extension or early repayment, if 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currencies in which the series of debt securities are issued and payable;</w:t>
      </w:r>
    </w:p>
    <w:p>
      <w:pPr>
        <w:spacing w:after="0" w:line="90" w:lineRule="exact"/>
        <w:rPr>
          <w:rFonts w:ascii="Arial" w:cs="Arial" w:eastAsia="Arial" w:hAnsi="Arial"/>
          <w:sz w:val="18"/>
          <w:szCs w:val="18"/>
          <w:color w:val="auto"/>
        </w:rPr>
      </w:pPr>
    </w:p>
    <w:p>
      <w:pPr>
        <w:jc w:val="both"/>
        <w:ind w:left="900" w:right="40" w:hanging="446"/>
        <w:spacing w:after="0" w:line="259" w:lineRule="auto"/>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place or places, if any, other than or in addition to The City of New York, of payment, transfer, conversion and/or exchange of the debt securities;</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denominations in which the offered debt securities will be issued;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provision for any sinking fund;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restrictive covenants;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any Events of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whether the series of debt securities are issuable in certificated form;</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459" w:right="23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provisions for defeasance or covenant defeasance;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any special federal income tax implications, including, if applicable, federal income tax considerations relating to original issue discount;</w:t>
      </w:r>
    </w:p>
    <w:p>
      <w:pPr>
        <w:spacing w:after="0" w:line="113" w:lineRule="exact"/>
        <w:rPr>
          <w:rFonts w:ascii="Arial" w:cs="Arial" w:eastAsia="Arial" w:hAnsi="Arial"/>
          <w:sz w:val="16"/>
          <w:szCs w:val="16"/>
          <w:color w:val="auto"/>
        </w:rPr>
      </w:pPr>
    </w:p>
    <w:p>
      <w:pPr>
        <w:ind w:left="900" w:right="160" w:hanging="446"/>
        <w:spacing w:after="0" w:line="332" w:lineRule="auto"/>
        <w:tabs>
          <w:tab w:leader="none" w:pos="90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whether and under what circumstances we will pay additional amounts in respect of any tax, assessment or governmental charge and, if so, whether we will have the option to redeem the debt securities rather than pay the additional amounts (and the terms of this option);</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provisions for convertibility or exchangeability of the debt securities into or for any other securities;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whether the debt securities are subject to subordination and the terms of such subordination;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listing, if any, on a securities exchange;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other terms.</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debt securities may be secured or unsecured obligations. Under the provisions of the 1940 Act, we are permitted, as a BDC, to issue debt only in amounts such that we are in compliance with our asset coverage, as defined in the 1940 Act, after each issuance of debt. Unless the prospectus supplement states otherwise, principal (and premium, if any) and interest, if any, will be paid by us in immediately available funds.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indenture provides that any debt securities proposed to be sold under this prospectus and the attached prospectus supplement (“offered debt securities”) and any debt securities issuable upon the exercise of warrants or upon conversion or exchange of other offered securities (“underlying debt securities”) may be issued under the indenture in one or more series.</w:t>
      </w:r>
    </w:p>
    <w:p>
      <w:pPr>
        <w:spacing w:after="0" w:line="140"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For purposes of this prospectus, any reference to the payment of principal of, or premium or interest, if any, on, debt securities will include additional amounts if required by the terms of the debt securities.</w:t>
      </w:r>
    </w:p>
    <w:p>
      <w:pPr>
        <w:spacing w:after="0" w:line="132"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indenture limits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“Description of our Debt Securities—Resignation of Trustee”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indenture does not contain any provisions that give you protection in the event we issue a large amount of debt or we are acquired by another entity.</w:t>
      </w:r>
    </w:p>
    <w:p>
      <w:pPr>
        <w:spacing w:after="0" w:line="194"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We refer you to the prospectus supplement for information with respect to any deletions from, modifications of or additions to the Events of Default or our covenants that are described below, including any addition of a covenant or other provision providing event risk or similar protection.</w:t>
      </w:r>
    </w:p>
    <w:p>
      <w:pPr>
        <w:spacing w:after="0" w:line="85"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459" w:right="2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any debt securities are convertible into shares of our common stock, the exercise price for such conversion will not be less than the net asset value per share at the time of issuance of such debt securities (unless the majority of our board of directors determines that a lower exercise price is in the best interests of us and our stockholders, a majority of our stockholders (including stockholders who are not affiliated persons of us) have approved an issuance of common stock below the then current net asset value per share in the 12 months preceding the issuance and the exercise price closely approximates the market value of our common stock at the time the debt securities are issued).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and Exchange</w:t>
      </w:r>
    </w:p>
    <w:p>
      <w:pPr>
        <w:spacing w:after="0" w:line="96"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of Securities in Registered Form</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may issue the debt securities in registered form, in which case we may issue them either in book-entry form only or in “certificated” form. Debt securities issued in book-entry form will be represented by global securities. We expect that we will issue debt securities in book-entry only form represented by global securities.</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also will have the option of issuing debt securities in non-registered form as bearer securities if we issue the securities outside the United States to non-U.S. persons. In that case, the prospectus supplement will set forth the mechanics for holding the bearer securities, including the procedures for receiving payments, for exchanging the bearer securities, including the procedures for receiving payments, for exchanging the bearer securities for registered securities of the same series, and for receiving notices. The prospectus supplement will also describe the requirements with respect to our maintenance of offices or agencies outside the United States and the applicable U.S. federal tax law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Book-Entry Holders</w:t>
      </w:r>
    </w:p>
    <w:p>
      <w:pPr>
        <w:spacing w:after="0" w:line="90"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w:t>
      </w:r>
    </w:p>
    <w:p>
      <w:pPr>
        <w:spacing w:after="0" w:line="113"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360"/>
          </w:cols>
          <w:pgMar w:left="240" w:top="459" w:right="29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Street Name Holders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holds a beneficial interest in those debt securities through the account he or she maintains at that institution.</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Holders</w:t>
      </w:r>
    </w:p>
    <w:p>
      <w:pPr>
        <w:spacing w:after="0" w:line="90"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w:t>
      </w:r>
    </w:p>
    <w:p>
      <w:pPr>
        <w:spacing w:after="0" w:line="14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w:t>
      </w:r>
    </w:p>
    <w:p>
      <w:pPr>
        <w:spacing w:after="0" w:line="143"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When we refer to you, we mean those who invest in the debt securities being offered by this prospectus, whether they are the holders or only indirect holders of those debt securities. When we refer to your debt securities, we mean the debt securities in which you hold a direct or indirect interest.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Indirect Holders</w:t>
      </w:r>
    </w:p>
    <w:p>
      <w:pPr>
        <w:spacing w:after="0" w:line="9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debt securities through a bank, broker or other financial institution, either in book-entry form or in street name, we urge you to check with that institution to find out:</w:t>
      </w:r>
    </w:p>
    <w:p>
      <w:pPr>
        <w:spacing w:after="0" w:line="51" w:lineRule="exact"/>
        <w:rPr>
          <w:sz w:val="20"/>
          <w:szCs w:val="20"/>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how it handles securities payments and notices;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it imposes fees or charges;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how it would handle a request for the holders’ consent, if ever required;</w:t>
      </w:r>
    </w:p>
    <w:p>
      <w:pPr>
        <w:spacing w:after="0" w:line="9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and how you can instruct it to send you debt securities registered in your own name so you can be a holder, if that is permitted in the future for a particular series of debt securities;</w:t>
      </w:r>
    </w:p>
    <w:p>
      <w:pPr>
        <w:spacing w:after="0" w:line="50"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how it would exercise rights under the debt securities if there were a default or other event triggering the need for holders to act to protect their interests;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the debt securities are in book-entry form, how the depositary’s rules and procedures will affect these matters.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00"/>
          </w:cols>
          <w:pgMar w:left="240" w:top="459" w:right="2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96"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As noted above, we expect that we will issue debt securities as registered securities in book-entry form only. A global security represents one or any other number of individual debt securities. Generally, all debt securities represented by the same global securities will have the same terms.</w:t>
      </w:r>
    </w:p>
    <w:p>
      <w:pPr>
        <w:spacing w:after="0" w:line="85"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A global security may not be transferred to or registered in the name of anyone other than the depositary or its nominee, unless special termination situations arise. We describe those situations below under “Description of our Debt Securities—Global Securities—Special Situations when a Global Security Will Be Terminated.” 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Considerations for Global Securities</w:t>
      </w:r>
    </w:p>
    <w:p>
      <w:pPr>
        <w:spacing w:after="0" w:line="90"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debt securities are issued only in the form of a global security, an investor should be aware of the following:</w:t>
      </w:r>
    </w:p>
    <w:p>
      <w:pPr>
        <w:spacing w:after="0" w:line="90" w:lineRule="exact"/>
        <w:rPr>
          <w:sz w:val="20"/>
          <w:szCs w:val="20"/>
          <w:color w:val="auto"/>
        </w:rPr>
      </w:pPr>
    </w:p>
    <w:p>
      <w:pPr>
        <w:ind w:left="900" w:right="62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investor cannot cause the debt securities to be registered in his or her name and cannot obtain certificates for his or her interest in the debt securities, except in the special situations we describe below;</w:t>
      </w:r>
    </w:p>
    <w:p>
      <w:pPr>
        <w:spacing w:after="0" w:line="50" w:lineRule="exact"/>
        <w:rPr>
          <w:rFonts w:ascii="Arial" w:cs="Arial" w:eastAsia="Arial" w:hAnsi="Arial"/>
          <w:sz w:val="18"/>
          <w:szCs w:val="18"/>
          <w:color w:val="auto"/>
        </w:rPr>
      </w:pPr>
    </w:p>
    <w:p>
      <w:pPr>
        <w:ind w:left="900" w:right="12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investor will be an indirect holder and must look to his or her own bank or broker for payments on the debt securities and protection of his or her legal rights relating to the debt securities, as we describe under “Description of our Debt Securities—Issuance of Securities in Registered Form” above;</w:t>
      </w:r>
    </w:p>
    <w:p>
      <w:pPr>
        <w:spacing w:after="0" w:line="59"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investor may not be able to sell interests in the debt securities to some insurance companies and other institutions that are required by law to own their securities in non-book-entry form;</w:t>
      </w:r>
    </w:p>
    <w:p>
      <w:pPr>
        <w:spacing w:after="0" w:line="50" w:lineRule="exact"/>
        <w:rPr>
          <w:rFonts w:ascii="Arial" w:cs="Arial" w:eastAsia="Arial" w:hAnsi="Arial"/>
          <w:sz w:val="18"/>
          <w:szCs w:val="18"/>
          <w:color w:val="auto"/>
        </w:rPr>
      </w:pPr>
    </w:p>
    <w:p>
      <w:pPr>
        <w:ind w:left="900" w:right="10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investor may not be able to pledge his or her interest in a global security in circumstances where certificates representing the debt securities must be delivered to the lender or other beneficiary of the pledge in order for the pledge to be effective;</w:t>
      </w:r>
    </w:p>
    <w:p>
      <w:pPr>
        <w:spacing w:after="0" w:line="50" w:lineRule="exact"/>
        <w:rPr>
          <w:rFonts w:ascii="Arial" w:cs="Arial" w:eastAsia="Arial" w:hAnsi="Arial"/>
          <w:sz w:val="18"/>
          <w:szCs w:val="18"/>
          <w:color w:val="auto"/>
        </w:rPr>
      </w:pPr>
    </w:p>
    <w:p>
      <w:pPr>
        <w:ind w:left="900" w:right="40" w:hanging="446"/>
        <w:spacing w:after="0" w:line="306"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w:t>
      </w:r>
    </w:p>
    <w:p>
      <w:pPr>
        <w:spacing w:after="0" w:line="25" w:lineRule="exact"/>
        <w:rPr>
          <w:rFonts w:ascii="Arial" w:cs="Arial" w:eastAsia="Arial" w:hAnsi="Arial"/>
          <w:sz w:val="16"/>
          <w:szCs w:val="16"/>
          <w:color w:val="auto"/>
        </w:rPr>
      </w:pPr>
    </w:p>
    <w:p>
      <w:pPr>
        <w:ind w:left="900" w:right="140" w:hanging="446"/>
        <w:spacing w:after="0" w:line="268"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if we redeem less than all the debt securities of a particular series being redeemed, DTC’s practice is to determine by lot the amount to be redeemed from each of its participants holding that series;</w:t>
      </w:r>
    </w:p>
    <w:p>
      <w:pPr>
        <w:spacing w:after="0" w:line="50" w:lineRule="exact"/>
        <w:rPr>
          <w:rFonts w:ascii="Arial" w:cs="Arial" w:eastAsia="Arial" w:hAnsi="Arial"/>
          <w:sz w:val="18"/>
          <w:szCs w:val="18"/>
          <w:color w:val="auto"/>
        </w:rPr>
      </w:pPr>
    </w:p>
    <w:p>
      <w:pPr>
        <w:ind w:left="900" w:right="380" w:hanging="446"/>
        <w:spacing w:after="0" w:line="259" w:lineRule="auto"/>
        <w:tabs>
          <w:tab w:leader="none" w:pos="9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400"/>
          </w:cols>
          <w:pgMar w:left="240" w:top="459" w:right="2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20" w:hanging="446"/>
        <w:spacing w:after="0" w:line="332"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w:t>
      </w:r>
    </w:p>
    <w:p>
      <w:pPr>
        <w:spacing w:after="0" w:line="4" w:lineRule="exact"/>
        <w:rPr>
          <w:rFonts w:ascii="Arial" w:cs="Arial" w:eastAsia="Arial" w:hAnsi="Arial"/>
          <w:sz w:val="16"/>
          <w:szCs w:val="16"/>
          <w:color w:val="auto"/>
        </w:rPr>
      </w:pPr>
    </w:p>
    <w:p>
      <w:pPr>
        <w:ind w:left="900" w:right="120" w:hanging="446"/>
        <w:spacing w:after="0" w:line="306" w:lineRule="auto"/>
        <w:tabs>
          <w:tab w:leader="none" w:pos="9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and are not responsible for the actions of any of those intermediaries.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Situations when a Global Security Will Be Terminated</w:t>
      </w:r>
    </w:p>
    <w:p>
      <w:pPr>
        <w:spacing w:after="0" w:line="9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a few special situations described below, a global security will be terminated and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holders and street name investors under “Description of our Debt Securities—Issuance of Securities in Registered Form” above.</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special situations for termination of a global security are as follows:</w:t>
      </w:r>
    </w:p>
    <w:p>
      <w:pPr>
        <w:spacing w:after="0" w:line="90" w:lineRule="exact"/>
        <w:rPr>
          <w:sz w:val="20"/>
          <w:szCs w:val="20"/>
          <w:color w:val="auto"/>
        </w:rPr>
      </w:pPr>
    </w:p>
    <w:p>
      <w:pPr>
        <w:ind w:left="900" w:right="18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the depositary notifies us that it is unwilling, unable or no longer qualified to continue as depositary for that global security, and we are unable to appoint another institution to act as depositary;</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we notify the trustee that we wish to terminate that global security; or</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if an event of default has occurred with regard to the debt securities represented by that global security and has not been cured or waived; we discuss defaults later under “Description of our Debt Securities—Events of Default.”</w:t>
      </w:r>
    </w:p>
    <w:p>
      <w:pPr>
        <w:spacing w:after="0" w:line="132"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The prospectus supplement may list situations for terminating a global security that would apply only to the particular series of debt securities covered by the prospectus supplement. If a global security is terminated, only the depositary, and not we or the applicable trustee, is responsible for deciding the names of the institutions in whose names the debt securities represented by the global security will be registered and, therefore, who will be the holders of those debt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often about two weeks in advance of the interest due date, is called the “record date.” Because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Global Securities</w:t>
      </w:r>
    </w:p>
    <w:p>
      <w:pPr>
        <w:spacing w:after="0" w:line="9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“Description of our Debt Securities—Global Securities.”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00"/>
          </w:cols>
          <w:pgMar w:left="240" w:top="459" w:right="2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Payments on Certificated Securities</w:t>
      </w:r>
    </w:p>
    <w:p>
      <w:pPr>
        <w:spacing w:after="0" w:line="9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will make payments on a certificated debt security as follows. We will pay interest that is due on an interest payment date by check mailed on the interest payment date to the holder at his or her address shown on the trustee’s records as of the close of business on the regular record date. We will make all payments of principal and premium, if any, by check at the office of the applicable trustee in New York, New York and/or at other offices that may be specified in the prospectus supplement or in a notice to holders against surrender of the debt security.</w:t>
      </w:r>
    </w:p>
    <w:p>
      <w:pPr>
        <w:spacing w:after="0" w:line="11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Alternatively, if the holder asks us to do so, we will pay any amount that becomes due on the debt security by wire transfer of immediately available funds to an account at a bank in the City of New York, on the due date. To request payment by wire, the holder must give the applicable trustee or other paying agent appropriate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When Offices Are Closed</w:t>
      </w:r>
    </w:p>
    <w:p>
      <w:pPr>
        <w:spacing w:after="0" w:line="9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Book-entry and other indirect holders should consult their banks or brokers for information on how they will receive payments on their debt securities.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You will have rights if an Event of Default occurs in respect of the debt securities of your series and is not cured, as described later in this subsection.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term “Event of Default” in respect of the debt securities of your series means any of the following:</w:t>
      </w:r>
    </w:p>
    <w:p>
      <w:pPr>
        <w:spacing w:after="0" w:line="90" w:lineRule="exact"/>
        <w:rPr>
          <w:sz w:val="20"/>
          <w:szCs w:val="20"/>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do not pay the principal of, or any premium on, a debt security of the series on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do not pay interest on a debt security of the series within 30 days of its due date;</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do not deposit any sinking fund payment in respect of debt securities of the series on its due date;</w:t>
      </w:r>
    </w:p>
    <w:p>
      <w:pPr>
        <w:spacing w:after="0" w:line="90" w:lineRule="exact"/>
        <w:rPr>
          <w:rFonts w:ascii="Arial" w:cs="Arial" w:eastAsia="Arial" w:hAnsi="Arial"/>
          <w:sz w:val="18"/>
          <w:szCs w:val="18"/>
          <w:color w:val="auto"/>
        </w:rPr>
      </w:pPr>
    </w:p>
    <w:p>
      <w:pPr>
        <w:ind w:left="900" w:right="180" w:hanging="446"/>
        <w:spacing w:after="0" w:line="332" w:lineRule="auto"/>
        <w:tabs>
          <w:tab w:leader="none" w:pos="9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we remain in breach of a covenant in respect of debt securities of the series for 60 days after we receive a written notice of default stating we are in breach. The notice must be sent by either the trustee or holders of at least 25% of the principal amount of debt securities of the series;</w:t>
      </w:r>
    </w:p>
    <w:p>
      <w:pPr>
        <w:spacing w:after="0" w:line="4" w:lineRule="exact"/>
        <w:rPr>
          <w:rFonts w:ascii="Arial" w:cs="Arial" w:eastAsia="Arial" w:hAnsi="Arial"/>
          <w:sz w:val="16"/>
          <w:szCs w:val="16"/>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we file for bankruptcy or certain other events of bankruptcy, insolvency or reorganization occur;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any other Event of Default in respect of debt securities of the series described in the prospectus supplement occurs.</w:t>
      </w:r>
    </w:p>
    <w:p>
      <w:pPr>
        <w:spacing w:after="0" w:line="17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An Event of Default for a particular series of debt securities does not necessarily constitute an Event of Default for any other series of debt securities issued under the same or any other indenture. The trustee may withhold notice to the holders of debt securities of any default, except in the payment of principal, premium or interest, if it considers the withholding of notice to be in the best interests of the holders.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459" w:right="2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Remedies if an Event of Default Occurs</w:t>
      </w:r>
    </w:p>
    <w:p>
      <w:pPr>
        <w:spacing w:after="0" w:line="90"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If an Event of Default has occurred and has not been cured or waived, the trustee or the holders of not less than 25% in principal amount of the debt securities of the affected series may declare the entire principal amount of all the debt securities of that series to be due and immediately payable. This is called a declaration of acceleration of maturity. A declaration of acceleration of maturity may be canceled by the holders of a majority in principal amount of the debt securities of the affected series if the default is cured or waived and certain other conditions are satisfied.</w:t>
      </w:r>
    </w:p>
    <w:p>
      <w:pPr>
        <w:spacing w:after="0" w:line="11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Except in cases of default, where the trustee has certain special duties, the trustee is not required to take any action under the indenture at the request of any holders unless the holders offer the trustee reasonable protection from expenses and liability (called an “indemnity”). If reasonable indemnity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w:t>
      </w:r>
    </w:p>
    <w:p>
      <w:pPr>
        <w:spacing w:after="0" w:line="116"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Before you are allowed to bypass your trustee and bring your own lawsuit or other formal legal action or take other steps to enforce your rights or protect your interests relating to the debt securities, the following must occur:</w:t>
      </w:r>
    </w:p>
    <w:p>
      <w:pPr>
        <w:spacing w:after="0" w:line="51" w:lineRule="exact"/>
        <w:rPr>
          <w:sz w:val="20"/>
          <w:szCs w:val="20"/>
          <w:color w:val="auto"/>
        </w:rPr>
      </w:pP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you must give the trustee written notice that an Event of Default has occurred and remains uncured;</w:t>
      </w:r>
    </w:p>
    <w:p>
      <w:pPr>
        <w:spacing w:after="0" w:line="90" w:lineRule="exact"/>
        <w:rPr>
          <w:rFonts w:ascii="Arial" w:cs="Arial" w:eastAsia="Arial" w:hAnsi="Arial"/>
          <w:sz w:val="18"/>
          <w:szCs w:val="18"/>
          <w:color w:val="auto"/>
        </w:rPr>
      </w:pPr>
    </w:p>
    <w:p>
      <w:pPr>
        <w:ind w:left="900" w:right="300" w:hanging="446"/>
        <w:spacing w:after="0" w:line="357" w:lineRule="auto"/>
        <w:tabs>
          <w:tab w:leader="none" w:pos="900"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holders of at least 25% in principal amount of all outstanding debt securities of the relevant series must make a written request that the trustee take action because of the default and must offer reasonable indemnity to the trustee against the cost and other liabilities of taking that action;</w:t>
      </w:r>
    </w:p>
    <w:p>
      <w:pPr>
        <w:ind w:left="900" w:hanging="446"/>
        <w:spacing w:after="0"/>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trustee must not have taken action for 60 days after receipt of the above notice and offer of indemnity; and</w:t>
      </w:r>
    </w:p>
    <w:p>
      <w:pPr>
        <w:spacing w:after="0" w:line="90" w:lineRule="exact"/>
        <w:rPr>
          <w:rFonts w:ascii="Arial" w:cs="Arial" w:eastAsia="Arial" w:hAnsi="Arial"/>
          <w:sz w:val="18"/>
          <w:szCs w:val="18"/>
          <w:color w:val="auto"/>
        </w:rPr>
      </w:pPr>
    </w:p>
    <w:p>
      <w:pPr>
        <w:ind w:left="900" w:right="420" w:hanging="446"/>
        <w:spacing w:after="0" w:line="268" w:lineRule="auto"/>
        <w:tabs>
          <w:tab w:leader="none" w:pos="9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holders of a majority in principal amount of the debt securities must not have given the trustee a direction inconsistent with the above notice during that 60-day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However, you are entitled at any time to bring a lawsuit for the payment of money due on your debt securities on or after the due date.</w:t>
      </w:r>
    </w:p>
    <w:p>
      <w:pPr>
        <w:spacing w:after="0" w:line="165" w:lineRule="exact"/>
        <w:rPr>
          <w:sz w:val="20"/>
          <w:szCs w:val="20"/>
          <w:color w:val="auto"/>
        </w:rPr>
      </w:pPr>
    </w:p>
    <w:p>
      <w:pPr>
        <w:ind w:right="520"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to give notice or direction to or make a request of the trustee and how to declare or cancel an acceleration of maturity.</w:t>
      </w:r>
    </w:p>
    <w:p>
      <w:pPr>
        <w:spacing w:after="0" w:line="126"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Each year, we will furnish to each trustee a written statement of certain of our officers certifying that to their knowledge we are in compliance with the indenture and the debt securities, or else specifying any default.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Waiver of Default</w:t>
      </w:r>
    </w:p>
    <w:p>
      <w:pPr>
        <w:spacing w:after="0" w:line="9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The holders of a majority in principal amount of the relevant series of debt securities may waive a default for all the relevant series of debt securities. If this happens, the default will be treated as if it had not occurred. No one can waive a payment default on a holder’s debt security, however, without the holder’s approval.</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or Consolidation</w:t>
      </w:r>
    </w:p>
    <w:p>
      <w:pPr>
        <w:spacing w:after="0" w:line="96"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Under the terms of the indenture, we are generally permitted to consolidate or merge with another entity. We are also permitted to sell all or substantially all of our assets to another entity. However, we may not take any of these actions unless all the following conditions are met:</w:t>
      </w:r>
    </w:p>
    <w:p>
      <w:pPr>
        <w:spacing w:after="0" w:line="51" w:lineRule="exact"/>
        <w:rPr>
          <w:sz w:val="20"/>
          <w:szCs w:val="20"/>
          <w:color w:val="auto"/>
        </w:rPr>
      </w:pPr>
    </w:p>
    <w:p>
      <w:pPr>
        <w:ind w:left="900" w:right="640" w:hanging="446"/>
        <w:spacing w:after="0" w:line="268" w:lineRule="auto"/>
        <w:tabs>
          <w:tab w:leader="none" w:pos="9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where we merge out of existence or sell our assets, the resulting entity must agree to be legally responsible for our obligations under the debt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420"/>
          </w:cols>
          <w:pgMar w:left="240" w:top="460" w:right="2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alternatively, we must be the surviving company;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immediately after the transaction no event of default will exist;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must deliver certain certificates and documents to the trustee;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we must satisfy any other requirements specified in the prospectus supplement relating to a particular series of debt securities.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or Waiver</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three types of changes we can make to the indenture and the debt securities issued thereunder.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Your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First, there are changes that we cannot make to your debt securities without your specific approval. The following is a list of those types of changes:</w:t>
      </w:r>
    </w:p>
    <w:p>
      <w:pPr>
        <w:spacing w:after="0" w:line="113" w:lineRule="exact"/>
        <w:rPr>
          <w:sz w:val="20"/>
          <w:szCs w:val="20"/>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interest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any amounts due on a debt security;</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amount of principal payable upon acceleration of the maturity of a security following a default;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adversely affect any right of repayment at the holder’s option;</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6"/>
          <w:szCs w:val="16"/>
          <w:color w:val="auto"/>
        </w:rPr>
      </w:pPr>
      <w:r>
        <w:rPr>
          <w:rFonts w:ascii="Arial" w:cs="Arial" w:eastAsia="Arial" w:hAnsi="Arial"/>
          <w:sz w:val="16"/>
          <w:szCs w:val="16"/>
          <w:color w:val="auto"/>
        </w:rPr>
        <w:t>change the place or currency of payment on a debt security (except as otherwise described in the prospectus or prospectus supplement);</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impair your right to sue for payment;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adversely affect any right to convert or exchange a debt security in accordance with its terms;</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modify or amend the indenture;</w:t>
      </w:r>
    </w:p>
    <w:p>
      <w:pPr>
        <w:spacing w:after="0" w:line="90" w:lineRule="exact"/>
        <w:rPr>
          <w:rFonts w:ascii="Arial" w:cs="Arial" w:eastAsia="Arial" w:hAnsi="Arial"/>
          <w:sz w:val="18"/>
          <w:szCs w:val="18"/>
          <w:color w:val="auto"/>
        </w:rPr>
      </w:pPr>
    </w:p>
    <w:p>
      <w:pPr>
        <w:ind w:left="900" w:right="6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reduce the percentage of holders of debt securities whose consent is needed to waive compliance with certain provisions of the indenture or to waive certain defaults;</w:t>
      </w:r>
    </w:p>
    <w:p>
      <w:pPr>
        <w:spacing w:after="0" w:line="50"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modify any other aspect of the provisions of the indenture dealing with supplemental indentures, modification and waiver of past defaults, changes to the quorum or voting requirements or the waiver of certain covenants;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change any obligation we have to pay additional amounts.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Not Requiring Approval</w:t>
      </w:r>
    </w:p>
    <w:p>
      <w:pPr>
        <w:spacing w:after="0" w:line="90"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The second type of change does not require any vote by the holders of the debt securities. This type is limited to clarifications and certain other changes that would not adversely affect holders of the outstanding debt securities in any material respect. We also do not need any approval to make any change that affects only debt securities to be issued under the indenture after the change takes effect.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Requiring Majority Approval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other change to the indenture and the debt securities would require the following approval:</w:t>
      </w:r>
    </w:p>
    <w:p>
      <w:pPr>
        <w:spacing w:after="0" w:line="90" w:lineRule="exact"/>
        <w:rPr>
          <w:sz w:val="20"/>
          <w:szCs w:val="20"/>
          <w:color w:val="auto"/>
        </w:rPr>
      </w:pPr>
    </w:p>
    <w:p>
      <w:pPr>
        <w:ind w:left="900" w:hanging="446"/>
        <w:spacing w:after="0"/>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change affects only one series of debt securities, it must be approved by the holders of a majority in principal amount of that series; and</w:t>
      </w:r>
    </w:p>
    <w:p>
      <w:pPr>
        <w:spacing w:after="0" w:line="113" w:lineRule="exact"/>
        <w:rPr>
          <w:rFonts w:ascii="Arial" w:cs="Arial" w:eastAsia="Arial" w:hAnsi="Arial"/>
          <w:sz w:val="16"/>
          <w:szCs w:val="16"/>
          <w:color w:val="auto"/>
        </w:rPr>
      </w:pPr>
    </w:p>
    <w:p>
      <w:pPr>
        <w:ind w:left="900" w:right="400" w:hanging="446"/>
        <w:spacing w:after="0" w:line="332" w:lineRule="auto"/>
        <w:tabs>
          <w:tab w:leader="none" w:pos="900" w:val="left"/>
        </w:tabs>
        <w:numPr>
          <w:ilvl w:val="0"/>
          <w:numId w:val="86"/>
        </w:numPr>
        <w:rPr>
          <w:rFonts w:ascii="Arial" w:cs="Arial" w:eastAsia="Arial" w:hAnsi="Arial"/>
          <w:sz w:val="16"/>
          <w:szCs w:val="16"/>
          <w:color w:val="auto"/>
        </w:rPr>
      </w:pPr>
      <w:r>
        <w:rPr>
          <w:rFonts w:ascii="Arial" w:cs="Arial" w:eastAsia="Arial" w:hAnsi="Arial"/>
          <w:sz w:val="16"/>
          <w:szCs w:val="16"/>
          <w:color w:val="auto"/>
        </w:rPr>
        <w:t>if the change affects more than one series of debt securities issued under the same indenture, it must be approved by the holders of a majority in principal amount of all of the series affected by the change, with all affected series voting together as one class for this purpose.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00"/>
          </w:cols>
          <w:pgMar w:left="240" w:top="459" w:right="2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each case, the required approval must be given by written consent.</w:t>
      </w:r>
    </w:p>
    <w:p>
      <w:pPr>
        <w:spacing w:after="0" w:line="171"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holders of a majority in principal amount of all of the series of debt securities issued under an indenture, voting together as one class for this purpose, may waive our compliance with some of our covenants in that indenture. However, we cannot obtain a waiver of a payment default or of any of the matters covered by the bullet points included above under “Description of our Debt Securities—Modification or Waiver—Changes Requiring Your Approval.”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Further Details Concerning Voting</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When taking a vote, we will use the following rules to decide how much principal to attribute to a debt security:</w:t>
      </w:r>
    </w:p>
    <w:p>
      <w:pPr>
        <w:spacing w:after="0" w:line="90" w:lineRule="exact"/>
        <w:rPr>
          <w:sz w:val="20"/>
          <w:szCs w:val="20"/>
          <w:color w:val="auto"/>
        </w:rPr>
      </w:pPr>
    </w:p>
    <w:p>
      <w:pPr>
        <w:ind w:left="900" w:right="10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original issue discount securities, we will use the principal amount that would be due and payable on the voting date if the maturity of these debt securities were accelerated to that date because of a default;</w:t>
      </w:r>
    </w:p>
    <w:p>
      <w:pPr>
        <w:spacing w:after="0" w:line="50" w:lineRule="exact"/>
        <w:rPr>
          <w:rFonts w:ascii="Arial" w:cs="Arial" w:eastAsia="Arial" w:hAnsi="Arial"/>
          <w:sz w:val="18"/>
          <w:szCs w:val="18"/>
          <w:color w:val="auto"/>
        </w:rPr>
      </w:pPr>
    </w:p>
    <w:p>
      <w:pPr>
        <w:ind w:left="900" w:right="540" w:hanging="446"/>
        <w:spacing w:after="0" w:line="268" w:lineRule="auto"/>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debt securities whose principal amount is not known (for example, because it is based on an index), we will use a special rule for that debt security described in the prospectus supplement;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for debt securities denominated in one or more foreign currencies, we will use the U.S. dollar equivalent.</w:t>
      </w:r>
    </w:p>
    <w:p>
      <w:pPr>
        <w:spacing w:after="0" w:line="171"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Debt securities will not be considered outstanding, and therefore not eligible to vote, if we have deposited or set aside in trust money for their payment or redemption. Debt securities will also not be eligible to vote if they have been fully defeased as described later under “Description of our Debt Securities— Defeasance—Full Defeasance.” We will generally be entitled to set any day as a record date for the purpose of determining the holders of outstanding indenture securities that are entitled to vote or take other action under the indenture. If we set a record date for a vote or other action to be taken by holders of one or more series, that vote or action may be taken only by persons who are holders of outstanding indenture securities of those series on the record date and must be taken within eleven months following the record date.</w:t>
      </w:r>
    </w:p>
    <w:p>
      <w:pPr>
        <w:spacing w:after="0" w:line="114"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b w:val="1"/>
          <w:bCs w:val="1"/>
          <w:color w:val="auto"/>
        </w:rPr>
        <w:t>Book-entry and other indirect holders should consult their banks or brokers for information on how approval may be granted or denied if we seek to change the indenture or the debt securities or request a waiver.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provisions will be applicable to each series of debt securities unless we state in the applicable prospectus supplement that the provisions of covenant defeasance and full defeasance will not be applicable to that series.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Covenant Defeasance</w:t>
      </w:r>
    </w:p>
    <w:p>
      <w:pPr>
        <w:spacing w:after="0" w:line="9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Under current U.S. federal tax law,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applicable, you also would be released from the subordination provisions described under “Description of our Debt Securities—Indenture Provisions—Subordination” below. In order to achieve covenant defeasance, we must do the following:</w:t>
      </w:r>
    </w:p>
    <w:p>
      <w:pPr>
        <w:spacing w:after="0" w:line="62" w:lineRule="exact"/>
        <w:rPr>
          <w:sz w:val="20"/>
          <w:szCs w:val="20"/>
          <w:color w:val="auto"/>
        </w:rPr>
      </w:pPr>
    </w:p>
    <w:p>
      <w:pPr>
        <w:ind w:left="900" w:right="120" w:hanging="446"/>
        <w:spacing w:after="0" w:line="259" w:lineRule="auto"/>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 and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00"/>
          </w:cols>
          <w:pgMar w:left="240" w:top="459" w:right="2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80" w:hanging="446"/>
        <w:spacing w:after="0" w:line="259" w:lineRule="auto"/>
        <w:tabs>
          <w:tab w:leader="none" w:pos="9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we may be required to deliver to the trustee a legal opinion of our counsel confirming that, under current U.S. federal income tax law, we may make the above deposit without causing you to be taxed on the debt securities any differently than if we did not make the deposit and just repaid the debt securities ourselves at maturity.</w:t>
      </w:r>
    </w:p>
    <w:p>
      <w:pPr>
        <w:spacing w:after="0" w:line="140"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We must deliver to the trustee a legal opinion of our counsel stating that the above deposit does not require registration by us under the 1940 Act, as amended, and a legal opinion and officers’ certificate stating that all conditions precedent to covenant defeasance have been complied with.</w:t>
      </w:r>
    </w:p>
    <w:p>
      <w:pPr>
        <w:spacing w:after="0" w:line="85"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If we accomplish covenant defeasance, you can still look to us for repayment of the debt securities if there were a shortfall in the trust deposit or the trustee is prevented from making payment. In fact, if one of the remaining Events of Default occurred (such as our bankruptcy) and the debt securities became immediately due and payable, there might be a shortfall. Depending on the event causing the default, you may not be able to obtain payment of the shortfall.</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 Defeasance</w:t>
      </w:r>
    </w:p>
    <w:p>
      <w:pPr>
        <w:spacing w:after="0" w:line="90" w:lineRule="exact"/>
        <w:rPr>
          <w:sz w:val="20"/>
          <w:szCs w:val="20"/>
          <w:color w:val="auto"/>
        </w:rPr>
      </w:pPr>
    </w:p>
    <w:p>
      <w:pPr>
        <w:ind w:right="620" w:firstLine="456"/>
        <w:spacing w:after="0" w:line="332" w:lineRule="auto"/>
        <w:rPr>
          <w:sz w:val="20"/>
          <w:szCs w:val="20"/>
          <w:color w:val="auto"/>
        </w:rPr>
      </w:pPr>
      <w:r>
        <w:rPr>
          <w:rFonts w:ascii="Arial" w:cs="Arial" w:eastAsia="Arial" w:hAnsi="Arial"/>
          <w:sz w:val="16"/>
          <w:szCs w:val="16"/>
          <w:color w:val="auto"/>
        </w:rPr>
        <w:t>If there is a change in U.S. federal tax law, as described below, we can legally release ourselves from all payment and other obligations on the debt securities of a particular series (called “full defeasance”) if we put in place the following other arrangements for you to be repaid:</w:t>
      </w:r>
    </w:p>
    <w:p>
      <w:pPr>
        <w:spacing w:after="0" w:line="4" w:lineRule="exact"/>
        <w:rPr>
          <w:sz w:val="20"/>
          <w:szCs w:val="20"/>
          <w:color w:val="auto"/>
        </w:rPr>
      </w:pPr>
    </w:p>
    <w:p>
      <w:pPr>
        <w:ind w:left="900" w:right="100" w:hanging="446"/>
        <w:spacing w:after="0" w:line="259" w:lineRule="auto"/>
        <w:tabs>
          <w:tab w:leader="none" w:pos="9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if the debt securities of the particular series are denominated in U.S. dollars, we must deposit in trust for the benefit of all holders of such debt securities a combination of money and U.S. government or U.S. government agency notes or bonds that will generate enough cash to make interest, principal and any other payments on the debt securities on their various due dates;</w:t>
      </w:r>
    </w:p>
    <w:p>
      <w:pPr>
        <w:spacing w:after="0" w:line="59" w:lineRule="exact"/>
        <w:rPr>
          <w:rFonts w:ascii="Arial" w:cs="Arial" w:eastAsia="Arial" w:hAnsi="Arial"/>
          <w:sz w:val="18"/>
          <w:szCs w:val="18"/>
          <w:color w:val="auto"/>
        </w:rPr>
      </w:pPr>
    </w:p>
    <w:p>
      <w:pPr>
        <w:ind w:left="900" w:hanging="446"/>
        <w:spacing w:after="0" w:line="318" w:lineRule="auto"/>
        <w:tabs>
          <w:tab w:leader="none" w:pos="9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we may be required to deliver to the trustee a legal opinion confirming that there has been a change in current U.S. federal tax law or an Internal Revenue Service ruling that allows us to make the above deposit without causing you to be taxed on the debt securities any differently than if we did not make the deposit and just repaid the debt securities ourselves at maturity.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and</w:t>
      </w:r>
    </w:p>
    <w:p>
      <w:pPr>
        <w:spacing w:after="0" w:line="18" w:lineRule="exact"/>
        <w:rPr>
          <w:rFonts w:ascii="Arial" w:cs="Arial" w:eastAsia="Arial" w:hAnsi="Arial"/>
          <w:sz w:val="15"/>
          <w:szCs w:val="15"/>
          <w:color w:val="auto"/>
        </w:rPr>
      </w:pPr>
    </w:p>
    <w:p>
      <w:pPr>
        <w:ind w:left="900" w:right="120" w:hanging="446"/>
        <w:spacing w:after="0" w:line="370" w:lineRule="auto"/>
        <w:tabs>
          <w:tab w:leader="none" w:pos="900" w:val="left"/>
        </w:tabs>
        <w:numPr>
          <w:ilvl w:val="0"/>
          <w:numId w:val="90"/>
        </w:numPr>
        <w:rPr>
          <w:rFonts w:ascii="Arial" w:cs="Arial" w:eastAsia="Arial" w:hAnsi="Arial"/>
          <w:sz w:val="15"/>
          <w:szCs w:val="15"/>
          <w:color w:val="auto"/>
        </w:rPr>
      </w:pPr>
      <w:r>
        <w:rPr>
          <w:rFonts w:ascii="Arial" w:cs="Arial" w:eastAsia="Arial" w:hAnsi="Arial"/>
          <w:sz w:val="15"/>
          <w:szCs w:val="15"/>
          <w:color w:val="auto"/>
        </w:rPr>
        <w:t>we must deliver to the trustee a legal opinion of our counsel stating that the above deposit does not require registration by us under the 1940 Act, as amended, and a legal opinion and officers’ certificate certifying compliance with all conditions precedent to defeasance have been complied with.</w:t>
      </w:r>
    </w:p>
    <w:p>
      <w:pPr>
        <w:spacing w:after="0" w:line="62"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if we ever became bankrupt or insolvent. If applicable, you would also be released from the subordination provisions described later under “Description of our Debt Securities—Indenture Provisions—Subordination” for more information.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 of Certificated Registered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registered debt securities cease to be issued in book-entry form, they will be issued:</w:t>
      </w:r>
    </w:p>
    <w:p>
      <w:pPr>
        <w:spacing w:after="0" w:line="90" w:lineRule="exact"/>
        <w:rPr>
          <w:sz w:val="20"/>
          <w:szCs w:val="20"/>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only in fully registered certificated form;</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without interest coupons;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unless we indicate otherwise in the prospectus supplement, in denominations of $1,000 and amounts that are multiples of $1,000.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380"/>
          </w:cols>
          <w:pgMar w:left="240" w:top="459" w:right="27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Holders may exchange their certificated securities for debt securities of smaller denominations or combined into fewer debt securities of larger denominations, as long as the total principal amount is not changed.</w:t>
      </w:r>
    </w:p>
    <w:p>
      <w:pPr>
        <w:spacing w:after="0" w:line="132"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Holders may exchange or transfer their certificated securities at the office of their trustee. We have appointed the trustee to act as our agent for registering debt securities in the names of holders transferring debt securities. We may appoint another entity to perform these functions or perform them ourselves.</w:t>
      </w:r>
    </w:p>
    <w:p>
      <w:pPr>
        <w:spacing w:after="0" w:line="62"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is satisfied with the holder’s proof of legal ownership.</w:t>
      </w:r>
    </w:p>
    <w:p>
      <w:pPr>
        <w:spacing w:after="0" w:line="140" w:lineRule="exact"/>
        <w:rPr>
          <w:sz w:val="20"/>
          <w:szCs w:val="20"/>
          <w:color w:val="auto"/>
        </w:rPr>
      </w:pPr>
    </w:p>
    <w:p>
      <w:pPr>
        <w:ind w:right="420" w:firstLine="456"/>
        <w:spacing w:after="0" w:line="370" w:lineRule="auto"/>
        <w:rPr>
          <w:sz w:val="20"/>
          <w:szCs w:val="20"/>
          <w:color w:val="auto"/>
        </w:rPr>
      </w:pPr>
      <w:r>
        <w:rPr>
          <w:rFonts w:ascii="Arial" w:cs="Arial" w:eastAsia="Arial" w:hAnsi="Arial"/>
          <w:sz w:val="15"/>
          <w:szCs w:val="15"/>
          <w:color w:val="auto"/>
        </w:rPr>
        <w:t>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w:t>
      </w:r>
    </w:p>
    <w:p>
      <w:pPr>
        <w:spacing w:after="0" w:line="6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w:t>
      </w:r>
    </w:p>
    <w:p>
      <w:pPr>
        <w:spacing w:after="0" w:line="11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If a registered debt security is issued in book-entry form, only the depositary will be entitled to transfer and exchange the debt security as described in this subsection, since it will be the sole holder of the debt security.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Trustee</w:t>
      </w:r>
    </w:p>
    <w:p>
      <w:pPr>
        <w:spacing w:after="0" w:line="96"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Each trustee may resign or be removed with respect to one or more series of indenture securities provided that a successor trustee is appointed to act with respect to these series. In the event that two or more persons are acting as trustee with respect to different series of indenture securities under the indenture, each of the trustees will be a trustee of a trust separate and apart from the trust administered by any other trustee.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Indenture Provisions—Subordination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w:t>
      </w:r>
    </w:p>
    <w:p>
      <w:pPr>
        <w:spacing w:after="0" w:line="12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 the event that, notwithstanding the foregoing, any payment by us is received by the trustee in respect of subordinated debt securities or by the holders of any of such subordinated debt securities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459" w:right="2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By reason of this subordination, in the event of a distribution of our assets upon our insolvency, certain of our senior creditors may recover more, ratably, than holders of any subordinated debt securities. The indenture provides that these subordination provisions will not apply to money and securities held in trust under the defeasance provisions of the indenture.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Senior Indebtedness is defined in the indenture as the principal of (and premium, if any) and unpaid interest on:</w:t>
      </w:r>
    </w:p>
    <w:p>
      <w:pPr>
        <w:spacing w:after="0" w:line="90" w:lineRule="exact"/>
        <w:rPr>
          <w:sz w:val="20"/>
          <w:szCs w:val="20"/>
          <w:color w:val="auto"/>
        </w:rPr>
      </w:pPr>
    </w:p>
    <w:p>
      <w:pPr>
        <w:ind w:left="900" w:right="260" w:hanging="446"/>
        <w:spacing w:after="0" w:line="256" w:lineRule="auto"/>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our indebtedness (including indebtedness of others guaranteed by us), whenever created, incurred, assumed or guaranteed, for money borrowed (other than indenture securities issued under the indenture and denominated as subordinated debt securities), unless in the instrument creating or evidencing the same or under which the same is outstanding it is provided that this indebtedness is not senior or prior in right of payment to the subordinated debt securities; and</w:t>
      </w:r>
    </w:p>
    <w:p>
      <w:pPr>
        <w:spacing w:after="0" w:line="62" w:lineRule="exact"/>
        <w:rPr>
          <w:rFonts w:ascii="Arial" w:cs="Arial" w:eastAsia="Arial" w:hAnsi="Arial"/>
          <w:sz w:val="18"/>
          <w:szCs w:val="18"/>
          <w:color w:val="auto"/>
        </w:rPr>
      </w:pPr>
    </w:p>
    <w:p>
      <w:pPr>
        <w:ind w:left="900" w:hanging="446"/>
        <w:spacing w:after="0"/>
        <w:tabs>
          <w:tab w:leader="none" w:pos="90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renewals, extensions, modifications and refinancings of any of this indebtedness.</w:t>
      </w:r>
    </w:p>
    <w:p>
      <w:pPr>
        <w:spacing w:after="0" w:line="171"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If this prospectus is being delivered in connection with the offering of a series of indenture securities denominated as subordinated debt securities, the accompanying prospectus supplement will set forth the approximate amount of our Senior Indebtedness outstanding as of a recent date.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Trustee under the Indenture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use American Stock Transfer &amp; Trust Company, LLC to serve as the trustee under the indenture.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Considerations Relating to Foreign Currencies</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Debt securities denominated or payable in foreign currencies may entail significant risks. These risks include the possibility of significant fluctuations in the foreign currency markets, the imposition or modification of foreign exchange controls and potential illiquidity in the secondary market. These risks will vary depending upon the currency or currencies involved and will be more fully described in the applicable prospectus supplement.</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300"/>
          </w:cols>
          <w:pgMar w:left="240" w:top="459" w:right="3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REGULATION</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are a BDC under the 1940 Act, which has qualified and intends to continue to qualify to maintain an election to be treated as a RIC under Subchapter M of the Code. The 1940 Act contains prohibitions and restrictions relating to transactions between a BDC and their affiliates (including any investment advisers or sub-advisers), principal underwriters and affiliates of those affiliates or underwriters and requires that a majority of the directors be persons other than “interested persons,” as that term is defined in the 1940 Act. In addition, the 1940 Act provides that we may not change the nature of our business so as to cease to be, or to withdraw our election as, a BDC unless approved by a majority of our outstanding voting securities.</w:t>
      </w:r>
    </w:p>
    <w:p>
      <w:pPr>
        <w:spacing w:after="0" w:line="11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may invest up to 100% of our assets in securities acquired directly from issuers in privately negotiated transactions. With respect to such securities, we may, for the purpose of public resale, be deemed an “underwriter” as that term is defined in the Securities Act. We may purchase or otherwise receive warrants to purchase the common stock of our portfolio companies in connection with acquisition financing or other investments. Similarly, in connection with an acquisition, we may acquire rights to require the issuers of acquired securities or their affiliates to repurchase them under certain circumstances. We do not intend to acquire securities issued by any investment company that exceed the limits imposed by the 1940 Act. Under these limits, we generally cannot acquire more than 3% of the voting stock of any investment company, invest more than 5% of the value of our total assets in the securities of one investment company or invest more than 10% of the value of our total assets in the securities of more than one investment company. With regard to that portion of our portfolio invested in securities issued by investment companies, it should be noted that such investments might subject our stockholders to additional expenses. We may enter into hedging transactions to manage the risks associated with interest rate fluctuations. None of these policies are fundamental and may be changed without stockholder approval.</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Qualifying Assets</w:t>
      </w:r>
    </w:p>
    <w:p>
      <w:pPr>
        <w:spacing w:after="0" w:line="96" w:lineRule="exact"/>
        <w:rPr>
          <w:sz w:val="20"/>
          <w:szCs w:val="20"/>
          <w:color w:val="auto"/>
        </w:rPr>
      </w:pPr>
    </w:p>
    <w:p>
      <w:pPr>
        <w:jc w:val="both"/>
        <w:ind w:right="620" w:firstLine="456"/>
        <w:spacing w:after="0" w:line="259" w:lineRule="auto"/>
        <w:rPr>
          <w:sz w:val="20"/>
          <w:szCs w:val="20"/>
          <w:color w:val="auto"/>
        </w:rPr>
      </w:pPr>
      <w:r>
        <w:rPr>
          <w:rFonts w:ascii="Arial" w:cs="Arial" w:eastAsia="Arial" w:hAnsi="Arial"/>
          <w:sz w:val="18"/>
          <w:szCs w:val="18"/>
          <w:color w:val="auto"/>
        </w:rPr>
        <w:t>Under the 1940 Act, a BDC may not acquire any asset other than assets of the type listed in Section 55(a) of the 1940 Act, which are referred to as qualifying assets, unless, at the time the acquisition is made, qualifying assets represent at least 70% of the BDC’s total assets. The principal categories of qualifying assets relevant to our business are the following:</w:t>
      </w:r>
    </w:p>
    <w:p>
      <w:pPr>
        <w:spacing w:after="0" w:line="59" w:lineRule="exact"/>
        <w:rPr>
          <w:sz w:val="20"/>
          <w:szCs w:val="20"/>
          <w:color w:val="auto"/>
        </w:rPr>
      </w:pPr>
    </w:p>
    <w:p>
      <w:pPr>
        <w:ind w:left="900" w:right="460" w:hanging="446"/>
        <w:spacing w:after="0" w:line="256" w:lineRule="auto"/>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Securities purchased in transactions not involving any public offering from the issuer of such securities, which issuer (subject to certain limited exceptions) is an eligible portfolio company, or from any person who is, or has been during the preceding 13 months, an affiliated person of an eligible portfolio company, or from any other person, subject to such rules as may be prescribed by the SEC. An eligible portfolio company is defined under the 1940 Act to include any issuer which:</w:t>
      </w:r>
    </w:p>
    <w:p>
      <w:pPr>
        <w:spacing w:after="0" w:line="62" w:lineRule="exact"/>
        <w:rPr>
          <w:rFonts w:ascii="Arial" w:cs="Arial" w:eastAsia="Arial" w:hAnsi="Arial"/>
          <w:sz w:val="18"/>
          <w:szCs w:val="18"/>
          <w:color w:val="auto"/>
        </w:rPr>
      </w:pPr>
    </w:p>
    <w:p>
      <w:pPr>
        <w:ind w:left="1480" w:hanging="567"/>
        <w:spacing w:after="0"/>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is organized under the laws of, and has its principal place of business in, the United States;</w:t>
      </w:r>
    </w:p>
    <w:p>
      <w:pPr>
        <w:spacing w:after="0" w:line="90" w:lineRule="exact"/>
        <w:rPr>
          <w:rFonts w:ascii="Arial" w:cs="Arial" w:eastAsia="Arial" w:hAnsi="Arial"/>
          <w:sz w:val="18"/>
          <w:szCs w:val="18"/>
          <w:color w:val="auto"/>
        </w:rPr>
      </w:pPr>
    </w:p>
    <w:p>
      <w:pPr>
        <w:ind w:left="1480" w:right="140" w:hanging="567"/>
        <w:spacing w:after="0" w:line="332" w:lineRule="auto"/>
        <w:tabs>
          <w:tab w:leader="none" w:pos="1480" w:val="left"/>
        </w:tabs>
        <w:numPr>
          <w:ilvl w:val="1"/>
          <w:numId w:val="93"/>
        </w:numPr>
        <w:rPr>
          <w:rFonts w:ascii="Arial" w:cs="Arial" w:eastAsia="Arial" w:hAnsi="Arial"/>
          <w:sz w:val="16"/>
          <w:szCs w:val="16"/>
          <w:color w:val="auto"/>
        </w:rPr>
      </w:pPr>
      <w:r>
        <w:rPr>
          <w:rFonts w:ascii="Arial" w:cs="Arial" w:eastAsia="Arial" w:hAnsi="Arial"/>
          <w:sz w:val="16"/>
          <w:szCs w:val="16"/>
          <w:color w:val="auto"/>
        </w:rPr>
        <w:t>is not an investment company (other than a small business investment company wholly-owned by the BDC) or a company that would be an investment company but is excluded from the definition of an investment company by Section 3(c) of the 1940 Act; and</w:t>
      </w:r>
    </w:p>
    <w:p>
      <w:pPr>
        <w:spacing w:after="0" w:line="4" w:lineRule="exact"/>
        <w:rPr>
          <w:rFonts w:ascii="Arial" w:cs="Arial" w:eastAsia="Arial" w:hAnsi="Arial"/>
          <w:sz w:val="16"/>
          <w:szCs w:val="16"/>
          <w:color w:val="auto"/>
        </w:rPr>
      </w:pPr>
    </w:p>
    <w:p>
      <w:pPr>
        <w:ind w:left="1480" w:hanging="567"/>
        <w:spacing w:after="0"/>
        <w:tabs>
          <w:tab w:leader="none" w:pos="14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satisfies any of the following:</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does not have any class of securities listed on a national securities exchange;</w:t>
      </w:r>
    </w:p>
    <w:p>
      <w:pPr>
        <w:spacing w:after="0" w:line="90" w:lineRule="exact"/>
        <w:rPr>
          <w:rFonts w:ascii="Arial" w:cs="Arial" w:eastAsia="Arial" w:hAnsi="Arial"/>
          <w:sz w:val="18"/>
          <w:szCs w:val="18"/>
          <w:color w:val="auto"/>
        </w:rPr>
      </w:pPr>
    </w:p>
    <w:p>
      <w:pPr>
        <w:ind w:left="1920" w:hanging="440"/>
        <w:spacing w:after="0"/>
        <w:tabs>
          <w:tab w:leader="none" w:pos="1920" w:val="left"/>
        </w:tabs>
        <w:numPr>
          <w:ilvl w:val="2"/>
          <w:numId w:val="93"/>
        </w:numPr>
        <w:rPr>
          <w:rFonts w:ascii="Arial" w:cs="Arial" w:eastAsia="Arial" w:hAnsi="Arial"/>
          <w:sz w:val="16"/>
          <w:szCs w:val="16"/>
          <w:color w:val="auto"/>
        </w:rPr>
      </w:pPr>
      <w:r>
        <w:rPr>
          <w:rFonts w:ascii="Arial" w:cs="Arial" w:eastAsia="Arial" w:hAnsi="Arial"/>
          <w:sz w:val="16"/>
          <w:szCs w:val="16"/>
          <w:color w:val="auto"/>
        </w:rPr>
        <w:t>has any class of securities listed on a national securities exchange subject to a maximum market capitalization of $250.0 million; or</w:t>
      </w:r>
    </w:p>
    <w:p>
      <w:pPr>
        <w:spacing w:after="0" w:line="113" w:lineRule="exact"/>
        <w:rPr>
          <w:rFonts w:ascii="Arial" w:cs="Arial" w:eastAsia="Arial" w:hAnsi="Arial"/>
          <w:sz w:val="16"/>
          <w:szCs w:val="16"/>
          <w:color w:val="auto"/>
        </w:rPr>
      </w:pPr>
    </w:p>
    <w:p>
      <w:pPr>
        <w:ind w:left="1920" w:right="140" w:hanging="440"/>
        <w:spacing w:after="0" w:line="259" w:lineRule="auto"/>
        <w:tabs>
          <w:tab w:leader="none" w:pos="1920" w:val="left"/>
        </w:tabs>
        <w:numPr>
          <w:ilvl w:val="2"/>
          <w:numId w:val="93"/>
        </w:numPr>
        <w:rPr>
          <w:rFonts w:ascii="Arial" w:cs="Arial" w:eastAsia="Arial" w:hAnsi="Arial"/>
          <w:sz w:val="18"/>
          <w:szCs w:val="18"/>
          <w:color w:val="auto"/>
        </w:rPr>
      </w:pPr>
      <w:r>
        <w:rPr>
          <w:rFonts w:ascii="Arial" w:cs="Arial" w:eastAsia="Arial" w:hAnsi="Arial"/>
          <w:sz w:val="18"/>
          <w:szCs w:val="18"/>
          <w:color w:val="auto"/>
        </w:rPr>
        <w:t>is controlled by a BDC, either alone or as part of a group acting together, and such BDC in fact exercises a controlling influence over the management or policies of such eligible portfolio company and, as a result of such control, has an affiliated person who is a director of such eligible portfolio company.</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Securities of any eligible portfolio company which we control.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459" w:right="23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100" w:hanging="446"/>
        <w:spacing w:after="0" w:line="306" w:lineRule="auto"/>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Securities purchased in a private transaction from a U.S. operating company or from an affiliated person of the issuer, or in transactions incidental thereto, if such issuer is in bankruptcy and subject to reorganization or if the issuer, immediately prior to the purchase of its securities was unable to meet its obligations as they came due without material assistance other than conventional lending or financing arrangements.</w:t>
      </w:r>
    </w:p>
    <w:p>
      <w:pPr>
        <w:spacing w:after="0" w:line="25" w:lineRule="exact"/>
        <w:rPr>
          <w:rFonts w:ascii="Arial" w:cs="Arial" w:eastAsia="Arial" w:hAnsi="Arial"/>
          <w:sz w:val="16"/>
          <w:szCs w:val="16"/>
          <w:color w:val="auto"/>
        </w:rPr>
      </w:pPr>
    </w:p>
    <w:p>
      <w:pPr>
        <w:ind w:left="900" w:right="10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Securities of an eligible portfolio company purchased from any person in a private transaction if there is no ready market for such securities and we already own 60% of the outstanding equity of the eligible portfolio company.</w:t>
      </w:r>
    </w:p>
    <w:p>
      <w:pPr>
        <w:spacing w:after="0" w:line="50" w:lineRule="exact"/>
        <w:rPr>
          <w:rFonts w:ascii="Arial" w:cs="Arial" w:eastAsia="Arial" w:hAnsi="Arial"/>
          <w:sz w:val="18"/>
          <w:szCs w:val="18"/>
          <w:color w:val="auto"/>
        </w:rPr>
      </w:pPr>
    </w:p>
    <w:p>
      <w:pPr>
        <w:ind w:left="900" w:right="240" w:hanging="446"/>
        <w:spacing w:after="0" w:line="268" w:lineRule="auto"/>
        <w:tabs>
          <w:tab w:leader="none" w:pos="9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Securities received in exchange for or distributed on or with respect to securities described in (1) through (4) above, or pursuant to the exercise of warrants or rights relating to such securities.</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Cash, cash equivalents, U.S. Government securities or high-quality debt securities maturing in one year or less from the time of investment.</w:t>
      </w:r>
    </w:p>
    <w:p>
      <w:pPr>
        <w:spacing w:after="0" w:line="194"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In addition, a BDC must have been organized and have its principal place of business in the United States and must be operated for the purpose of making investments in the types of securities described in (1), (2) or (3) above.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Managerial Assistance to Portfolio Companies</w:t>
      </w:r>
    </w:p>
    <w:p>
      <w:pPr>
        <w:spacing w:after="0" w:line="96"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As a BDC, we are required to make available managerial assistance to our portfolio companies that constitute a qualifying asset within the meaning of Section 55 of the 1940 Act. However, if a BDC purchases securities in conjunction with one or more other persons acting together, one of the other persons in the group may make available such managerial assistance. Making available managerial assistance means any arrangement whereby the BDC, through its directors, officers or employees, offers to provide, and, if accepted, does provide, significant guidance and counsel concerning the management, operations or business objectives and policies of a portfolio company. Our Administrator may provide such assistance on our behalf to portfolio companies that request such assistance.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Temporary Investments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Pending investments in other types of qualifying assets, as described above, may consist of cash, cash equivalents, U.S. Government securities or high-quality debt securities maturing in one year or less from the time of investment, which we refer to, collectively, as temporary investments, so that 70% of our assets are qualifying assets. We may invest in U.S. Treasury bills or in repurchase agreements, provided that such agreements are fully collateralized by cash or securities issued by the U.S. Government or its agencies. A repurchase agreement involves the purchase by an investor, such as us, of a specified security and the simultaneous agreement by the seller to repurchase it at an agreed-upon future date and at a price which is greater than the purchase price by an amount that reflects an agreed-upon interest rate. There is no percentage restriction on the proportion of our assets that may be invested in such repurchase agreements. However, if more than 25% of our total assets constitute repurchase agreements from a single counterparty, we would not meet the Diversification Tests, as defined later in this prospectus, in order to qualify as a RIC for federal income tax purposes. Thus, we do not intend to enter into repurchase agreements with a single counterparty in excess of this limit. Our Investment Adviser will monitor the creditworthiness of the counterparties with which we enter into repurchase agreement transactions.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Senior Securities</w:t>
      </w:r>
    </w:p>
    <w:p>
      <w:pPr>
        <w:spacing w:after="0" w:line="96"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We are permitted, under specified conditions, to issue multiple classes of indebtedness and one class of stock senior to our common stock if our asset coverage, as defined in the 1940 Act, is compliant with the 1940 Act. In addition, while any senior securities remain outstanding, we must make provisions to prohibit any distribution to our stockholders or the repurchase of such securities or shares unless we meet the applicable asset coverage ratios at the time of the distribution or repurchase. We may also borrow amounts up to 5% of the value</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360"/>
          </w:cols>
          <w:pgMar w:left="240" w:top="459" w:right="2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of our total assets for temporary or emergency purposes without regard to asset coverage. For a discussion of the risks associated with leverage, see “Risk Factors —Risks Relating to our Business and Structure—Regulations governing our operation as a BDC will affect our ability to, and the way in which we, raise additional capital” for more information.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Code of Ethics and Code of Conduct</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We and PennantPark Investment Advisers have adopted a joint code of ethics pursuant to Rule 17j-1 under the 1940 Act and a code of conduct that establish procedures for personal investments and restricts certain personal securities transactions. Personnel subject to each code may invest in securities for their personal investment accounts, including securities that may be purchased or held by us, so long as such investments are made in accordance with the codes’ requirements. Our joint code of ethics and code of conduct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You may read and copy the code of ethics at the SEC’s Public Reference Room in Washington, D.C. You may obtain information on the operation of the Public Reference Room by calling the SEC at (202) 551-8090. In addition, the joint code of ethics is attached as an exhibit to our annual report on Form 10-K and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You may also obtain a copy of our joint code of ethics,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Voting Policies and Procedures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We have delegated our proxy voting responsibility to our Investment Adviser. The Proxy Voting Policies and Procedures of our Investment Adviser are set forth below. The guidelines are reviewed periodically by our Investment Adviser and our non-interested directors, and, accordingly, are subject to change. For purposes of these Proxy Voting Policies and Procedures described below, “we”, “our” and “us” refer to our Investment Adviser.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Introduction</w:t>
      </w:r>
    </w:p>
    <w:p>
      <w:pPr>
        <w:spacing w:after="0" w:line="90"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As an Investment Adviser registered under the Advisers Act, we have a fiduciary duty to act solely in the best interests of our clients. As part of this duty, we recognize that we must vote client securities in a timely manner free of conflicts of interest and in the best interests of our clients.</w:t>
      </w:r>
    </w:p>
    <w:p>
      <w:pPr>
        <w:spacing w:after="0" w:line="85"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These policies and procedures for voting proxies for our investment advisory clients are intended to comply with Section 206 of, and Rule 206(4)-6 under, the Advisers Act.</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Policies</w:t>
      </w:r>
    </w:p>
    <w:p>
      <w:pPr>
        <w:spacing w:after="0" w:line="9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vote proxies relating to our portfolio securities in what we perceive to be the best interest of our clients’ stockholders. We review on a case-by-case basis each proposal submitted to a stockholder vote to determine its impact on the portfolio securities held by our clients. Although we will generally vote against proposals that may have a negative impact on our clients’ portfolio securities, we may vote for such a proposal if there exists compelling long-term reasons to do so.</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proxy voting decisions are made by the senior officers who are responsible for monitoring each of clients’ investments. To ensure that our vote is not the product of a conflict of interest, we require that: (1) anyone involved in the decision making process disclose to our Chief Compliance Officer any potential conflict that he or she is aware of and any contact that he or she has had with any interested party regarding a proxy vote; and (2) employees involved in the decision making process or vote administration are prohibited from revealing how we intend to vote on a proposal in order to reduce any attempted influence from interested parties.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400"/>
          </w:cols>
          <w:pgMar w:left="240" w:top="459" w:right="2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Proxy Voting Records</w:t>
      </w:r>
    </w:p>
    <w:p>
      <w:pPr>
        <w:spacing w:after="0" w:line="9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You may obtain information about how we voted proxies, free of charge, by calling us collect at (212) 905-1000 or by making a written request for proxy voting information to: Aviv Efrat, Chief Financial Officer and Treasurer, 590 Madison Avenue, 15</w:t>
      </w:r>
      <w:r>
        <w:rPr>
          <w:rFonts w:ascii="Arial" w:cs="Arial" w:eastAsia="Arial" w:hAnsi="Arial"/>
          <w:sz w:val="10"/>
          <w:szCs w:val="10"/>
          <w:color w:val="auto"/>
        </w:rPr>
        <w:t>th</w:t>
      </w:r>
      <w:r>
        <w:rPr>
          <w:rFonts w:ascii="Arial" w:cs="Arial" w:eastAsia="Arial" w:hAnsi="Arial"/>
          <w:sz w:val="16"/>
          <w:szCs w:val="16"/>
          <w:color w:val="auto"/>
        </w:rPr>
        <w:t xml:space="preserve"> Floor, New York, New York 10022.</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Privacy Protection Principles</w:t>
      </w:r>
    </w:p>
    <w:p>
      <w:pPr>
        <w:spacing w:after="0" w:line="96"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We are committed to maintaining the privacy of our stockholders and to safeguarding their non-public personal information. The following information is provided to help you understand what personal information we collect, how we protect that information and why, in certain cases, we may share information with select other parties.</w:t>
      </w:r>
    </w:p>
    <w:p>
      <w:pPr>
        <w:spacing w:after="0" w:line="140" w:lineRule="exact"/>
        <w:rPr>
          <w:sz w:val="20"/>
          <w:szCs w:val="20"/>
          <w:color w:val="auto"/>
        </w:rPr>
      </w:pPr>
    </w:p>
    <w:p>
      <w:pPr>
        <w:jc w:val="both"/>
        <w:ind w:right="300" w:firstLine="456"/>
        <w:spacing w:after="0" w:line="306" w:lineRule="auto"/>
        <w:rPr>
          <w:sz w:val="20"/>
          <w:szCs w:val="20"/>
          <w:color w:val="auto"/>
        </w:rPr>
      </w:pPr>
      <w:r>
        <w:rPr>
          <w:rFonts w:ascii="Arial" w:cs="Arial" w:eastAsia="Arial" w:hAnsi="Arial"/>
          <w:sz w:val="16"/>
          <w:szCs w:val="16"/>
          <w:color w:val="auto"/>
        </w:rPr>
        <w:t>Generally, we do not receive any non-public personal information relating to our stockholders, although certain non-public personal information of our stockholders may become available to us. We do not disclose any non-public personal information about our stockholders or former stockholders to anyone, except as permitted by law or as is necessary in order to service stockholder accounts (for example, to a transfer agent or third party administrator).</w:t>
      </w:r>
    </w:p>
    <w:p>
      <w:pPr>
        <w:spacing w:after="0" w:line="107"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We restrict access to non-public personal information about our stockholders to employees of our Investment Adviser and its affiliates with a legitimate business need for the information. We maintain physical, electronic and procedural safeguards designed to protect the non-public personal information of our stockholders.</w:t>
      </w:r>
    </w:p>
    <w:p>
      <w:pPr>
        <w:spacing w:after="0" w:line="14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Our privacy protection policies are available, free of charge, on our website at </w:t>
      </w:r>
      <w:r>
        <w:rPr>
          <w:rFonts w:ascii="Arial" w:cs="Arial" w:eastAsia="Arial" w:hAnsi="Arial"/>
          <w:sz w:val="16"/>
          <w:szCs w:val="16"/>
          <w:i w:val="1"/>
          <w:iCs w:val="1"/>
          <w:u w:val="single" w:color="auto"/>
          <w:color w:val="auto"/>
        </w:rPr>
        <w:t>www.pennantpark.com</w:t>
      </w:r>
      <w:r>
        <w:rPr>
          <w:rFonts w:ascii="Arial" w:cs="Arial" w:eastAsia="Arial" w:hAnsi="Arial"/>
          <w:sz w:val="16"/>
          <w:szCs w:val="16"/>
          <w:color w:val="auto"/>
        </w:rPr>
        <w:t xml:space="preserve">. In addition, the privacy policy is available on the EDGAR Database on the SEC’s Internet site at </w:t>
      </w:r>
      <w:r>
        <w:rPr>
          <w:rFonts w:ascii="Arial" w:cs="Arial" w:eastAsia="Arial" w:hAnsi="Arial"/>
          <w:sz w:val="16"/>
          <w:szCs w:val="16"/>
          <w:i w:val="1"/>
          <w:iCs w:val="1"/>
          <w:u w:val="single" w:color="auto"/>
          <w:color w:val="auto"/>
        </w:rPr>
        <w:t>www.sec.gov</w:t>
      </w:r>
      <w:r>
        <w:rPr>
          <w:rFonts w:ascii="Arial" w:cs="Arial" w:eastAsia="Arial" w:hAnsi="Arial"/>
          <w:sz w:val="16"/>
          <w:szCs w:val="16"/>
          <w:color w:val="auto"/>
        </w:rPr>
        <w:t xml:space="preserve">, filed as an exhibit to our annual report on Form 10-K (File No. 814-00891 filed on November 17, 2011). You may also obtain copies of our privacy policy, after paying a duplicating fee, by electronic request at the following email address: </w:t>
      </w:r>
      <w:r>
        <w:rPr>
          <w:rFonts w:ascii="Arial" w:cs="Arial" w:eastAsia="Arial" w:hAnsi="Arial"/>
          <w:sz w:val="16"/>
          <w:szCs w:val="16"/>
          <w:i w:val="1"/>
          <w:iCs w:val="1"/>
          <w:u w:val="single" w:color="auto"/>
          <w:color w:val="auto"/>
        </w:rPr>
        <w:t>publicinfo@sec.gov</w:t>
      </w:r>
      <w:r>
        <w:rPr>
          <w:rFonts w:ascii="Arial" w:cs="Arial" w:eastAsia="Arial" w:hAnsi="Arial"/>
          <w:sz w:val="16"/>
          <w:szCs w:val="16"/>
          <w:color w:val="auto"/>
        </w:rPr>
        <w:t>, or by writing the SEC’s Public Reference Section, 100 F Street, N.E., 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96"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We may also be prohibited under the 1940 Act from knowingly participating in certain transactions with our affiliates without the prior approval of our board of directors, including a majority of our directors who are not interested persons of us, and, in some cases, prior approval by the SEC.</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be periodically examined by the SEC for compliance with the 1940 Act.</w:t>
      </w:r>
    </w:p>
    <w:p>
      <w:pPr>
        <w:spacing w:after="0" w:line="171"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We are required by law to provide and maintain a bond issued by a reputable fidelity insurance company to protect us against larceny and embezzlement. Furthermore, as a BDC, we are prohibited from protecting any director or officer against any liability to PennantPark Floating Rate Capital Ltd. or our stockholders arising from willful misfeasance, bad faith, gross negligence or reckless disregard of the duties involved in the conduct of such person’s office.</w:t>
      </w:r>
    </w:p>
    <w:p>
      <w:pPr>
        <w:spacing w:after="0" w:line="8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We and PennantPark Investment Advisers have each adopted and implemented written policies and procedures reasonably designed to prevent violation of the federal securities laws. We review these policies and procedures annually for their adequacy and the effectiveness of their implementation and we designate a chief compliance officer to be responsible for administering the policies and procedures.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Sarbanes-Oxley Act of 2002</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Sarbanes-Oxley Act imposes several regulatory requirements on publicly held companies and their insiders. Many of these requirements affect us.</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360"/>
          </w:cols>
          <w:pgMar w:left="240" w:top="459" w:right="2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example:</w:t>
      </w:r>
    </w:p>
    <w:p>
      <w:pPr>
        <w:spacing w:after="0" w:line="90" w:lineRule="exact"/>
        <w:rPr>
          <w:sz w:val="20"/>
          <w:szCs w:val="20"/>
          <w:color w:val="auto"/>
        </w:rPr>
      </w:pPr>
    </w:p>
    <w:p>
      <w:pPr>
        <w:ind w:left="900" w:right="36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pursuant to Rule 13a-14 of the Exchange Act, our Chief Executive Officer and Chief Financial Officer must certify the accuracy of the financial statements contained in our periodic reports;</w:t>
      </w:r>
    </w:p>
    <w:p>
      <w:pPr>
        <w:spacing w:after="0" w:line="50" w:lineRule="exact"/>
        <w:rPr>
          <w:rFonts w:ascii="Arial" w:cs="Arial" w:eastAsia="Arial" w:hAnsi="Arial"/>
          <w:sz w:val="18"/>
          <w:szCs w:val="18"/>
          <w:color w:val="auto"/>
        </w:rPr>
      </w:pPr>
    </w:p>
    <w:p>
      <w:pPr>
        <w:ind w:left="900" w:right="30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pursuant to Item 307 of Regulation S-K, our periodic reports must disclose our conclusions about the effectiveness of our disclosure controls and procedures;</w:t>
      </w:r>
    </w:p>
    <w:p>
      <w:pPr>
        <w:spacing w:after="0" w:line="50" w:lineRule="exact"/>
        <w:rPr>
          <w:rFonts w:ascii="Arial" w:cs="Arial" w:eastAsia="Arial" w:hAnsi="Arial"/>
          <w:sz w:val="18"/>
          <w:szCs w:val="18"/>
          <w:color w:val="auto"/>
        </w:rPr>
      </w:pPr>
    </w:p>
    <w:p>
      <w:pPr>
        <w:ind w:left="900" w:right="140" w:hanging="446"/>
        <w:spacing w:after="0" w:line="268" w:lineRule="auto"/>
        <w:tabs>
          <w:tab w:leader="none" w:pos="9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pursuant to Rule 13a-15 of the Exchange Act, our management must prepare an annual report regarding its assessment of our internal controls over financial reporting, firm; and</w:t>
      </w:r>
    </w:p>
    <w:p>
      <w:pPr>
        <w:spacing w:after="0" w:line="50" w:lineRule="exact"/>
        <w:rPr>
          <w:rFonts w:ascii="Arial" w:cs="Arial" w:eastAsia="Arial" w:hAnsi="Arial"/>
          <w:sz w:val="18"/>
          <w:szCs w:val="18"/>
          <w:color w:val="auto"/>
        </w:rPr>
      </w:pPr>
    </w:p>
    <w:p>
      <w:pPr>
        <w:ind w:left="900" w:hanging="446"/>
        <w:spacing w:after="0" w:line="306" w:lineRule="auto"/>
        <w:tabs>
          <w:tab w:leader="none" w:pos="9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pursuant to Item 308 of Regulation S-K and Rule 13a-15 of the Exchange Act, our periodic reports must disclose whether there were significant changes in our internal controls over financial reporting or in other factors that could significantly affect these controls subsequent to the date of their evaluation, including any corrective actions with regard to significant deficiencies and material weaknesses.</w:t>
      </w:r>
    </w:p>
    <w:p>
      <w:pPr>
        <w:spacing w:after="0" w:line="107"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The Sarbanes-Oxley Act requires us to review our current policies and procedures to determine whether we comply with the Sarbanes-Oxley Act and the regulations promulgated there-under. We continue to monitor our compliance with all regulations that are adopted under the Sarbanes-Oxley Act and continue to take actions necessary to ensure that we are in compliance with that act.</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380"/>
          </w:cols>
          <w:pgMar w:left="240" w:top="460" w:right="2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BROKERAGE ALLOCATIONS AND OTHER PRACTICES</w:t>
      </w:r>
    </w:p>
    <w:p>
      <w:pPr>
        <w:spacing w:after="0" w:line="17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Since we generally acquire and dispose of our investments in privately negotiated transactions, we infrequently use brokers in the normal course of our business. Subject to policies established by our board of directors, the Investment Adviser is primarily responsible for the execution of the publicly traded securities portion of our portfolio transactions and the allocation of brokerage commissions. The Investment Adviser does not expect to execute transactions through any particular broker or dealer, but seeks to obtain the best net results for PennantPark Floating Rate Capital Ltd., taking into account such factors as price (including the applicable brokerage commission or dealer spread), size of order, difficulty of execution, and operational facilities of the brokerage firm and the firm’s risk and skill in positioning blocks of securities. While the Investment Adviser generally seeks reasonably competitive trade execution costs, we will not necessarily pay the lowest spread or commission available. Subject to applicable legal requirements, the Investment Adviser may select a broker based partly upon brokerage or research services provided to the Investment Adviser and us and any other clients. In return for such services, we may pay a higher commission than other brokers would charge if the Investment Adviser determines in good faith that such commission is reasonable in relation to the services provided.</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320"/>
          </w:cols>
          <w:pgMar w:left="240" w:top="460" w:right="33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7"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The following discussion is a general summary of the material U.S. federal income tax considerations applicable to us and to an investment in our common stock. This summary does not purport to be a complete description of the income tax considerations applicable to an investment in any of our securities. For example, we have not described tax consequences that we assume to be generally known by investors or certain considerations that may be relevant to certain types of holders subject to special treatment under U.S. federal income tax laws, including stockholders subject to the alternative minimum tax, tax-exempt organizations, insurance companies, dealers in securities, pension plans and trusts, and financial institutions. This summary assumes that investors hold our common stock as capital assets (within the meaning of the Code). The discussion is based upon the Code, Treasury regulations, and administrative and judicial interpretations, each as of the date of this prospectus and all of which are subject to change, possibly retroactively, which could affect the continuing validity of this discussion. We have not sought and will not seek any ruling from the Internal Revenue Service regarding this offering. This summary does not discuss any aspects of U.S. estate or gift tax or foreign, state or local tax. It does not discuss the special treatment under U.S. federal income tax laws that could result if we invested in tax-exempt securities or certain other investment assets.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“U.S. stockholder” generally is a beneficial owner of shares of our common stock that is for U.S. federal income tax purposes:</w:t>
      </w:r>
    </w:p>
    <w:p>
      <w:pPr>
        <w:spacing w:after="0" w:line="90" w:lineRule="exact"/>
        <w:rPr>
          <w:sz w:val="20"/>
          <w:szCs w:val="20"/>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citizen or individual resident of the United States;</w:t>
      </w:r>
    </w:p>
    <w:p>
      <w:pPr>
        <w:spacing w:after="0" w:line="90" w:lineRule="exact"/>
        <w:rPr>
          <w:rFonts w:ascii="Arial" w:cs="Arial" w:eastAsia="Arial" w:hAnsi="Arial"/>
          <w:sz w:val="18"/>
          <w:szCs w:val="18"/>
          <w:color w:val="auto"/>
        </w:rPr>
      </w:pPr>
    </w:p>
    <w:p>
      <w:pPr>
        <w:ind w:left="900" w:right="260" w:hanging="446"/>
        <w:spacing w:after="0" w:line="268" w:lineRule="auto"/>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or any state thereof or the District of Columbia; or</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 trust or an estate, the income of which is subject to U.S. federal income taxation regardless of its source.</w:t>
      </w:r>
    </w:p>
    <w:p>
      <w:pPr>
        <w:spacing w:after="0" w:line="171" w:lineRule="exact"/>
        <w:rPr>
          <w:sz w:val="20"/>
          <w:szCs w:val="20"/>
          <w:color w:val="auto"/>
        </w:rPr>
      </w:pPr>
    </w:p>
    <w:p>
      <w:pPr>
        <w:jc w:val="both"/>
        <w:ind w:right="80" w:firstLine="456"/>
        <w:spacing w:after="0" w:line="268" w:lineRule="auto"/>
        <w:rPr>
          <w:sz w:val="20"/>
          <w:szCs w:val="20"/>
          <w:color w:val="auto"/>
        </w:rPr>
      </w:pPr>
      <w:r>
        <w:rPr>
          <w:rFonts w:ascii="Arial" w:cs="Arial" w:eastAsia="Arial" w:hAnsi="Arial"/>
          <w:sz w:val="18"/>
          <w:szCs w:val="18"/>
          <w:color w:val="auto"/>
        </w:rPr>
        <w:t>A “Non-U.S. stockholder” is a beneficial owner of shares of our common stock that is neither a U.S. stockholder nor a partnership for U.S. federal income tax purposes.</w:t>
      </w:r>
    </w:p>
    <w:p>
      <w:pPr>
        <w:spacing w:after="0" w:line="132"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If a partnership (including an entity treated as a partnership for U.S. federal income tax purposes) holds shares of our common stock, the tax treatment of a partner in the partnership will generally depend upon the status of the partner and the activities of the partnership. A prospective stockholder that is a partner of a partnership holding shares of our common stock should consult its tax advisors with respect to the purchase, ownership and disposition of shares of our common stock.</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Tax matters are very complicated and the tax consequences to an investor of an investment in our shares will depend on the facts of his, her or its particular situation. We encourage investors to consult their own tax advisors regarding the specific consequences of such an investment, including tax reporting requirements, the applicability of federal, state, local and foreign tax laws, eligibility for the benefits of any applicable tax treaty and the effect of any possible changes in the tax laws.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in Connection with Holding Securities other than our Common Stock</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intend to describe in any prospectus supplement related to the offering of preferred stock, debt securities, warrants or rights offerings to purchase our common stock, the U.S. federal income tax considerations applicable to such securities as will be sold by us pursuant to that supplement, including the taxation of any debt securities that will be sold at an original issue discount or acquired with market discount or amortizable bond premium and the tax treatment of sales, exchanges or retirements of our debt securities. In addition, we may describe in the applicable prospectus supplement the U.S. federal income tax considerations applicable to holders of our debt securities who are not “U.S. persons.”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to be Taxed as a RIC</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elected to be taxed, and intend to qualify annually to maintain our election to be taxed, as a RIC under Subchapter M of the Code. To maintain RIC tax election we must, among other requirements, meet certain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00"/>
          </w:cols>
          <w:pgMar w:left="240" w:top="459" w:right="25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source-of-income and quarterly asset diversification requirements (as described below). We also must annually distribute dividends of at least 90% of the sum of our ordinary income and realized net short-term capital gains in excess of realized net long-term capital losses, if any, out of the assets legally available for distribution, or the Annual Distribution Requirement. Although not required for us to maintain our RIC tax status, in order to preclude the imposition of a 4% nondeductible federal excise tax imposed on RICs, we must distribute during each calendar year an amount at least equal to the sum of (1) 98% of our net ordinary income for the calendar year, (2) 98.2% of our capital gains net income for the one-year period ending on October 31 of the calendar year and (3) the sum of any net ordinary income plus capital gains net income for preceding years that were not distributed during such years, or the Excise Tax Avoidance Requirement. In addition, although we may distribute realized net capital gains (i.e., net long-term capital gains in excess of short-term capital losses), if any, at least annually, out of the assets legally available for such distributions in the manner described above, we have retained and may continue to retain such net capital gains or ordinary income to provide us with additional liquidity.</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order to qualify as a RIC for federal income tax purposes, we must:</w:t>
      </w:r>
    </w:p>
    <w:p>
      <w:pPr>
        <w:spacing w:after="0" w:line="90" w:lineRule="exact"/>
        <w:rPr>
          <w:sz w:val="20"/>
          <w:szCs w:val="20"/>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maintain an election to be treated as a BDC under the 1940 Act at all times during each taxable year;</w:t>
      </w:r>
    </w:p>
    <w:p>
      <w:pPr>
        <w:spacing w:after="0" w:line="90" w:lineRule="exact"/>
        <w:rPr>
          <w:rFonts w:ascii="Arial" w:cs="Arial" w:eastAsia="Arial" w:hAnsi="Arial"/>
          <w:sz w:val="18"/>
          <w:szCs w:val="18"/>
          <w:color w:val="auto"/>
        </w:rPr>
      </w:pPr>
    </w:p>
    <w:p>
      <w:pPr>
        <w:ind w:left="900" w:right="260" w:hanging="446"/>
        <w:spacing w:after="0" w:line="259" w:lineRule="auto"/>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derive in each taxable year at least 90% of our gross income from dividends, interest, payments with respect to certain securities loans, gains from the sale of stock or other securities, net income from certain qualified publicly traded partnerships or other income derived with respect to our business of investing in such stock or securities, or the 90% Income Test; and</w:t>
      </w:r>
    </w:p>
    <w:p>
      <w:pPr>
        <w:spacing w:after="0" w:line="59" w:lineRule="exact"/>
        <w:rPr>
          <w:rFonts w:ascii="Arial" w:cs="Arial" w:eastAsia="Arial" w:hAnsi="Arial"/>
          <w:sz w:val="18"/>
          <w:szCs w:val="18"/>
          <w:color w:val="auto"/>
        </w:rPr>
      </w:pPr>
    </w:p>
    <w:p>
      <w:pPr>
        <w:ind w:left="900" w:hanging="446"/>
        <w:spacing w:after="0"/>
        <w:tabs>
          <w:tab w:leader="none" w:pos="9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diversify our holdings, or the Diversification Tests, so that at the end of each quarter of the taxable year:</w:t>
      </w:r>
    </w:p>
    <w:p>
      <w:pPr>
        <w:spacing w:after="0" w:line="90" w:lineRule="exact"/>
        <w:rPr>
          <w:rFonts w:ascii="Arial" w:cs="Arial" w:eastAsia="Arial" w:hAnsi="Arial"/>
          <w:sz w:val="18"/>
          <w:szCs w:val="18"/>
          <w:color w:val="auto"/>
        </w:rPr>
      </w:pPr>
    </w:p>
    <w:p>
      <w:pPr>
        <w:ind w:left="1480" w:right="380" w:hanging="567"/>
        <w:spacing w:after="0" w:line="259" w:lineRule="auto"/>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at least 50% of the value of our assets consists of cash, cash equivalents, U.S. Government securities, securities of other RICs, and other securities if such other securities of any one issuer neither represents more than 5% of the value of our assets nor more than 10% of the outstanding voting securities of the issuer; and</w:t>
      </w:r>
    </w:p>
    <w:p>
      <w:pPr>
        <w:spacing w:after="0" w:line="59" w:lineRule="exact"/>
        <w:rPr>
          <w:rFonts w:ascii="Arial" w:cs="Arial" w:eastAsia="Arial" w:hAnsi="Arial"/>
          <w:sz w:val="18"/>
          <w:szCs w:val="18"/>
          <w:color w:val="auto"/>
        </w:rPr>
      </w:pPr>
    </w:p>
    <w:p>
      <w:pPr>
        <w:ind w:left="1480" w:hanging="567"/>
        <w:spacing w:after="0" w:line="259" w:lineRule="auto"/>
        <w:tabs>
          <w:tab w:leader="none" w:pos="14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 more than 25% of the value of our assets is invested in the securities, other than U.S. Government securities or securities of other RICs, of one issuer or of two or more issuers that are controlled, as determined under applicable tax rules, by us and that are engaged in the same or similar or related trades or businesses or in certain qualified publicly traded partnerships.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as a RIC</w:t>
      </w:r>
    </w:p>
    <w:p>
      <w:pPr>
        <w:spacing w:after="0" w:line="96"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If we qualify as a RIC, and satisfy the Annual Distribution Requirement, then we will not be subject to federal income tax on the portion of our investment company taxable income and net capital gain (i.e., realized net long-term capital gains in excess of realized net short-term capital losses) we distribute to stockholders. We will be subject to U.S. federal income tax at the regular corporate rates on any income or capital gain not distributed (or deemed distributed) to our stockholders.</w:t>
      </w:r>
    </w:p>
    <w:p>
      <w:pPr>
        <w:spacing w:after="0" w:line="143"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may be required to recognize taxable income in circumstances in which we do not receive cash. For example, if we hold debt obligations that are treated under applicable tax rules as having OID (such as debt instruments with PIK interest or, in certain cases, increasing interest rates or issued with warrants), we must include in income each year a portion of the OID that accrues over the life of the obligation, regardless of whether cash representing such income is received by us in the same taxable year. Because any OID accrued will be included in our investment company taxable income for the year of accrual, we may be required to make a distribution to our stockholders in order to satisfy the Annual Distribution Requirement, even though we will not have received any corresponding cash amount.</w:t>
      </w:r>
    </w:p>
    <w:p>
      <w:pPr>
        <w:spacing w:after="0" w:line="144"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Gain or loss realized by us from warrants acquired by us as well as any loss attributable to the lapse of such warrants generally will be treated as capital gain or loss. Such gain or loss generally will be long-term or short-term, depending on how long we held a particular warrant.</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420"/>
          </w:cols>
          <w:pgMar w:left="240" w:top="459" w:right="23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Although we do not presently expect to do so, we are authorized to borrow funds and to sell assets in order to satisfy distribution requirements. However, under the 1940 Act, we are not permitted to make distributions to our stockholders while our debt obligations and other senior securities are outstanding unless certain asset coverage tests are met.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the Excise Tax Avoidance Requirement, we may make such dispositions at times that, from an investment standpoint, are not advantageous.</w:t>
      </w:r>
    </w:p>
    <w:p>
      <w:pPr>
        <w:spacing w:after="0" w:line="14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may distribute our common stock as a dividend of our taxable income and a stockholder could receive a portion of the dividends declared and distributed by us in shares of our common stock with the remaining amount in cash. A stockholder will be considered to have recognized dividend income equal to the fair market value of the stock paid by us plus cash received with respect to such dividend. The total dividend declared would be taxable income to a stockholder even though he or she may only receive a relatively small portion of the dividend in cash to pay any taxes due on the dividend. We have not elected to distribute stock as a dividend but reserve the right to do so.</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Qualify as a RIC</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If we fail to satisfy the Annual Distribution Requirement or fail to qualify as a RIC in any taxable year, unless certain cure provisions apply, we will be subject to tax in that year on all of our taxable income, regardless of whether we make any distributions to our stockholders. In that case, all of our income will be subject to corporate-level federal income tax, reducing the amount available to be distributed to our stockholders. In contrast, assuming we qualify as a RIC, our corporate-level federal income tax should be substantially reduced or eliminated. See “Election to be Taxed as a RIC” above for more information.</w:t>
      </w:r>
    </w:p>
    <w:p>
      <w:pPr>
        <w:spacing w:after="0" w:line="11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If we are unable to maintain our status as a RIC, we would be subject to tax on all of our taxable income at regular corporate rates. We would not be able to deduct distributions to stockholders, nor would distributions be required to be made. Distributions would generally be taxable to our stockholders as ordinary distribution income eligible for the preferential maximum rate to the extent of our current and accumulated earnings and profits. Subject to certain limitations under the Code, dividends paid by us to corporate stockholders would be eligible for the dividends received deduction. Distributions in excess of our current and accumulated earnings and profits would be treated first as a return of capital to the extent of the stockholder’s tax basis in our common stock, and any remaining distributions would be treated as a capital gain.</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remainder of this discussion assumes that we qualify as a RIC and have satisfied the Annual Distribution Requirement.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U.S. Stockholders</w:t>
      </w:r>
    </w:p>
    <w:p>
      <w:pPr>
        <w:spacing w:after="0" w:line="96"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Distributions by us generally are taxable to U.S. stockholders as ordinary income or capital gains including distributions pursuant to a dividend reinvestment plan or where stockholders can elect to receive cash or stock. Distributions of our “investment company taxable income” (which is, generally, our ordinary income plus realized net short-term capital gains in excess of realized net long-term capital losses) will be taxable as ordinary income to U.S. stockholders to the extent of our current or accumulated earnings and profits, whether paid in cash or reinvested in additional common stock. To the extent such distributions paid by us to non-corporate stockholders (including individuals) are attributable to dividends from U.S. corporations and certain qualified foreign corporations, such distributions generally will be eligible for a reduced tax rate, if certain holding period requirements are satisfied. In this regard, it is anticipated that distributions paid by us will generally not be attributable to dividends and, therefore, generally will not qualify for the reduced maximum rate. Distributions of our net capital gains (which is generally our realized net long-term capital gains in excess of realized net short-term capital losses) properly designated by us as “capital gain distributions” will be taxable to a U.S. stockholder as long-term capital gains at a reduced rate in the case of individuals, trusts or estates, regardless of the U.S. stockholder’s holding period for his, her or its common stock and regardless of whether paid in cash or</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400"/>
          </w:cols>
          <w:pgMar w:left="240" w:top="459" w:right="25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40"/>
        <w:spacing w:after="0" w:line="332" w:lineRule="auto"/>
        <w:rPr>
          <w:sz w:val="20"/>
          <w:szCs w:val="20"/>
          <w:color w:val="auto"/>
        </w:rPr>
      </w:pPr>
      <w:r>
        <w:rPr>
          <w:rFonts w:ascii="Arial" w:cs="Arial" w:eastAsia="Arial" w:hAnsi="Arial"/>
          <w:sz w:val="16"/>
          <w:szCs w:val="16"/>
          <w:color w:val="auto"/>
        </w:rPr>
        <w:t>reinvested in additional common stock. Distributions in excess of our earnings and profits first will reduce a U.S. stockholder’s adjusted tax basis in such stockholder’s common stock and, after the adjusted basis is reduced to zero, will constitute capital gains to such U.S. stockholder.</w:t>
      </w:r>
    </w:p>
    <w:p>
      <w:pPr>
        <w:spacing w:after="0" w:line="85"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Although we currently intend to distribute any long-term capital gains at least annually, we may in the future decide to retain some or all of our long-term capital gains, but designate the retained amount as a “deemed distribution.” In that case, among other consequences, we will pay tax on the retained amount, each U.S. stockholder will be required to include his, her or its share of the deemed distribution in income as if it had been actually distributed to the U.S. stockholder, and the U.S. stockholder will be entitled to claim a credit equal to his, her or its allocable share of the tax paid thereon by us. The amount of the deemed distribution net of such tax will be added to the U.S. stockholder’s tax basis for his, her or its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federal income tax obligations or may be refunded to the extent it exceeds a stockholder’s liability for federal income tax. A stockholder that is not subject to federal income tax or otherwise required to file a federal income tax return would be required to file a federal income tax return on the appropriate form in order to claim a refund for the taxes we paid. In order to use the deemed distribution approach, we must provide written notice to our stockholders prior to the expiration of 60 days after the close of the relevant taxable year. We cannot treat any of our investment company taxable income as a “deemed distribution.”</w:t>
      </w:r>
    </w:p>
    <w:p>
      <w:pPr>
        <w:spacing w:after="0" w:line="12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For purposes of determining (1) whether the Annual Distribution Requirement is satisfied for any year and (2) the amount of capital gain distributions paid for that year, we may, under certain circumstances, elect to treat a distribution that is paid during the following taxable year as if it had been paid during the taxable year in question. If we make such an election, the U.S. stockholder will still be treated as receiving the distribution in the taxable year in which the distribution is made. However, any distribution declared by us in October, November or December of any calendar year, payable to stockholders of record on a specified date in such a month and actually paid during January of the following year, will be treated as if it had been received by our U.S. stockholders on December 31 of the year in which the distribution was declared.</w:t>
      </w:r>
    </w:p>
    <w:p>
      <w:pPr>
        <w:spacing w:after="0" w:line="144"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If an investor purchases shares of our common stock shortly before the record date of a distribution, the price of the shares will include the value of the distribution and the investor will be subject to tax on the distribution even though economically it represents a return of his, her or its investment.</w:t>
      </w:r>
    </w:p>
    <w:p>
      <w:pPr>
        <w:spacing w:after="0" w:line="85"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A stockholder generally will recognize taxable gain or loss if the stockholder sells or otherwise disposes of his, her or its shares of our common stock. Any gain arising from such sale or disposition generally will be treated as capital gain or loss if the stockholder has held his, her or its shares for more than one year. Otherwise, it would be classified as short-term capital gain or loss. However, any capital loss arising from the sale or disposition of shares of our common stock held for six months or less will be treated as long-term capital loss to the extent of the amount of capital gain distributions received or undistributed capital gain deemed received, with respect to such shares. In addition, all or a portion of any loss recognized upon a disposition of shares of our common stock may be disallowed if other shares of our common stock are purchased (whether through reinvestment of dividends or other distributions or otherwise) within 30 days before or after the disposition.</w:t>
      </w:r>
    </w:p>
    <w:p>
      <w:pPr>
        <w:spacing w:after="0" w:line="147"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In general, individual U.S. stockholders currently are subject to a maximum federal income tax rate of either 15% or 20% (depending on whether the stockholder’s income exceeds certain threshold amounts) on their net capital gain, i.e., the excess of realized net long-term capital gain over realized net short-term capital loss for a taxable year, including a long-term capital gain derived from an investment in our shares. Such rate is lower than the maximum rate on ordinary income currently payable by individuals. Corporate U.S. stockholders currently are subject to federal income tax on net capital gain at the maximum 35% rate also applied to ordinary income. Non-corporate stockholders with net capital losses for a year (i.e., capital losses in excess of capital gains) generally may deduct up to $3,000 of such losses against their ordinary income each year; any net capital losses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460" w:right="2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70" w:lineRule="auto"/>
        <w:rPr>
          <w:sz w:val="20"/>
          <w:szCs w:val="20"/>
          <w:color w:val="auto"/>
        </w:rPr>
      </w:pPr>
      <w:r>
        <w:rPr>
          <w:rFonts w:ascii="Arial" w:cs="Arial" w:eastAsia="Arial" w:hAnsi="Arial"/>
          <w:sz w:val="15"/>
          <w:szCs w:val="15"/>
          <w:color w:val="auto"/>
        </w:rPr>
        <w:t>of a non-corporate stockholder in excess of $3,000 generally may be carried forward and used in subsequent years as provided in the Code. Corporate stockholders generally may not deduct any net capital losses for a year, but may carryback such losses for three years or carry forward such losses for five years.</w:t>
      </w:r>
    </w:p>
    <w:p>
      <w:pPr>
        <w:spacing w:after="0" w:line="62"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For taxable years beginning after December 31, 2012, an additional 3.8% Medicare tax will be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w:t>
      </w:r>
    </w:p>
    <w:p>
      <w:pPr>
        <w:spacing w:after="0" w:line="14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will send to each of our U.S. stockholders, as promptly as possible after the end of each calendar year, a notice detailing, on a per share and per distribution basis, the amounts includible in such U.S. stockholder’s taxable income for such year as ordinary income and as long-term capital gain. In addition, the federal tax status of each year’s distributions generally will be reported to the Internal Revenue Service (including the amount of distributions, if any, eligible for the preferential rate). Distributions may also be subject to additional state, local and foreign taxes depending on a U.S. stockholder’s particular situation. Distributions distributed by us generally will not be eligible for the distributions-received deduction or the preferential rate applicable to qualifying distributions.</w:t>
      </w:r>
    </w:p>
    <w:p>
      <w:pPr>
        <w:spacing w:after="0" w:line="116"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Recent legislation requires reporting of adjusted cost basis information for covered securities, which generally include shares of a RIC acquired after January 1, 2012, to the Internal Revenue Service and to taxpayers. Stockholders should contact their financial intermediaries with respect to reporting of cost basis and available elections for their accounts.</w:t>
      </w:r>
    </w:p>
    <w:p>
      <w:pPr>
        <w:spacing w:after="0" w:line="14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U.S. stockholders may be subject to federal income tax withholding (“backup withholding”) currently at a rate of 28% from all taxable distributions to any non-corporate U.S. stockholder (1) who fails to furnish a correct taxpayer identification number or a certificate that such stockholder is exempt from backup withholding, or (2) with respect to whom the IRS notifies a withholding agent that such stockholder has failed to properly report certain interest and distribution income to the IRS and to respond to notices to that effect. An individual’s taxpayer identification number is his or her social security number. Any amount withheld under backup withholding is allowed as a credit against the U.S. stockholder’s federal income tax liability and may entitle such stockholder to a refund, provided that proper information is timely provided to the IRS.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Stockholders</w:t>
      </w:r>
    </w:p>
    <w:p>
      <w:pPr>
        <w:spacing w:after="0" w:line="9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Whether an investment in the shares is appropriate for a Non-U.S. stockholder will depend upon that person’s particular circumstances. An investment in the shares by a Non-U.S. stockholder may have adverse tax consequences. Non-U.S. stockholders should consult their tax advisers before investing in our common stock.</w:t>
      </w:r>
    </w:p>
    <w:p>
      <w:pPr>
        <w:spacing w:after="0" w:line="140"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Distributions of our “investment company taxable income” to Non-U.S. stockholders (including interest income and net short-term capital gain) are expected to be subject to withholding of federal tax at a 30% rate (or lower rate provided by an applicable treaty) to the extent of our current and accumulated earnings and profits. If the distributions are effectively connected with a U.S. trade or business of the Non-U.S. stockholder, we will not be required to withhold U.S.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advisors.</w:t>
      </w:r>
    </w:p>
    <w:p>
      <w:pPr>
        <w:spacing w:after="0" w:line="12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In addition, with respect to certain distributions made by RICs to Non-U.S. stockholders in taxable years beginning before January 1, 2014, no withholding is required and the distributions generally are not subject to U.S. federal income tax if (i) the distributions are properly designated in a notice timely delivered to our stockholders as “interest-related dividends” or “short-term capital gain dividends,” (ii) the distributions are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380"/>
          </w:cols>
          <w:pgMar w:left="240" w:top="460" w:right="2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720"/>
        <w:spacing w:after="0" w:line="332" w:lineRule="auto"/>
        <w:rPr>
          <w:sz w:val="20"/>
          <w:szCs w:val="20"/>
          <w:color w:val="auto"/>
        </w:rPr>
      </w:pPr>
      <w:r>
        <w:rPr>
          <w:rFonts w:ascii="Arial" w:cs="Arial" w:eastAsia="Arial" w:hAnsi="Arial"/>
          <w:sz w:val="16"/>
          <w:szCs w:val="16"/>
          <w:color w:val="auto"/>
        </w:rPr>
        <w:t>derived from sources specified in the Code for such dividends and (iii) certain other requirements are satisfied. No assurance can be given as to whether legislation will be enacted to extend the application of this provision to taxable years of RICs beginning on or after January 1, 2014.</w:t>
      </w:r>
    </w:p>
    <w:p>
      <w:pPr>
        <w:spacing w:after="0" w:line="85"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Actual or deemed distributions of our net long-term capital gains to a Non-U.S. stockholder, and gains realized by a Non-U.S. stockholder upon the sale of our common stock, will not be subject to federal withholding tax and generally will not be subject to federal income tax unless, (i) the distributions or gains, as the case may be, are effectively connected with a U.S. trade or business of the Non-U.S. stockholder and, if an income tax treaty applies, are attributable to a permanent establishment maintained by the Non-U.S. stockholder in the United States or (ii) in the case of an individual stockholder, the stockholder is present in the United States for a period or periods aggregating 183 days or more during the year of the sale or the receipt of the distributions or gains and certain other conditions are met.</w:t>
      </w:r>
    </w:p>
    <w:p>
      <w:pPr>
        <w:spacing w:after="0" w:line="14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Effective January 1, 2014, withholding agents will be required to withhold U.S. tax (at a 30% rate) on payments of taxable dividends and (effective January 1, 2017) redemption proceeds made to certain non-U.S. entities that fail to comply (or be deemed compliant) with extensive new reporting and withholding requirements designed to inform the U.S. Department of the Treasury of U.S.-owned foreign investment accounts. Stockholders may be requested to provide additional information to the withholding agents to enable the withholding agents to determine whether withholding is required.</w:t>
      </w:r>
    </w:p>
    <w:p>
      <w:pPr>
        <w:spacing w:after="0" w:line="11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If we distribute our net capital gains in the form of deemed rather than actual distributions (which we may do in the future),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would not otherwise be required to obtain a U.S. taxpayer identification number or file a federal income tax return. For a corporate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treaty). Accordingly, investment in the shares may not be appropriate for a Non-U.S. stockholder.</w:t>
      </w:r>
    </w:p>
    <w:p>
      <w:pPr>
        <w:spacing w:after="0" w:line="11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Non-U.S. stockholder who is a non-resident alien individual, and who is otherwise subject to withholding of federal income tax, may be subject to information reporting and backup withholding of federal income tax on distributions unless the Non-U.S. stockholder provides us or the distribution paying agent with an IRS Form W-8BEN (or an acceptable substitute form) or otherwise meets documentary evidence requirements for establishing that it is a Non-U.S. stockholder or otherwise establishes an exemption from backup withholding.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Non-U.S. stockholders may also be subject to U.S. estate tax with respect to their investment in our common shares.</w:t>
      </w:r>
    </w:p>
    <w:p>
      <w:pPr>
        <w:spacing w:after="0" w:line="171"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Non-U.S. persons should consult their own tax advisors with respect to the U.S. federal income tax and withholding tax, and state, local and foreign tax consequences of an investment in the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00"/>
          </w:cols>
          <w:pgMar w:left="240" w:top="460" w:right="2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PLAN OF DISTRIBUTION</w:t>
      </w:r>
    </w:p>
    <w:p>
      <w:pPr>
        <w:spacing w:after="0" w:line="177" w:lineRule="exact"/>
        <w:rPr>
          <w:sz w:val="20"/>
          <w:szCs w:val="20"/>
          <w:color w:val="auto"/>
        </w:rPr>
      </w:pPr>
    </w:p>
    <w:p>
      <w:pPr>
        <w:jc w:val="both"/>
        <w:ind w:right="80" w:firstLine="456"/>
        <w:spacing w:after="0" w:line="306" w:lineRule="auto"/>
        <w:rPr>
          <w:sz w:val="20"/>
          <w:szCs w:val="20"/>
          <w:color w:val="auto"/>
        </w:rPr>
      </w:pPr>
      <w:r>
        <w:rPr>
          <w:rFonts w:ascii="Arial" w:cs="Arial" w:eastAsia="Arial" w:hAnsi="Arial"/>
          <w:sz w:val="16"/>
          <w:szCs w:val="16"/>
          <w:color w:val="auto"/>
        </w:rPr>
        <w:t>We may sell the securities in any of three ways (or in any combination): (a) through underwriters or dealers; (b) directly to a limited number of purchasers or to a single purchaser; or (c) through agents. The securities may be sold “at-the-market” to or through a market maker or into an existing trading market for the securities, on an exchange or otherwise. The prospectus supplement will set forth the terms of the offering of such securities, including:</w:t>
      </w:r>
    </w:p>
    <w:p>
      <w:pPr>
        <w:spacing w:after="0" w:line="26" w:lineRule="exact"/>
        <w:rPr>
          <w:sz w:val="20"/>
          <w:szCs w:val="20"/>
          <w:color w:val="auto"/>
        </w:rPr>
      </w:pPr>
    </w:p>
    <w:p>
      <w:pPr>
        <w:ind w:left="900" w:hanging="446"/>
        <w:spacing w:after="0"/>
        <w:tabs>
          <w:tab w:leader="none" w:pos="9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name or names of any underwriters, dealers or agents and the amounts of securities underwritten or purchased by each of them;</w:t>
      </w:r>
    </w:p>
    <w:p>
      <w:pPr>
        <w:spacing w:after="0" w:line="113" w:lineRule="exact"/>
        <w:rPr>
          <w:rFonts w:ascii="Arial" w:cs="Arial" w:eastAsia="Arial" w:hAnsi="Arial"/>
          <w:sz w:val="16"/>
          <w:szCs w:val="16"/>
          <w:color w:val="auto"/>
        </w:rPr>
      </w:pPr>
    </w:p>
    <w:p>
      <w:pPr>
        <w:ind w:left="900" w:hanging="446"/>
        <w:spacing w:after="0"/>
        <w:tabs>
          <w:tab w:leader="none" w:pos="90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offering price of the securities and the proceeds to us and any discounts, commissions or concessions allowed or reallowed or paid to dealers; and</w:t>
      </w:r>
    </w:p>
    <w:p>
      <w:pPr>
        <w:spacing w:after="0" w:line="124" w:lineRule="exact"/>
        <w:rPr>
          <w:rFonts w:ascii="Arial" w:cs="Arial" w:eastAsia="Arial" w:hAnsi="Arial"/>
          <w:sz w:val="15"/>
          <w:szCs w:val="15"/>
          <w:color w:val="auto"/>
        </w:rPr>
      </w:pPr>
    </w:p>
    <w:p>
      <w:pPr>
        <w:ind w:left="900" w:hanging="446"/>
        <w:spacing w:after="0"/>
        <w:tabs>
          <w:tab w:leader="none" w:pos="9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any securities exchanges on which the securities may be listed.</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Any offering price and any discounts or concessions allowed or reallowed or paid to dealers may be changed from time to time.</w:t>
      </w:r>
    </w:p>
    <w:p>
      <w:pPr>
        <w:spacing w:after="0" w:line="171"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may offer our shares of common stock in a public offering at-the-market to a select group of investors, in which case you may not be able to participate in such offering and you will experience dilution unless you purchase additional shares of our common stock in secondary market at the same or lower price.</w:t>
      </w:r>
    </w:p>
    <w:p>
      <w:pPr>
        <w:spacing w:after="0" w:line="62"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If underwriters are used in the sale of any securities, the securities will be acquired by the underwriters for their own accounts and may be resold from time to time in one or more transactions, including negotiated transactions, at a fixed public offering price or at varying prices determined at the time of sale. The securities may be either offered to the public through underwriting syndicates represented by managing underwriters, or directly by underwriters. Generally, the underwriters’ obligations to purchase the securities will be subject to certain conditions precedent. The underwriters will be obligated to purchase all of the securities if they purchase any of the securities.</w:t>
      </w:r>
    </w:p>
    <w:p>
      <w:pPr>
        <w:spacing w:after="0" w:line="143"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compliance with the guidelines of FINRA, the maximum compensation to the underwriters or dealers in connection with the sale of our securities pursuant to this prospectus and the accompanying supplement to this prospectus may not exceed 8% of the aggregate offering price of the securities as set forth on the cover page of the supplement to this prospectus.</w:t>
      </w:r>
    </w:p>
    <w:p>
      <w:pPr>
        <w:spacing w:after="0" w:line="140" w:lineRule="exact"/>
        <w:rPr>
          <w:sz w:val="20"/>
          <w:szCs w:val="20"/>
          <w:color w:val="auto"/>
        </w:rPr>
      </w:pPr>
    </w:p>
    <w:p>
      <w:pPr>
        <w:ind w:right="120" w:firstLine="456"/>
        <w:spacing w:after="0" w:line="332" w:lineRule="auto"/>
        <w:rPr>
          <w:sz w:val="20"/>
          <w:szCs w:val="20"/>
          <w:color w:val="auto"/>
        </w:rPr>
      </w:pPr>
      <w:r>
        <w:rPr>
          <w:rFonts w:ascii="Arial" w:cs="Arial" w:eastAsia="Arial" w:hAnsi="Arial"/>
          <w:sz w:val="16"/>
          <w:szCs w:val="16"/>
          <w:color w:val="auto"/>
        </w:rPr>
        <w:t>We may sell the securities through agents from time to time. The prospectus supplement will name any agent involved in the offer or sale of the securities and any commissions we pay to them. Generally, any agent will be acting on a best efforts basis for the period of its appointment.</w:t>
      </w:r>
    </w:p>
    <w:p>
      <w:pPr>
        <w:spacing w:after="0" w:line="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We may authorize underwriters,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soliciting these contracts. Agents and underwriters may be entitled to indemnification by us against certain civil liabilities, including liabilities under the Securities Act, or to contribution with respect to payments which the agents or underwriters may be required to make in respect thereof. Agents and underwriters may be customers of, engage in transactions with, or perform services for us in the ordinary course of business. Insofar as indemnification for liabilities arising under the Securities Act may be permitted to directors, officers or persons controlling the Registrant pursuant to the foregoing provisions, the Registrant has been informed that in the opinion of the SEC such indemnification is against public policy as expressed in the Securities Act and is therefore unenforceable.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380"/>
          </w:cols>
          <w:pgMar w:left="240" w:top="459" w:right="27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identified in the applicable prospectus supplement (or a post-effective amendment). We or one of our affiliates may loan or pledge securities to a financial institution or other third party that in turn may sell the securities using this prospectus. Such financial institution or third party may transfer its short position to investors in our securities or in connection with a simultaneous offering of other securities offered by this prospectus or otherwise.</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380"/>
          </w:cols>
          <w:pgMar w:left="240" w:top="460" w:right="27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SUB-ADMINISTRATOR, CUSTODIAN, TRANSFER AGENT AND TRUSTEE</w:t>
      </w:r>
    </w:p>
    <w:p>
      <w:pPr>
        <w:spacing w:after="0" w:line="177"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BNY Mellon Investment Servicing (US) Inc., a subsidiary of The Bank of New York Mellon, provides administrative and accounting services to us under a sub-administration and accounting services agreement. The Bank of New York Mellon provides custodian services to us pursuant to a custodian services agreement. The principal business address of The Bank of New York Mellon is One Wall Street, New York, NY 10286. American Stock Transfer &amp; Trust Company, LLC acts as our transfer agent, distribution paying agent and registrar. The principal business address of American Stock Transfer &amp; Trust Company, LLC is 6201 15</w:t>
      </w:r>
      <w:r>
        <w:rPr>
          <w:rFonts w:ascii="Arial" w:cs="Arial" w:eastAsia="Arial" w:hAnsi="Arial"/>
          <w:sz w:val="11"/>
          <w:szCs w:val="11"/>
          <w:color w:val="auto"/>
        </w:rPr>
        <w:t>th</w:t>
      </w:r>
      <w:r>
        <w:rPr>
          <w:rFonts w:ascii="Arial" w:cs="Arial" w:eastAsia="Arial" w:hAnsi="Arial"/>
          <w:sz w:val="18"/>
          <w:szCs w:val="18"/>
          <w:color w:val="auto"/>
        </w:rPr>
        <w:t xml:space="preserve"> Avenue, 3</w:t>
      </w:r>
      <w:r>
        <w:rPr>
          <w:rFonts w:ascii="Arial" w:cs="Arial" w:eastAsia="Arial" w:hAnsi="Arial"/>
          <w:sz w:val="11"/>
          <w:szCs w:val="11"/>
          <w:color w:val="auto"/>
        </w:rPr>
        <w:t>rd</w:t>
      </w:r>
      <w:r>
        <w:rPr>
          <w:rFonts w:ascii="Arial" w:cs="Arial" w:eastAsia="Arial" w:hAnsi="Arial"/>
          <w:sz w:val="18"/>
          <w:szCs w:val="18"/>
          <w:color w:val="auto"/>
        </w:rPr>
        <w:t xml:space="preserve"> floor, Brooklyn, NY 11219, telephone number: (800) 937-5449. American Stock Transfer &amp; Trust Company, LLC may also serve as trustee for offerings of our debt securities.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Certain legal matters regarding the securities offered by this prospectus will be passed upon for us by Dechert LLP, Washington, D.C., and by Venable LLP, as special Maryland counsel.</w:t>
      </w:r>
    </w:p>
    <w:p>
      <w:pPr>
        <w:spacing w:after="0" w:line="28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INDEPENDENT REGISTERED PUBLIC ACCOUNTING FIRM</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KPMG LLP, our independent registered public accounting firm, is located at 345 Park Avenue, New York, New York 10154.</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00"/>
          </w:cols>
          <w:pgMar w:left="240" w:top="460" w:right="2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360" w:type="dxa"/>
            <w:vAlign w:val="bottom"/>
            <w:gridSpan w:val="15"/>
          </w:tcPr>
          <w:p>
            <w:pPr>
              <w:jc w:val="center"/>
              <w:ind w:right="262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620" w:type="dxa"/>
            <w:vAlign w:val="bottom"/>
          </w:tcPr>
          <w:p>
            <w:pPr>
              <w:spacing w:after="0"/>
              <w:rPr>
                <w:sz w:val="19"/>
                <w:szCs w:val="19"/>
                <w:color w:val="auto"/>
              </w:rPr>
            </w:pPr>
          </w:p>
        </w:tc>
      </w:tr>
      <w:tr>
        <w:trPr>
          <w:trHeight w:val="419"/>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PennantPark Floating Rate Capital Ltd. and subsidiary</w:t>
            </w:r>
          </w:p>
        </w:tc>
        <w:tc>
          <w:tcPr>
            <w:tcW w:w="620" w:type="dxa"/>
            <w:vAlign w:val="bottom"/>
          </w:tcPr>
          <w:p>
            <w:pPr>
              <w:spacing w:after="0"/>
              <w:rPr>
                <w:sz w:val="24"/>
                <w:szCs w:val="24"/>
                <w:color w:val="auto"/>
              </w:rPr>
            </w:pPr>
          </w:p>
        </w:tc>
      </w:tr>
      <w:tr>
        <w:trPr>
          <w:trHeight w:val="324"/>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Annual Financial Statements</w:t>
            </w:r>
          </w:p>
        </w:tc>
        <w:tc>
          <w:tcPr>
            <w:tcW w:w="620" w:type="dxa"/>
            <w:vAlign w:val="bottom"/>
          </w:tcPr>
          <w:p>
            <w:pPr>
              <w:spacing w:after="0"/>
              <w:rPr>
                <w:sz w:val="24"/>
                <w:szCs w:val="24"/>
                <w:color w:val="auto"/>
              </w:rPr>
            </w:pPr>
          </w:p>
        </w:tc>
      </w:tr>
      <w:tr>
        <w:trPr>
          <w:trHeight w:val="286"/>
        </w:trPr>
        <w:tc>
          <w:tcPr>
            <w:tcW w:w="48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166">
              <w:r>
                <w:rPr>
                  <w:rFonts w:ascii="Arial" w:cs="Arial" w:eastAsia="Arial" w:hAnsi="Arial"/>
                  <w:sz w:val="18"/>
                  <w:szCs w:val="18"/>
                  <w:color w:val="0000EE"/>
                  <w:w w:val="89"/>
                </w:rPr>
                <w:t>Management’s Report on Internal Control Over Financial Reporting</w:t>
              </w:r>
            </w:hyperlink>
          </w:p>
        </w:tc>
        <w:tc>
          <w:tcPr>
            <w:tcW w:w="5900" w:type="dxa"/>
            <w:vAlign w:val="bottom"/>
            <w:gridSpan w:val="12"/>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04"/>
        </w:trPr>
        <w:tc>
          <w:tcPr>
            <w:tcW w:w="10700" w:type="dxa"/>
            <w:vAlign w:val="bottom"/>
            <w:gridSpan w:val="19"/>
          </w:tcPr>
          <w:p>
            <w:pPr>
              <w:spacing w:after="0"/>
              <w:rPr>
                <w:rFonts w:ascii="Arial" w:cs="Arial" w:eastAsia="Arial" w:hAnsi="Arial"/>
                <w:sz w:val="18"/>
                <w:szCs w:val="18"/>
                <w:color w:val="0000EE"/>
              </w:rPr>
            </w:pPr>
            <w:hyperlink w:anchor="page167">
              <w:r>
                <w:rPr>
                  <w:rFonts w:ascii="Arial" w:cs="Arial" w:eastAsia="Arial" w:hAnsi="Arial"/>
                  <w:sz w:val="18"/>
                  <w:szCs w:val="18"/>
                  <w:color w:val="0000EE"/>
                </w:rPr>
                <w:t>Report of Independent Registered Public Accounting Firm</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F-3</w:t>
            </w:r>
          </w:p>
        </w:tc>
      </w:tr>
      <w:tr>
        <w:trPr>
          <w:trHeight w:val="20"/>
        </w:trPr>
        <w:tc>
          <w:tcPr>
            <w:tcW w:w="22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0700" w:type="dxa"/>
            <w:vAlign w:val="bottom"/>
            <w:gridSpan w:val="19"/>
          </w:tcPr>
          <w:p>
            <w:pPr>
              <w:spacing w:after="0"/>
              <w:rPr>
                <w:rFonts w:ascii="Arial" w:cs="Arial" w:eastAsia="Arial" w:hAnsi="Arial"/>
                <w:sz w:val="18"/>
                <w:szCs w:val="18"/>
                <w:color w:val="0000EE"/>
              </w:rPr>
            </w:pPr>
            <w:hyperlink w:anchor="page168">
              <w:r>
                <w:rPr>
                  <w:rFonts w:ascii="Arial" w:cs="Arial" w:eastAsia="Arial" w:hAnsi="Arial"/>
                  <w:sz w:val="18"/>
                  <w:szCs w:val="18"/>
                  <w:color w:val="0000EE"/>
                </w:rPr>
                <w:t>Report of Independent Registered Public Accounting Firm On Internal Control Over Financial Reporting</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304"/>
        </w:trPr>
        <w:tc>
          <w:tcPr>
            <w:tcW w:w="60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7"/>
              </w:rPr>
            </w:pPr>
            <w:hyperlink w:anchor="page169">
              <w:r>
                <w:rPr>
                  <w:rFonts w:ascii="Arial" w:cs="Arial" w:eastAsia="Arial" w:hAnsi="Arial"/>
                  <w:sz w:val="18"/>
                  <w:szCs w:val="18"/>
                  <w:color w:val="0000EE"/>
                  <w:w w:val="87"/>
                </w:rPr>
                <w:t>Consolidated Statements of Assets and Liabilities as of September 30, 2012 and 2011</w:t>
              </w:r>
            </w:hyperlink>
          </w:p>
        </w:tc>
        <w:tc>
          <w:tcPr>
            <w:tcW w:w="1360" w:type="dxa"/>
            <w:vAlign w:val="bottom"/>
            <w:tcBorders>
              <w:top w:val="single" w:sz="8" w:color="0000EE"/>
            </w:tcBorders>
            <w:gridSpan w:val="4"/>
          </w:tcPr>
          <w:p>
            <w:pPr>
              <w:spacing w:after="0"/>
              <w:rPr>
                <w:sz w:val="24"/>
                <w:szCs w:val="24"/>
                <w:color w:val="auto"/>
              </w:rPr>
            </w:pPr>
          </w:p>
        </w:tc>
        <w:tc>
          <w:tcPr>
            <w:tcW w:w="3320" w:type="dxa"/>
            <w:vAlign w:val="bottom"/>
            <w:gridSpan w:val="7"/>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F-5</w:t>
            </w:r>
          </w:p>
        </w:tc>
      </w:tr>
      <w:tr>
        <w:trPr>
          <w:trHeight w:val="304"/>
        </w:trPr>
        <w:tc>
          <w:tcPr>
            <w:tcW w:w="10700" w:type="dxa"/>
            <w:vAlign w:val="bottom"/>
            <w:gridSpan w:val="19"/>
          </w:tcPr>
          <w:p>
            <w:pPr>
              <w:spacing w:after="0"/>
              <w:rPr>
                <w:rFonts w:ascii="Arial" w:cs="Arial" w:eastAsia="Arial" w:hAnsi="Arial"/>
                <w:sz w:val="18"/>
                <w:szCs w:val="18"/>
                <w:color w:val="0000EE"/>
                <w:w w:val="90"/>
              </w:rPr>
            </w:pPr>
            <w:hyperlink w:anchor="page170">
              <w:r>
                <w:rPr>
                  <w:rFonts w:ascii="Arial" w:cs="Arial" w:eastAsia="Arial" w:hAnsi="Arial"/>
                  <w:sz w:val="18"/>
                  <w:szCs w:val="18"/>
                  <w:color w:val="0000EE"/>
                  <w:w w:val="90"/>
                </w:rPr>
                <w:t>Consolidated Statements of Operations for the year ended September 30, 2012 and for the period March 4, 2011 (commencement of operations) to</w:t>
              </w:r>
            </w:hyperlink>
          </w:p>
        </w:tc>
        <w:tc>
          <w:tcPr>
            <w:tcW w:w="6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2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70">
              <w:r>
                <w:rPr>
                  <w:rFonts w:ascii="Arial" w:cs="Arial" w:eastAsia="Arial" w:hAnsi="Arial"/>
                  <w:sz w:val="18"/>
                  <w:szCs w:val="18"/>
                  <w:color w:val="0000EE"/>
                </w:rPr>
                <w:t>September 30, 2011</w:t>
              </w:r>
            </w:hyperlink>
          </w:p>
        </w:tc>
        <w:tc>
          <w:tcPr>
            <w:tcW w:w="360" w:type="dxa"/>
            <w:vAlign w:val="bottom"/>
            <w:gridSpan w:val="2"/>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20"/>
        </w:trPr>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0700" w:type="dxa"/>
            <w:vAlign w:val="bottom"/>
            <w:gridSpan w:val="19"/>
          </w:tcPr>
          <w:p>
            <w:pPr>
              <w:spacing w:after="0"/>
              <w:rPr>
                <w:rFonts w:ascii="Arial" w:cs="Arial" w:eastAsia="Arial" w:hAnsi="Arial"/>
                <w:sz w:val="18"/>
                <w:szCs w:val="18"/>
                <w:color w:val="0000EE"/>
                <w:w w:val="92"/>
              </w:rPr>
            </w:pPr>
            <w:hyperlink w:anchor="page171">
              <w:r>
                <w:rPr>
                  <w:rFonts w:ascii="Arial" w:cs="Arial" w:eastAsia="Arial" w:hAnsi="Arial"/>
                  <w:sz w:val="18"/>
                  <w:szCs w:val="18"/>
                  <w:color w:val="0000EE"/>
                  <w:w w:val="92"/>
                </w:rPr>
                <w:t>Consolidated Statements of Changes in Net Assets for the year ended September 30, 2012 and for the period March 4, 2011 (commencement of</w:t>
              </w:r>
            </w:hyperlink>
          </w:p>
        </w:tc>
        <w:tc>
          <w:tcPr>
            <w:tcW w:w="6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992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171">
              <w:r>
                <w:rPr>
                  <w:rFonts w:ascii="Arial" w:cs="Arial" w:eastAsia="Arial" w:hAnsi="Arial"/>
                  <w:sz w:val="18"/>
                  <w:szCs w:val="18"/>
                  <w:color w:val="0000EE"/>
                </w:rPr>
                <w:t>operations) to September 30, 2011</w:t>
              </w:r>
            </w:hyperlink>
          </w:p>
        </w:tc>
        <w:tc>
          <w:tcPr>
            <w:tcW w:w="560" w:type="dxa"/>
            <w:vAlign w:val="bottom"/>
            <w:gridSpan w:val="3"/>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220" w:type="dxa"/>
            <w:vAlign w:val="bottom"/>
          </w:tcPr>
          <w:p>
            <w:pPr>
              <w:spacing w:after="0" w:line="20" w:lineRule="exact"/>
              <w:rPr>
                <w:sz w:val="1"/>
                <w:szCs w:val="1"/>
                <w:color w:val="auto"/>
              </w:rPr>
            </w:pPr>
          </w:p>
        </w:tc>
        <w:tc>
          <w:tcPr>
            <w:tcW w:w="2420" w:type="dxa"/>
            <w:vAlign w:val="bottom"/>
            <w:gridSpan w:val="2"/>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10700" w:type="dxa"/>
            <w:vAlign w:val="bottom"/>
            <w:gridSpan w:val="19"/>
          </w:tcPr>
          <w:p>
            <w:pPr>
              <w:spacing w:after="0"/>
              <w:rPr>
                <w:rFonts w:ascii="Arial" w:cs="Arial" w:eastAsia="Arial" w:hAnsi="Arial"/>
                <w:sz w:val="18"/>
                <w:szCs w:val="18"/>
                <w:color w:val="0000EE"/>
                <w:w w:val="90"/>
              </w:rPr>
            </w:pPr>
            <w:hyperlink w:anchor="page172">
              <w:r>
                <w:rPr>
                  <w:rFonts w:ascii="Arial" w:cs="Arial" w:eastAsia="Arial" w:hAnsi="Arial"/>
                  <w:sz w:val="18"/>
                  <w:szCs w:val="18"/>
                  <w:color w:val="0000EE"/>
                  <w:w w:val="90"/>
                </w:rPr>
                <w:t>Consolidated Statements of Cash Flows for the year ended September 30, 2012 and for the period March 4, 2011 (commencement of operations) to</w:t>
              </w:r>
            </w:hyperlink>
          </w:p>
        </w:tc>
        <w:tc>
          <w:tcPr>
            <w:tcW w:w="620" w:type="dxa"/>
            <w:vAlign w:val="bottom"/>
          </w:tcPr>
          <w:p>
            <w:pPr>
              <w:spacing w:after="0"/>
              <w:rPr>
                <w:sz w:val="24"/>
                <w:szCs w:val="24"/>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10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172">
              <w:r>
                <w:rPr>
                  <w:rFonts w:ascii="Arial" w:cs="Arial" w:eastAsia="Arial" w:hAnsi="Arial"/>
                  <w:sz w:val="18"/>
                  <w:szCs w:val="18"/>
                  <w:color w:val="0000EE"/>
                </w:rPr>
                <w:t>September 30, 2011</w:t>
              </w:r>
            </w:hyperlink>
          </w:p>
        </w:tc>
        <w:tc>
          <w:tcPr>
            <w:tcW w:w="300" w:type="dxa"/>
            <w:vAlign w:val="bottom"/>
          </w:tcPr>
          <w:p>
            <w:pPr>
              <w:spacing w:after="0"/>
              <w:rPr>
                <w:sz w:val="17"/>
                <w:szCs w:val="17"/>
                <w:color w:val="auto"/>
              </w:rPr>
            </w:pPr>
          </w:p>
        </w:tc>
        <w:tc>
          <w:tcPr>
            <w:tcW w:w="62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20"/>
        </w:trPr>
        <w:tc>
          <w:tcPr>
            <w:tcW w:w="220" w:type="dxa"/>
            <w:vAlign w:val="bottom"/>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20" w:type="dxa"/>
            <w:vAlign w:val="bottom"/>
            <w:gridSpan w:val="4"/>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636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173">
              <w:r>
                <w:rPr>
                  <w:rFonts w:ascii="Arial" w:cs="Arial" w:eastAsia="Arial" w:hAnsi="Arial"/>
                  <w:sz w:val="18"/>
                  <w:szCs w:val="18"/>
                  <w:color w:val="0000EE"/>
                  <w:w w:val="86"/>
                </w:rPr>
                <w:t>Consolidated Schedules of Investments as of September 30, 2012 and September 30, 2011</w:t>
              </w:r>
            </w:hyperlink>
          </w:p>
        </w:tc>
        <w:tc>
          <w:tcPr>
            <w:tcW w:w="4340" w:type="dxa"/>
            <w:vAlign w:val="bottom"/>
            <w:gridSpan w:val="10"/>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304"/>
        </w:trPr>
        <w:tc>
          <w:tcPr>
            <w:tcW w:w="3340" w:type="dxa"/>
            <w:vAlign w:val="bottom"/>
            <w:tcBorders>
              <w:bottom w:val="single" w:sz="8" w:color="0000EE"/>
            </w:tcBorders>
            <w:gridSpan w:val="4"/>
          </w:tcPr>
          <w:p>
            <w:pPr>
              <w:spacing w:after="0"/>
              <w:rPr>
                <w:rFonts w:ascii="Arial" w:cs="Arial" w:eastAsia="Arial" w:hAnsi="Arial"/>
                <w:sz w:val="18"/>
                <w:szCs w:val="18"/>
                <w:color w:val="0000EE"/>
                <w:w w:val="87"/>
              </w:rPr>
            </w:pPr>
            <w:hyperlink w:anchor="page178">
              <w:r>
                <w:rPr>
                  <w:rFonts w:ascii="Arial" w:cs="Arial" w:eastAsia="Arial" w:hAnsi="Arial"/>
                  <w:sz w:val="18"/>
                  <w:szCs w:val="18"/>
                  <w:color w:val="0000EE"/>
                  <w:w w:val="87"/>
                </w:rPr>
                <w:t>Notes to the Consolidated Financial Statements</w:t>
              </w:r>
            </w:hyperlink>
          </w:p>
        </w:tc>
        <w:tc>
          <w:tcPr>
            <w:tcW w:w="7360" w:type="dxa"/>
            <w:vAlign w:val="bottom"/>
            <w:gridSpan w:val="1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F-14</w:t>
            </w:r>
          </w:p>
        </w:tc>
      </w:tr>
      <w:tr>
        <w:trPr>
          <w:trHeight w:val="343"/>
        </w:trPr>
        <w:tc>
          <w:tcPr>
            <w:tcW w:w="10700" w:type="dxa"/>
            <w:vAlign w:val="bottom"/>
            <w:gridSpan w:val="19"/>
          </w:tcPr>
          <w:p>
            <w:pPr>
              <w:spacing w:after="0"/>
              <w:rPr>
                <w:sz w:val="20"/>
                <w:szCs w:val="20"/>
                <w:color w:val="auto"/>
              </w:rPr>
            </w:pPr>
            <w:r>
              <w:rPr>
                <w:rFonts w:ascii="Arial" w:cs="Arial" w:eastAsia="Arial" w:hAnsi="Arial"/>
                <w:sz w:val="18"/>
                <w:szCs w:val="18"/>
                <w:b w:val="1"/>
                <w:bCs w:val="1"/>
                <w:color w:val="auto"/>
              </w:rPr>
              <w:t>Interim Financial Statements</w:t>
            </w:r>
          </w:p>
        </w:tc>
        <w:tc>
          <w:tcPr>
            <w:tcW w:w="620" w:type="dxa"/>
            <w:vAlign w:val="bottom"/>
          </w:tcPr>
          <w:p>
            <w:pPr>
              <w:spacing w:after="0"/>
              <w:rPr>
                <w:sz w:val="24"/>
                <w:szCs w:val="24"/>
                <w:color w:val="auto"/>
              </w:rPr>
            </w:pPr>
          </w:p>
        </w:tc>
      </w:tr>
      <w:tr>
        <w:trPr>
          <w:trHeight w:val="286"/>
        </w:trPr>
        <w:tc>
          <w:tcPr>
            <w:tcW w:w="10700" w:type="dxa"/>
            <w:vAlign w:val="bottom"/>
            <w:gridSpan w:val="19"/>
          </w:tcPr>
          <w:p>
            <w:pPr>
              <w:spacing w:after="0"/>
              <w:rPr>
                <w:rFonts w:ascii="Arial" w:cs="Arial" w:eastAsia="Arial" w:hAnsi="Arial"/>
                <w:sz w:val="18"/>
                <w:szCs w:val="18"/>
                <w:color w:val="0000EE"/>
              </w:rPr>
            </w:pPr>
            <w:hyperlink w:anchor="page193">
              <w:r>
                <w:rPr>
                  <w:rFonts w:ascii="Arial" w:cs="Arial" w:eastAsia="Arial" w:hAnsi="Arial"/>
                  <w:sz w:val="18"/>
                  <w:szCs w:val="18"/>
                  <w:color w:val="0000EE"/>
                </w:rPr>
                <w:t>Report of Independent Registered Public Accounting Firm</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F-29</w:t>
            </w:r>
          </w:p>
        </w:tc>
      </w:tr>
      <w:tr>
        <w:trPr>
          <w:trHeight w:val="20"/>
        </w:trPr>
        <w:tc>
          <w:tcPr>
            <w:tcW w:w="3940" w:type="dxa"/>
            <w:vAlign w:val="bottom"/>
            <w:gridSpan w:val="5"/>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40" w:type="dxa"/>
            <w:vAlign w:val="bottom"/>
            <w:gridSpan w:val="4"/>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304"/>
        </w:trPr>
        <w:tc>
          <w:tcPr>
            <w:tcW w:w="7640" w:type="dxa"/>
            <w:vAlign w:val="bottom"/>
            <w:tcBorders>
              <w:bottom w:val="single" w:sz="8" w:color="0000EE"/>
            </w:tcBorders>
            <w:gridSpan w:val="13"/>
          </w:tcPr>
          <w:p>
            <w:pPr>
              <w:spacing w:after="0"/>
              <w:rPr>
                <w:rFonts w:ascii="Arial" w:cs="Arial" w:eastAsia="Arial" w:hAnsi="Arial"/>
                <w:sz w:val="18"/>
                <w:szCs w:val="18"/>
                <w:color w:val="0000EE"/>
                <w:w w:val="87"/>
              </w:rPr>
            </w:pPr>
            <w:hyperlink w:anchor="page194">
              <w:r>
                <w:rPr>
                  <w:rFonts w:ascii="Arial" w:cs="Arial" w:eastAsia="Arial" w:hAnsi="Arial"/>
                  <w:sz w:val="18"/>
                  <w:szCs w:val="18"/>
                  <w:color w:val="0000EE"/>
                  <w:w w:val="87"/>
                </w:rPr>
                <w:t>Consolidated Statements of Assets and Liabilities as of March 31, 2013 (unaudited) and September 30, 2012</w:t>
              </w:r>
            </w:hyperlink>
          </w:p>
        </w:tc>
        <w:tc>
          <w:tcPr>
            <w:tcW w:w="3060" w:type="dxa"/>
            <w:vAlign w:val="bottom"/>
            <w:gridSpan w:val="6"/>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F-30</w:t>
            </w:r>
          </w:p>
        </w:tc>
      </w:tr>
      <w:tr>
        <w:trPr>
          <w:trHeight w:val="304"/>
        </w:trPr>
        <w:tc>
          <w:tcPr>
            <w:tcW w:w="79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195">
              <w:r>
                <w:rPr>
                  <w:rFonts w:ascii="Arial" w:cs="Arial" w:eastAsia="Arial" w:hAnsi="Arial"/>
                  <w:sz w:val="18"/>
                  <w:szCs w:val="18"/>
                  <w:color w:val="0000EE"/>
                  <w:w w:val="87"/>
                </w:rPr>
                <w:t>Consolidated Statements of Operations for the three and six months ended March 31, 2013 and 2012 (unaudited)</w:t>
              </w:r>
            </w:hyperlink>
          </w:p>
        </w:tc>
        <w:tc>
          <w:tcPr>
            <w:tcW w:w="2760" w:type="dxa"/>
            <w:vAlign w:val="bottom"/>
            <w:gridSpan w:val="5"/>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F-31</w:t>
            </w:r>
          </w:p>
        </w:tc>
      </w:tr>
      <w:tr>
        <w:trPr>
          <w:trHeight w:val="304"/>
        </w:trPr>
        <w:tc>
          <w:tcPr>
            <w:tcW w:w="8060" w:type="dxa"/>
            <w:vAlign w:val="bottom"/>
            <w:tcBorders>
              <w:bottom w:val="single" w:sz="8" w:color="0000EE"/>
            </w:tcBorders>
            <w:gridSpan w:val="15"/>
          </w:tcPr>
          <w:p>
            <w:pPr>
              <w:spacing w:after="0"/>
              <w:rPr>
                <w:rFonts w:ascii="Arial" w:cs="Arial" w:eastAsia="Arial" w:hAnsi="Arial"/>
                <w:sz w:val="18"/>
                <w:szCs w:val="18"/>
                <w:color w:val="0000EE"/>
                <w:w w:val="87"/>
              </w:rPr>
            </w:pPr>
            <w:hyperlink w:anchor="page196">
              <w:r>
                <w:rPr>
                  <w:rFonts w:ascii="Arial" w:cs="Arial" w:eastAsia="Arial" w:hAnsi="Arial"/>
                  <w:sz w:val="18"/>
                  <w:szCs w:val="18"/>
                  <w:color w:val="0000EE"/>
                  <w:w w:val="87"/>
                </w:rPr>
                <w:t>Consolidated Statements of Changes in Net Assets for the six months ended March 31, 2013 and 2012 (unaudited)</w:t>
              </w:r>
            </w:hyperlink>
          </w:p>
        </w:tc>
        <w:tc>
          <w:tcPr>
            <w:tcW w:w="2640" w:type="dxa"/>
            <w:vAlign w:val="bottom"/>
            <w:gridSpan w:val="4"/>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F-32</w:t>
            </w:r>
          </w:p>
        </w:tc>
      </w:tr>
      <w:tr>
        <w:trPr>
          <w:trHeight w:val="304"/>
        </w:trPr>
        <w:tc>
          <w:tcPr>
            <w:tcW w:w="7300" w:type="dxa"/>
            <w:vAlign w:val="bottom"/>
            <w:tcBorders>
              <w:bottom w:val="single" w:sz="8" w:color="0000EE"/>
            </w:tcBorders>
            <w:gridSpan w:val="11"/>
          </w:tcPr>
          <w:p>
            <w:pPr>
              <w:spacing w:after="0"/>
              <w:rPr>
                <w:rFonts w:ascii="Arial" w:cs="Arial" w:eastAsia="Arial" w:hAnsi="Arial"/>
                <w:sz w:val="18"/>
                <w:szCs w:val="18"/>
                <w:color w:val="0000EE"/>
                <w:w w:val="87"/>
              </w:rPr>
            </w:pPr>
            <w:hyperlink w:anchor="page197">
              <w:r>
                <w:rPr>
                  <w:rFonts w:ascii="Arial" w:cs="Arial" w:eastAsia="Arial" w:hAnsi="Arial"/>
                  <w:sz w:val="18"/>
                  <w:szCs w:val="18"/>
                  <w:color w:val="0000EE"/>
                  <w:w w:val="87"/>
                </w:rPr>
                <w:t>Consolidated Statements of Cash Flows for the six months ended March 31, 2013 and 2012 (unaudited)</w:t>
              </w:r>
            </w:hyperlink>
          </w:p>
        </w:tc>
        <w:tc>
          <w:tcPr>
            <w:tcW w:w="3400" w:type="dxa"/>
            <w:vAlign w:val="bottom"/>
            <w:gridSpan w:val="8"/>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F-33</w:t>
            </w:r>
          </w:p>
        </w:tc>
      </w:tr>
      <w:tr>
        <w:trPr>
          <w:trHeight w:val="304"/>
        </w:trPr>
        <w:tc>
          <w:tcPr>
            <w:tcW w:w="6920" w:type="dxa"/>
            <w:vAlign w:val="bottom"/>
            <w:tcBorders>
              <w:bottom w:val="single" w:sz="8" w:color="0000EE"/>
            </w:tcBorders>
            <w:gridSpan w:val="10"/>
          </w:tcPr>
          <w:p>
            <w:pPr>
              <w:spacing w:after="0"/>
              <w:rPr>
                <w:rFonts w:ascii="Arial" w:cs="Arial" w:eastAsia="Arial" w:hAnsi="Arial"/>
                <w:sz w:val="18"/>
                <w:szCs w:val="18"/>
                <w:color w:val="0000EE"/>
                <w:w w:val="87"/>
              </w:rPr>
            </w:pPr>
            <w:hyperlink w:anchor="page198">
              <w:r>
                <w:rPr>
                  <w:rFonts w:ascii="Arial" w:cs="Arial" w:eastAsia="Arial" w:hAnsi="Arial"/>
                  <w:sz w:val="18"/>
                  <w:szCs w:val="18"/>
                  <w:color w:val="0000EE"/>
                  <w:w w:val="87"/>
                </w:rPr>
                <w:t>Consolidated Schedules of Investments as of March 31, 2013 (unaudited) and September 30, 2012</w:t>
              </w:r>
            </w:hyperlink>
          </w:p>
        </w:tc>
        <w:tc>
          <w:tcPr>
            <w:tcW w:w="3780" w:type="dxa"/>
            <w:vAlign w:val="bottom"/>
            <w:gridSpan w:val="9"/>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F-34</w:t>
            </w:r>
          </w:p>
        </w:tc>
      </w:tr>
      <w:tr>
        <w:trPr>
          <w:trHeight w:val="304"/>
        </w:trPr>
        <w:tc>
          <w:tcPr>
            <w:tcW w:w="10700" w:type="dxa"/>
            <w:vAlign w:val="bottom"/>
            <w:gridSpan w:val="19"/>
          </w:tcPr>
          <w:p>
            <w:pPr>
              <w:spacing w:after="0"/>
              <w:rPr>
                <w:rFonts w:ascii="Arial" w:cs="Arial" w:eastAsia="Arial" w:hAnsi="Arial"/>
                <w:sz w:val="18"/>
                <w:szCs w:val="18"/>
                <w:color w:val="0000EE"/>
              </w:rPr>
            </w:pPr>
            <w:hyperlink w:anchor="page204">
              <w:r>
                <w:rPr>
                  <w:rFonts w:ascii="Arial" w:cs="Arial" w:eastAsia="Arial" w:hAnsi="Arial"/>
                  <w:sz w:val="18"/>
                  <w:szCs w:val="18"/>
                  <w:color w:val="0000EE"/>
                </w:rPr>
                <w:t>Notes to Consolidated Financial Statements (unaudited)</w:t>
              </w:r>
            </w:hyperlink>
          </w:p>
        </w:tc>
        <w:tc>
          <w:tcPr>
            <w:tcW w:w="620" w:type="dxa"/>
            <w:vAlign w:val="bottom"/>
          </w:tcPr>
          <w:p>
            <w:pPr>
              <w:jc w:val="right"/>
              <w:spacing w:after="0"/>
              <w:rPr>
                <w:sz w:val="20"/>
                <w:szCs w:val="20"/>
                <w:color w:val="auto"/>
              </w:rPr>
            </w:pPr>
            <w:r>
              <w:rPr>
                <w:rFonts w:ascii="Arial" w:cs="Arial" w:eastAsia="Arial" w:hAnsi="Arial"/>
                <w:sz w:val="18"/>
                <w:szCs w:val="18"/>
                <w:color w:val="auto"/>
              </w:rPr>
              <w:t>F-40</w:t>
            </w:r>
          </w:p>
        </w:tc>
      </w:tr>
      <w:tr>
        <w:trPr>
          <w:trHeight w:val="383"/>
        </w:trPr>
        <w:tc>
          <w:tcPr>
            <w:tcW w:w="220" w:type="dxa"/>
            <w:vAlign w:val="bottom"/>
            <w:tcBorders>
              <w:top w:val="single" w:sz="8" w:color="0000EE"/>
            </w:tcBorders>
          </w:tcPr>
          <w:p>
            <w:pPr>
              <w:spacing w:after="0"/>
              <w:rPr>
                <w:sz w:val="24"/>
                <w:szCs w:val="24"/>
                <w:color w:val="auto"/>
              </w:rPr>
            </w:pPr>
          </w:p>
        </w:tc>
        <w:tc>
          <w:tcPr>
            <w:tcW w:w="1400" w:type="dxa"/>
            <w:vAlign w:val="bottom"/>
            <w:tcBorders>
              <w:top w:val="single" w:sz="8" w:color="0000EE"/>
            </w:tcBorders>
          </w:tcPr>
          <w:p>
            <w:pPr>
              <w:spacing w:after="0"/>
              <w:rPr>
                <w:sz w:val="24"/>
                <w:szCs w:val="24"/>
                <w:color w:val="auto"/>
              </w:rPr>
            </w:pPr>
          </w:p>
        </w:tc>
        <w:tc>
          <w:tcPr>
            <w:tcW w:w="102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900" w:type="dxa"/>
            <w:vAlign w:val="bottom"/>
            <w:gridSpan w:val="12"/>
          </w:tcPr>
          <w:p>
            <w:pPr>
              <w:jc w:val="center"/>
              <w:ind w:right="4060"/>
              <w:spacing w:after="0"/>
              <w:rPr>
                <w:sz w:val="20"/>
                <w:szCs w:val="20"/>
                <w:color w:val="auto"/>
              </w:rPr>
            </w:pPr>
            <w:r>
              <w:rPr>
                <w:rFonts w:ascii="Arial" w:cs="Arial" w:eastAsia="Arial" w:hAnsi="Arial"/>
                <w:sz w:val="18"/>
                <w:szCs w:val="18"/>
                <w:color w:val="auto"/>
                <w:w w:val="88"/>
              </w:rPr>
              <w:t>F-1</w:t>
            </w:r>
          </w:p>
        </w:tc>
        <w:tc>
          <w:tcPr>
            <w:tcW w:w="62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management of PennantPark Floating Rate Capital, Ltd., or “we,” “us,” “our” and “Company,” is responsible for establishing and maintaining adequate internal control over financial reporting. Our internal control system is a process designed to provide reasonable assurance to our management and board of directors regarding the preparation and fair presentation of published financial statements.</w:t>
      </w:r>
    </w:p>
    <w:p>
      <w:pPr>
        <w:spacing w:after="0" w:line="14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Company’s internal control over financial reporting includes policies and procedures that pertain to the maintenance of records that, in reasonable detail, accurately and fairly reflect transactions and dispositions of assets; provide reasonable assurances that transactions are recorded as necessary to permit preparation of financial statements in accordance with U.S. Generally Accepted Accounting Principles, and that receipts and expenditures are being made only in accordance with authorizations of management and the directors of the Company; and provide reasonable assurance regarding prevention or timely detection of unauthorized acquisition, use or disposition of our assets that could have a material effect on our consolidated financial statements.</w:t>
      </w:r>
    </w:p>
    <w:p>
      <w:pPr>
        <w:spacing w:after="0" w:line="116"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All internal control systems, no matter how well designed, have inherent limitations. Therefore, even those systems determined to be effective can provide only reasonable assurance with respect to financial statement preparation and presentation.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 xml:space="preserve">Management assessed the effectiveness of the Company’s internal control over financial reporting as of September 30, 2012. In making this assessment, we used the criteria set forth by the Committee of Sponsoring Organizations of the Treadway Commission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Based on the assessment management believes that, as of September 30, 2012, our internal control over financial reporting is effective based on those criteria.</w:t>
      </w:r>
    </w:p>
    <w:p>
      <w:pPr>
        <w:spacing w:after="0" w:line="10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Company’s independent registered public accounting firm that audited the financial statements has issued an audit report on the effectiveness of our internal control over financial reporting as of September 30, 2012. This report appears on page F-4.</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20"/>
          </w:cols>
          <w:pgMar w:left="240" w:top="460" w:right="2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8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have audited the accompanying consolidated statements of assets and liabilities of PennantPark Floating Rate Capital Ltd. and its Subsidiary (collectively referred to as the “Company”), including the consolidated schedules of investments as of September 30, 2012 and 2011, and the related consolidated statements of operations, changes in net assets, and cash flows for the year ended September 30, 2012 and for the period March 4, 2011 (commencement of operations) to September 30, 2011. These consolidated financial statements are the responsibility of the Company’s management. Our responsibility is to express an opinion on these consolidated financial statements based on our audit.</w:t>
      </w:r>
    </w:p>
    <w:p>
      <w:pPr>
        <w:spacing w:after="0" w:line="1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Our procedures included confirmation of investments owned as of September 30, 2012 by correspondence with the custodians and portfolio companies or by other appropriate auditing procedures.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20" w:lineRule="exact"/>
        <w:rPr>
          <w:sz w:val="20"/>
          <w:szCs w:val="20"/>
          <w:color w:val="auto"/>
        </w:rPr>
      </w:pPr>
    </w:p>
    <w:p>
      <w:pPr>
        <w:jc w:val="both"/>
        <w:ind w:right="40" w:firstLine="456"/>
        <w:spacing w:after="0" w:line="335"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PennantPark Floating Rate Capital Ltd. and its Subsidiary as of September 30, 2012 and 2011, and the results of their operations and their cash flows for the year ended September 30, 2012 and for the period March 4, 2011 (commencement of operations) to September 30, 2011, in conformity with U.S. generally accepted accounting principles.</w:t>
      </w:r>
    </w:p>
    <w:p>
      <w:pPr>
        <w:spacing w:after="0" w:line="88"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 xml:space="preserve">We also have audited, in accordance with the standards of the Public Company Accounting Oversight Board (United States), PennantPark Floating Rate Capital, Ltd. and its Subsidiary’s, internal control over financial reporting as of September 30, 2012, based on criteria established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Framework</w:t>
      </w:r>
      <w:r>
        <w:rPr>
          <w:rFonts w:ascii="Arial" w:cs="Arial" w:eastAsia="Arial" w:hAnsi="Arial"/>
          <w:sz w:val="16"/>
          <w:szCs w:val="16"/>
          <w:color w:val="auto"/>
        </w:rPr>
        <w:t>, issued by the Committee of Sponsoring Organizations of the Treadway Commission (COSO), and our report dated November 14, 2012 expressed an</w:t>
      </w:r>
      <w:r>
        <w:rPr>
          <w:rFonts w:ascii="Arial" w:cs="Arial" w:eastAsia="Arial" w:hAnsi="Arial"/>
          <w:sz w:val="16"/>
          <w:szCs w:val="16"/>
          <w:i w:val="1"/>
          <w:iCs w:val="1"/>
          <w:color w:val="auto"/>
        </w:rPr>
        <w:t xml:space="preserve"> </w:t>
      </w:r>
      <w:r>
        <w:rPr>
          <w:rFonts w:ascii="Arial" w:cs="Arial" w:eastAsia="Arial" w:hAnsi="Arial"/>
          <w:sz w:val="16"/>
          <w:szCs w:val="16"/>
          <w:color w:val="auto"/>
        </w:rPr>
        <w:t>unqualified opinion on the effectiveness of the Company’s internal control over financial reporting.</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2012</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459" w:right="2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84"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 xml:space="preserve">We have audited PennantPark Floating Rate Capital Ltd. and its Subsidiary (the “Company”) internal control over financial reporting as of September 30, 2012, based on criteria established in </w:t>
      </w:r>
      <w:r>
        <w:rPr>
          <w:rFonts w:ascii="Arial" w:cs="Arial" w:eastAsia="Arial" w:hAnsi="Arial"/>
          <w:sz w:val="18"/>
          <w:szCs w:val="18"/>
          <w:i w:val="1"/>
          <w:iCs w:val="1"/>
          <w:color w:val="auto"/>
        </w:rPr>
        <w:t>Internal Control—Integrated Framework</w:t>
      </w:r>
      <w:r>
        <w:rPr>
          <w:rFonts w:ascii="Arial" w:cs="Arial" w:eastAsia="Arial" w:hAnsi="Arial"/>
          <w:sz w:val="18"/>
          <w:szCs w:val="18"/>
          <w:color w:val="auto"/>
        </w:rPr>
        <w:t>, issued by the Committee of Sponsoring Organizations of the Treadway Commission (COSO). Management of the Company is responsible for maintaining effective internal control over financial reporting and for its assessment of the effectiveness of internal control over financial reporting, included on page 53 of the Annual Report on Form 10-K, and Item 9A., Controls and Procedures— Management’s Report on Internal Control Over Financial Reporting. Our responsibility is to express an opinion on the Company’s internal control over financial reporting based on our audit.</w:t>
      </w:r>
    </w:p>
    <w:p>
      <w:pPr>
        <w:spacing w:after="0" w:line="144"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16"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18"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0" w:lineRule="exact"/>
        <w:rPr>
          <w:sz w:val="20"/>
          <w:szCs w:val="20"/>
          <w:color w:val="auto"/>
        </w:rPr>
      </w:pPr>
    </w:p>
    <w:p>
      <w:pPr>
        <w:ind w:right="400" w:firstLine="456"/>
        <w:spacing w:after="0" w:line="332" w:lineRule="auto"/>
        <w:rPr>
          <w:sz w:val="20"/>
          <w:szCs w:val="20"/>
          <w:color w:val="auto"/>
        </w:rPr>
      </w:pPr>
      <w:r>
        <w:rPr>
          <w:rFonts w:ascii="Arial" w:cs="Arial" w:eastAsia="Arial" w:hAnsi="Arial"/>
          <w:sz w:val="16"/>
          <w:szCs w:val="16"/>
          <w:color w:val="auto"/>
        </w:rPr>
        <w:t xml:space="preserve">In our opinion, PennantPark Floating Rate Capital, Ltd. and its Subsidiary maintained, in all material respects, effective internal control over financial reporting as of September 30, 2012, based on criteria established in </w:t>
      </w:r>
      <w:r>
        <w:rPr>
          <w:rFonts w:ascii="Arial" w:cs="Arial" w:eastAsia="Arial" w:hAnsi="Arial"/>
          <w:sz w:val="16"/>
          <w:szCs w:val="16"/>
          <w:i w:val="1"/>
          <w:iCs w:val="1"/>
          <w:color w:val="auto"/>
        </w:rPr>
        <w:t>Internal Control—Integrated Framework,</w:t>
      </w:r>
      <w:r>
        <w:rPr>
          <w:rFonts w:ascii="Arial" w:cs="Arial" w:eastAsia="Arial" w:hAnsi="Arial"/>
          <w:sz w:val="16"/>
          <w:szCs w:val="16"/>
          <w:color w:val="auto"/>
        </w:rPr>
        <w:t xml:space="preserve"> issued by COSO.</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the statements of assets and liabilities of PennantPark Floating Rate Capital Ltd. and its Subsidiary, including the schedules of investments as of September 30, 2012 and 2011, and the related statements of operations, changes in net assets, and cash flows for the year ended September 30, 2012 and for the period March 4, 2011 (commencement of operations) to September 30, 2011 and our report dated November 14, 2012 expressed an unqualified opinion on those financial statements.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14,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00"/>
          </w:cols>
          <w:pgMar w:left="240" w:top="460" w:right="25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5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36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w w:val="91"/>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2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2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(cost—$171,578,009 and $114,829,621, respectively)</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93"/>
              </w:rPr>
              <w:t>171,834,400</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110,724,241</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equivalents (See Note 7)</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3,845,803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1,388,867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986,278</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2,467,500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311,313</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163,374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2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178,366,661</w:t>
            </w: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121,075,260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Distributions payable</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548,053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479,547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3,357,500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Unfunded investments</w:t>
            </w:r>
          </w:p>
        </w:tc>
        <w:tc>
          <w:tcPr>
            <w:tcW w:w="180" w:type="dxa"/>
            <w:vAlign w:val="bottom"/>
          </w:tcPr>
          <w:p>
            <w:pPr>
              <w:spacing w:after="0"/>
              <w:rPr>
                <w:sz w:val="18"/>
                <w:szCs w:val="18"/>
                <w:color w:val="auto"/>
              </w:rPr>
            </w:pPr>
          </w:p>
        </w:tc>
        <w:tc>
          <w:tcPr>
            <w:tcW w:w="138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2,323,250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payable (cost—$75,500,000 and $24,650,000, respectively) (See Notes 5 and 10)</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75,122,500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Interest payable on Credit Facility</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161,550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150,246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payable (See Note 3)</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424,747</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266,432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Performance-based incentive fees payable (See Note 3)</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506,314</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Accrued other expenses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447,120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143,680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Accrued sales load charges (See Note 3)</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2,055,000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82,622,784</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29,003,155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28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Common stock, 6,850,667 shares are issued and outstanding.</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18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6,851</w:t>
            </w:r>
          </w:p>
        </w:tc>
        <w:tc>
          <w:tcPr>
            <w:tcW w:w="3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6,851</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95,192,222</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97,251,174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(1,313,000)</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1,223,913</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311,988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256,391</w:t>
            </w: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unrealized appreciation on Credit Facility</w:t>
            </w:r>
          </w:p>
        </w:tc>
        <w:tc>
          <w:tcPr>
            <w:tcW w:w="18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377,500</w:t>
            </w: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95,743,877</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92,072,105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vMerge w:val="restart"/>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8260" w:type="dxa"/>
            <w:vAlign w:val="bottom"/>
            <w:vMerge w:val="continue"/>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w w:val="93"/>
              </w:rPr>
              <w:t>178,366,661</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w w:val="93"/>
              </w:rPr>
              <w:t>121,075,260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13.98</w:t>
            </w:r>
          </w:p>
        </w:tc>
        <w:tc>
          <w:tcPr>
            <w:tcW w:w="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460" w:right="2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For the period 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380" w:type="dxa"/>
            <w:vAlign w:val="bottom"/>
          </w:tcPr>
          <w:p>
            <w:pPr>
              <w:spacing w:after="0"/>
              <w:rPr>
                <w:sz w:val="12"/>
                <w:szCs w:val="12"/>
                <w:color w:val="auto"/>
              </w:rPr>
            </w:pPr>
          </w:p>
        </w:tc>
        <w:tc>
          <w:tcPr>
            <w:tcW w:w="9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1060" w:type="dxa"/>
            <w:vAlign w:val="bottom"/>
          </w:tcPr>
          <w:p>
            <w:pPr>
              <w:spacing w:after="0"/>
              <w:rPr>
                <w:sz w:val="12"/>
                <w:szCs w:val="12"/>
                <w:color w:val="auto"/>
              </w:rPr>
            </w:pP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center"/>
              <w:ind w:right="14"/>
              <w:spacing w:after="0"/>
              <w:rPr>
                <w:sz w:val="20"/>
                <w:szCs w:val="20"/>
                <w:color w:val="auto"/>
              </w:rPr>
            </w:pPr>
            <w:r>
              <w:rPr>
                <w:rFonts w:ascii="Arial" w:cs="Arial" w:eastAsia="Arial" w:hAnsi="Arial"/>
                <w:sz w:val="14"/>
                <w:szCs w:val="14"/>
                <w:b w:val="1"/>
                <w:bCs w:val="1"/>
                <w:color w:val="auto"/>
                <w:w w:val="83"/>
              </w:rPr>
              <w:t>2012</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11,856,483</w:t>
            </w:r>
          </w:p>
        </w:tc>
        <w:tc>
          <w:tcPr>
            <w:tcW w:w="11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2,946,599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242,065</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income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12,098,548</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2,946,599</w:t>
            </w:r>
          </w:p>
        </w:tc>
        <w:tc>
          <w:tcPr>
            <w:tcW w:w="0" w:type="dxa"/>
            <w:vAlign w:val="bottom"/>
          </w:tcPr>
          <w:p>
            <w:pPr>
              <w:spacing w:after="0"/>
              <w:rPr>
                <w:sz w:val="1"/>
                <w:szCs w:val="1"/>
                <w:color w:val="auto"/>
              </w:rPr>
            </w:pPr>
          </w:p>
        </w:tc>
      </w:tr>
      <w:tr>
        <w:trPr>
          <w:trHeight w:val="222"/>
        </w:trPr>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1,494,616</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Performance-based incentive fees (Note 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564,540</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 (See Note 10)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1,482,339</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155,913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583,613</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182,995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1,310,084</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556,076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b w:val="1"/>
                <w:bCs w:val="1"/>
                <w:color w:val="auto"/>
              </w:rPr>
              <w:t>Expenses before Credit Facility costs and excise tax expense</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5,435,192</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1,260,417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issuance costs (See Note 10)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311,648</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1,366,043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Excise tax</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42,027</w:t>
            </w:r>
          </w:p>
        </w:tc>
        <w:tc>
          <w:tcPr>
            <w:tcW w:w="10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1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5,788,867</w:t>
            </w:r>
          </w:p>
        </w:tc>
        <w:tc>
          <w:tcPr>
            <w:tcW w:w="10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2,626,460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80" w:type="dxa"/>
            <w:vAlign w:val="bottom"/>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6,309,681</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320,139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911,925</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311,988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4,361,772</w:t>
            </w: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appreciation (See Note 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377,500</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b w:val="1"/>
                <w:bCs w:val="1"/>
                <w:color w:val="auto"/>
              </w:rPr>
              <w:t>Net change in unrealized appreciation (depreciation) on investments and Credit</w:t>
            </w: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380" w:type="dxa"/>
            <w:vAlign w:val="bottom"/>
          </w:tcPr>
          <w:p>
            <w:pPr>
              <w:ind w:left="640"/>
              <w:spacing w:after="0"/>
              <w:rPr>
                <w:sz w:val="20"/>
                <w:szCs w:val="20"/>
                <w:color w:val="auto"/>
              </w:rPr>
            </w:pPr>
            <w:r>
              <w:rPr>
                <w:rFonts w:ascii="Arial" w:cs="Arial" w:eastAsia="Arial" w:hAnsi="Arial"/>
                <w:sz w:val="18"/>
                <w:szCs w:val="18"/>
                <w:b w:val="1"/>
                <w:bCs w:val="1"/>
                <w:color w:val="auto"/>
              </w:rPr>
              <w:t>Facility</w:t>
            </w: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4,739,272</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realized and unrealized gain (loss) from investments and Credit Facility</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5,651,197</w:t>
            </w: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(3,793,392)</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740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11,960,878</w:t>
            </w:r>
          </w:p>
        </w:tc>
        <w:tc>
          <w:tcPr>
            <w:tcW w:w="1160" w:type="dxa"/>
            <w:vAlign w:val="bottom"/>
            <w:gridSpan w:val="2"/>
          </w:tcPr>
          <w:p>
            <w:pPr>
              <w:ind w:left="106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40"/>
              <w:spacing w:after="0"/>
              <w:rPr>
                <w:sz w:val="20"/>
                <w:szCs w:val="20"/>
                <w:color w:val="auto"/>
              </w:rPr>
            </w:pPr>
            <w:r>
              <w:rPr>
                <w:rFonts w:ascii="Arial" w:cs="Arial" w:eastAsia="Arial" w:hAnsi="Arial"/>
                <w:sz w:val="18"/>
                <w:szCs w:val="18"/>
                <w:color w:val="auto"/>
              </w:rPr>
              <w:t>(3,473,253)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9"/>
              </w:rPr>
              <w:t>Net increase (decrease) in net assets resulting from operations per common share (See Note</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8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3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1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1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Net investment income per common share</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0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0.92</w:t>
            </w:r>
          </w:p>
        </w:tc>
        <w:tc>
          <w:tcPr>
            <w:tcW w:w="1160" w:type="dxa"/>
            <w:vAlign w:val="bottom"/>
            <w:gridSpan w:val="2"/>
          </w:tcPr>
          <w:p>
            <w:pPr>
              <w:ind w:left="1060"/>
              <w:spacing w:after="0"/>
              <w:rPr>
                <w:sz w:val="20"/>
                <w:szCs w:val="20"/>
                <w:color w:val="auto"/>
              </w:rPr>
            </w:pPr>
            <w:r>
              <w:rPr>
                <w:rFonts w:ascii="Arial" w:cs="Arial" w:eastAsia="Arial" w:hAnsi="Arial"/>
                <w:sz w:val="18"/>
                <w:szCs w:val="18"/>
                <w:color w:val="auto"/>
                <w:w w:val="79"/>
              </w:rPr>
              <w:t>$</w:t>
            </w:r>
          </w:p>
        </w:tc>
        <w:tc>
          <w:tcPr>
            <w:tcW w:w="1960" w:type="dxa"/>
            <w:vAlign w:val="bottom"/>
            <w:gridSpan w:val="2"/>
          </w:tcPr>
          <w:p>
            <w:pPr>
              <w:jc w:val="right"/>
              <w:ind w:right="100"/>
              <w:spacing w:after="0"/>
              <w:rPr>
                <w:sz w:val="20"/>
                <w:szCs w:val="20"/>
                <w:color w:val="auto"/>
              </w:rPr>
            </w:pPr>
            <w:r>
              <w:rPr>
                <w:rFonts w:ascii="Arial" w:cs="Arial" w:eastAsia="Arial" w:hAnsi="Arial"/>
                <w:sz w:val="18"/>
                <w:szCs w:val="18"/>
                <w:color w:val="auto"/>
              </w:rPr>
              <w:t>0.05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459" w:right="23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For the period March 04,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6"/>
              </w:rPr>
              <w:t>Year Ended</w:t>
            </w:r>
          </w:p>
        </w:tc>
        <w:tc>
          <w:tcPr>
            <w:tcW w:w="560" w:type="dxa"/>
            <w:vAlign w:val="bottom"/>
          </w:tcPr>
          <w:p>
            <w:pPr>
              <w:spacing w:after="0"/>
              <w:rPr>
                <w:sz w:val="12"/>
                <w:szCs w:val="12"/>
                <w:color w:val="auto"/>
              </w:rPr>
            </w:pP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(decrease) in net assets resulting from operations:</w:t>
            </w:r>
          </w:p>
        </w:tc>
        <w:tc>
          <w:tcPr>
            <w:tcW w:w="6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6,309,681</w:t>
            </w: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320,139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on investments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911,925</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311,988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4,361,772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(4,105,380)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on Credit Facility</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377,500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(decrease) in net assets resulting from operations</w:t>
            </w: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vMerge w:val="continue"/>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11,960,878</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(3,473,253)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(6,234,106)</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(1,712,667)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6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420"/>
              <w:spacing w:after="0"/>
              <w:rPr>
                <w:sz w:val="20"/>
                <w:szCs w:val="20"/>
                <w:color w:val="auto"/>
              </w:rPr>
            </w:pPr>
            <w:r>
              <w:rPr>
                <w:rFonts w:ascii="Arial" w:cs="Arial" w:eastAsia="Arial" w:hAnsi="Arial"/>
                <w:sz w:val="18"/>
                <w:szCs w:val="18"/>
                <w:color w:val="auto"/>
              </w:rPr>
              <w:t>Proceeds from issuance of common stock</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102,760,000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sales load charges (See Notes 1 and 3)</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(2,055,000)</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(5,501,975)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420"/>
              <w:spacing w:after="0"/>
              <w:rPr>
                <w:sz w:val="20"/>
                <w:szCs w:val="20"/>
                <w:color w:val="auto"/>
              </w:rPr>
            </w:pPr>
            <w:r>
              <w:rPr>
                <w:rFonts w:ascii="Arial" w:cs="Arial" w:eastAsia="Arial" w:hAnsi="Arial"/>
                <w:sz w:val="18"/>
                <w:szCs w:val="18"/>
                <w:b w:val="1"/>
                <w:bCs w:val="1"/>
                <w:color w:val="auto"/>
                <w:w w:val="96"/>
              </w:rPr>
              <w:t>Net (decrease) increase in net assets resulting from capital transactions</w:t>
            </w: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6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540"/>
              <w:spacing w:after="0"/>
              <w:rPr>
                <w:sz w:val="20"/>
                <w:szCs w:val="20"/>
                <w:color w:val="auto"/>
              </w:rPr>
            </w:pPr>
            <w:r>
              <w:rPr>
                <w:rFonts w:ascii="Arial" w:cs="Arial" w:eastAsia="Arial" w:hAnsi="Arial"/>
                <w:sz w:val="18"/>
                <w:szCs w:val="18"/>
                <w:color w:val="auto"/>
              </w:rPr>
              <w:t>(2,055,000)</w:t>
            </w: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97,258,025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increase in net assets</w:t>
            </w: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3,671,772</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92,072,105</w:t>
            </w:r>
          </w:p>
        </w:tc>
        <w:tc>
          <w:tcPr>
            <w:tcW w:w="0" w:type="dxa"/>
            <w:vAlign w:val="bottom"/>
          </w:tcPr>
          <w:p>
            <w:pPr>
              <w:spacing w:after="0"/>
              <w:rPr>
                <w:sz w:val="1"/>
                <w:szCs w:val="1"/>
                <w:color w:val="auto"/>
              </w:rPr>
            </w:pPr>
          </w:p>
        </w:tc>
      </w:tr>
      <w:tr>
        <w:trPr>
          <w:trHeight w:val="323"/>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Net assets:</w:t>
            </w: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Beginning of period</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92,072,105</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vMerge w:val="restart"/>
          </w:tcPr>
          <w:p>
            <w:pPr>
              <w:ind w:left="420"/>
              <w:spacing w:after="0"/>
              <w:rPr>
                <w:sz w:val="20"/>
                <w:szCs w:val="20"/>
                <w:color w:val="auto"/>
              </w:rPr>
            </w:pPr>
            <w:r>
              <w:rPr>
                <w:rFonts w:ascii="Arial" w:cs="Arial" w:eastAsia="Arial" w:hAnsi="Arial"/>
                <w:sz w:val="18"/>
                <w:szCs w:val="18"/>
                <w:color w:val="auto"/>
              </w:rPr>
              <w:t>End of period</w:t>
            </w:r>
          </w:p>
        </w:tc>
        <w:tc>
          <w:tcPr>
            <w:tcW w:w="6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6380" w:type="dxa"/>
            <w:vAlign w:val="bottom"/>
            <w:vMerge w:val="continue"/>
          </w:tcPr>
          <w:p>
            <w:pPr>
              <w:spacing w:after="0"/>
              <w:rPr>
                <w:sz w:val="19"/>
                <w:szCs w:val="19"/>
                <w:color w:val="auto"/>
              </w:rPr>
            </w:pPr>
          </w:p>
        </w:tc>
        <w:tc>
          <w:tcPr>
            <w:tcW w:w="8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600"/>
              <w:spacing w:after="0"/>
              <w:rPr>
                <w:sz w:val="20"/>
                <w:szCs w:val="20"/>
                <w:color w:val="auto"/>
              </w:rPr>
            </w:pPr>
            <w:r>
              <w:rPr>
                <w:rFonts w:ascii="Arial" w:cs="Arial" w:eastAsia="Arial" w:hAnsi="Arial"/>
                <w:sz w:val="18"/>
                <w:szCs w:val="18"/>
                <w:color w:val="auto"/>
              </w:rPr>
              <w:t>95,743,877</w:t>
            </w:r>
          </w:p>
        </w:tc>
        <w:tc>
          <w:tcPr>
            <w:tcW w:w="640" w:type="dxa"/>
            <w:vAlign w:val="bottom"/>
            <w:gridSpan w:val="2"/>
          </w:tcPr>
          <w:p>
            <w:pPr>
              <w:ind w:left="560"/>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92,072,105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in excess of net investment income, end of period</w:t>
            </w:r>
          </w:p>
        </w:tc>
        <w:tc>
          <w:tcPr>
            <w:tcW w:w="82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(1,313,000)</w:t>
            </w:r>
          </w:p>
        </w:tc>
        <w:tc>
          <w:tcPr>
            <w:tcW w:w="640" w:type="dxa"/>
            <w:vAlign w:val="bottom"/>
            <w:gridSpan w:val="2"/>
            <w:shd w:val="clear" w:color="auto" w:fill="CCEEFF"/>
          </w:tcPr>
          <w:p>
            <w:pPr>
              <w:ind w:left="560"/>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(1,392,528)</w:t>
            </w:r>
          </w:p>
        </w:tc>
        <w:tc>
          <w:tcPr>
            <w:tcW w:w="0" w:type="dxa"/>
            <w:vAlign w:val="bottom"/>
          </w:tcPr>
          <w:p>
            <w:pPr>
              <w:spacing w:after="0"/>
              <w:rPr>
                <w:sz w:val="1"/>
                <w:szCs w:val="1"/>
                <w:color w:val="auto"/>
              </w:rPr>
            </w:pPr>
          </w:p>
        </w:tc>
      </w:tr>
      <w:tr>
        <w:trPr>
          <w:trHeight w:val="222"/>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Capital Share Activity:</w:t>
            </w:r>
          </w:p>
        </w:tc>
        <w:tc>
          <w:tcPr>
            <w:tcW w:w="6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Issuance of shares from offerings</w:t>
            </w:r>
          </w:p>
        </w:tc>
        <w:tc>
          <w:tcPr>
            <w:tcW w:w="6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6,850,667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460" w:right="23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8"/>
              </w:rPr>
              <w:t>For the period March 04, 2011</w:t>
            </w:r>
          </w:p>
        </w:tc>
      </w:tr>
      <w:tr>
        <w:trPr>
          <w:trHeight w:val="149"/>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w w:val="96"/>
              </w:rPr>
              <w:t>Year Ended</w:t>
            </w:r>
          </w:p>
        </w:tc>
        <w:tc>
          <w:tcPr>
            <w:tcW w:w="540" w:type="dxa"/>
            <w:vAlign w:val="bottom"/>
          </w:tcPr>
          <w:p>
            <w:pPr>
              <w:spacing w:after="0"/>
              <w:rPr>
                <w:sz w:val="12"/>
                <w:szCs w:val="12"/>
                <w:color w:val="auto"/>
              </w:rPr>
            </w:pPr>
          </w:p>
        </w:tc>
        <w:tc>
          <w:tcPr>
            <w:tcW w:w="2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0"/>
              </w:rPr>
              <w:t>(commencement of operations) to</w:t>
            </w: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7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September 30, 2011</w:t>
            </w:r>
          </w:p>
        </w:tc>
      </w:tr>
      <w:tr>
        <w:trPr>
          <w:trHeight w:val="196"/>
        </w:trPr>
        <w:tc>
          <w:tcPr>
            <w:tcW w:w="20" w:type="dxa"/>
            <w:vAlign w:val="bottom"/>
          </w:tcPr>
          <w:p>
            <w:pPr>
              <w:spacing w:after="0"/>
              <w:rPr>
                <w:sz w:val="17"/>
                <w:szCs w:val="17"/>
                <w:color w:val="auto"/>
              </w:rPr>
            </w:pPr>
          </w:p>
        </w:tc>
        <w:tc>
          <w:tcPr>
            <w:tcW w:w="6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6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Net increase (decrease) in net assets resulting from operations</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11,960,878</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(3,473,253)</w:t>
            </w:r>
          </w:p>
        </w:tc>
      </w:tr>
      <w:tr>
        <w:trPr>
          <w:trHeight w:val="208"/>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Adjustments to reconcile net increase (decrease) in net assets resulting from</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operations to net cash used by operating activities:</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Net change in unrealized (appreciation) depreciation on investments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(4,361,772)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4,105,380</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change in unrealized appreciation on Credit Facility</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(377,500)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Net realized gain on investments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(911,925)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(311,988)</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accretion of discount and amortization of premium</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(704,452)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(136,975)</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Purchase of investments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w w:val="92"/>
              </w:rPr>
              <w:t>(128,673,695)</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(147,545,077)</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Payment-in-kind interest</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(119,552)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(42,074)</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Proceeds from dispositions of investments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71,499,356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33,206,493</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receivable for investments sold</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1,481,222</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(2,467,500)</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(Increase) in interest receivable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(656,172)</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(732,695)</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prepaid expenses and other assets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(147,939)</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(163,374)</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Increase in payable for investments purchased</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2,367,500</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990,000</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(Decrease) increase in unfunded investments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(161,370)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2,323,250</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Increase in interest payable on Credit Facility</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11,304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150,246</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management fee payable</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158,315</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266,432</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Increase in performance-based incentive fees payable</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506,314</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Increase in accrued expenses</w:t>
            </w:r>
          </w:p>
        </w:tc>
        <w:tc>
          <w:tcPr>
            <w:tcW w:w="6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303,440</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143,680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420" w:type="dxa"/>
            <w:vAlign w:val="bottom"/>
          </w:tcPr>
          <w:p>
            <w:pPr>
              <w:ind w:left="1280"/>
              <w:spacing w:after="0"/>
              <w:rPr>
                <w:sz w:val="20"/>
                <w:szCs w:val="20"/>
                <w:color w:val="auto"/>
              </w:rPr>
            </w:pPr>
            <w:r>
              <w:rPr>
                <w:rFonts w:ascii="Arial" w:cs="Arial" w:eastAsia="Arial" w:hAnsi="Arial"/>
                <w:sz w:val="18"/>
                <w:szCs w:val="18"/>
                <w:color w:val="auto"/>
              </w:rPr>
              <w:t>Net cash used by operating activities</w:t>
            </w: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(47,826,048)</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(113,687,455)</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Proceeds from offerings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102,760,000</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Offering costs</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(5,501,975)</w:t>
            </w:r>
          </w:p>
        </w:tc>
      </w:tr>
      <w:tr>
        <w:trPr>
          <w:trHeight w:val="216"/>
        </w:trPr>
        <w:tc>
          <w:tcPr>
            <w:tcW w:w="20" w:type="dxa"/>
            <w:vAlign w:val="bottom"/>
          </w:tcPr>
          <w:p>
            <w:pPr>
              <w:spacing w:after="0"/>
              <w:rPr>
                <w:sz w:val="18"/>
                <w:szCs w:val="18"/>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Distributions paid to stockholders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(6,165,599)</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(1,233,120)</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Borrowings under Credit Facility (See Notes 5 and 10)</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97,650,000</w:t>
            </w: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29,000,000</w:t>
            </w:r>
          </w:p>
        </w:tc>
      </w:tr>
      <w:tr>
        <w:trPr>
          <w:trHeight w:val="223"/>
        </w:trPr>
        <w:tc>
          <w:tcPr>
            <w:tcW w:w="20" w:type="dxa"/>
            <w:vAlign w:val="bottom"/>
          </w:tcPr>
          <w:p>
            <w:pPr>
              <w:spacing w:after="0"/>
              <w:rPr>
                <w:sz w:val="19"/>
                <w:szCs w:val="19"/>
                <w:color w:val="auto"/>
              </w:rPr>
            </w:pPr>
          </w:p>
        </w:tc>
        <w:tc>
          <w:tcPr>
            <w:tcW w:w="6420" w:type="dxa"/>
            <w:vAlign w:val="bottom"/>
          </w:tcPr>
          <w:p>
            <w:pPr>
              <w:ind w:left="860"/>
              <w:spacing w:after="0"/>
              <w:rPr>
                <w:sz w:val="20"/>
                <w:szCs w:val="20"/>
                <w:color w:val="auto"/>
              </w:rPr>
            </w:pPr>
            <w:r>
              <w:rPr>
                <w:rFonts w:ascii="Arial" w:cs="Arial" w:eastAsia="Arial" w:hAnsi="Arial"/>
                <w:sz w:val="18"/>
                <w:szCs w:val="18"/>
                <w:color w:val="auto"/>
              </w:rPr>
              <w:t>Repayments under Credit Facility (See Notes 5 and 10)</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(46,800,000)</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2"/>
          </w:tcPr>
          <w:p>
            <w:pPr>
              <w:jc w:val="right"/>
              <w:ind w:right="40"/>
              <w:spacing w:after="0"/>
              <w:rPr>
                <w:sz w:val="20"/>
                <w:szCs w:val="20"/>
                <w:color w:val="auto"/>
              </w:rPr>
            </w:pPr>
            <w:r>
              <w:rPr>
                <w:rFonts w:ascii="Arial" w:cs="Arial" w:eastAsia="Arial" w:hAnsi="Arial"/>
                <w:sz w:val="18"/>
                <w:szCs w:val="18"/>
                <w:color w:val="auto"/>
              </w:rPr>
              <w:t>(4,350,000)</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financing activities</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44,684,401</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120,674,905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Net (decrease) increase in cash equivalents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(3,141,647)</w:t>
            </w: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6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3,845,803</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6,987,450</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420"/>
              <w:spacing w:after="0"/>
              <w:rPr>
                <w:sz w:val="20"/>
                <w:szCs w:val="20"/>
                <w:color w:val="auto"/>
              </w:rPr>
            </w:pPr>
            <w:r>
              <w:rPr>
                <w:rFonts w:ascii="Arial" w:cs="Arial" w:eastAsia="Arial" w:hAnsi="Arial"/>
                <w:sz w:val="18"/>
                <w:szCs w:val="18"/>
                <w:color w:val="auto"/>
              </w:rPr>
              <w:t>Interest paid</w:t>
            </w:r>
          </w:p>
        </w:tc>
        <w:tc>
          <w:tcPr>
            <w:tcW w:w="80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580"/>
              <w:spacing w:after="0"/>
              <w:rPr>
                <w:sz w:val="20"/>
                <w:szCs w:val="20"/>
                <w:color w:val="auto"/>
              </w:rPr>
            </w:pPr>
            <w:r>
              <w:rPr>
                <w:rFonts w:ascii="Arial" w:cs="Arial" w:eastAsia="Arial" w:hAnsi="Arial"/>
                <w:sz w:val="18"/>
                <w:szCs w:val="18"/>
                <w:color w:val="auto"/>
              </w:rPr>
              <w:t>1,471,035</w:t>
            </w:r>
          </w:p>
        </w:tc>
        <w:tc>
          <w:tcPr>
            <w:tcW w:w="620" w:type="dxa"/>
            <w:vAlign w:val="bottom"/>
            <w:gridSpan w:val="2"/>
          </w:tcPr>
          <w:p>
            <w:pPr>
              <w:ind w:left="540"/>
              <w:spacing w:after="0"/>
              <w:rPr>
                <w:sz w:val="20"/>
                <w:szCs w:val="20"/>
                <w:color w:val="auto"/>
              </w:rPr>
            </w:pPr>
            <w:r>
              <w:rPr>
                <w:rFonts w:ascii="Arial" w:cs="Arial" w:eastAsia="Arial" w:hAnsi="Arial"/>
                <w:sz w:val="15"/>
                <w:szCs w:val="15"/>
                <w:color w:val="auto"/>
                <w:w w:val="71"/>
              </w:rPr>
              <w:t>$</w:t>
            </w:r>
          </w:p>
        </w:tc>
        <w:tc>
          <w:tcPr>
            <w:tcW w:w="1980" w:type="dxa"/>
            <w:vAlign w:val="bottom"/>
            <w:gridSpan w:val="2"/>
          </w:tcPr>
          <w:p>
            <w:pPr>
              <w:jc w:val="right"/>
              <w:ind w:right="100"/>
              <w:spacing w:after="0"/>
              <w:rPr>
                <w:sz w:val="20"/>
                <w:szCs w:val="20"/>
                <w:color w:val="auto"/>
              </w:rPr>
            </w:pPr>
            <w:r>
              <w:rPr>
                <w:rFonts w:ascii="Arial" w:cs="Arial" w:eastAsia="Arial" w:hAnsi="Arial"/>
                <w:sz w:val="18"/>
                <w:szCs w:val="18"/>
                <w:color w:val="auto"/>
              </w:rPr>
              <w:t>5,556</w:t>
            </w:r>
          </w:p>
        </w:tc>
      </w:tr>
      <w:tr>
        <w:trPr>
          <w:trHeight w:val="27"/>
        </w:trPr>
        <w:tc>
          <w:tcPr>
            <w:tcW w:w="20" w:type="dxa"/>
            <w:vAlign w:val="bottom"/>
          </w:tcPr>
          <w:p>
            <w:pPr>
              <w:spacing w:after="0"/>
              <w:rPr>
                <w:sz w:val="2"/>
                <w:szCs w:val="2"/>
                <w:color w:val="auto"/>
              </w:rPr>
            </w:pPr>
          </w:p>
        </w:tc>
        <w:tc>
          <w:tcPr>
            <w:tcW w:w="6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paid</w:t>
            </w:r>
          </w:p>
        </w:tc>
        <w:tc>
          <w:tcPr>
            <w:tcW w:w="8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3,952</w:t>
            </w:r>
          </w:p>
        </w:tc>
        <w:tc>
          <w:tcPr>
            <w:tcW w:w="620" w:type="dxa"/>
            <w:vAlign w:val="bottom"/>
            <w:gridSpan w:val="2"/>
            <w:shd w:val="clear" w:color="auto" w:fill="CCEEFF"/>
          </w:tcPr>
          <w:p>
            <w:pPr>
              <w:ind w:left="540"/>
              <w:spacing w:after="0"/>
              <w:rPr>
                <w:sz w:val="20"/>
                <w:szCs w:val="20"/>
                <w:color w:val="auto"/>
              </w:rPr>
            </w:pPr>
            <w:r>
              <w:rPr>
                <w:rFonts w:ascii="Arial" w:cs="Arial" w:eastAsia="Arial" w:hAnsi="Arial"/>
                <w:sz w:val="15"/>
                <w:szCs w:val="15"/>
                <w:color w:val="auto"/>
                <w:w w:val="71"/>
              </w:rPr>
              <w:t>$</w:t>
            </w:r>
          </w:p>
        </w:tc>
        <w:tc>
          <w:tcPr>
            <w:tcW w:w="1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459" w:right="23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Basis Point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7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7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Current</w:t>
            </w:r>
          </w:p>
        </w:tc>
        <w:tc>
          <w:tcPr>
            <w:tcW w:w="78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1"/>
                <w:szCs w:val="11"/>
                <w:color w:val="auto"/>
              </w:rPr>
            </w:pPr>
          </w:p>
        </w:tc>
        <w:tc>
          <w:tcPr>
            <w:tcW w:w="58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rPr>
              <w:t>Par/</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35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40" w:type="dxa"/>
            <w:vAlign w:val="bottom"/>
          </w:tcPr>
          <w:p>
            <w:pPr>
              <w:spacing w:after="0"/>
              <w:rPr>
                <w:sz w:val="15"/>
                <w:szCs w:val="15"/>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Maturity</w:t>
            </w:r>
          </w:p>
        </w:tc>
        <w:tc>
          <w:tcPr>
            <w:tcW w:w="820" w:type="dxa"/>
            <w:vAlign w:val="bottom"/>
          </w:tcPr>
          <w:p>
            <w:pPr>
              <w:spacing w:after="0"/>
              <w:rPr>
                <w:sz w:val="15"/>
                <w:szCs w:val="15"/>
                <w:color w:val="auto"/>
              </w:rPr>
            </w:pPr>
          </w:p>
        </w:tc>
        <w:tc>
          <w:tcPr>
            <w:tcW w:w="13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Industry</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Coupon</w:t>
            </w:r>
          </w:p>
        </w:tc>
        <w:tc>
          <w:tcPr>
            <w:tcW w:w="780" w:type="dxa"/>
            <w:vAlign w:val="bottom"/>
            <w:gridSpan w:val="2"/>
          </w:tcPr>
          <w:p>
            <w:pPr>
              <w:jc w:val="center"/>
              <w:ind w:right="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1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Shares</w:t>
            </w:r>
          </w:p>
        </w:tc>
        <w:tc>
          <w:tcPr>
            <w:tcW w:w="7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760" w:type="dxa"/>
            <w:vAlign w:val="bottom"/>
            <w:gridSpan w:val="2"/>
          </w:tcPr>
          <w:p>
            <w:pPr>
              <w:jc w:val="right"/>
              <w:ind w:right="30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vMerge w:val="continue"/>
          </w:tcPr>
          <w:p>
            <w:pPr>
              <w:spacing w:after="0"/>
              <w:rPr>
                <w:sz w:val="10"/>
                <w:szCs w:val="10"/>
                <w:color w:val="auto"/>
              </w:rPr>
            </w:pPr>
          </w:p>
        </w:tc>
        <w:tc>
          <w:tcPr>
            <w:tcW w:w="3520" w:type="dxa"/>
            <w:vAlign w:val="bottom"/>
            <w:gridSpan w:val="2"/>
            <w:shd w:val="clear" w:color="auto" w:fill="CCEEFF"/>
          </w:tcPr>
          <w:p>
            <w:pPr>
              <w:spacing w:after="0" w:line="115" w:lineRule="exact"/>
              <w:rPr>
                <w:sz w:val="20"/>
                <w:szCs w:val="20"/>
                <w:color w:val="auto"/>
              </w:rPr>
            </w:pPr>
            <w:r>
              <w:rPr>
                <w:rFonts w:ascii="Arial" w:cs="Arial" w:eastAsia="Arial" w:hAnsi="Arial"/>
                <w:sz w:val="12"/>
                <w:szCs w:val="12"/>
                <w:b w:val="1"/>
                <w:bCs w:val="1"/>
                <w:color w:val="auto"/>
              </w:rPr>
              <w:t>Investments in Non-Controlled, Non-Affiliated</w:t>
            </w:r>
          </w:p>
        </w:tc>
        <w:tc>
          <w:tcPr>
            <w:tcW w:w="84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Portfolio Companies—179.5%</w:t>
            </w:r>
            <w:r>
              <w:rPr>
                <w:rFonts w:ascii="Arial" w:cs="Arial" w:eastAsia="Arial" w:hAnsi="Arial"/>
                <w:sz w:val="20"/>
                <w:szCs w:val="20"/>
                <w:b w:val="1"/>
                <w:bCs w:val="1"/>
                <w:color w:val="auto"/>
                <w:vertAlign w:val="superscript"/>
              </w:rPr>
              <w:t>(3),(4)</w:t>
            </w:r>
          </w:p>
        </w:tc>
        <w:tc>
          <w:tcPr>
            <w:tcW w:w="8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Debt—156.9%</w:t>
            </w:r>
          </w:p>
        </w:tc>
        <w:tc>
          <w:tcPr>
            <w:tcW w:w="8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03/25/2015</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Telecommunications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L+800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214,286</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214,838</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  214,018</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tcPr>
          <w:p>
            <w:pPr>
              <w:spacing w:after="0" w:line="138" w:lineRule="exact"/>
              <w:rPr>
                <w:sz w:val="20"/>
                <w:szCs w:val="20"/>
                <w:color w:val="auto"/>
              </w:rPr>
            </w:pPr>
            <w:r>
              <w:rPr>
                <w:rFonts w:ascii="Arial" w:cs="Arial" w:eastAsia="Arial" w:hAnsi="Arial"/>
                <w:sz w:val="14"/>
                <w:szCs w:val="14"/>
                <w:color w:val="auto"/>
              </w:rPr>
              <w:t>Archipelago Learning, Inc.</w:t>
            </w:r>
          </w:p>
        </w:tc>
        <w:tc>
          <w:tcPr>
            <w:tcW w:w="15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05/17/2018</w:t>
            </w:r>
          </w:p>
        </w:tc>
        <w:tc>
          <w:tcPr>
            <w:tcW w:w="21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7"/>
              </w:rPr>
              <w:t>Media, Broadcasting and</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7.50%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L+600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987,500</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959,574</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987,500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8"/>
              </w:rPr>
              <w:t>Subscription</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10/06/2016</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Consumer Services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2,977,500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2,937,079</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2,962,613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Attachmate Corporation</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11/22/2017</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2,943,750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2,888,381</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2,960,309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07/28/2017</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985,747</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Blue Coat Systems, Inc.</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02/15/2018</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7.50%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3,975,000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3,902,979</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4,014,750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08/17/2017</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Consumer Goods: Durable</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7.25%</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3,866,119</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3,801,408</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3,859,675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DCS Business Services, Inc.</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03/19/2018</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3,733,125</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3,673,063</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3,677,128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12/01/2016</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981,827</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DS Waters of America, Inc.</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08/29/2017</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Beverage, Food and Tobacco</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10.50%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L+900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3,980,000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3,904,846</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4,109,350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07/28/2017</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6.75%</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P+350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950,104</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946,081</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945,353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EIG Investors Corp.</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04/20/2018</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7.75%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L+625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3,990,000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3,952,867</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4,009,950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05/18/2018</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Chemicals, Plastics and Rubber</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6.75%</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1,995,000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1,975,762</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2,004,975</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tcPr>
          <w:p>
            <w:pPr>
              <w:spacing w:after="0" w:line="138" w:lineRule="exact"/>
              <w:rPr>
                <w:sz w:val="20"/>
                <w:szCs w:val="20"/>
                <w:color w:val="auto"/>
              </w:rPr>
            </w:pPr>
            <w:r>
              <w:rPr>
                <w:rFonts w:ascii="Arial" w:cs="Arial" w:eastAsia="Arial" w:hAnsi="Arial"/>
                <w:sz w:val="14"/>
                <w:szCs w:val="14"/>
                <w:color w:val="auto"/>
              </w:rPr>
              <w:t>eResearchtechnology, Inc.</w:t>
            </w:r>
          </w:p>
        </w:tc>
        <w:tc>
          <w:tcPr>
            <w:tcW w:w="15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05/02/2018</w:t>
            </w:r>
          </w:p>
        </w:tc>
        <w:tc>
          <w:tcPr>
            <w:tcW w:w="21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6"/>
              </w:rPr>
              <w:t>Healthcare and</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8.00%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L+650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3,000,000</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2,884,003</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2,962,500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4"/>
              </w:rPr>
              <w:t>Pharmaceuticals</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Fundtech (US FT HOLDCO,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11/30/2017</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7.50%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2,977,500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2,898,672</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2,977,500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GFA Brands, Inc.</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07/02/2018</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Beverage, Food and Tobacco</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1,995,000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1,956,496</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2,012,456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Graton Economic Development Authority</w:t>
            </w:r>
            <w:r>
              <w:rPr>
                <w:rFonts w:ascii="Arial" w:cs="Arial" w:eastAsia="Arial" w:hAnsi="Arial"/>
                <w:sz w:val="17"/>
                <w:szCs w:val="17"/>
                <w:color w:val="auto"/>
                <w:vertAlign w:val="superscript"/>
              </w:rPr>
              <w:t>(8)</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09/02/2019</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Hotel, Gaming and Leisure</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9.63%</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3,120,000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05/27/2016</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9"/>
              </w:rPr>
              <w:t>Environmental Industries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7.00%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2,956,829</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2,933,351</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2,934,653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Healogics, Inc. (f/k/a National Healing Corp.)</w:t>
            </w:r>
          </w:p>
        </w:tc>
        <w:tc>
          <w:tcPr>
            <w:tcW w:w="84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18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6"/>
              </w:rPr>
              <w:t>Healthcare and</w:t>
            </w:r>
          </w:p>
        </w:tc>
        <w:tc>
          <w:tcPr>
            <w:tcW w:w="5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158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11/30/2017</w:t>
            </w:r>
          </w:p>
        </w:tc>
        <w:tc>
          <w:tcPr>
            <w:tcW w:w="218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4"/>
              </w:rPr>
              <w:t>Pharmaceuticals</w:t>
            </w:r>
          </w:p>
        </w:tc>
        <w:tc>
          <w:tcPr>
            <w:tcW w:w="90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8.25%</w:t>
            </w:r>
          </w:p>
        </w:tc>
        <w:tc>
          <w:tcPr>
            <w:tcW w:w="7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L+675</w:t>
            </w:r>
          </w:p>
        </w:tc>
        <w:tc>
          <w:tcPr>
            <w:tcW w:w="74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4,962,500</w:t>
            </w:r>
          </w:p>
        </w:tc>
        <w:tc>
          <w:tcPr>
            <w:tcW w:w="78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4,742,008</w:t>
            </w:r>
          </w:p>
        </w:tc>
        <w:tc>
          <w:tcPr>
            <w:tcW w:w="920" w:type="dxa"/>
            <w:vAlign w:val="bottom"/>
            <w:gridSpan w:val="3"/>
            <w:shd w:val="clear" w:color="auto" w:fill="CCEEFF"/>
          </w:tcPr>
          <w:p>
            <w:pPr>
              <w:jc w:val="right"/>
              <w:ind w:right="220"/>
              <w:spacing w:after="0" w:line="159" w:lineRule="exact"/>
              <w:rPr>
                <w:sz w:val="20"/>
                <w:szCs w:val="20"/>
                <w:color w:val="auto"/>
              </w:rPr>
            </w:pPr>
            <w:r>
              <w:rPr>
                <w:rFonts w:ascii="Arial" w:cs="Arial" w:eastAsia="Arial" w:hAnsi="Arial"/>
                <w:sz w:val="14"/>
                <w:szCs w:val="14"/>
                <w:color w:val="auto"/>
              </w:rPr>
              <w:t>4,925,281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04/01/2019</w:t>
            </w:r>
          </w:p>
        </w:tc>
        <w:tc>
          <w:tcPr>
            <w:tcW w:w="820" w:type="dxa"/>
            <w:vAlign w:val="bottom"/>
          </w:tcPr>
          <w:p>
            <w:pPr>
              <w:spacing w:after="0"/>
              <w:rPr>
                <w:sz w:val="12"/>
                <w:szCs w:val="12"/>
                <w:color w:val="auto"/>
              </w:rPr>
            </w:pPr>
          </w:p>
        </w:tc>
        <w:tc>
          <w:tcPr>
            <w:tcW w:w="1360" w:type="dxa"/>
            <w:vAlign w:val="bottom"/>
            <w:gridSpan w:val="2"/>
          </w:tcPr>
          <w:p>
            <w:pPr>
              <w:jc w:val="center"/>
              <w:ind w:right="840"/>
              <w:spacing w:after="0" w:line="149" w:lineRule="exact"/>
              <w:rPr>
                <w:sz w:val="20"/>
                <w:szCs w:val="20"/>
                <w:color w:val="auto"/>
              </w:rPr>
            </w:pPr>
            <w:r>
              <w:rPr>
                <w:rFonts w:ascii="Arial" w:cs="Arial" w:eastAsia="Arial" w:hAnsi="Arial"/>
                <w:sz w:val="14"/>
                <w:szCs w:val="14"/>
                <w:color w:val="auto"/>
                <w:w w:val="89"/>
              </w:rPr>
              <w:t>Retail</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7.25%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2,985,000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2,929,228</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2,992,463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Howard Berger Co. LLC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08/03/2017</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8"/>
              </w:rPr>
              <w:t>Wholesale</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2,743,125</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2,702,953</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2,715,694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 (8)</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03/30/2017</w:t>
            </w:r>
          </w:p>
        </w:tc>
        <w:tc>
          <w:tcPr>
            <w:tcW w:w="21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11.50%</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2,000,000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1,963,159</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2,125,000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Ikaria,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06/22/2016</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7.75%</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L+650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1,700,000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1,691,500</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1,649,000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tcPr>
          <w:p>
            <w:pPr>
              <w:spacing w:after="0" w:line="138" w:lineRule="exact"/>
              <w:rPr>
                <w:sz w:val="20"/>
                <w:szCs w:val="20"/>
                <w:color w:val="auto"/>
              </w:rPr>
            </w:pPr>
            <w:r>
              <w:rPr>
                <w:rFonts w:ascii="Arial" w:cs="Arial" w:eastAsia="Arial" w:hAnsi="Arial"/>
                <w:sz w:val="14"/>
                <w:szCs w:val="14"/>
                <w:color w:val="auto"/>
              </w:rPr>
              <w:t>Instant Web, Inc.</w:t>
            </w:r>
          </w:p>
        </w:tc>
        <w:tc>
          <w:tcPr>
            <w:tcW w:w="15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08/07/2014</w:t>
            </w:r>
          </w:p>
        </w:tc>
        <w:tc>
          <w:tcPr>
            <w:tcW w:w="218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90"/>
              </w:rPr>
              <w:t>Media: Advertising,</w:t>
            </w:r>
          </w:p>
        </w:tc>
        <w:tc>
          <w:tcPr>
            <w:tcW w:w="900" w:type="dxa"/>
            <w:vAlign w:val="bottom"/>
            <w:gridSpan w:val="2"/>
          </w:tcPr>
          <w:p>
            <w:pPr>
              <w:jc w:val="right"/>
              <w:ind w:right="120"/>
              <w:spacing w:after="0" w:line="138" w:lineRule="exact"/>
              <w:rPr>
                <w:sz w:val="20"/>
                <w:szCs w:val="20"/>
                <w:color w:val="auto"/>
              </w:rPr>
            </w:pPr>
            <w:r>
              <w:rPr>
                <w:rFonts w:ascii="Arial" w:cs="Arial" w:eastAsia="Arial" w:hAnsi="Arial"/>
                <w:sz w:val="10"/>
                <w:szCs w:val="10"/>
                <w:color w:val="auto"/>
              </w:rPr>
              <w:t>3.59%</w:t>
            </w:r>
            <w:r>
              <w:rPr>
                <w:rFonts w:ascii="Arial" w:cs="Arial" w:eastAsia="Arial" w:hAnsi="Arial"/>
                <w:sz w:val="15"/>
                <w:szCs w:val="15"/>
                <w:color w:val="auto"/>
                <w:vertAlign w:val="superscript"/>
              </w:rPr>
              <w:t>(9)</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L+338</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6,836,508</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6,534,349</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5,247,020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9"/>
              </w:rPr>
              <w:t>Printing and Publishing</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09/10/2015</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Chemicals, Plastics and Rubber</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L+775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5,476,250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5,512,699</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5,558,394</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tcPr>
          <w:p>
            <w:pPr>
              <w:spacing w:after="0" w:line="138" w:lineRule="exact"/>
              <w:rPr>
                <w:sz w:val="20"/>
                <w:szCs w:val="20"/>
                <w:color w:val="auto"/>
              </w:rPr>
            </w:pPr>
            <w:r>
              <w:rPr>
                <w:rFonts w:ascii="Arial" w:cs="Arial" w:eastAsia="Arial" w:hAnsi="Arial"/>
                <w:sz w:val="10"/>
                <w:szCs w:val="10"/>
                <w:color w:val="auto"/>
              </w:rPr>
              <w:t>KIK Custom Products Inc.</w:t>
            </w:r>
            <w:r>
              <w:rPr>
                <w:rFonts w:ascii="Arial" w:cs="Arial" w:eastAsia="Arial" w:hAnsi="Arial"/>
                <w:sz w:val="15"/>
                <w:szCs w:val="15"/>
                <w:color w:val="auto"/>
                <w:vertAlign w:val="superscript"/>
              </w:rPr>
              <w:t>(6), (8)</w:t>
            </w:r>
          </w:p>
        </w:tc>
        <w:tc>
          <w:tcPr>
            <w:tcW w:w="15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06/02/2014</w:t>
            </w:r>
          </w:p>
        </w:tc>
        <w:tc>
          <w:tcPr>
            <w:tcW w:w="21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6"/>
              </w:rPr>
              <w:t>Consumer Goods:</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8.50%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L+700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4,937,500</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4,845,282</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4,863,438</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8"/>
              </w:rPr>
              <w:t>Non-Durable</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Medpace Intermediateco,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06/19/2017</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6.50%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1,844,649</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1,821,373</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1,766,252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4"/>
                <w:szCs w:val="14"/>
                <w:color w:val="auto"/>
              </w:rPr>
              <w:t>MModal Inc.</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08/16/2019</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Business Services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6.75%</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3,400,000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3,349,374</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3,351,125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05/07/2018</w:t>
            </w:r>
          </w:p>
        </w:tc>
        <w:tc>
          <w:tcPr>
            <w:tcW w:w="21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3,950,000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3,916,596</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3,921,611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tcPr>
          <w:p>
            <w:pPr>
              <w:spacing w:after="0" w:line="149" w:lineRule="exact"/>
              <w:rPr>
                <w:sz w:val="20"/>
                <w:szCs w:val="20"/>
                <w:color w:val="auto"/>
              </w:rPr>
            </w:pPr>
            <w:r>
              <w:rPr>
                <w:rFonts w:ascii="Arial" w:cs="Arial" w:eastAsia="Arial" w:hAnsi="Arial"/>
                <w:sz w:val="11"/>
                <w:szCs w:val="11"/>
                <w:color w:val="auto"/>
              </w:rPr>
              <w:t>MOSAID Technologies Incorporated</w:t>
            </w:r>
            <w:r>
              <w:rPr>
                <w:rFonts w:ascii="Arial" w:cs="Arial" w:eastAsia="Arial" w:hAnsi="Arial"/>
                <w:sz w:val="17"/>
                <w:szCs w:val="17"/>
                <w:color w:val="auto"/>
                <w:vertAlign w:val="superscript"/>
              </w:rPr>
              <w:t>(6)</w:t>
            </w:r>
          </w:p>
        </w:tc>
        <w:tc>
          <w:tcPr>
            <w:tcW w:w="158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rPr>
              <w:t>12/23/2016</w:t>
            </w:r>
          </w:p>
        </w:tc>
        <w:tc>
          <w:tcPr>
            <w:tcW w:w="218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8"/>
              </w:rPr>
              <w:t>High Tech Industries</w:t>
            </w:r>
          </w:p>
        </w:tc>
        <w:tc>
          <w:tcPr>
            <w:tcW w:w="90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8.50%</w:t>
            </w:r>
          </w:p>
        </w:tc>
        <w:tc>
          <w:tcPr>
            <w:tcW w:w="7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L+700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2,887,500</w:t>
            </w:r>
          </w:p>
        </w:tc>
        <w:tc>
          <w:tcPr>
            <w:tcW w:w="78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2,826,368</w:t>
            </w:r>
          </w:p>
        </w:tc>
        <w:tc>
          <w:tcPr>
            <w:tcW w:w="920" w:type="dxa"/>
            <w:vAlign w:val="bottom"/>
            <w:gridSpan w:val="3"/>
          </w:tcPr>
          <w:p>
            <w:pPr>
              <w:jc w:val="right"/>
              <w:ind w:right="220"/>
              <w:spacing w:after="0" w:line="149" w:lineRule="exact"/>
              <w:rPr>
                <w:sz w:val="20"/>
                <w:szCs w:val="20"/>
                <w:color w:val="auto"/>
              </w:rPr>
            </w:pPr>
            <w:r>
              <w:rPr>
                <w:rFonts w:ascii="Arial" w:cs="Arial" w:eastAsia="Arial" w:hAnsi="Arial"/>
                <w:sz w:val="14"/>
                <w:szCs w:val="14"/>
                <w:color w:val="auto"/>
              </w:rPr>
              <w:t>2,887,500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MX USA, INC and KAN-DI-KI, LLC</w:t>
            </w:r>
          </w:p>
        </w:tc>
        <w:tc>
          <w:tcPr>
            <w:tcW w:w="158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05/01/2017</w:t>
            </w:r>
          </w:p>
        </w:tc>
        <w:tc>
          <w:tcPr>
            <w:tcW w:w="218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6"/>
              </w:rPr>
              <w:t>Healthcare and</w:t>
            </w:r>
          </w:p>
        </w:tc>
        <w:tc>
          <w:tcPr>
            <w:tcW w:w="900" w:type="dxa"/>
            <w:vAlign w:val="bottom"/>
            <w:gridSpan w:val="2"/>
            <w:shd w:val="clear" w:color="auto" w:fill="CCEEFF"/>
          </w:tcPr>
          <w:p>
            <w:pPr>
              <w:jc w:val="right"/>
              <w:ind w:right="240"/>
              <w:spacing w:after="0" w:line="138" w:lineRule="exact"/>
              <w:rPr>
                <w:sz w:val="20"/>
                <w:szCs w:val="20"/>
                <w:color w:val="auto"/>
              </w:rPr>
            </w:pPr>
            <w:r>
              <w:rPr>
                <w:rFonts w:ascii="Arial" w:cs="Arial" w:eastAsia="Arial" w:hAnsi="Arial"/>
                <w:sz w:val="14"/>
                <w:szCs w:val="14"/>
                <w:color w:val="auto"/>
              </w:rPr>
              <w:t>6.50%</w:t>
            </w:r>
          </w:p>
        </w:tc>
        <w:tc>
          <w:tcPr>
            <w:tcW w:w="78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L+525</w:t>
            </w:r>
          </w:p>
        </w:tc>
        <w:tc>
          <w:tcPr>
            <w:tcW w:w="7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2,985,000</w:t>
            </w:r>
          </w:p>
        </w:tc>
        <w:tc>
          <w:tcPr>
            <w:tcW w:w="78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2,943,607</w:t>
            </w:r>
          </w:p>
        </w:tc>
        <w:tc>
          <w:tcPr>
            <w:tcW w:w="920" w:type="dxa"/>
            <w:vAlign w:val="bottom"/>
            <w:gridSpan w:val="3"/>
            <w:shd w:val="clear" w:color="auto" w:fill="CCEEFF"/>
          </w:tcPr>
          <w:p>
            <w:pPr>
              <w:jc w:val="right"/>
              <w:ind w:right="220"/>
              <w:spacing w:after="0" w:line="138" w:lineRule="exact"/>
              <w:rPr>
                <w:sz w:val="20"/>
                <w:szCs w:val="20"/>
                <w:color w:val="auto"/>
              </w:rPr>
            </w:pPr>
            <w:r>
              <w:rPr>
                <w:rFonts w:ascii="Arial" w:cs="Arial" w:eastAsia="Arial" w:hAnsi="Arial"/>
                <w:sz w:val="14"/>
                <w:szCs w:val="14"/>
                <w:color w:val="auto"/>
              </w:rPr>
              <w:t>2,955,150</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7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18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4"/>
              </w:rPr>
              <w:t>Pharmaceuticals</w:t>
            </w: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tcPr>
          <w:p>
            <w:pPr>
              <w:spacing w:after="0" w:line="138" w:lineRule="exact"/>
              <w:rPr>
                <w:sz w:val="20"/>
                <w:szCs w:val="20"/>
                <w:color w:val="auto"/>
              </w:rPr>
            </w:pPr>
            <w:r>
              <w:rPr>
                <w:rFonts w:ascii="Arial" w:cs="Arial" w:eastAsia="Arial" w:hAnsi="Arial"/>
                <w:sz w:val="14"/>
                <w:szCs w:val="14"/>
                <w:color w:val="auto"/>
              </w:rPr>
              <w:t>NAB Holdings, LLC</w:t>
            </w:r>
          </w:p>
        </w:tc>
        <w:tc>
          <w:tcPr>
            <w:tcW w:w="15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04/24/2018</w:t>
            </w:r>
          </w:p>
        </w:tc>
        <w:tc>
          <w:tcPr>
            <w:tcW w:w="21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6"/>
              </w:rPr>
              <w:t>Banking, Finance, Insurance and</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7.00%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987,500</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973,817</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997,375</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5"/>
              </w:rPr>
              <w:t>Real Estate</w:t>
            </w: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07/11/2018</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Containers, Packaging and Glass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7.00%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1,496,250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1,467,389</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1,492,509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20" w:type="dxa"/>
            <w:vAlign w:val="bottom"/>
            <w:gridSpan w:val="2"/>
          </w:tcPr>
          <w:p>
            <w:pPr>
              <w:spacing w:after="0" w:line="138" w:lineRule="exact"/>
              <w:rPr>
                <w:sz w:val="20"/>
                <w:szCs w:val="20"/>
                <w:color w:val="auto"/>
              </w:rPr>
            </w:pPr>
            <w:r>
              <w:rPr>
                <w:rFonts w:ascii="Arial" w:cs="Arial" w:eastAsia="Arial" w:hAnsi="Arial"/>
                <w:sz w:val="14"/>
                <w:szCs w:val="14"/>
                <w:color w:val="auto"/>
              </w:rPr>
              <w:t>Penton Media, Inc.</w:t>
            </w:r>
          </w:p>
        </w:tc>
        <w:tc>
          <w:tcPr>
            <w:tcW w:w="158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08/01/2014</w:t>
            </w:r>
          </w:p>
        </w:tc>
        <w:tc>
          <w:tcPr>
            <w:tcW w:w="21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90"/>
              </w:rPr>
              <w:t>Media: Diversified and</w:t>
            </w:r>
          </w:p>
        </w:tc>
        <w:tc>
          <w:tcPr>
            <w:tcW w:w="90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5.00%</w:t>
            </w:r>
          </w:p>
        </w:tc>
        <w:tc>
          <w:tcPr>
            <w:tcW w:w="78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L+400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5,497,407</w:t>
            </w:r>
          </w:p>
        </w:tc>
        <w:tc>
          <w:tcPr>
            <w:tcW w:w="78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4,931,995</w:t>
            </w:r>
          </w:p>
        </w:tc>
        <w:tc>
          <w:tcPr>
            <w:tcW w:w="920" w:type="dxa"/>
            <w:vAlign w:val="bottom"/>
            <w:gridSpan w:val="3"/>
          </w:tcPr>
          <w:p>
            <w:pPr>
              <w:jc w:val="right"/>
              <w:ind w:right="220"/>
              <w:spacing w:after="0" w:line="138" w:lineRule="exact"/>
              <w:rPr>
                <w:sz w:val="20"/>
                <w:szCs w:val="20"/>
                <w:color w:val="auto"/>
              </w:rPr>
            </w:pPr>
            <w:r>
              <w:rPr>
                <w:rFonts w:ascii="Arial" w:cs="Arial" w:eastAsia="Arial" w:hAnsi="Arial"/>
                <w:sz w:val="14"/>
                <w:szCs w:val="14"/>
                <w:color w:val="auto"/>
              </w:rPr>
              <w:t>4,439,156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80" w:type="dxa"/>
            <w:vAlign w:val="bottom"/>
            <w:gridSpan w:val="3"/>
          </w:tcPr>
          <w:p>
            <w:pPr>
              <w:jc w:val="center"/>
              <w:ind w:right="20"/>
              <w:spacing w:after="0"/>
              <w:rPr>
                <w:sz w:val="20"/>
                <w:szCs w:val="20"/>
                <w:color w:val="auto"/>
              </w:rPr>
            </w:pPr>
            <w:r>
              <w:rPr>
                <w:rFonts w:ascii="Arial" w:cs="Arial" w:eastAsia="Arial" w:hAnsi="Arial"/>
                <w:sz w:val="14"/>
                <w:szCs w:val="14"/>
                <w:color w:val="auto"/>
                <w:w w:val="89"/>
              </w:rPr>
              <w:t>Production</w:t>
            </w:r>
          </w:p>
        </w:tc>
        <w:tc>
          <w:tcPr>
            <w:tcW w:w="900" w:type="dxa"/>
            <w:vAlign w:val="bottom"/>
            <w:gridSpan w:val="2"/>
          </w:tcPr>
          <w:p>
            <w:pPr>
              <w:spacing w:after="0"/>
              <w:rPr>
                <w:sz w:val="20"/>
                <w:szCs w:val="20"/>
                <w:color w:val="auto"/>
              </w:rPr>
            </w:pPr>
            <w:r>
              <w:rPr>
                <w:rFonts w:ascii="Arial" w:cs="Arial" w:eastAsia="Arial" w:hAnsi="Arial"/>
                <w:sz w:val="14"/>
                <w:szCs w:val="14"/>
                <w:color w:val="auto"/>
              </w:rPr>
              <w:t>(PIK 1.00%)</w:t>
            </w: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1580" w:type="dxa"/>
            <w:vAlign w:val="bottom"/>
            <w:gridSpan w:val="3"/>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05/08/2017</w:t>
            </w:r>
          </w:p>
        </w:tc>
        <w:tc>
          <w:tcPr>
            <w:tcW w:w="218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5"/>
              </w:rPr>
              <w:t>Containers, Packaging and Glass</w:t>
            </w:r>
          </w:p>
        </w:tc>
        <w:tc>
          <w:tcPr>
            <w:tcW w:w="9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6.00%</w:t>
            </w:r>
          </w:p>
        </w:tc>
        <w:tc>
          <w:tcPr>
            <w:tcW w:w="7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L+450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1,975,000</w:t>
            </w:r>
          </w:p>
        </w:tc>
        <w:tc>
          <w:tcPr>
            <w:tcW w:w="78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1,958,715</w:t>
            </w:r>
          </w:p>
        </w:tc>
        <w:tc>
          <w:tcPr>
            <w:tcW w:w="920" w:type="dxa"/>
            <w:vAlign w:val="bottom"/>
            <w:gridSpan w:val="3"/>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1,967,594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460" w:right="2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Basis Point</w:t>
            </w: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Spread</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4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w w:val="94"/>
              </w:rPr>
              <w:t>Current</w:t>
            </w:r>
          </w:p>
        </w:tc>
        <w:tc>
          <w:tcPr>
            <w:tcW w:w="840" w:type="dxa"/>
            <w:vAlign w:val="bottom"/>
            <w:gridSpan w:val="2"/>
          </w:tcPr>
          <w:p>
            <w:pPr>
              <w:jc w:val="center"/>
              <w:ind w:right="160"/>
              <w:spacing w:after="0" w:line="135" w:lineRule="exact"/>
              <w:rPr>
                <w:sz w:val="20"/>
                <w:szCs w:val="20"/>
                <w:color w:val="auto"/>
              </w:rPr>
            </w:pPr>
            <w:r>
              <w:rPr>
                <w:rFonts w:ascii="Arial" w:cs="Arial" w:eastAsia="Arial" w:hAnsi="Arial"/>
                <w:sz w:val="14"/>
                <w:szCs w:val="14"/>
                <w:b w:val="1"/>
                <w:bCs w:val="1"/>
                <w:color w:val="auto"/>
                <w:w w:val="84"/>
              </w:rPr>
              <w:t>Above</w:t>
            </w:r>
          </w:p>
        </w:tc>
        <w:tc>
          <w:tcPr>
            <w:tcW w:w="180" w:type="dxa"/>
            <w:vAlign w:val="bottom"/>
          </w:tcPr>
          <w:p>
            <w:pPr>
              <w:spacing w:after="0"/>
              <w:rPr>
                <w:sz w:val="11"/>
                <w:szCs w:val="11"/>
                <w:color w:val="auto"/>
              </w:rPr>
            </w:pPr>
          </w:p>
        </w:tc>
        <w:tc>
          <w:tcPr>
            <w:tcW w:w="78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rPr>
              <w:t>Par/</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4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86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Maturity</w:t>
            </w:r>
          </w:p>
        </w:tc>
        <w:tc>
          <w:tcPr>
            <w:tcW w:w="660" w:type="dxa"/>
            <w:vAlign w:val="bottom"/>
          </w:tcPr>
          <w:p>
            <w:pPr>
              <w:spacing w:after="0"/>
              <w:rPr>
                <w:sz w:val="15"/>
                <w:szCs w:val="15"/>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Industry</w:t>
            </w:r>
          </w:p>
        </w:tc>
        <w:tc>
          <w:tcPr>
            <w:tcW w:w="9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0"/>
              </w:rPr>
              <w:t>Coupon</w:t>
            </w:r>
          </w:p>
        </w:tc>
        <w:tc>
          <w:tcPr>
            <w:tcW w:w="840" w:type="dxa"/>
            <w:vAlign w:val="bottom"/>
            <w:gridSpan w:val="2"/>
          </w:tcPr>
          <w:p>
            <w:pPr>
              <w:jc w:val="center"/>
              <w:ind w:right="18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18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5"/>
              </w:rPr>
              <w:t>Shares</w:t>
            </w:r>
          </w:p>
        </w:tc>
        <w:tc>
          <w:tcPr>
            <w:tcW w:w="88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340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Pro Mach, Inc.</w:t>
            </w:r>
          </w:p>
        </w:tc>
        <w:tc>
          <w:tcPr>
            <w:tcW w:w="1660" w:type="dxa"/>
            <w:vAlign w:val="bottom"/>
            <w:gridSpan w:val="3"/>
            <w:shd w:val="clear" w:color="auto" w:fill="CCEEFF"/>
          </w:tcPr>
          <w:p>
            <w:pPr>
              <w:jc w:val="right"/>
              <w:ind w:right="180"/>
              <w:spacing w:after="0" w:line="142" w:lineRule="exact"/>
              <w:rPr>
                <w:sz w:val="20"/>
                <w:szCs w:val="20"/>
                <w:color w:val="auto"/>
              </w:rPr>
            </w:pPr>
            <w:r>
              <w:rPr>
                <w:rFonts w:ascii="Arial" w:cs="Arial" w:eastAsia="Arial" w:hAnsi="Arial"/>
                <w:sz w:val="14"/>
                <w:szCs w:val="14"/>
                <w:color w:val="auto"/>
              </w:rPr>
              <w:t>07/06/2017</w:t>
            </w:r>
          </w:p>
        </w:tc>
        <w:tc>
          <w:tcPr>
            <w:tcW w:w="1780" w:type="dxa"/>
            <w:vAlign w:val="bottom"/>
            <w:gridSpan w:val="3"/>
            <w:shd w:val="clear" w:color="auto" w:fill="CCEEFF"/>
          </w:tcPr>
          <w:p>
            <w:pPr>
              <w:jc w:val="center"/>
              <w:spacing w:after="0" w:line="142" w:lineRule="exact"/>
              <w:rPr>
                <w:sz w:val="20"/>
                <w:szCs w:val="20"/>
                <w:color w:val="auto"/>
              </w:rPr>
            </w:pPr>
            <w:r>
              <w:rPr>
                <w:rFonts w:ascii="Arial" w:cs="Arial" w:eastAsia="Arial" w:hAnsi="Arial"/>
                <w:sz w:val="14"/>
                <w:szCs w:val="14"/>
                <w:color w:val="auto"/>
                <w:w w:val="89"/>
              </w:rPr>
              <w:t>Capital Equipment</w:t>
            </w:r>
          </w:p>
        </w:tc>
        <w:tc>
          <w:tcPr>
            <w:tcW w:w="94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6.25%</w:t>
            </w:r>
          </w:p>
        </w:tc>
        <w:tc>
          <w:tcPr>
            <w:tcW w:w="84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L+475</w:t>
            </w:r>
          </w:p>
        </w:tc>
        <w:tc>
          <w:tcPr>
            <w:tcW w:w="960" w:type="dxa"/>
            <w:vAlign w:val="bottom"/>
            <w:gridSpan w:val="3"/>
            <w:shd w:val="clear" w:color="auto" w:fill="CCEEFF"/>
          </w:tcPr>
          <w:p>
            <w:pPr>
              <w:jc w:val="right"/>
              <w:ind w:right="280"/>
              <w:spacing w:after="0" w:line="142" w:lineRule="exact"/>
              <w:rPr>
                <w:sz w:val="20"/>
                <w:szCs w:val="20"/>
                <w:color w:val="auto"/>
              </w:rPr>
            </w:pPr>
            <w:r>
              <w:rPr>
                <w:rFonts w:ascii="Arial" w:cs="Arial" w:eastAsia="Arial" w:hAnsi="Arial"/>
                <w:sz w:val="14"/>
                <w:szCs w:val="14"/>
                <w:color w:val="auto"/>
              </w:rPr>
              <w:t>978,077</w:t>
            </w:r>
          </w:p>
        </w:tc>
        <w:tc>
          <w:tcPr>
            <w:tcW w:w="880" w:type="dxa"/>
            <w:vAlign w:val="bottom"/>
            <w:gridSpan w:val="4"/>
            <w:shd w:val="clear" w:color="auto" w:fill="CCEEFF"/>
          </w:tcPr>
          <w:p>
            <w:pPr>
              <w:jc w:val="right"/>
              <w:ind w:right="140"/>
              <w:spacing w:after="0" w:line="142" w:lineRule="exact"/>
              <w:rPr>
                <w:sz w:val="20"/>
                <w:szCs w:val="20"/>
                <w:color w:val="auto"/>
              </w:rPr>
            </w:pPr>
            <w:r>
              <w:rPr>
                <w:rFonts w:ascii="Arial" w:cs="Arial" w:eastAsia="Arial" w:hAnsi="Arial"/>
                <w:sz w:val="14"/>
                <w:szCs w:val="14"/>
                <w:color w:val="auto"/>
              </w:rPr>
              <w:t>970,036</w:t>
            </w:r>
          </w:p>
        </w:tc>
        <w:tc>
          <w:tcPr>
            <w:tcW w:w="88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967,889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Renaissance Learning, Inc.</w:t>
            </w:r>
          </w:p>
        </w:tc>
        <w:tc>
          <w:tcPr>
            <w:tcW w:w="166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10/19/2017</w:t>
            </w:r>
          </w:p>
        </w:tc>
        <w:tc>
          <w:tcPr>
            <w:tcW w:w="178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7.75%</w:t>
            </w: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L+625</w:t>
            </w:r>
          </w:p>
        </w:tc>
        <w:tc>
          <w:tcPr>
            <w:tcW w:w="96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1,980,000</w:t>
            </w:r>
          </w:p>
        </w:tc>
        <w:tc>
          <w:tcPr>
            <w:tcW w:w="880" w:type="dxa"/>
            <w:vAlign w:val="bottom"/>
            <w:gridSpan w:val="4"/>
          </w:tcPr>
          <w:p>
            <w:pPr>
              <w:jc w:val="right"/>
              <w:ind w:right="140"/>
              <w:spacing w:after="0" w:line="138" w:lineRule="exact"/>
              <w:rPr>
                <w:sz w:val="20"/>
                <w:szCs w:val="20"/>
                <w:color w:val="auto"/>
              </w:rPr>
            </w:pPr>
            <w:r>
              <w:rPr>
                <w:rFonts w:ascii="Arial" w:cs="Arial" w:eastAsia="Arial" w:hAnsi="Arial"/>
                <w:sz w:val="14"/>
                <w:szCs w:val="14"/>
                <w:color w:val="auto"/>
              </w:rPr>
              <w:t>1,909,788</w:t>
            </w:r>
          </w:p>
        </w:tc>
        <w:tc>
          <w:tcPr>
            <w:tcW w:w="88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1,994,850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3"/>
          </w:tcPr>
          <w:p>
            <w:pPr>
              <w:jc w:val="center"/>
              <w:spacing w:after="0"/>
              <w:rPr>
                <w:sz w:val="20"/>
                <w:szCs w:val="20"/>
                <w:color w:val="auto"/>
              </w:rPr>
            </w:pPr>
            <w:r>
              <w:rPr>
                <w:rFonts w:ascii="Arial" w:cs="Arial" w:eastAsia="Arial" w:hAnsi="Arial"/>
                <w:sz w:val="14"/>
                <w:szCs w:val="14"/>
                <w:color w:val="auto"/>
                <w:w w:val="88"/>
              </w:rPr>
              <w:t>Subscription</w:t>
            </w: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02/08/2018</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7.00%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3,970,000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3,898,141</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Sabre Industries, Inc.</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08/24/2018</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0"/>
              </w:rPr>
              <w:t>Construction and Building</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7.00%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L+575</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3,000,000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2,955,509</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2,973,126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05/31/2017</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6.50%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2,962,500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2,938,182</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2,960,648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Seven Seas Cruises S. DE R.L.</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12/21/2018</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6.25%</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L+500</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1,500,000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1,485,300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1,505,625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04/21/2017</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7.00%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L+550</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2,962,512</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2,939,052</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2,932,887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01/29/2018</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9.00%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L+750</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150,000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147,935</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150,000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01/29/2018</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L+1,200</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1,875,000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1,823,914</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1,914,375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10/27/2017</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8.00%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L+650</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992,500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958,036</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04/16/2018</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9.00%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L+750</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1,995,000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1,935,550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1,950,113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06/19/2017</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6.25%</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L+475</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2,962,500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2,938,318</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2,844,000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Valitas Health Services, Inc.</w:t>
            </w:r>
          </w:p>
        </w:tc>
        <w:tc>
          <w:tcPr>
            <w:tcW w:w="166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06/02/2017</w:t>
            </w:r>
          </w:p>
        </w:tc>
        <w:tc>
          <w:tcPr>
            <w:tcW w:w="178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4"/>
              </w:rPr>
              <w:t>Healthcare and</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5.75%</w:t>
            </w: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L+450</w:t>
            </w:r>
          </w:p>
        </w:tc>
        <w:tc>
          <w:tcPr>
            <w:tcW w:w="96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1,481,250</w:t>
            </w:r>
          </w:p>
        </w:tc>
        <w:tc>
          <w:tcPr>
            <w:tcW w:w="880" w:type="dxa"/>
            <w:vAlign w:val="bottom"/>
            <w:gridSpan w:val="4"/>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1,474,945</w:t>
            </w:r>
          </w:p>
        </w:tc>
        <w:tc>
          <w:tcPr>
            <w:tcW w:w="88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1,466,438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8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4"/>
              </w:rPr>
              <w:t>Pharmaceuticals</w:t>
            </w: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Vantage Specialties, Inc.</w:t>
            </w:r>
          </w:p>
        </w:tc>
        <w:tc>
          <w:tcPr>
            <w:tcW w:w="166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02/09/2018</w:t>
            </w:r>
          </w:p>
        </w:tc>
        <w:tc>
          <w:tcPr>
            <w:tcW w:w="178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6"/>
              </w:rPr>
              <w:t>Chemicals, Plastics and</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7.00%</w:t>
            </w: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L+550</w:t>
            </w:r>
          </w:p>
        </w:tc>
        <w:tc>
          <w:tcPr>
            <w:tcW w:w="96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2,985,000</w:t>
            </w:r>
          </w:p>
        </w:tc>
        <w:tc>
          <w:tcPr>
            <w:tcW w:w="880" w:type="dxa"/>
            <w:vAlign w:val="bottom"/>
            <w:gridSpan w:val="4"/>
          </w:tcPr>
          <w:p>
            <w:pPr>
              <w:jc w:val="right"/>
              <w:ind w:right="140"/>
              <w:spacing w:after="0" w:line="138" w:lineRule="exact"/>
              <w:rPr>
                <w:sz w:val="20"/>
                <w:szCs w:val="20"/>
                <w:color w:val="auto"/>
              </w:rPr>
            </w:pPr>
            <w:r>
              <w:rPr>
                <w:rFonts w:ascii="Arial" w:cs="Arial" w:eastAsia="Arial" w:hAnsi="Arial"/>
                <w:sz w:val="14"/>
                <w:szCs w:val="14"/>
                <w:color w:val="auto"/>
              </w:rPr>
              <w:t>2,930,559</w:t>
            </w:r>
          </w:p>
        </w:tc>
        <w:tc>
          <w:tcPr>
            <w:tcW w:w="88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2,999,925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gridSpan w:val="2"/>
          </w:tcPr>
          <w:p>
            <w:pPr>
              <w:jc w:val="center"/>
              <w:ind w:right="600"/>
              <w:spacing w:after="0" w:line="159" w:lineRule="exact"/>
              <w:rPr>
                <w:sz w:val="20"/>
                <w:szCs w:val="20"/>
                <w:color w:val="auto"/>
              </w:rPr>
            </w:pPr>
            <w:r>
              <w:rPr>
                <w:rFonts w:ascii="Arial" w:cs="Arial" w:eastAsia="Arial" w:hAnsi="Arial"/>
                <w:sz w:val="14"/>
                <w:szCs w:val="14"/>
                <w:color w:val="auto"/>
                <w:w w:val="87"/>
              </w:rPr>
              <w:t>Rubber</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Viamedia Services Corp.</w:t>
            </w:r>
          </w:p>
        </w:tc>
        <w:tc>
          <w:tcPr>
            <w:tcW w:w="166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04/19/2016</w:t>
            </w:r>
          </w:p>
        </w:tc>
        <w:tc>
          <w:tcPr>
            <w:tcW w:w="178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90"/>
              </w:rPr>
              <w:t>Media: Advertising,</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7.00%</w:t>
            </w: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L+550</w:t>
            </w:r>
          </w:p>
        </w:tc>
        <w:tc>
          <w:tcPr>
            <w:tcW w:w="96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4,187,556</w:t>
            </w:r>
          </w:p>
        </w:tc>
        <w:tc>
          <w:tcPr>
            <w:tcW w:w="880" w:type="dxa"/>
            <w:vAlign w:val="bottom"/>
            <w:gridSpan w:val="4"/>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4,147,483</w:t>
            </w:r>
          </w:p>
        </w:tc>
        <w:tc>
          <w:tcPr>
            <w:tcW w:w="88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4,187,556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8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Printing and Publishing</w:t>
            </w: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12/22/2016</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7.75%</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P+450</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2,970,000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2,940,842</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2,643,300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W3 CO.</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10/31/2017</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Energy: Oil and Gas</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7.50%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L+625</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1,985,000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1,916,035</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1,982,519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08/10/2017</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6.75%</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L+525</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3,465,000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3,434,281</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3,456,338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03/23/2018</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L+425</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995,000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985,787</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998,316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tcPr>
          <w:p>
            <w:pPr>
              <w:spacing w:after="0" w:line="138" w:lineRule="exact"/>
              <w:rPr>
                <w:sz w:val="20"/>
                <w:szCs w:val="20"/>
                <w:color w:val="auto"/>
              </w:rPr>
            </w:pPr>
            <w:r>
              <w:rPr>
                <w:rFonts w:ascii="Arial" w:cs="Arial" w:eastAsia="Arial" w:hAnsi="Arial"/>
                <w:sz w:val="14"/>
                <w:szCs w:val="14"/>
                <w:color w:val="auto"/>
              </w:rPr>
              <w:t>Wilton Brands, LLC</w:t>
            </w:r>
          </w:p>
        </w:tc>
        <w:tc>
          <w:tcPr>
            <w:tcW w:w="1660" w:type="dxa"/>
            <w:vAlign w:val="bottom"/>
            <w:gridSpan w:val="3"/>
          </w:tcPr>
          <w:p>
            <w:pPr>
              <w:jc w:val="right"/>
              <w:ind w:right="180"/>
              <w:spacing w:after="0" w:line="138" w:lineRule="exact"/>
              <w:rPr>
                <w:sz w:val="20"/>
                <w:szCs w:val="20"/>
                <w:color w:val="auto"/>
              </w:rPr>
            </w:pPr>
            <w:r>
              <w:rPr>
                <w:rFonts w:ascii="Arial" w:cs="Arial" w:eastAsia="Arial" w:hAnsi="Arial"/>
                <w:sz w:val="14"/>
                <w:szCs w:val="14"/>
                <w:color w:val="auto"/>
              </w:rPr>
              <w:t>08/30/2018</w:t>
            </w:r>
          </w:p>
        </w:tc>
        <w:tc>
          <w:tcPr>
            <w:tcW w:w="178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6"/>
              </w:rPr>
              <w:t>Consumer Goods: Non-</w:t>
            </w:r>
          </w:p>
        </w:tc>
        <w:tc>
          <w:tcPr>
            <w:tcW w:w="940" w:type="dxa"/>
            <w:vAlign w:val="bottom"/>
            <w:gridSpan w:val="2"/>
          </w:tcPr>
          <w:p>
            <w:pPr>
              <w:jc w:val="right"/>
              <w:ind w:right="300"/>
              <w:spacing w:after="0" w:line="138" w:lineRule="exact"/>
              <w:rPr>
                <w:sz w:val="20"/>
                <w:szCs w:val="20"/>
                <w:color w:val="auto"/>
              </w:rPr>
            </w:pPr>
            <w:r>
              <w:rPr>
                <w:rFonts w:ascii="Arial" w:cs="Arial" w:eastAsia="Arial" w:hAnsi="Arial"/>
                <w:sz w:val="14"/>
                <w:szCs w:val="14"/>
                <w:color w:val="auto"/>
              </w:rPr>
              <w:t>7.50%</w:t>
            </w:r>
          </w:p>
        </w:tc>
        <w:tc>
          <w:tcPr>
            <w:tcW w:w="84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L+625</w:t>
            </w:r>
          </w:p>
        </w:tc>
        <w:tc>
          <w:tcPr>
            <w:tcW w:w="96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rPr>
              <w:t>3,400,000</w:t>
            </w:r>
          </w:p>
        </w:tc>
        <w:tc>
          <w:tcPr>
            <w:tcW w:w="880" w:type="dxa"/>
            <w:vAlign w:val="bottom"/>
            <w:gridSpan w:val="4"/>
          </w:tcPr>
          <w:p>
            <w:pPr>
              <w:jc w:val="right"/>
              <w:ind w:right="140"/>
              <w:spacing w:after="0" w:line="138" w:lineRule="exact"/>
              <w:rPr>
                <w:sz w:val="20"/>
                <w:szCs w:val="20"/>
                <w:color w:val="auto"/>
              </w:rPr>
            </w:pPr>
            <w:r>
              <w:rPr>
                <w:rFonts w:ascii="Arial" w:cs="Arial" w:eastAsia="Arial" w:hAnsi="Arial"/>
                <w:sz w:val="14"/>
                <w:szCs w:val="14"/>
                <w:color w:val="auto"/>
              </w:rPr>
              <w:t>3,332,763</w:t>
            </w:r>
          </w:p>
        </w:tc>
        <w:tc>
          <w:tcPr>
            <w:tcW w:w="88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3,417,000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gridSpan w:val="2"/>
          </w:tcPr>
          <w:p>
            <w:pPr>
              <w:jc w:val="center"/>
              <w:ind w:right="600"/>
              <w:spacing w:after="0" w:line="159" w:lineRule="exact"/>
              <w:rPr>
                <w:sz w:val="20"/>
                <w:szCs w:val="20"/>
                <w:color w:val="auto"/>
              </w:rPr>
            </w:pPr>
            <w:r>
              <w:rPr>
                <w:rFonts w:ascii="Arial" w:cs="Arial" w:eastAsia="Arial" w:hAnsi="Arial"/>
                <w:sz w:val="14"/>
                <w:szCs w:val="14"/>
                <w:color w:val="auto"/>
                <w:w w:val="89"/>
              </w:rPr>
              <w:t>Durable</w:t>
            </w: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Yonkers Racing Corporation</w:t>
            </w:r>
            <w:r>
              <w:rPr>
                <w:rFonts w:ascii="Arial" w:cs="Arial" w:eastAsia="Arial" w:hAnsi="Arial"/>
                <w:sz w:val="17"/>
                <w:szCs w:val="17"/>
                <w:color w:val="auto"/>
                <w:vertAlign w:val="superscript"/>
              </w:rPr>
              <w:t>(5), (8)</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07/15/2016</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11.38%</w:t>
            </w:r>
          </w:p>
        </w:tc>
        <w:tc>
          <w:tcPr>
            <w:tcW w:w="840" w:type="dxa"/>
            <w:vAlign w:val="bottom"/>
            <w:gridSpan w:val="2"/>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4,000,000</w:t>
            </w: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4,288,196</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4,320,000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4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gridSpan w:val="4"/>
          </w:tcPr>
          <w:p>
            <w:pPr>
              <w:jc w:val="right"/>
              <w:ind w:right="140"/>
              <w:spacing w:after="0" w:line="155" w:lineRule="exact"/>
              <w:rPr>
                <w:sz w:val="20"/>
                <w:szCs w:val="20"/>
                <w:color w:val="auto"/>
              </w:rPr>
            </w:pPr>
            <w:r>
              <w:rPr>
                <w:rFonts w:ascii="Arial" w:cs="Arial" w:eastAsia="Arial" w:hAnsi="Arial"/>
                <w:sz w:val="14"/>
                <w:szCs w:val="14"/>
                <w:color w:val="auto"/>
                <w:w w:val="92"/>
              </w:rPr>
              <w:t>150,258,038</w:t>
            </w:r>
          </w:p>
        </w:tc>
        <w:tc>
          <w:tcPr>
            <w:tcW w:w="88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150,209,747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1"/>
                <w:szCs w:val="11"/>
                <w:color w:val="auto"/>
              </w:rPr>
              <w:t>American Gilsonite Company</w:t>
            </w:r>
            <w:r>
              <w:rPr>
                <w:rFonts w:ascii="Arial" w:cs="Arial" w:eastAsia="Arial" w:hAnsi="Arial"/>
                <w:sz w:val="17"/>
                <w:szCs w:val="17"/>
                <w:color w:val="auto"/>
                <w:vertAlign w:val="superscript"/>
              </w:rPr>
              <w:t>(8)</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09/01/2017</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1"/>
              </w:rPr>
              <w:t>Metals and Mining</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11.50%</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3,000,000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w w:val="92"/>
              </w:rPr>
              <w:t>$  3,000,000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3,082,500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01/29/2018</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10.50%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L+900</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1,000,000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995,180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1"/>
                <w:szCs w:val="11"/>
                <w:color w:val="auto"/>
              </w:rPr>
              <w:t>Cannery Casino Resorts, LLC</w:t>
            </w:r>
            <w:r>
              <w:rPr>
                <w:rFonts w:ascii="Arial" w:cs="Arial" w:eastAsia="Arial" w:hAnsi="Arial"/>
                <w:sz w:val="17"/>
                <w:szCs w:val="17"/>
                <w:color w:val="auto"/>
                <w:vertAlign w:val="superscript"/>
              </w:rPr>
              <w:t>(8)</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10/02/2019</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10.00%</w:t>
            </w:r>
          </w:p>
        </w:tc>
        <w:tc>
          <w:tcPr>
            <w:tcW w:w="8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L+875</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1,700,000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1,666,000</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1,691,500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400" w:type="dxa"/>
            <w:vAlign w:val="bottom"/>
            <w:gridSpan w:val="2"/>
            <w:shd w:val="clear" w:color="auto" w:fill="CCEEFF"/>
          </w:tcPr>
          <w:p>
            <w:pPr>
              <w:spacing w:after="0" w:line="138" w:lineRule="exact"/>
              <w:rPr>
                <w:sz w:val="20"/>
                <w:szCs w:val="20"/>
                <w:color w:val="auto"/>
              </w:rPr>
            </w:pPr>
            <w:r>
              <w:rPr>
                <w:rFonts w:ascii="Arial" w:cs="Arial" w:eastAsia="Arial" w:hAnsi="Arial"/>
                <w:sz w:val="10"/>
                <w:szCs w:val="10"/>
                <w:color w:val="auto"/>
              </w:rPr>
              <w:t>Mood Media Corporation</w:t>
            </w:r>
            <w:r>
              <w:rPr>
                <w:rFonts w:ascii="Arial" w:cs="Arial" w:eastAsia="Arial" w:hAnsi="Arial"/>
                <w:sz w:val="15"/>
                <w:szCs w:val="15"/>
                <w:color w:val="auto"/>
                <w:vertAlign w:val="superscript"/>
              </w:rPr>
              <w:t>(6)</w:t>
            </w:r>
          </w:p>
        </w:tc>
        <w:tc>
          <w:tcPr>
            <w:tcW w:w="1660" w:type="dxa"/>
            <w:vAlign w:val="bottom"/>
            <w:gridSpan w:val="3"/>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11/06/2018</w:t>
            </w:r>
          </w:p>
        </w:tc>
        <w:tc>
          <w:tcPr>
            <w:tcW w:w="178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9"/>
              </w:rPr>
              <w:t>Media: Diversified and</w:t>
            </w:r>
          </w:p>
        </w:tc>
        <w:tc>
          <w:tcPr>
            <w:tcW w:w="940" w:type="dxa"/>
            <w:vAlign w:val="bottom"/>
            <w:gridSpan w:val="2"/>
            <w:shd w:val="clear" w:color="auto" w:fill="CCEEFF"/>
          </w:tcPr>
          <w:p>
            <w:pPr>
              <w:jc w:val="right"/>
              <w:ind w:right="300"/>
              <w:spacing w:after="0" w:line="138" w:lineRule="exact"/>
              <w:rPr>
                <w:sz w:val="20"/>
                <w:szCs w:val="20"/>
                <w:color w:val="auto"/>
              </w:rPr>
            </w:pPr>
            <w:r>
              <w:rPr>
                <w:rFonts w:ascii="Arial" w:cs="Arial" w:eastAsia="Arial" w:hAnsi="Arial"/>
                <w:sz w:val="14"/>
                <w:szCs w:val="14"/>
                <w:color w:val="auto"/>
              </w:rPr>
              <w:t>10.25%</w:t>
            </w:r>
          </w:p>
        </w:tc>
        <w:tc>
          <w:tcPr>
            <w:tcW w:w="84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L+875</w:t>
            </w:r>
          </w:p>
        </w:tc>
        <w:tc>
          <w:tcPr>
            <w:tcW w:w="960" w:type="dxa"/>
            <w:vAlign w:val="bottom"/>
            <w:gridSpan w:val="3"/>
            <w:shd w:val="clear" w:color="auto" w:fill="CCEEFF"/>
          </w:tcPr>
          <w:p>
            <w:pPr>
              <w:jc w:val="right"/>
              <w:ind w:right="280"/>
              <w:spacing w:after="0" w:line="138" w:lineRule="exact"/>
              <w:rPr>
                <w:sz w:val="20"/>
                <w:szCs w:val="20"/>
                <w:color w:val="auto"/>
              </w:rPr>
            </w:pPr>
            <w:r>
              <w:rPr>
                <w:rFonts w:ascii="Arial" w:cs="Arial" w:eastAsia="Arial" w:hAnsi="Arial"/>
                <w:sz w:val="14"/>
                <w:szCs w:val="14"/>
                <w:color w:val="auto"/>
              </w:rPr>
              <w:t>1,500,000</w:t>
            </w:r>
          </w:p>
        </w:tc>
        <w:tc>
          <w:tcPr>
            <w:tcW w:w="880" w:type="dxa"/>
            <w:vAlign w:val="bottom"/>
            <w:gridSpan w:val="4"/>
            <w:shd w:val="clear" w:color="auto" w:fill="CCEEFF"/>
          </w:tcPr>
          <w:p>
            <w:pPr>
              <w:jc w:val="right"/>
              <w:ind w:right="140"/>
              <w:spacing w:after="0" w:line="138" w:lineRule="exact"/>
              <w:rPr>
                <w:sz w:val="20"/>
                <w:szCs w:val="20"/>
                <w:color w:val="auto"/>
              </w:rPr>
            </w:pPr>
            <w:r>
              <w:rPr>
                <w:rFonts w:ascii="Arial" w:cs="Arial" w:eastAsia="Arial" w:hAnsi="Arial"/>
                <w:sz w:val="14"/>
                <w:szCs w:val="14"/>
                <w:color w:val="auto"/>
              </w:rPr>
              <w:t>1,486,780</w:t>
            </w:r>
          </w:p>
        </w:tc>
        <w:tc>
          <w:tcPr>
            <w:tcW w:w="88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1,475,250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66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780" w:type="dxa"/>
            <w:vAlign w:val="bottom"/>
            <w:gridSpan w:val="3"/>
            <w:shd w:val="clear" w:color="auto" w:fill="CCEEFF"/>
          </w:tcPr>
          <w:p>
            <w:pPr>
              <w:jc w:val="center"/>
              <w:spacing w:after="0" w:line="159" w:lineRule="exact"/>
              <w:rPr>
                <w:sz w:val="20"/>
                <w:szCs w:val="20"/>
                <w:color w:val="auto"/>
              </w:rPr>
            </w:pPr>
            <w:r>
              <w:rPr>
                <w:rFonts w:ascii="Arial" w:cs="Arial" w:eastAsia="Arial" w:hAnsi="Arial"/>
                <w:sz w:val="14"/>
                <w:szCs w:val="14"/>
                <w:color w:val="auto"/>
                <w:w w:val="89"/>
              </w:rPr>
              <w:t>Production</w:t>
            </w:r>
          </w:p>
        </w:tc>
        <w:tc>
          <w:tcPr>
            <w:tcW w:w="5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1"/>
                <w:szCs w:val="11"/>
                <w:color w:val="auto"/>
              </w:rPr>
              <w:t>ROC Finance LLC and ROC Finance 1 Corp</w:t>
            </w:r>
            <w:r>
              <w:rPr>
                <w:rFonts w:ascii="Arial" w:cs="Arial" w:eastAsia="Arial" w:hAnsi="Arial"/>
                <w:sz w:val="17"/>
                <w:szCs w:val="17"/>
                <w:color w:val="auto"/>
                <w:vertAlign w:val="superscript"/>
              </w:rPr>
              <w:t>(8)</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09/01/2018</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12.13%</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2,000,000</w:t>
            </w:r>
          </w:p>
        </w:tc>
        <w:tc>
          <w:tcPr>
            <w:tcW w:w="880" w:type="dxa"/>
            <w:vAlign w:val="bottom"/>
            <w:gridSpan w:val="4"/>
          </w:tcPr>
          <w:p>
            <w:pPr>
              <w:jc w:val="right"/>
              <w:ind w:right="140"/>
              <w:spacing w:after="0" w:line="149" w:lineRule="exact"/>
              <w:rPr>
                <w:sz w:val="20"/>
                <w:szCs w:val="20"/>
                <w:color w:val="auto"/>
              </w:rPr>
            </w:pPr>
            <w:r>
              <w:rPr>
                <w:rFonts w:ascii="Arial" w:cs="Arial" w:eastAsia="Arial" w:hAnsi="Arial"/>
                <w:sz w:val="14"/>
                <w:szCs w:val="14"/>
                <w:color w:val="auto"/>
              </w:rPr>
              <w:t>1,969,103</w:t>
            </w:r>
          </w:p>
        </w:tc>
        <w:tc>
          <w:tcPr>
            <w:tcW w:w="88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2,320,000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1660" w:type="dxa"/>
            <w:vAlign w:val="bottom"/>
            <w:gridSpan w:val="3"/>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05/09/2018</w:t>
            </w:r>
          </w:p>
        </w:tc>
        <w:tc>
          <w:tcPr>
            <w:tcW w:w="1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Utilities: Water</w:t>
            </w:r>
          </w:p>
        </w:tc>
        <w:tc>
          <w:tcPr>
            <w:tcW w:w="94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8.50%</w:t>
            </w:r>
          </w:p>
        </w:tc>
        <w:tc>
          <w:tcPr>
            <w:tcW w:w="8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L+725</w:t>
            </w:r>
          </w:p>
        </w:tc>
        <w:tc>
          <w:tcPr>
            <w:tcW w:w="96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1,000,000</w:t>
            </w:r>
          </w:p>
        </w:tc>
        <w:tc>
          <w:tcPr>
            <w:tcW w:w="880" w:type="dxa"/>
            <w:vAlign w:val="bottom"/>
            <w:gridSpan w:val="4"/>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991,580</w:t>
            </w:r>
          </w:p>
        </w:tc>
        <w:tc>
          <w:tcPr>
            <w:tcW w:w="88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996,250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00" w:type="dxa"/>
            <w:vAlign w:val="bottom"/>
            <w:gridSpan w:val="2"/>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(5), (6), (8)</w:t>
            </w:r>
          </w:p>
        </w:tc>
        <w:tc>
          <w:tcPr>
            <w:tcW w:w="166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rPr>
              <w:t>05/15/2019</w:t>
            </w:r>
          </w:p>
        </w:tc>
        <w:tc>
          <w:tcPr>
            <w:tcW w:w="1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94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9.13%</w:t>
            </w:r>
          </w:p>
        </w:tc>
        <w:tc>
          <w:tcPr>
            <w:tcW w:w="840" w:type="dxa"/>
            <w:vAlign w:val="bottom"/>
            <w:gridSpan w:val="2"/>
          </w:tcPr>
          <w:p>
            <w:pPr>
              <w:ind w:left="480"/>
              <w:spacing w:after="0" w:line="149" w:lineRule="exact"/>
              <w:rPr>
                <w:sz w:val="20"/>
                <w:szCs w:val="20"/>
                <w:color w:val="auto"/>
              </w:rPr>
            </w:pPr>
            <w:r>
              <w:rPr>
                <w:rFonts w:ascii="Arial" w:cs="Arial" w:eastAsia="Arial" w:hAnsi="Arial"/>
                <w:sz w:val="14"/>
                <w:szCs w:val="14"/>
                <w:color w:val="auto"/>
              </w:rPr>
              <w:t>—</w:t>
            </w:r>
          </w:p>
        </w:tc>
        <w:tc>
          <w:tcPr>
            <w:tcW w:w="96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1,500,000</w:t>
            </w: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1,500,000</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1,560,000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8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11,608,643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12,025,500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460" w:right="2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Arial" w:cs="Arial" w:eastAsia="Arial" w:hAnsi="Arial"/>
                <w:sz w:val="14"/>
                <w:szCs w:val="14"/>
                <w:b w:val="1"/>
                <w:bCs w:val="1"/>
                <w:color w:val="auto"/>
                <w:w w:val="83"/>
              </w:rPr>
              <w:t>Basis Point</w:t>
            </w: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Spread</w:t>
            </w: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90"/>
              </w:rPr>
              <w:t>Current</w:t>
            </w:r>
          </w:p>
        </w:tc>
        <w:tc>
          <w:tcPr>
            <w:tcW w:w="6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4"/>
              </w:rPr>
              <w:t>Above</w:t>
            </w:r>
          </w:p>
        </w:tc>
        <w:tc>
          <w:tcPr>
            <w:tcW w:w="260" w:type="dxa"/>
            <w:vAlign w:val="bottom"/>
          </w:tcPr>
          <w:p>
            <w:pPr>
              <w:spacing w:after="0"/>
              <w:rPr>
                <w:sz w:val="11"/>
                <w:szCs w:val="11"/>
                <w:color w:val="auto"/>
              </w:rPr>
            </w:pPr>
          </w:p>
        </w:tc>
        <w:tc>
          <w:tcPr>
            <w:tcW w:w="58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rPr>
              <w:t>Par/</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tcPr>
          <w:p>
            <w:pPr>
              <w:jc w:val="right"/>
              <w:ind w:right="32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6"/>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220" w:type="dxa"/>
            <w:vAlign w:val="bottom"/>
          </w:tcPr>
          <w:p>
            <w:pPr>
              <w:spacing w:after="0"/>
              <w:rPr>
                <w:sz w:val="15"/>
                <w:szCs w:val="15"/>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Maturity</w:t>
            </w:r>
          </w:p>
        </w:tc>
        <w:tc>
          <w:tcPr>
            <w:tcW w:w="780" w:type="dxa"/>
            <w:vAlign w:val="bottom"/>
          </w:tcPr>
          <w:p>
            <w:pPr>
              <w:spacing w:after="0"/>
              <w:rPr>
                <w:sz w:val="15"/>
                <w:szCs w:val="15"/>
                <w:color w:val="auto"/>
              </w:rPr>
            </w:pPr>
          </w:p>
        </w:tc>
        <w:tc>
          <w:tcPr>
            <w:tcW w:w="142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6"/>
              </w:rPr>
              <w:t>Coupon</w:t>
            </w:r>
          </w:p>
        </w:tc>
        <w:tc>
          <w:tcPr>
            <w:tcW w:w="680" w:type="dxa"/>
            <w:vAlign w:val="bottom"/>
          </w:tcPr>
          <w:p>
            <w:pPr>
              <w:jc w:val="center"/>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2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5"/>
                <w:szCs w:val="15"/>
                <w:color w:val="auto"/>
              </w:rPr>
            </w:pPr>
          </w:p>
        </w:tc>
        <w:tc>
          <w:tcPr>
            <w:tcW w:w="900" w:type="dxa"/>
            <w:vAlign w:val="bottom"/>
            <w:gridSpan w:val="4"/>
          </w:tcPr>
          <w:p>
            <w:pPr>
              <w:ind w:left="2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gridSpan w:val="3"/>
          </w:tcPr>
          <w:p>
            <w:pPr>
              <w:jc w:val="right"/>
              <w:ind w:right="22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20" w:type="dxa"/>
            <w:vAlign w:val="bottom"/>
            <w:vMerge w:val="continue"/>
          </w:tcPr>
          <w:p>
            <w:pPr>
              <w:spacing w:after="0"/>
              <w:rPr>
                <w:sz w:val="12"/>
                <w:szCs w:val="12"/>
                <w:color w:val="auto"/>
              </w:rPr>
            </w:pPr>
          </w:p>
        </w:tc>
        <w:tc>
          <w:tcPr>
            <w:tcW w:w="4040" w:type="dxa"/>
            <w:vAlign w:val="bottom"/>
            <w:gridSpan w:val="2"/>
            <w:shd w:val="clear" w:color="auto" w:fill="CCEEFF"/>
          </w:tcPr>
          <w:p>
            <w:pPr>
              <w:spacing w:after="0" w:line="142" w:lineRule="exact"/>
              <w:rPr>
                <w:sz w:val="20"/>
                <w:szCs w:val="20"/>
                <w:color w:val="auto"/>
              </w:rPr>
            </w:pPr>
            <w:r>
              <w:rPr>
                <w:rFonts w:ascii="Arial" w:cs="Arial" w:eastAsia="Arial" w:hAnsi="Arial"/>
                <w:sz w:val="11"/>
                <w:szCs w:val="11"/>
                <w:b w:val="1"/>
                <w:bCs w:val="1"/>
                <w:color w:val="auto"/>
              </w:rPr>
              <w:t>Subordinated Debt/Corporate Notes—8.7%</w:t>
            </w:r>
            <w:r>
              <w:rPr>
                <w:rFonts w:ascii="Arial" w:cs="Arial" w:eastAsia="Arial" w:hAnsi="Arial"/>
                <w:sz w:val="16"/>
                <w:szCs w:val="16"/>
                <w:b w:val="1"/>
                <w:bCs w:val="1"/>
                <w:color w:val="auto"/>
                <w:vertAlign w:val="superscript"/>
              </w:rPr>
              <w:t>(8)</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102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11/15/2015</w:t>
            </w:r>
          </w:p>
        </w:tc>
        <w:tc>
          <w:tcPr>
            <w:tcW w:w="220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7"/>
              </w:rPr>
              <w:t>Consumer Goods: Non-Durable</w:t>
            </w:r>
          </w:p>
        </w:tc>
        <w:tc>
          <w:tcPr>
            <w:tcW w:w="8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11.63%</w:t>
            </w: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4,100,000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3,782,015</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2,788,000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02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12/01/2017</w:t>
            </w:r>
          </w:p>
        </w:tc>
        <w:tc>
          <w:tcPr>
            <w:tcW w:w="22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Business Services</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13.00%</w:t>
            </w: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980,074</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102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06/03/2019</w:t>
            </w:r>
          </w:p>
        </w:tc>
        <w:tc>
          <w:tcPr>
            <w:tcW w:w="2200" w:type="dxa"/>
            <w:vAlign w:val="bottom"/>
            <w:gridSpan w:val="3"/>
          </w:tcPr>
          <w:p>
            <w:pPr>
              <w:jc w:val="center"/>
              <w:ind w:right="100"/>
              <w:spacing w:after="0" w:line="138" w:lineRule="exact"/>
              <w:rPr>
                <w:sz w:val="20"/>
                <w:szCs w:val="20"/>
                <w:color w:val="auto"/>
              </w:rPr>
            </w:pPr>
            <w:r>
              <w:rPr>
                <w:rFonts w:ascii="Arial" w:cs="Arial" w:eastAsia="Arial" w:hAnsi="Arial"/>
                <w:sz w:val="14"/>
                <w:szCs w:val="14"/>
                <w:color w:val="auto"/>
                <w:w w:val="85"/>
              </w:rPr>
              <w:t>Beverage, Food and Tobacco</w:t>
            </w:r>
          </w:p>
        </w:tc>
        <w:tc>
          <w:tcPr>
            <w:tcW w:w="80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14.25%</w:t>
            </w:r>
          </w:p>
        </w:tc>
        <w:tc>
          <w:tcPr>
            <w:tcW w:w="680" w:type="dxa"/>
            <w:vAlign w:val="bottom"/>
          </w:tcPr>
          <w:p>
            <w:pPr>
              <w:ind w:left="48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4,508,719</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4,432,092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4,508,719</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w w:val="90"/>
              </w:rPr>
              <w:t>(PIK 2.25%)</w:t>
            </w: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9,194,181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Equity/Partnership Interests—0.2%</w:t>
            </w:r>
            <w:r>
              <w:rPr>
                <w:rFonts w:ascii="Arial" w:cs="Arial" w:eastAsia="Arial" w:hAnsi="Arial"/>
                <w:sz w:val="18"/>
                <w:szCs w:val="18"/>
                <w:b w:val="1"/>
                <w:bCs w:val="1"/>
                <w:color w:val="auto"/>
                <w:vertAlign w:val="superscript"/>
              </w:rPr>
              <w:t>(7), (8)</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1"/>
              </w:rPr>
              <w:t>TrustHouse Services Holdings, LLC (TrustHouse Services Group, Inc.)</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5"/>
              </w:rPr>
              <w:t>Beverage, Food and Tobacco</w:t>
            </w:r>
          </w:p>
        </w:tc>
        <w:tc>
          <w:tcPr>
            <w:tcW w:w="8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12.50%</w:t>
            </w: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w:t>
            </w:r>
          </w:p>
        </w:tc>
        <w:tc>
          <w:tcPr>
            <w:tcW w:w="1000" w:type="dxa"/>
            <w:vAlign w:val="bottom"/>
            <w:gridSpan w:val="5"/>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110,697</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Equity/Partnership Interests—1.1%</w:t>
            </w:r>
            <w:r>
              <w:rPr>
                <w:rFonts w:ascii="Arial" w:cs="Arial" w:eastAsia="Arial" w:hAnsi="Arial"/>
                <w:sz w:val="18"/>
                <w:szCs w:val="18"/>
                <w:b w:val="1"/>
                <w:bCs w:val="1"/>
                <w:color w:val="auto"/>
                <w:vertAlign w:val="superscript"/>
              </w:rPr>
              <w:t>(7), (8)</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Titan Private Holdings I, LLC (Tekelec Global, Inc.)</w:t>
            </w:r>
          </w:p>
        </w:tc>
        <w:tc>
          <w:tcPr>
            <w:tcW w:w="2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0" w:type="dxa"/>
            <w:vAlign w:val="bottom"/>
            <w:gridSpan w:val="3"/>
            <w:shd w:val="clear" w:color="auto" w:fill="CCEEFF"/>
          </w:tcPr>
          <w:p>
            <w:pPr>
              <w:jc w:val="center"/>
              <w:ind w:right="120"/>
              <w:spacing w:after="0" w:line="149" w:lineRule="exact"/>
              <w:rPr>
                <w:sz w:val="20"/>
                <w:szCs w:val="20"/>
                <w:color w:val="auto"/>
              </w:rPr>
            </w:pPr>
            <w:r>
              <w:rPr>
                <w:rFonts w:ascii="Arial" w:cs="Arial" w:eastAsia="Arial" w:hAnsi="Arial"/>
                <w:sz w:val="14"/>
                <w:szCs w:val="14"/>
                <w:color w:val="auto"/>
                <w:w w:val="87"/>
              </w:rPr>
              <w:t>Telecommunications</w:t>
            </w:r>
          </w:p>
        </w:tc>
        <w:tc>
          <w:tcPr>
            <w:tcW w:w="800" w:type="dxa"/>
            <w:vAlign w:val="bottom"/>
            <w:gridSpan w:val="2"/>
            <w:shd w:val="clear" w:color="auto" w:fill="CCEEFF"/>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401,797</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401,450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1,091,018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w w:val="91"/>
              </w:rPr>
              <w:t>TrustHouse Services Holdings, LLC (TrustHouse Services Group, Inc.)</w:t>
            </w:r>
          </w:p>
        </w:tc>
        <w:tc>
          <w:tcPr>
            <w:tcW w:w="220" w:type="dxa"/>
            <w:vAlign w:val="bottom"/>
          </w:tcPr>
          <w:p>
            <w:pPr>
              <w:spacing w:after="0"/>
              <w:rPr>
                <w:sz w:val="13"/>
                <w:szCs w:val="13"/>
                <w:color w:val="auto"/>
              </w:rPr>
            </w:pPr>
          </w:p>
        </w:tc>
        <w:tc>
          <w:tcPr>
            <w:tcW w:w="80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220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5"/>
              </w:rPr>
              <w:t>Beverage, Food and Tobacco</w:t>
            </w:r>
          </w:p>
        </w:tc>
        <w:tc>
          <w:tcPr>
            <w:tcW w:w="80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ind w:left="480"/>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74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5,000</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10,845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406,450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1,101,863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4040" w:type="dxa"/>
            <w:vAlign w:val="bottom"/>
            <w:gridSpan w:val="2"/>
          </w:tcPr>
          <w:p>
            <w:pPr>
              <w:spacing w:after="0" w:line="136" w:lineRule="exact"/>
              <w:rPr>
                <w:sz w:val="20"/>
                <w:szCs w:val="20"/>
                <w:color w:val="auto"/>
              </w:rPr>
            </w:pPr>
            <w:r>
              <w:rPr>
                <w:rFonts w:ascii="Arial" w:cs="Arial" w:eastAsia="Arial" w:hAnsi="Arial"/>
                <w:sz w:val="14"/>
                <w:szCs w:val="14"/>
                <w:b w:val="1"/>
                <w:bCs w:val="1"/>
                <w:color w:val="auto"/>
                <w:w w:val="99"/>
              </w:rPr>
              <w:t>Total Investments in Non-Controlled, Non-Affiliated Portfolio</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Companies</w:t>
            </w: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right"/>
              <w:spacing w:after="0"/>
              <w:rPr>
                <w:sz w:val="20"/>
                <w:szCs w:val="20"/>
                <w:color w:val="auto"/>
              </w:rPr>
            </w:pPr>
            <w:r>
              <w:rPr>
                <w:rFonts w:ascii="Arial" w:cs="Arial" w:eastAsia="Arial" w:hAnsi="Arial"/>
                <w:sz w:val="14"/>
                <w:szCs w:val="14"/>
                <w:color w:val="auto"/>
              </w:rPr>
              <w:t>171,578,009</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color w:val="auto"/>
                <w:w w:val="84"/>
              </w:rPr>
              <w:t>171,834,400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Equivalents—183.5%</w:t>
            </w: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u w:val="single" w:color="auto"/>
                <w:color w:val="auto"/>
                <w:w w:val="95"/>
              </w:rPr>
              <w:t>$</w:t>
            </w:r>
            <w:r>
              <w:rPr>
                <w:rFonts w:ascii="Arial" w:cs="Arial" w:eastAsia="Arial" w:hAnsi="Arial"/>
                <w:sz w:val="14"/>
                <w:szCs w:val="14"/>
                <w:color w:val="auto"/>
                <w:w w:val="95"/>
              </w:rPr>
              <w:t>175,423,812</w:t>
            </w:r>
          </w:p>
        </w:tc>
        <w:tc>
          <w:tcPr>
            <w:tcW w:w="160" w:type="dxa"/>
            <w:vAlign w:val="bottom"/>
          </w:tcPr>
          <w:p>
            <w:pPr>
              <w:spacing w:after="0"/>
              <w:rPr>
                <w:sz w:val="13"/>
                <w:szCs w:val="13"/>
                <w:color w:val="auto"/>
              </w:rPr>
            </w:pPr>
          </w:p>
        </w:tc>
        <w:tc>
          <w:tcPr>
            <w:tcW w:w="80" w:type="dxa"/>
            <w:vAlign w:val="bottom"/>
          </w:tcPr>
          <w:p>
            <w:pPr>
              <w:jc w:val="right"/>
              <w:spacing w:after="0" w:line="155" w:lineRule="exact"/>
              <w:rPr>
                <w:sz w:val="20"/>
                <w:szCs w:val="20"/>
                <w:color w:val="auto"/>
              </w:rPr>
            </w:pPr>
            <w:r>
              <w:rPr>
                <w:rFonts w:ascii="Arial" w:cs="Arial" w:eastAsia="Arial" w:hAnsi="Arial"/>
                <w:sz w:val="14"/>
                <w:szCs w:val="14"/>
                <w:u w:val="single" w:color="auto"/>
                <w:color w:val="auto"/>
                <w:w w:val="76"/>
              </w:rPr>
              <w:t>$</w:t>
            </w: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4"/>
              </w:rPr>
              <w:t>175,680,203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Assets—(83.5)%</w:t>
            </w:r>
          </w:p>
        </w:tc>
        <w:tc>
          <w:tcPr>
            <w:tcW w:w="2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w w:val="88"/>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4"/>
              </w:rPr>
              <w:t>95,743,877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80" w:lineRule="exact"/>
        <w:rPr>
          <w:sz w:val="20"/>
          <w:szCs w:val="20"/>
          <w:color w:val="auto"/>
        </w:rPr>
      </w:pPr>
    </w:p>
    <w:p>
      <w:pPr>
        <w:ind w:left="340" w:right="60" w:hanging="332"/>
        <w:spacing w:after="0" w:line="230" w:lineRule="auto"/>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60" w:hanging="332"/>
        <w:spacing w:after="0" w:line="258" w:lineRule="auto"/>
        <w:tabs>
          <w:tab w:leader="none" w:pos="3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99"/>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99"/>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460" w:right="2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3"/>
              </w:rPr>
              <w:t>Basis Point</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40" w:type="dxa"/>
            <w:vAlign w:val="bottom"/>
            <w:gridSpan w:val="2"/>
          </w:tcPr>
          <w:p>
            <w:pPr>
              <w:jc w:val="right"/>
              <w:ind w:right="480"/>
              <w:spacing w:after="0" w:line="135" w:lineRule="exact"/>
              <w:rPr>
                <w:sz w:val="20"/>
                <w:szCs w:val="20"/>
                <w:color w:val="auto"/>
              </w:rPr>
            </w:pPr>
            <w:r>
              <w:rPr>
                <w:rFonts w:ascii="Arial" w:cs="Arial" w:eastAsia="Arial" w:hAnsi="Arial"/>
                <w:sz w:val="14"/>
                <w:szCs w:val="14"/>
                <w:b w:val="1"/>
                <w:bCs w:val="1"/>
                <w:color w:val="auto"/>
                <w:w w:val="86"/>
              </w:rPr>
              <w:t>Current</w:t>
            </w:r>
          </w:p>
        </w:tc>
        <w:tc>
          <w:tcPr>
            <w:tcW w:w="7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84"/>
              </w:rPr>
              <w:t>Above</w:t>
            </w:r>
          </w:p>
        </w:tc>
        <w:tc>
          <w:tcPr>
            <w:tcW w:w="120" w:type="dxa"/>
            <w:vAlign w:val="bottom"/>
          </w:tcPr>
          <w:p>
            <w:pPr>
              <w:spacing w:after="0"/>
              <w:rPr>
                <w:sz w:val="11"/>
                <w:szCs w:val="11"/>
                <w:color w:val="auto"/>
              </w:rPr>
            </w:pPr>
          </w:p>
        </w:tc>
        <w:tc>
          <w:tcPr>
            <w:tcW w:w="780" w:type="dxa"/>
            <w:vAlign w:val="bottom"/>
            <w:gridSpan w:val="2"/>
          </w:tcPr>
          <w:p>
            <w:pPr>
              <w:jc w:val="right"/>
              <w:ind w:right="440"/>
              <w:spacing w:after="0" w:line="135" w:lineRule="exact"/>
              <w:rPr>
                <w:sz w:val="20"/>
                <w:szCs w:val="20"/>
                <w:color w:val="auto"/>
              </w:rPr>
            </w:pPr>
            <w:r>
              <w:rPr>
                <w:rFonts w:ascii="Arial" w:cs="Arial" w:eastAsia="Arial" w:hAnsi="Arial"/>
                <w:sz w:val="14"/>
                <w:szCs w:val="14"/>
                <w:b w:val="1"/>
                <w:bCs w:val="1"/>
                <w:color w:val="auto"/>
              </w:rPr>
              <w:t>Par/</w:t>
            </w:r>
          </w:p>
        </w:tc>
        <w:tc>
          <w:tcPr>
            <w:tcW w:w="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9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Issuer Name</w:t>
            </w:r>
          </w:p>
        </w:tc>
        <w:tc>
          <w:tcPr>
            <w:tcW w:w="8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Maturity</w:t>
            </w:r>
          </w:p>
        </w:tc>
        <w:tc>
          <w:tcPr>
            <w:tcW w:w="840" w:type="dxa"/>
            <w:vAlign w:val="bottom"/>
          </w:tcPr>
          <w:p>
            <w:pPr>
              <w:spacing w:after="0"/>
              <w:rPr>
                <w:sz w:val="14"/>
                <w:szCs w:val="14"/>
                <w:color w:val="auto"/>
              </w:rPr>
            </w:pPr>
          </w:p>
        </w:tc>
        <w:tc>
          <w:tcPr>
            <w:tcW w:w="1420" w:type="dxa"/>
            <w:vAlign w:val="bottom"/>
            <w:gridSpan w:val="2"/>
          </w:tcPr>
          <w:p>
            <w:pPr>
              <w:jc w:val="center"/>
              <w:ind w:right="920"/>
              <w:spacing w:after="0" w:line="142" w:lineRule="exact"/>
              <w:rPr>
                <w:sz w:val="20"/>
                <w:szCs w:val="20"/>
                <w:color w:val="auto"/>
              </w:rPr>
            </w:pPr>
            <w:r>
              <w:rPr>
                <w:rFonts w:ascii="Arial" w:cs="Arial" w:eastAsia="Arial" w:hAnsi="Arial"/>
                <w:sz w:val="14"/>
                <w:szCs w:val="14"/>
                <w:b w:val="1"/>
                <w:bCs w:val="1"/>
                <w:color w:val="auto"/>
                <w:w w:val="90"/>
              </w:rPr>
              <w:t>Industry</w:t>
            </w:r>
          </w:p>
        </w:tc>
        <w:tc>
          <w:tcPr>
            <w:tcW w:w="940" w:type="dxa"/>
            <w:vAlign w:val="bottom"/>
            <w:gridSpan w:val="2"/>
          </w:tcPr>
          <w:p>
            <w:pPr>
              <w:jc w:val="right"/>
              <w:ind w:right="480"/>
              <w:spacing w:after="0" w:line="142" w:lineRule="exact"/>
              <w:rPr>
                <w:sz w:val="20"/>
                <w:szCs w:val="20"/>
                <w:color w:val="auto"/>
              </w:rPr>
            </w:pPr>
            <w:r>
              <w:rPr>
                <w:rFonts w:ascii="Arial" w:cs="Arial" w:eastAsia="Arial" w:hAnsi="Arial"/>
                <w:sz w:val="14"/>
                <w:szCs w:val="14"/>
                <w:b w:val="1"/>
                <w:bCs w:val="1"/>
                <w:color w:val="auto"/>
                <w:w w:val="83"/>
              </w:rPr>
              <w:t>Coupon</w:t>
            </w:r>
          </w:p>
        </w:tc>
        <w:tc>
          <w:tcPr>
            <w:tcW w:w="720" w:type="dxa"/>
            <w:vAlign w:val="bottom"/>
            <w:gridSpan w:val="2"/>
          </w:tcPr>
          <w:p>
            <w:pPr>
              <w:jc w:val="center"/>
              <w:ind w:right="220"/>
              <w:spacing w:after="0" w:line="142" w:lineRule="exact"/>
              <w:rPr>
                <w:sz w:val="20"/>
                <w:szCs w:val="20"/>
                <w:color w:val="auto"/>
              </w:rPr>
            </w:pPr>
            <w:r>
              <w:rPr>
                <w:rFonts w:ascii="Arial" w:cs="Arial" w:eastAsia="Arial" w:hAnsi="Arial"/>
                <w:sz w:val="11"/>
                <w:szCs w:val="11"/>
                <w:b w:val="1"/>
                <w:bCs w:val="1"/>
                <w:color w:val="auto"/>
              </w:rPr>
              <w:t>Index</w:t>
            </w:r>
            <w:r>
              <w:rPr>
                <w:rFonts w:ascii="Arial" w:cs="Arial" w:eastAsia="Arial" w:hAnsi="Arial"/>
                <w:sz w:val="16"/>
                <w:szCs w:val="16"/>
                <w:b w:val="1"/>
                <w:bCs w:val="1"/>
                <w:color w:val="auto"/>
                <w:vertAlign w:val="superscript"/>
              </w:rPr>
              <w:t>(1)</w:t>
            </w:r>
          </w:p>
        </w:tc>
        <w:tc>
          <w:tcPr>
            <w:tcW w:w="120" w:type="dxa"/>
            <w:vAlign w:val="bottom"/>
          </w:tcPr>
          <w:p>
            <w:pPr>
              <w:spacing w:after="0"/>
              <w:rPr>
                <w:sz w:val="14"/>
                <w:szCs w:val="14"/>
                <w:color w:val="auto"/>
              </w:rPr>
            </w:pPr>
          </w:p>
        </w:tc>
        <w:tc>
          <w:tcPr>
            <w:tcW w:w="780" w:type="dxa"/>
            <w:vAlign w:val="bottom"/>
            <w:gridSpan w:val="2"/>
          </w:tcPr>
          <w:p>
            <w:pPr>
              <w:jc w:val="right"/>
              <w:ind w:right="380"/>
              <w:spacing w:after="0" w:line="142" w:lineRule="exact"/>
              <w:rPr>
                <w:sz w:val="20"/>
                <w:szCs w:val="20"/>
                <w:color w:val="auto"/>
              </w:rPr>
            </w:pPr>
            <w:r>
              <w:rPr>
                <w:rFonts w:ascii="Arial" w:cs="Arial" w:eastAsia="Arial" w:hAnsi="Arial"/>
                <w:sz w:val="14"/>
                <w:szCs w:val="14"/>
                <w:b w:val="1"/>
                <w:bCs w:val="1"/>
                <w:color w:val="auto"/>
                <w:w w:val="81"/>
              </w:rPr>
              <w:t>Shares</w:t>
            </w:r>
          </w:p>
        </w:tc>
        <w:tc>
          <w:tcPr>
            <w:tcW w:w="220" w:type="dxa"/>
            <w:vAlign w:val="bottom"/>
          </w:tcPr>
          <w:p>
            <w:pPr>
              <w:spacing w:after="0"/>
              <w:rPr>
                <w:sz w:val="14"/>
                <w:szCs w:val="14"/>
                <w:color w:val="auto"/>
              </w:rPr>
            </w:pPr>
          </w:p>
        </w:tc>
        <w:tc>
          <w:tcPr>
            <w:tcW w:w="46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w w:val="76"/>
              </w:rPr>
              <w:t>Cost</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180"/>
              <w:spacing w:after="0" w:line="142" w:lineRule="exact"/>
              <w:rPr>
                <w:sz w:val="20"/>
                <w:szCs w:val="20"/>
                <w:color w:val="auto"/>
              </w:rPr>
            </w:pPr>
            <w:r>
              <w:rPr>
                <w:rFonts w:ascii="Arial" w:cs="Arial" w:eastAsia="Arial" w:hAnsi="Arial"/>
                <w:sz w:val="11"/>
                <w:szCs w:val="11"/>
                <w:b w:val="1"/>
                <w:bCs w:val="1"/>
                <w:color w:val="auto"/>
              </w:rPr>
              <w:t>Value</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CCEEFF"/>
            </w:tcBorders>
            <w:shd w:val="clear" w:color="auto" w:fill="000000"/>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top w:val="single" w:sz="8" w:color="auto"/>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3920" w:type="dxa"/>
            <w:vAlign w:val="bottom"/>
            <w:gridSpan w:val="2"/>
            <w:shd w:val="clear" w:color="auto" w:fill="CCEEFF"/>
          </w:tcPr>
          <w:p>
            <w:pPr>
              <w:spacing w:after="0" w:line="89" w:lineRule="exact"/>
              <w:rPr>
                <w:sz w:val="20"/>
                <w:szCs w:val="20"/>
                <w:color w:val="auto"/>
              </w:rPr>
            </w:pPr>
            <w:r>
              <w:rPr>
                <w:rFonts w:ascii="Arial" w:cs="Arial" w:eastAsia="Arial" w:hAnsi="Arial"/>
                <w:sz w:val="10"/>
                <w:szCs w:val="10"/>
                <w:b w:val="1"/>
                <w:bCs w:val="1"/>
                <w:color w:val="auto"/>
              </w:rPr>
              <w:t>Investments in Non-Controlled, Non-Affiliated</w:t>
            </w:r>
          </w:p>
        </w:tc>
        <w:tc>
          <w:tcPr>
            <w:tcW w:w="660" w:type="dxa"/>
            <w:vAlign w:val="bottom"/>
            <w:shd w:val="clear" w:color="auto" w:fill="CCEEFF"/>
          </w:tcPr>
          <w:p>
            <w:pPr>
              <w:spacing w:after="0"/>
              <w:rPr>
                <w:sz w:val="7"/>
                <w:szCs w:val="7"/>
                <w:color w:val="auto"/>
              </w:rPr>
            </w:pPr>
          </w:p>
        </w:tc>
        <w:tc>
          <w:tcPr>
            <w:tcW w:w="140" w:type="dxa"/>
            <w:vAlign w:val="bottom"/>
            <w:shd w:val="clear" w:color="auto" w:fill="CCEEFF"/>
          </w:tcPr>
          <w:p>
            <w:pPr>
              <w:spacing w:after="0"/>
              <w:rPr>
                <w:sz w:val="7"/>
                <w:szCs w:val="7"/>
                <w:color w:val="auto"/>
              </w:rPr>
            </w:pPr>
          </w:p>
        </w:tc>
        <w:tc>
          <w:tcPr>
            <w:tcW w:w="84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46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2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42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26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44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Portfolio Companies—120.2%</w:t>
            </w:r>
            <w:r>
              <w:rPr>
                <w:rFonts w:ascii="Arial" w:cs="Arial" w:eastAsia="Arial" w:hAnsi="Arial"/>
                <w:sz w:val="20"/>
                <w:szCs w:val="20"/>
                <w:b w:val="1"/>
                <w:bCs w:val="1"/>
                <w:color w:val="auto"/>
                <w:vertAlign w:val="superscript"/>
              </w:rPr>
              <w:t>(3), (4)</w:t>
            </w:r>
          </w:p>
        </w:tc>
        <w:tc>
          <w:tcPr>
            <w:tcW w:w="6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Debt—99.2%</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03/25/2015</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Telecommunications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L+800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1,209,524</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$ 1,213,365</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$ 1,215,571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Artel, LLC</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06/01/2016</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Telecommunications</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5.50%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L+425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987,500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978,043</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972,688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07/29/2017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94"/>
              </w:rPr>
              <w:t>Automotive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L+500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995,085</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Chester Downs and Marina, LLC</w:t>
            </w:r>
            <w:r>
              <w:rPr>
                <w:rFonts w:ascii="Arial" w:cs="Arial" w:eastAsia="Arial" w:hAnsi="Arial"/>
                <w:sz w:val="17"/>
                <w:szCs w:val="17"/>
                <w:color w:val="auto"/>
                <w:vertAlign w:val="superscript"/>
              </w:rPr>
              <w:t>(5)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07/31/2016</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Hotel, Gaming and Leisure</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12.38%</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L+988</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478,873</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488,220</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476,878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08/17/2017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Consumer Goods: Durable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7.25%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L+575</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4,000,000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3,921,236</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3,900,000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EAG, Inc.</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07/28/2017</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6.75%</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P+350</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987,500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982,590</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967,750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Ernest Health,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05/13/2016</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L+475</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2,966,250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2,939,107</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2,936,587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Frac Tech International, LLC</w:t>
            </w:r>
            <w:r>
              <w:rPr>
                <w:rFonts w:ascii="Arial" w:cs="Arial" w:eastAsia="Arial" w:hAnsi="Arial"/>
                <w:sz w:val="17"/>
                <w:szCs w:val="17"/>
                <w:color w:val="auto"/>
                <w:vertAlign w:val="superscript"/>
              </w:rPr>
              <w:t>(5)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05/06/2016</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Energy: Oil and Gas</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L+475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2,073,930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2,054,330</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2,033,747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Gundle/SLT Environmental,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05/27/2016</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9"/>
              </w:rPr>
              <w:t>Environmental Industries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7.01%</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2,964,467</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20" w:type="dxa"/>
            <w:vAlign w:val="bottom"/>
            <w:gridSpan w:val="2"/>
          </w:tcPr>
          <w:p>
            <w:pPr>
              <w:spacing w:after="0" w:line="122" w:lineRule="exact"/>
              <w:rPr>
                <w:sz w:val="20"/>
                <w:szCs w:val="20"/>
                <w:color w:val="auto"/>
              </w:rPr>
            </w:pPr>
            <w:r>
              <w:rPr>
                <w:rFonts w:ascii="Arial" w:cs="Arial" w:eastAsia="Arial" w:hAnsi="Arial"/>
                <w:sz w:val="14"/>
                <w:szCs w:val="14"/>
                <w:color w:val="auto"/>
              </w:rPr>
              <w:t>Harmony Foods</w:t>
            </w: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60" w:type="dxa"/>
            <w:vAlign w:val="bottom"/>
            <w:gridSpan w:val="3"/>
          </w:tcPr>
          <w:p>
            <w:pPr>
              <w:jc w:val="center"/>
              <w:ind w:right="80"/>
              <w:spacing w:after="0" w:line="122" w:lineRule="exact"/>
              <w:rPr>
                <w:sz w:val="20"/>
                <w:szCs w:val="20"/>
                <w:color w:val="auto"/>
              </w:rPr>
            </w:pPr>
            <w:r>
              <w:rPr>
                <w:rFonts w:ascii="Arial" w:cs="Arial" w:eastAsia="Arial" w:hAnsi="Arial"/>
                <w:sz w:val="14"/>
                <w:szCs w:val="14"/>
                <w:color w:val="auto"/>
                <w:w w:val="86"/>
              </w:rPr>
              <w:t>Beverage, Food and</w:t>
            </w:r>
          </w:p>
        </w:tc>
        <w:tc>
          <w:tcPr>
            <w:tcW w:w="4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tcPr>
          <w:p>
            <w:pPr>
              <w:ind w:left="200"/>
              <w:spacing w:after="0" w:line="176" w:lineRule="exact"/>
              <w:rPr>
                <w:sz w:val="20"/>
                <w:szCs w:val="20"/>
                <w:color w:val="auto"/>
              </w:rPr>
            </w:pPr>
            <w:r>
              <w:rPr>
                <w:rFonts w:ascii="Arial" w:cs="Arial" w:eastAsia="Arial" w:hAnsi="Arial"/>
                <w:sz w:val="20"/>
                <w:szCs w:val="20"/>
                <w:color w:val="auto"/>
                <w:vertAlign w:val="subscript"/>
              </w:rPr>
              <w:t>Corporation</w:t>
            </w:r>
            <w:r>
              <w:rPr>
                <w:rFonts w:ascii="Arial" w:cs="Arial" w:eastAsia="Arial" w:hAnsi="Arial"/>
                <w:sz w:val="9"/>
                <w:szCs w:val="9"/>
                <w:color w:val="auto"/>
              </w:rPr>
              <w:t>(5), (6), (11)</w:t>
            </w: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w w:val="91"/>
              </w:rPr>
              <w:t>05/01/2016</w:t>
            </w:r>
          </w:p>
        </w:tc>
        <w:tc>
          <w:tcPr>
            <w:tcW w:w="840" w:type="dxa"/>
            <w:vAlign w:val="bottom"/>
          </w:tcPr>
          <w:p>
            <w:pPr>
              <w:spacing w:after="0"/>
              <w:rPr>
                <w:sz w:val="15"/>
                <w:szCs w:val="15"/>
                <w:color w:val="auto"/>
              </w:rPr>
            </w:pPr>
          </w:p>
        </w:tc>
        <w:tc>
          <w:tcPr>
            <w:tcW w:w="1420" w:type="dxa"/>
            <w:vAlign w:val="bottom"/>
            <w:gridSpan w:val="2"/>
          </w:tcPr>
          <w:p>
            <w:pPr>
              <w:jc w:val="center"/>
              <w:ind w:right="920"/>
              <w:spacing w:after="0"/>
              <w:rPr>
                <w:sz w:val="20"/>
                <w:szCs w:val="20"/>
                <w:color w:val="auto"/>
              </w:rPr>
            </w:pPr>
            <w:r>
              <w:rPr>
                <w:rFonts w:ascii="Arial" w:cs="Arial" w:eastAsia="Arial" w:hAnsi="Arial"/>
                <w:sz w:val="14"/>
                <w:szCs w:val="14"/>
                <w:color w:val="auto"/>
                <w:w w:val="85"/>
              </w:rPr>
              <w:t>Tobacco</w:t>
            </w:r>
          </w:p>
        </w:tc>
        <w:tc>
          <w:tcPr>
            <w:tcW w:w="940" w:type="dxa"/>
            <w:vAlign w:val="bottom"/>
            <w:gridSpan w:val="2"/>
          </w:tcPr>
          <w:p>
            <w:pPr>
              <w:jc w:val="right"/>
              <w:ind w:right="360"/>
              <w:spacing w:after="0"/>
              <w:rPr>
                <w:sz w:val="20"/>
                <w:szCs w:val="20"/>
                <w:color w:val="auto"/>
              </w:rPr>
            </w:pPr>
            <w:r>
              <w:rPr>
                <w:rFonts w:ascii="Arial" w:cs="Arial" w:eastAsia="Arial" w:hAnsi="Arial"/>
                <w:sz w:val="14"/>
                <w:szCs w:val="14"/>
                <w:color w:val="auto"/>
              </w:rPr>
              <w:t>10.00%</w:t>
            </w:r>
          </w:p>
        </w:tc>
        <w:tc>
          <w:tcPr>
            <w:tcW w:w="72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3"/>
          </w:tcPr>
          <w:p>
            <w:pPr>
              <w:jc w:val="right"/>
              <w:ind w:right="280"/>
              <w:spacing w:after="0"/>
              <w:rPr>
                <w:sz w:val="20"/>
                <w:szCs w:val="20"/>
                <w:color w:val="auto"/>
              </w:rPr>
            </w:pPr>
            <w:r>
              <w:rPr>
                <w:rFonts w:ascii="Arial" w:cs="Arial" w:eastAsia="Arial" w:hAnsi="Arial"/>
                <w:sz w:val="14"/>
                <w:szCs w:val="14"/>
                <w:color w:val="auto"/>
                <w:w w:val="96"/>
              </w:rPr>
              <w:t>2,000,000</w:t>
            </w:r>
          </w:p>
        </w:tc>
        <w:tc>
          <w:tcPr>
            <w:tcW w:w="680" w:type="dxa"/>
            <w:vAlign w:val="bottom"/>
            <w:gridSpan w:val="3"/>
          </w:tcPr>
          <w:p>
            <w:pPr>
              <w:jc w:val="right"/>
              <w:spacing w:after="0"/>
              <w:rPr>
                <w:sz w:val="20"/>
                <w:szCs w:val="20"/>
                <w:color w:val="auto"/>
              </w:rPr>
            </w:pPr>
            <w:r>
              <w:rPr>
                <w:rFonts w:ascii="Arial" w:cs="Arial" w:eastAsia="Arial" w:hAnsi="Arial"/>
                <w:sz w:val="14"/>
                <w:szCs w:val="14"/>
                <w:color w:val="auto"/>
              </w:rPr>
              <w:t>2,000,000</w:t>
            </w:r>
          </w:p>
        </w:tc>
        <w:tc>
          <w:tcPr>
            <w:tcW w:w="1120" w:type="dxa"/>
            <w:vAlign w:val="bottom"/>
            <w:gridSpan w:val="4"/>
          </w:tcPr>
          <w:p>
            <w:pPr>
              <w:jc w:val="right"/>
              <w:spacing w:after="0"/>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Insight Global,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08/16/2017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L+500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2,493,750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2,481,331</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2,475,047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tcPr>
          <w:p>
            <w:pPr>
              <w:spacing w:after="0" w:line="138" w:lineRule="exact"/>
              <w:rPr>
                <w:sz w:val="20"/>
                <w:szCs w:val="20"/>
                <w:color w:val="auto"/>
              </w:rPr>
            </w:pPr>
            <w:r>
              <w:rPr>
                <w:rFonts w:ascii="Arial" w:cs="Arial" w:eastAsia="Arial" w:hAnsi="Arial"/>
                <w:sz w:val="10"/>
                <w:szCs w:val="10"/>
                <w:color w:val="auto"/>
              </w:rPr>
              <w:t>Instant Web, Inc.</w:t>
            </w:r>
            <w:r>
              <w:rPr>
                <w:rFonts w:ascii="Arial" w:cs="Arial" w:eastAsia="Arial" w:hAnsi="Arial"/>
                <w:sz w:val="15"/>
                <w:szCs w:val="15"/>
                <w:color w:val="auto"/>
                <w:vertAlign w:val="superscript"/>
              </w:rPr>
              <w:t>(5), (7)</w:t>
            </w:r>
          </w:p>
        </w:tc>
        <w:tc>
          <w:tcPr>
            <w:tcW w:w="8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91"/>
              </w:rPr>
              <w:t>08/07/2014</w:t>
            </w:r>
          </w:p>
        </w:tc>
        <w:tc>
          <w:tcPr>
            <w:tcW w:w="226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90"/>
              </w:rPr>
              <w:t>Media: Advertising, Printing and</w:t>
            </w:r>
          </w:p>
        </w:tc>
        <w:tc>
          <w:tcPr>
            <w:tcW w:w="94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3.61%</w:t>
            </w:r>
          </w:p>
        </w:tc>
        <w:tc>
          <w:tcPr>
            <w:tcW w:w="7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L+338</w:t>
            </w:r>
          </w:p>
        </w:tc>
        <w:tc>
          <w:tcPr>
            <w:tcW w:w="90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w w:val="96"/>
              </w:rPr>
              <w:t>6,981,823</w:t>
            </w: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6,523,240</w:t>
            </w:r>
          </w:p>
        </w:tc>
        <w:tc>
          <w:tcPr>
            <w:tcW w:w="11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6,283,641</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9"/>
              </w:rPr>
              <w:t>Publishing</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09/10/2015</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Chemicals, Plastics and Rubber</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10.00%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P+675</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5,476,250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5,525,637</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5,202,437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KAR Auction Services, Inc.</w:t>
            </w:r>
            <w:r>
              <w:rPr>
                <w:rFonts w:ascii="Arial" w:cs="Arial" w:eastAsia="Arial" w:hAnsi="Arial"/>
                <w:sz w:val="17"/>
                <w:szCs w:val="17"/>
                <w:color w:val="auto"/>
                <w:vertAlign w:val="superscript"/>
              </w:rPr>
              <w:t>(5)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05/19/2017</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4"/>
              </w:rPr>
              <w:t>Automotive</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5.00%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L+375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2,992,500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2,978,487</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2,895,244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7"/>
                <w:szCs w:val="17"/>
                <w:color w:val="auto"/>
                <w:vertAlign w:val="superscript"/>
              </w:rPr>
              <w:t>(5), (7)</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05/31/2014</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Consumer Goods: Non-Durable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8.50%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L+700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4,987,500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4,847,186</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4,713,187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Medpace Holdings, Inc.</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06/17/2017</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6.50%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L+500</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1,995,000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1,966,025</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1,895,250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(7)</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05/06/2018</w:t>
            </w:r>
          </w:p>
        </w:tc>
        <w:tc>
          <w:tcPr>
            <w:tcW w:w="2260" w:type="dxa"/>
            <w:vAlign w:val="bottom"/>
            <w:gridSpan w:val="3"/>
            <w:shd w:val="clear" w:color="auto" w:fill="CCEEFF"/>
          </w:tcPr>
          <w:p>
            <w:pPr>
              <w:jc w:val="center"/>
              <w:ind w:right="10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3,990,000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3,951,886</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3,670,800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Penton Media, Inc.</w:t>
            </w:r>
            <w:r>
              <w:rPr>
                <w:rFonts w:ascii="Arial" w:cs="Arial" w:eastAsia="Arial" w:hAnsi="Arial"/>
                <w:sz w:val="17"/>
                <w:szCs w:val="17"/>
                <w:color w:val="auto"/>
                <w:vertAlign w:val="superscript"/>
              </w:rPr>
              <w:t>(5)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08/01/2014</w:t>
            </w:r>
          </w:p>
        </w:tc>
        <w:tc>
          <w:tcPr>
            <w:tcW w:w="22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40" w:type="dxa"/>
            <w:vAlign w:val="bottom"/>
            <w:gridSpan w:val="2"/>
          </w:tcPr>
          <w:p>
            <w:pPr>
              <w:jc w:val="right"/>
              <w:ind w:right="220"/>
              <w:spacing w:after="0" w:line="149" w:lineRule="exact"/>
              <w:rPr>
                <w:sz w:val="20"/>
                <w:szCs w:val="20"/>
                <w:color w:val="auto"/>
              </w:rPr>
            </w:pPr>
            <w:r>
              <w:rPr>
                <w:rFonts w:ascii="Arial" w:cs="Arial" w:eastAsia="Arial" w:hAnsi="Arial"/>
                <w:sz w:val="11"/>
                <w:szCs w:val="11"/>
                <w:color w:val="auto"/>
              </w:rPr>
              <w:t>5.00%</w:t>
            </w:r>
            <w:r>
              <w:rPr>
                <w:rFonts w:ascii="Arial" w:cs="Arial" w:eastAsia="Arial" w:hAnsi="Arial"/>
                <w:sz w:val="17"/>
                <w:szCs w:val="17"/>
                <w:color w:val="auto"/>
                <w:vertAlign w:val="superscript"/>
              </w:rPr>
              <w:t>(8)</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L+400</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5,498,048</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4,675,936</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3,802,818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05/08/2017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Containers, Packaging and Glass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6.00%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L+450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1,995,000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1,976,257</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1,900,237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Pro Mach, Inc.</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07/06/2017</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9"/>
              </w:rPr>
              <w:t>Capital Equipment</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L+475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rPr>
              <w:t>997,500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987,986</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982,537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05/31/2017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8"/>
              </w:rPr>
              <w:t>Telecommunications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5.25%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L+400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2,963,597</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2,891,503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Select Medical Corporation</w:t>
            </w:r>
            <w:r>
              <w:rPr>
                <w:rFonts w:ascii="Arial" w:cs="Arial" w:eastAsia="Arial" w:hAnsi="Arial"/>
                <w:sz w:val="17"/>
                <w:szCs w:val="17"/>
                <w:color w:val="auto"/>
                <w:vertAlign w:val="superscript"/>
              </w:rPr>
              <w:t>(5)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06/01/2018</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5.50%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L+375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2,992,500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2,963,943</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2,708,212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04/22/2017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3"/>
              </w:rPr>
              <w:t>Aerospace and Defense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7.00%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2,964,848</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2,917,688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Tank Intermediate Holding Corp.</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04/15/2016</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5"/>
              </w:rPr>
              <w:t>Containers, Packaging and Glass</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5.00%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L+375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1,835,472</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1,831,420</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1,807,940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Terex Corporation</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04/28/2017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9"/>
              </w:rPr>
              <w:t>Capital Equipment</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5.50%</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L+400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1,980,598</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1,962,500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Triple Point Technology, Inc.</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04/14/2016</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8"/>
              </w:rPr>
              <w:t>High Tech Industries</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L+475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4,968,750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4,923,769</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4,819,688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Univita Health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06/19/2017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6"/>
              </w:rPr>
              <w:t>Consumer Services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6.25%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L+475</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2,964,110</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2,827,913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tcPr>
          <w:p>
            <w:pPr>
              <w:spacing w:after="0" w:line="138" w:lineRule="exact"/>
              <w:rPr>
                <w:sz w:val="20"/>
                <w:szCs w:val="20"/>
                <w:color w:val="auto"/>
              </w:rPr>
            </w:pPr>
            <w:r>
              <w:rPr>
                <w:rFonts w:ascii="Arial" w:cs="Arial" w:eastAsia="Arial" w:hAnsi="Arial"/>
                <w:sz w:val="14"/>
                <w:szCs w:val="14"/>
                <w:color w:val="auto"/>
              </w:rPr>
              <w:t>U.S. Healthworks Holding</w:t>
            </w:r>
          </w:p>
        </w:tc>
        <w:tc>
          <w:tcPr>
            <w:tcW w:w="8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91"/>
              </w:rPr>
              <w:t>06/15/2016</w:t>
            </w:r>
          </w:p>
        </w:tc>
        <w:tc>
          <w:tcPr>
            <w:tcW w:w="226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6.25%</w:t>
            </w:r>
          </w:p>
        </w:tc>
        <w:tc>
          <w:tcPr>
            <w:tcW w:w="7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L+475</w:t>
            </w:r>
          </w:p>
        </w:tc>
        <w:tc>
          <w:tcPr>
            <w:tcW w:w="90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w w:val="96"/>
              </w:rPr>
              <w:t>2,992,500</w:t>
            </w: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2,964,480</w:t>
            </w:r>
          </w:p>
        </w:tc>
        <w:tc>
          <w:tcPr>
            <w:tcW w:w="11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2,887,763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9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Company, Inc.</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06/02/2017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5.75%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L+450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1,496,250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1,489,223</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1,406,475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920" w:type="dxa"/>
            <w:vAlign w:val="bottom"/>
            <w:gridSpan w:val="2"/>
          </w:tcPr>
          <w:p>
            <w:pPr>
              <w:spacing w:after="0" w:line="138" w:lineRule="exact"/>
              <w:rPr>
                <w:sz w:val="20"/>
                <w:szCs w:val="20"/>
                <w:color w:val="auto"/>
              </w:rPr>
            </w:pPr>
            <w:r>
              <w:rPr>
                <w:rFonts w:ascii="Arial" w:cs="Arial" w:eastAsia="Arial" w:hAnsi="Arial"/>
                <w:sz w:val="10"/>
                <w:szCs w:val="10"/>
                <w:color w:val="auto"/>
              </w:rPr>
              <w:t>Viamedia Services Corp.</w:t>
            </w:r>
            <w:r>
              <w:rPr>
                <w:rFonts w:ascii="Arial" w:cs="Arial" w:eastAsia="Arial" w:hAnsi="Arial"/>
                <w:sz w:val="15"/>
                <w:szCs w:val="15"/>
                <w:color w:val="auto"/>
                <w:vertAlign w:val="superscript"/>
              </w:rPr>
              <w:t>(5)</w:t>
            </w:r>
          </w:p>
        </w:tc>
        <w:tc>
          <w:tcPr>
            <w:tcW w:w="80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91"/>
              </w:rPr>
              <w:t>04/19/2016</w:t>
            </w:r>
          </w:p>
        </w:tc>
        <w:tc>
          <w:tcPr>
            <w:tcW w:w="2260" w:type="dxa"/>
            <w:vAlign w:val="bottom"/>
            <w:gridSpan w:val="3"/>
          </w:tcPr>
          <w:p>
            <w:pPr>
              <w:jc w:val="center"/>
              <w:ind w:right="80"/>
              <w:spacing w:after="0" w:line="138" w:lineRule="exact"/>
              <w:rPr>
                <w:sz w:val="20"/>
                <w:szCs w:val="20"/>
                <w:color w:val="auto"/>
              </w:rPr>
            </w:pPr>
            <w:r>
              <w:rPr>
                <w:rFonts w:ascii="Arial" w:cs="Arial" w:eastAsia="Arial" w:hAnsi="Arial"/>
                <w:sz w:val="14"/>
                <w:szCs w:val="14"/>
                <w:color w:val="auto"/>
                <w:w w:val="90"/>
              </w:rPr>
              <w:t>Media: Advertising, Printing and</w:t>
            </w:r>
          </w:p>
        </w:tc>
        <w:tc>
          <w:tcPr>
            <w:tcW w:w="940" w:type="dxa"/>
            <w:vAlign w:val="bottom"/>
            <w:gridSpan w:val="2"/>
          </w:tcPr>
          <w:p>
            <w:pPr>
              <w:jc w:val="right"/>
              <w:ind w:right="360"/>
              <w:spacing w:after="0" w:line="138" w:lineRule="exact"/>
              <w:rPr>
                <w:sz w:val="20"/>
                <w:szCs w:val="20"/>
                <w:color w:val="auto"/>
              </w:rPr>
            </w:pPr>
            <w:r>
              <w:rPr>
                <w:rFonts w:ascii="Arial" w:cs="Arial" w:eastAsia="Arial" w:hAnsi="Arial"/>
                <w:sz w:val="14"/>
                <w:szCs w:val="14"/>
                <w:color w:val="auto"/>
              </w:rPr>
              <w:t>7.00%</w:t>
            </w:r>
          </w:p>
        </w:tc>
        <w:tc>
          <w:tcPr>
            <w:tcW w:w="72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L+550</w:t>
            </w:r>
          </w:p>
        </w:tc>
        <w:tc>
          <w:tcPr>
            <w:tcW w:w="900" w:type="dxa"/>
            <w:vAlign w:val="bottom"/>
            <w:gridSpan w:val="3"/>
          </w:tcPr>
          <w:p>
            <w:pPr>
              <w:jc w:val="right"/>
              <w:ind w:right="280"/>
              <w:spacing w:after="0" w:line="138" w:lineRule="exact"/>
              <w:rPr>
                <w:sz w:val="20"/>
                <w:szCs w:val="20"/>
                <w:color w:val="auto"/>
              </w:rPr>
            </w:pPr>
            <w:r>
              <w:rPr>
                <w:rFonts w:ascii="Arial" w:cs="Arial" w:eastAsia="Arial" w:hAnsi="Arial"/>
                <w:sz w:val="14"/>
                <w:szCs w:val="14"/>
                <w:color w:val="auto"/>
                <w:w w:val="96"/>
              </w:rPr>
              <w:t>4,750,000</w:t>
            </w: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4,694,273</w:t>
            </w:r>
          </w:p>
        </w:tc>
        <w:tc>
          <w:tcPr>
            <w:tcW w:w="11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4,690,625</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60" w:type="dxa"/>
            <w:vAlign w:val="bottom"/>
            <w:gridSpan w:val="3"/>
          </w:tcPr>
          <w:p>
            <w:pPr>
              <w:jc w:val="center"/>
              <w:ind w:right="80"/>
              <w:spacing w:after="0" w:line="159" w:lineRule="exact"/>
              <w:rPr>
                <w:sz w:val="20"/>
                <w:szCs w:val="20"/>
                <w:color w:val="auto"/>
              </w:rPr>
            </w:pPr>
            <w:r>
              <w:rPr>
                <w:rFonts w:ascii="Arial" w:cs="Arial" w:eastAsia="Arial" w:hAnsi="Arial"/>
                <w:sz w:val="14"/>
                <w:szCs w:val="14"/>
                <w:color w:val="auto"/>
                <w:w w:val="89"/>
              </w:rPr>
              <w:t>Publishing</w:t>
            </w: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12/22/2016</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Business Services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7.75%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P+450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2,992,500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2,963,172</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2,812,950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08/10/2017</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87"/>
              </w:rPr>
              <w:t>Consumer Goods: Durable</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6.75%</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L+525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3,500,000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3,465,501</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3,430,000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92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Yonkers Racing</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260" w:type="dxa"/>
            <w:vAlign w:val="bottom"/>
            <w:gridSpan w:val="3"/>
            <w:shd w:val="clear" w:color="auto" w:fill="CCEEFF"/>
          </w:tcPr>
          <w:p>
            <w:pPr>
              <w:jc w:val="center"/>
              <w:ind w:right="80"/>
              <w:spacing w:after="0" w:line="122" w:lineRule="exact"/>
              <w:rPr>
                <w:sz w:val="20"/>
                <w:szCs w:val="20"/>
                <w:color w:val="auto"/>
              </w:rPr>
            </w:pPr>
            <w:r>
              <w:rPr>
                <w:rFonts w:ascii="Arial" w:cs="Arial" w:eastAsia="Arial" w:hAnsi="Arial"/>
                <w:sz w:val="14"/>
                <w:szCs w:val="14"/>
                <w:color w:val="auto"/>
                <w:w w:val="87"/>
              </w:rPr>
              <w:t>Hotel, Gaming and</w:t>
            </w:r>
          </w:p>
        </w:tc>
        <w:tc>
          <w:tcPr>
            <w:tcW w:w="4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2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20"/>
                <w:szCs w:val="20"/>
                <w:color w:val="auto"/>
                <w:vertAlign w:val="subscript"/>
              </w:rPr>
              <w:t>Corporation</w:t>
            </w:r>
            <w:r>
              <w:rPr>
                <w:rFonts w:ascii="Arial" w:cs="Arial" w:eastAsia="Arial" w:hAnsi="Arial"/>
                <w:sz w:val="9"/>
                <w:szCs w:val="9"/>
                <w:color w:val="auto"/>
              </w:rPr>
              <w:t>(11), (6), (5)</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1"/>
              </w:rPr>
              <w:t>07/15/2016</w:t>
            </w:r>
          </w:p>
        </w:tc>
        <w:tc>
          <w:tcPr>
            <w:tcW w:w="840" w:type="dxa"/>
            <w:vAlign w:val="bottom"/>
            <w:shd w:val="clear" w:color="auto" w:fill="CCEEFF"/>
          </w:tcPr>
          <w:p>
            <w:pPr>
              <w:spacing w:after="0"/>
              <w:rPr>
                <w:sz w:val="15"/>
                <w:szCs w:val="15"/>
                <w:color w:val="auto"/>
              </w:rPr>
            </w:pPr>
          </w:p>
        </w:tc>
        <w:tc>
          <w:tcPr>
            <w:tcW w:w="1420" w:type="dxa"/>
            <w:vAlign w:val="bottom"/>
            <w:gridSpan w:val="2"/>
            <w:shd w:val="clear" w:color="auto" w:fill="CCEEFF"/>
          </w:tcPr>
          <w:p>
            <w:pPr>
              <w:jc w:val="center"/>
              <w:ind w:right="920"/>
              <w:spacing w:after="0"/>
              <w:rPr>
                <w:sz w:val="20"/>
                <w:szCs w:val="20"/>
                <w:color w:val="auto"/>
              </w:rPr>
            </w:pPr>
            <w:r>
              <w:rPr>
                <w:rFonts w:ascii="Arial" w:cs="Arial" w:eastAsia="Arial" w:hAnsi="Arial"/>
                <w:sz w:val="14"/>
                <w:szCs w:val="14"/>
                <w:color w:val="auto"/>
                <w:w w:val="91"/>
              </w:rPr>
              <w:t>Leisure</w:t>
            </w:r>
          </w:p>
        </w:tc>
        <w:tc>
          <w:tcPr>
            <w:tcW w:w="94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11.38%</w:t>
            </w:r>
          </w:p>
        </w:tc>
        <w:tc>
          <w:tcPr>
            <w:tcW w:w="72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80"/>
              <w:spacing w:after="0"/>
              <w:rPr>
                <w:sz w:val="20"/>
                <w:szCs w:val="20"/>
                <w:color w:val="auto"/>
              </w:rPr>
            </w:pPr>
            <w:r>
              <w:rPr>
                <w:rFonts w:ascii="Arial" w:cs="Arial" w:eastAsia="Arial" w:hAnsi="Arial"/>
                <w:sz w:val="14"/>
                <w:szCs w:val="14"/>
                <w:color w:val="auto"/>
                <w:w w:val="96"/>
              </w:rPr>
              <w:t>4,000,000</w:t>
            </w: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4,355,966</w:t>
            </w:r>
          </w:p>
        </w:tc>
        <w:tc>
          <w:tcPr>
            <w:tcW w:w="440" w:type="dxa"/>
            <w:vAlign w:val="bottom"/>
            <w:shd w:val="clear" w:color="auto" w:fill="CCEEFF"/>
          </w:tcPr>
          <w:p>
            <w:pPr>
              <w:spacing w:after="0"/>
              <w:rPr>
                <w:sz w:val="15"/>
                <w:szCs w:val="15"/>
                <w:color w:val="auto"/>
              </w:rPr>
            </w:pPr>
          </w:p>
        </w:tc>
        <w:tc>
          <w:tcPr>
            <w:tcW w:w="6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4,080,000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9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94"/>
              </w:rPr>
              <w:t>94,975,314</w:t>
            </w:r>
          </w:p>
        </w:tc>
        <w:tc>
          <w:tcPr>
            <w:tcW w:w="11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91,363,126</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Debt—13.3%</w:t>
            </w: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Autoparts Holdings Limited</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01/29/2018</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4"/>
              </w:rPr>
              <w:t>Automotive</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10.50%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L+900</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1,000,000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995,000</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985,000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Ernest Health, Inc.</w:t>
            </w:r>
            <w:r>
              <w:rPr>
                <w:rFonts w:ascii="Arial" w:cs="Arial" w:eastAsia="Arial" w:hAnsi="Arial"/>
                <w:sz w:val="17"/>
                <w:szCs w:val="17"/>
                <w:color w:val="auto"/>
                <w:vertAlign w:val="superscript"/>
              </w:rPr>
              <w:t>(5)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05/13/2017</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5"/>
              </w:rPr>
              <w:t>Healthcare and Pharmaceuticals</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10.25%</w:t>
            </w:r>
          </w:p>
        </w:tc>
        <w:tc>
          <w:tcPr>
            <w:tcW w:w="7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L+850</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4,000,000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3,942,406</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3,940,000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(5), (7)</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11/06/2018</w:t>
            </w:r>
          </w:p>
        </w:tc>
        <w:tc>
          <w:tcPr>
            <w:tcW w:w="2260" w:type="dxa"/>
            <w:vAlign w:val="bottom"/>
            <w:gridSpan w:val="3"/>
          </w:tcPr>
          <w:p>
            <w:pPr>
              <w:jc w:val="center"/>
              <w:ind w:right="10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10.25%</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L+875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1,500,000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1,485,581</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1,380,000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ROC Finance LLC and ROC Finance 1 Corp</w:t>
            </w:r>
            <w:r>
              <w:rPr>
                <w:rFonts w:ascii="Arial" w:cs="Arial" w:eastAsia="Arial" w:hAnsi="Arial"/>
                <w:sz w:val="17"/>
                <w:szCs w:val="17"/>
                <w:color w:val="auto"/>
                <w:vertAlign w:val="superscript"/>
              </w:rPr>
              <w:t>(5)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09/01/2018</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Hotel, Gaming and Leisure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12.13%</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2,000,000</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1,965,834</w:t>
            </w:r>
          </w:p>
        </w:tc>
        <w:tc>
          <w:tcPr>
            <w:tcW w:w="11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2,020,000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tcPr>
          <w:p>
            <w:pPr>
              <w:spacing w:after="0" w:line="149" w:lineRule="exact"/>
              <w:rPr>
                <w:sz w:val="20"/>
                <w:szCs w:val="20"/>
                <w:color w:val="auto"/>
              </w:rPr>
            </w:pPr>
            <w:r>
              <w:rPr>
                <w:rFonts w:ascii="Arial" w:cs="Arial" w:eastAsia="Arial" w:hAnsi="Arial"/>
                <w:sz w:val="11"/>
                <w:szCs w:val="11"/>
                <w:color w:val="auto"/>
              </w:rPr>
              <w:t>Sensus USA Inc.</w:t>
            </w:r>
            <w:r>
              <w:rPr>
                <w:rFonts w:ascii="Arial" w:cs="Arial" w:eastAsia="Arial" w:hAnsi="Arial"/>
                <w:sz w:val="17"/>
                <w:szCs w:val="17"/>
                <w:color w:val="auto"/>
                <w:vertAlign w:val="superscript"/>
              </w:rPr>
              <w:t>(5)</w:t>
            </w:r>
          </w:p>
        </w:tc>
        <w:tc>
          <w:tcPr>
            <w:tcW w:w="8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w w:val="91"/>
              </w:rPr>
              <w:t>05/09/2018</w:t>
            </w:r>
          </w:p>
        </w:tc>
        <w:tc>
          <w:tcPr>
            <w:tcW w:w="2260" w:type="dxa"/>
            <w:vAlign w:val="bottom"/>
            <w:gridSpan w:val="3"/>
          </w:tcPr>
          <w:p>
            <w:pPr>
              <w:jc w:val="center"/>
              <w:ind w:right="80"/>
              <w:spacing w:after="0" w:line="149" w:lineRule="exact"/>
              <w:rPr>
                <w:sz w:val="20"/>
                <w:szCs w:val="20"/>
                <w:color w:val="auto"/>
              </w:rPr>
            </w:pPr>
            <w:r>
              <w:rPr>
                <w:rFonts w:ascii="Arial" w:cs="Arial" w:eastAsia="Arial" w:hAnsi="Arial"/>
                <w:sz w:val="14"/>
                <w:szCs w:val="14"/>
                <w:color w:val="auto"/>
                <w:w w:val="90"/>
              </w:rPr>
              <w:t>Utilities: Water</w:t>
            </w:r>
          </w:p>
        </w:tc>
        <w:tc>
          <w:tcPr>
            <w:tcW w:w="9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8.50%</w:t>
            </w:r>
          </w:p>
        </w:tc>
        <w:tc>
          <w:tcPr>
            <w:tcW w:w="7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L+725</w:t>
            </w:r>
          </w:p>
        </w:tc>
        <w:tc>
          <w:tcPr>
            <w:tcW w:w="900" w:type="dxa"/>
            <w:vAlign w:val="bottom"/>
            <w:gridSpan w:val="3"/>
          </w:tcPr>
          <w:p>
            <w:pPr>
              <w:jc w:val="right"/>
              <w:ind w:right="280"/>
              <w:spacing w:after="0" w:line="149" w:lineRule="exact"/>
              <w:rPr>
                <w:sz w:val="20"/>
                <w:szCs w:val="20"/>
                <w:color w:val="auto"/>
              </w:rPr>
            </w:pPr>
            <w:r>
              <w:rPr>
                <w:rFonts w:ascii="Arial" w:cs="Arial" w:eastAsia="Arial" w:hAnsi="Arial"/>
                <w:sz w:val="14"/>
                <w:szCs w:val="14"/>
                <w:color w:val="auto"/>
                <w:w w:val="96"/>
              </w:rPr>
              <w:t>1,000,000</w:t>
            </w: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990,624</w:t>
            </w:r>
          </w:p>
        </w:tc>
        <w:tc>
          <w:tcPr>
            <w:tcW w:w="11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960,000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2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(11), (6), (7), (5)</w:t>
            </w:r>
          </w:p>
        </w:tc>
        <w:tc>
          <w:tcPr>
            <w:tcW w:w="8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w w:val="91"/>
              </w:rPr>
              <w:t>05/15/2019</w:t>
            </w:r>
          </w:p>
        </w:tc>
        <w:tc>
          <w:tcPr>
            <w:tcW w:w="2260" w:type="dxa"/>
            <w:vAlign w:val="bottom"/>
            <w:gridSpan w:val="3"/>
            <w:shd w:val="clear" w:color="auto" w:fill="CCEEFF"/>
          </w:tcPr>
          <w:p>
            <w:pPr>
              <w:jc w:val="center"/>
              <w:ind w:right="80"/>
              <w:spacing w:after="0" w:line="149" w:lineRule="exact"/>
              <w:rPr>
                <w:sz w:val="20"/>
                <w:szCs w:val="20"/>
                <w:color w:val="auto"/>
              </w:rPr>
            </w:pPr>
            <w:r>
              <w:rPr>
                <w:rFonts w:ascii="Arial" w:cs="Arial" w:eastAsia="Arial" w:hAnsi="Arial"/>
                <w:sz w:val="14"/>
                <w:szCs w:val="14"/>
                <w:color w:val="auto"/>
                <w:w w:val="87"/>
              </w:rPr>
              <w:t>Hotel, Gaming and Leisure</w:t>
            </w:r>
          </w:p>
        </w:tc>
        <w:tc>
          <w:tcPr>
            <w:tcW w:w="9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9.13%</w:t>
            </w:r>
          </w:p>
        </w:tc>
        <w:tc>
          <w:tcPr>
            <w:tcW w:w="72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3"/>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w w:val="96"/>
              </w:rPr>
              <w:t>3,000,000</w:t>
            </w: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440" w:type="dxa"/>
            <w:vAlign w:val="bottom"/>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2,970,000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9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12,379,445</w:t>
            </w:r>
          </w:p>
        </w:tc>
        <w:tc>
          <w:tcPr>
            <w:tcW w:w="440" w:type="dxa"/>
            <w:vAlign w:val="bottom"/>
          </w:tcPr>
          <w:p>
            <w:pPr>
              <w:spacing w:after="0"/>
              <w:rPr>
                <w:sz w:val="13"/>
                <w:szCs w:val="13"/>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94"/>
              </w:rPr>
              <w:t>12,255,000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459" w:right="2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2011</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vMerge w:val="restart"/>
          </w:tcPr>
          <w:p>
            <w:pPr>
              <w:jc w:val="right"/>
              <w:ind w:right="32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80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88"/>
              </w:rPr>
              <w:t>Above</w:t>
            </w:r>
          </w:p>
        </w:tc>
        <w:tc>
          <w:tcPr>
            <w:tcW w:w="720" w:type="dxa"/>
            <w:vAlign w:val="bottom"/>
            <w:gridSpan w:val="2"/>
          </w:tcPr>
          <w:p>
            <w:pPr>
              <w:jc w:val="right"/>
              <w:ind w:right="300"/>
              <w:spacing w:after="0" w:line="135" w:lineRule="exact"/>
              <w:rPr>
                <w:sz w:val="20"/>
                <w:szCs w:val="20"/>
                <w:color w:val="auto"/>
              </w:rPr>
            </w:pPr>
            <w:r>
              <w:rPr>
                <w:rFonts w:ascii="Arial" w:cs="Arial" w:eastAsia="Arial" w:hAnsi="Arial"/>
                <w:sz w:val="14"/>
                <w:szCs w:val="14"/>
                <w:b w:val="1"/>
                <w:bCs w:val="1"/>
                <w:color w:val="auto"/>
              </w:rPr>
              <w:t>Par/</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66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rPr>
              <w:t>Issuer Name</w:t>
            </w:r>
          </w:p>
        </w:tc>
        <w:tc>
          <w:tcPr>
            <w:tcW w:w="780" w:type="dxa"/>
            <w:vAlign w:val="bottom"/>
            <w:gridSpan w:val="2"/>
          </w:tcPr>
          <w:p>
            <w:pPr>
              <w:jc w:val="right"/>
              <w:ind w:right="200"/>
              <w:spacing w:after="0" w:line="129" w:lineRule="exact"/>
              <w:rPr>
                <w:sz w:val="20"/>
                <w:szCs w:val="20"/>
                <w:color w:val="auto"/>
              </w:rPr>
            </w:pPr>
            <w:r>
              <w:rPr>
                <w:rFonts w:ascii="Arial" w:cs="Arial" w:eastAsia="Arial" w:hAnsi="Arial"/>
                <w:sz w:val="14"/>
                <w:szCs w:val="14"/>
                <w:b w:val="1"/>
                <w:bCs w:val="1"/>
                <w:color w:val="auto"/>
              </w:rPr>
              <w:t>Maturity</w:t>
            </w:r>
          </w:p>
        </w:tc>
        <w:tc>
          <w:tcPr>
            <w:tcW w:w="660" w:type="dxa"/>
            <w:vAlign w:val="bottom"/>
          </w:tcPr>
          <w:p>
            <w:pPr>
              <w:spacing w:after="0"/>
              <w:rPr>
                <w:sz w:val="12"/>
                <w:szCs w:val="12"/>
                <w:color w:val="auto"/>
              </w:rPr>
            </w:pPr>
          </w:p>
        </w:tc>
        <w:tc>
          <w:tcPr>
            <w:tcW w:w="1140" w:type="dxa"/>
            <w:vAlign w:val="bottom"/>
            <w:gridSpan w:val="2"/>
          </w:tcPr>
          <w:p>
            <w:pPr>
              <w:jc w:val="center"/>
              <w:ind w:right="600"/>
              <w:spacing w:after="0" w:line="129" w:lineRule="exact"/>
              <w:rPr>
                <w:sz w:val="20"/>
                <w:szCs w:val="20"/>
                <w:color w:val="auto"/>
              </w:rPr>
            </w:pPr>
            <w:r>
              <w:rPr>
                <w:rFonts w:ascii="Arial" w:cs="Arial" w:eastAsia="Arial" w:hAnsi="Arial"/>
                <w:sz w:val="14"/>
                <w:szCs w:val="14"/>
                <w:b w:val="1"/>
                <w:bCs w:val="1"/>
                <w:color w:val="auto"/>
                <w:w w:val="90"/>
              </w:rPr>
              <w:t>Industry</w:t>
            </w:r>
          </w:p>
        </w:tc>
        <w:tc>
          <w:tcPr>
            <w:tcW w:w="8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Coupon</w:t>
            </w:r>
          </w:p>
        </w:tc>
        <w:tc>
          <w:tcPr>
            <w:tcW w:w="800" w:type="dxa"/>
            <w:vAlign w:val="bottom"/>
            <w:gridSpan w:val="2"/>
          </w:tcPr>
          <w:p>
            <w:pPr>
              <w:jc w:val="center"/>
              <w:ind w:right="140"/>
              <w:spacing w:after="0" w:line="129" w:lineRule="exact"/>
              <w:rPr>
                <w:sz w:val="20"/>
                <w:szCs w:val="20"/>
                <w:color w:val="auto"/>
              </w:rPr>
            </w:pPr>
            <w:r>
              <w:rPr>
                <w:rFonts w:ascii="Arial" w:cs="Arial" w:eastAsia="Arial" w:hAnsi="Arial"/>
                <w:sz w:val="10"/>
                <w:szCs w:val="10"/>
                <w:b w:val="1"/>
                <w:bCs w:val="1"/>
                <w:color w:val="auto"/>
              </w:rPr>
              <w:t>Index</w:t>
            </w:r>
            <w:r>
              <w:rPr>
                <w:rFonts w:ascii="Arial" w:cs="Arial" w:eastAsia="Arial" w:hAnsi="Arial"/>
                <w:sz w:val="14"/>
                <w:szCs w:val="14"/>
                <w:b w:val="1"/>
                <w:bCs w:val="1"/>
                <w:color w:val="auto"/>
                <w:vertAlign w:val="superscript"/>
              </w:rPr>
              <w:t>(1)</w:t>
            </w:r>
          </w:p>
        </w:tc>
        <w:tc>
          <w:tcPr>
            <w:tcW w:w="720" w:type="dxa"/>
            <w:vAlign w:val="bottom"/>
            <w:gridSpan w:val="2"/>
          </w:tcPr>
          <w:p>
            <w:pPr>
              <w:jc w:val="right"/>
              <w:ind w:right="240"/>
              <w:spacing w:after="0" w:line="129" w:lineRule="exact"/>
              <w:rPr>
                <w:sz w:val="20"/>
                <w:szCs w:val="20"/>
                <w:color w:val="auto"/>
              </w:rPr>
            </w:pPr>
            <w:r>
              <w:rPr>
                <w:rFonts w:ascii="Arial" w:cs="Arial" w:eastAsia="Arial" w:hAnsi="Arial"/>
                <w:sz w:val="14"/>
                <w:szCs w:val="14"/>
                <w:b w:val="1"/>
                <w:bCs w:val="1"/>
                <w:color w:val="auto"/>
                <w:w w:val="98"/>
              </w:rPr>
              <w:t>Shares</w:t>
            </w:r>
          </w:p>
        </w:tc>
        <w:tc>
          <w:tcPr>
            <w:tcW w:w="80" w:type="dxa"/>
            <w:vAlign w:val="bottom"/>
          </w:tcPr>
          <w:p>
            <w:pPr>
              <w:spacing w:after="0"/>
              <w:rPr>
                <w:sz w:val="12"/>
                <w:szCs w:val="12"/>
                <w:color w:val="auto"/>
              </w:rPr>
            </w:pPr>
          </w:p>
        </w:tc>
        <w:tc>
          <w:tcPr>
            <w:tcW w:w="960" w:type="dxa"/>
            <w:vAlign w:val="bottom"/>
            <w:gridSpan w:val="4"/>
          </w:tcPr>
          <w:p>
            <w:pPr>
              <w:ind w:left="160"/>
              <w:spacing w:after="0" w:line="129" w:lineRule="exact"/>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right"/>
              <w:ind w:right="220"/>
              <w:spacing w:after="0" w:line="129" w:lineRule="exact"/>
              <w:rPr>
                <w:sz w:val="20"/>
                <w:szCs w:val="20"/>
                <w:color w:val="auto"/>
              </w:rPr>
            </w:pPr>
            <w:r>
              <w:rPr>
                <w:rFonts w:ascii="Arial" w:cs="Arial" w:eastAsia="Arial" w:hAnsi="Arial"/>
                <w:sz w:val="10"/>
                <w:szCs w:val="10"/>
                <w:b w:val="1"/>
                <w:bCs w:val="1"/>
                <w:color w:val="auto"/>
              </w:rPr>
              <w:t>Value</w:t>
            </w:r>
            <w:r>
              <w:rPr>
                <w:rFonts w:ascii="Arial" w:cs="Arial" w:eastAsia="Arial" w:hAnsi="Arial"/>
                <w:sz w:val="14"/>
                <w:szCs w:val="14"/>
                <w:b w:val="1"/>
                <w:bCs w:val="1"/>
                <w:color w:val="auto"/>
                <w:vertAlign w:val="superscript"/>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9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shd w:val="clear" w:color="auto" w:fill="000000"/>
          </w:tcPr>
          <w:p>
            <w:pPr>
              <w:spacing w:after="0" w:line="20" w:lineRule="exact"/>
              <w:rPr>
                <w:sz w:val="1"/>
                <w:szCs w:val="1"/>
                <w:color w:val="auto"/>
              </w:rPr>
            </w:pPr>
          </w:p>
        </w:tc>
        <w:tc>
          <w:tcPr>
            <w:tcW w:w="6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shd w:val="clear" w:color="auto" w:fill="000000"/>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500" w:type="dxa"/>
            <w:vAlign w:val="bottom"/>
            <w:tcBorders>
              <w:top w:val="single" w:sz="8" w:color="auto"/>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640" w:type="dxa"/>
            <w:vAlign w:val="bottom"/>
            <w:gridSpan w:val="2"/>
            <w:shd w:val="clear" w:color="auto" w:fill="CCEEFF"/>
          </w:tcPr>
          <w:p>
            <w:pPr>
              <w:spacing w:after="0" w:line="116" w:lineRule="exact"/>
              <w:rPr>
                <w:sz w:val="20"/>
                <w:szCs w:val="20"/>
                <w:color w:val="auto"/>
              </w:rPr>
            </w:pPr>
            <w:r>
              <w:rPr>
                <w:rFonts w:ascii="Arial" w:cs="Arial" w:eastAsia="Arial" w:hAnsi="Arial"/>
                <w:sz w:val="12"/>
                <w:szCs w:val="12"/>
                <w:b w:val="1"/>
                <w:bCs w:val="1"/>
                <w:color w:val="auto"/>
              </w:rPr>
              <w:t>Subordinated Debt/Corporate Notes—7.6%</w:t>
            </w: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40" w:type="dxa"/>
            <w:vAlign w:val="bottom"/>
            <w:gridSpan w:val="2"/>
          </w:tcPr>
          <w:p>
            <w:pPr>
              <w:spacing w:after="0" w:line="138" w:lineRule="exact"/>
              <w:rPr>
                <w:sz w:val="20"/>
                <w:szCs w:val="20"/>
                <w:color w:val="auto"/>
              </w:rPr>
            </w:pPr>
            <w:r>
              <w:rPr>
                <w:rFonts w:ascii="Arial" w:cs="Arial" w:eastAsia="Arial" w:hAnsi="Arial"/>
                <w:sz w:val="10"/>
                <w:szCs w:val="10"/>
                <w:color w:val="auto"/>
              </w:rPr>
              <w:t>Affinion Group Holdings, Inc.</w:t>
            </w:r>
            <w:r>
              <w:rPr>
                <w:rFonts w:ascii="Arial" w:cs="Arial" w:eastAsia="Arial" w:hAnsi="Arial"/>
                <w:sz w:val="15"/>
                <w:szCs w:val="15"/>
                <w:color w:val="auto"/>
                <w:vertAlign w:val="superscript"/>
              </w:rPr>
              <w:t>(5), (11)</w:t>
            </w:r>
          </w:p>
        </w:tc>
        <w:tc>
          <w:tcPr>
            <w:tcW w:w="780" w:type="dxa"/>
            <w:vAlign w:val="bottom"/>
            <w:gridSpan w:val="2"/>
          </w:tcPr>
          <w:p>
            <w:pPr>
              <w:jc w:val="right"/>
              <w:ind w:right="120"/>
              <w:spacing w:after="0" w:line="138" w:lineRule="exact"/>
              <w:rPr>
                <w:sz w:val="20"/>
                <w:szCs w:val="20"/>
                <w:color w:val="auto"/>
              </w:rPr>
            </w:pPr>
            <w:r>
              <w:rPr>
                <w:rFonts w:ascii="Arial" w:cs="Arial" w:eastAsia="Arial" w:hAnsi="Arial"/>
                <w:sz w:val="14"/>
                <w:szCs w:val="14"/>
                <w:color w:val="auto"/>
                <w:w w:val="91"/>
              </w:rPr>
              <w:t>11/15/2015</w:t>
            </w:r>
          </w:p>
        </w:tc>
        <w:tc>
          <w:tcPr>
            <w:tcW w:w="180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6"/>
              </w:rPr>
              <w:t>Consumer Goods: Non-</w:t>
            </w:r>
          </w:p>
        </w:tc>
        <w:tc>
          <w:tcPr>
            <w:tcW w:w="800" w:type="dxa"/>
            <w:vAlign w:val="bottom"/>
            <w:gridSpan w:val="2"/>
          </w:tcPr>
          <w:p>
            <w:pPr>
              <w:ind w:left="160"/>
              <w:spacing w:after="0" w:line="138" w:lineRule="exact"/>
              <w:rPr>
                <w:sz w:val="20"/>
                <w:szCs w:val="20"/>
                <w:color w:val="auto"/>
              </w:rPr>
            </w:pPr>
            <w:r>
              <w:rPr>
                <w:rFonts w:ascii="Arial" w:cs="Arial" w:eastAsia="Arial" w:hAnsi="Arial"/>
                <w:sz w:val="14"/>
                <w:szCs w:val="14"/>
                <w:color w:val="auto"/>
              </w:rPr>
              <w:t>11.63%</w:t>
            </w:r>
          </w:p>
        </w:tc>
        <w:tc>
          <w:tcPr>
            <w:tcW w:w="800" w:type="dxa"/>
            <w:vAlign w:val="bottom"/>
            <w:gridSpan w:val="2"/>
          </w:tcPr>
          <w:p>
            <w:pPr>
              <w:ind w:left="440"/>
              <w:spacing w:after="0" w:line="138"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38" w:lineRule="exact"/>
              <w:rPr>
                <w:sz w:val="20"/>
                <w:szCs w:val="20"/>
                <w:color w:val="auto"/>
              </w:rPr>
            </w:pPr>
            <w:r>
              <w:rPr>
                <w:rFonts w:ascii="Arial" w:cs="Arial" w:eastAsia="Arial" w:hAnsi="Arial"/>
                <w:sz w:val="14"/>
                <w:szCs w:val="14"/>
                <w:color w:val="auto"/>
                <w:w w:val="89"/>
              </w:rPr>
              <w:t>1,500,000</w:t>
            </w:r>
          </w:p>
        </w:tc>
        <w:tc>
          <w:tcPr>
            <w:tcW w:w="80" w:type="dxa"/>
            <w:vAlign w:val="bottom"/>
          </w:tcPr>
          <w:p>
            <w:pPr>
              <w:spacing w:after="0"/>
              <w:rPr>
                <w:sz w:val="11"/>
                <w:szCs w:val="11"/>
                <w:color w:val="auto"/>
              </w:rPr>
            </w:pPr>
          </w:p>
        </w:tc>
        <w:tc>
          <w:tcPr>
            <w:tcW w:w="960" w:type="dxa"/>
            <w:vAlign w:val="bottom"/>
            <w:gridSpan w:val="4"/>
          </w:tcPr>
          <w:p>
            <w:pPr>
              <w:jc w:val="right"/>
              <w:ind w:right="280"/>
              <w:spacing w:after="0" w:line="138" w:lineRule="exact"/>
              <w:rPr>
                <w:sz w:val="20"/>
                <w:szCs w:val="20"/>
                <w:color w:val="auto"/>
              </w:rPr>
            </w:pPr>
            <w:r>
              <w:rPr>
                <w:rFonts w:ascii="Arial" w:cs="Arial" w:eastAsia="Arial" w:hAnsi="Arial"/>
                <w:sz w:val="14"/>
                <w:szCs w:val="14"/>
                <w:color w:val="auto"/>
              </w:rPr>
              <w:t>1,524,891</w:t>
            </w: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1,155,000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40" w:type="dxa"/>
            <w:vAlign w:val="bottom"/>
            <w:gridSpan w:val="2"/>
          </w:tcPr>
          <w:p>
            <w:pPr>
              <w:jc w:val="center"/>
              <w:ind w:right="620"/>
              <w:spacing w:after="0" w:line="159" w:lineRule="exact"/>
              <w:rPr>
                <w:sz w:val="20"/>
                <w:szCs w:val="20"/>
                <w:color w:val="auto"/>
              </w:rPr>
            </w:pPr>
            <w:r>
              <w:rPr>
                <w:rFonts w:ascii="Arial" w:cs="Arial" w:eastAsia="Arial" w:hAnsi="Arial"/>
                <w:sz w:val="14"/>
                <w:szCs w:val="14"/>
                <w:color w:val="auto"/>
                <w:w w:val="89"/>
              </w:rPr>
              <w:t>Durable</w:t>
            </w: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4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TrustHouse Services</w:t>
            </w: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ind w:left="160"/>
              <w:spacing w:after="0"/>
              <w:rPr>
                <w:sz w:val="20"/>
                <w:szCs w:val="20"/>
                <w:color w:val="auto"/>
              </w:rPr>
            </w:pPr>
            <w:r>
              <w:rPr>
                <w:rFonts w:ascii="Arial" w:cs="Arial" w:eastAsia="Arial" w:hAnsi="Arial"/>
                <w:sz w:val="14"/>
                <w:szCs w:val="14"/>
                <w:color w:val="auto"/>
                <w:w w:val="94"/>
              </w:rPr>
              <w:t>14.00%</w:t>
            </w:r>
            <w:r>
              <w:rPr>
                <w:rFonts w:ascii="Arial" w:cs="Arial" w:eastAsia="Arial" w:hAnsi="Arial"/>
                <w:sz w:val="22"/>
                <w:szCs w:val="22"/>
                <w:color w:val="auto"/>
                <w:w w:val="94"/>
                <w:vertAlign w:val="superscript"/>
              </w:rPr>
              <w:t>(8)</w:t>
            </w:r>
          </w:p>
        </w:tc>
        <w:tc>
          <w:tcPr>
            <w:tcW w:w="6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20"/>
                <w:szCs w:val="20"/>
                <w:color w:val="auto"/>
                <w:vertAlign w:val="subscript"/>
              </w:rPr>
              <w:t>Group, Inc.</w:t>
            </w:r>
            <w:r>
              <w:rPr>
                <w:rFonts w:ascii="Arial" w:cs="Arial" w:eastAsia="Arial" w:hAnsi="Arial"/>
                <w:sz w:val="9"/>
                <w:szCs w:val="9"/>
                <w:color w:val="auto"/>
              </w:rPr>
              <w:t>(11), (7), (5)</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1"/>
              </w:rPr>
              <w:t>07/31/2018</w:t>
            </w:r>
          </w:p>
        </w:tc>
        <w:tc>
          <w:tcPr>
            <w:tcW w:w="180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4"/>
              </w:rPr>
              <w:t>Beverage, Food and Tobacco</w:t>
            </w:r>
          </w:p>
        </w:tc>
        <w:tc>
          <w:tcPr>
            <w:tcW w:w="800" w:type="dxa"/>
            <w:vAlign w:val="bottom"/>
            <w:gridSpan w:val="2"/>
            <w:vMerge w:val="continue"/>
            <w:shd w:val="clear" w:color="auto" w:fill="CCEEFF"/>
          </w:tcPr>
          <w:p>
            <w:pPr>
              <w:spacing w:after="0"/>
              <w:rPr>
                <w:sz w:val="15"/>
                <w:szCs w:val="15"/>
                <w:color w:val="auto"/>
              </w:rPr>
            </w:pPr>
          </w:p>
        </w:tc>
        <w:tc>
          <w:tcPr>
            <w:tcW w:w="800" w:type="dxa"/>
            <w:vAlign w:val="bottom"/>
            <w:gridSpan w:val="2"/>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89"/>
              </w:rPr>
              <w:t>3,762,500</w:t>
            </w:r>
          </w:p>
        </w:tc>
        <w:tc>
          <w:tcPr>
            <w:tcW w:w="80" w:type="dxa"/>
            <w:vAlign w:val="bottom"/>
            <w:shd w:val="clear" w:color="auto" w:fill="CCEEFF"/>
          </w:tcPr>
          <w:p>
            <w:pPr>
              <w:spacing w:after="0"/>
              <w:rPr>
                <w:sz w:val="15"/>
                <w:szCs w:val="15"/>
                <w:color w:val="auto"/>
              </w:rPr>
            </w:pPr>
          </w:p>
        </w:tc>
        <w:tc>
          <w:tcPr>
            <w:tcW w:w="960" w:type="dxa"/>
            <w:vAlign w:val="bottom"/>
            <w:gridSpan w:val="4"/>
            <w:shd w:val="clear" w:color="auto" w:fill="CCEEFF"/>
          </w:tcPr>
          <w:p>
            <w:pPr>
              <w:jc w:val="right"/>
              <w:ind w:right="280"/>
              <w:spacing w:after="0"/>
              <w:rPr>
                <w:sz w:val="20"/>
                <w:szCs w:val="20"/>
                <w:color w:val="auto"/>
              </w:rPr>
            </w:pPr>
            <w:r>
              <w:rPr>
                <w:rFonts w:ascii="Arial" w:cs="Arial" w:eastAsia="Arial" w:hAnsi="Arial"/>
                <w:sz w:val="14"/>
                <w:szCs w:val="14"/>
                <w:color w:val="auto"/>
              </w:rPr>
              <w:t>3,688,091</w:t>
            </w:r>
          </w:p>
        </w:tc>
        <w:tc>
          <w:tcPr>
            <w:tcW w:w="80" w:type="dxa"/>
            <w:vAlign w:val="bottom"/>
            <w:shd w:val="clear" w:color="auto" w:fill="CCEEFF"/>
          </w:tcPr>
          <w:p>
            <w:pPr>
              <w:spacing w:after="0"/>
              <w:rPr>
                <w:sz w:val="15"/>
                <w:szCs w:val="15"/>
                <w:color w:val="auto"/>
              </w:rPr>
            </w:pP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3,687,250</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640" w:type="dxa"/>
            <w:vAlign w:val="bottom"/>
            <w:gridSpan w:val="2"/>
          </w:tcPr>
          <w:p>
            <w:pPr>
              <w:spacing w:after="0" w:line="122" w:lineRule="exact"/>
              <w:rPr>
                <w:sz w:val="20"/>
                <w:szCs w:val="20"/>
                <w:color w:val="auto"/>
              </w:rPr>
            </w:pPr>
            <w:r>
              <w:rPr>
                <w:rFonts w:ascii="Arial" w:cs="Arial" w:eastAsia="Arial" w:hAnsi="Arial"/>
                <w:sz w:val="14"/>
                <w:szCs w:val="14"/>
                <w:color w:val="auto"/>
              </w:rPr>
              <w:t>TrustHouse Services</w:t>
            </w: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40" w:type="dxa"/>
            <w:vAlign w:val="bottom"/>
            <w:gridSpan w:val="2"/>
          </w:tcPr>
          <w:p>
            <w:pPr>
              <w:ind w:left="200"/>
              <w:spacing w:after="0" w:line="176" w:lineRule="exact"/>
              <w:rPr>
                <w:sz w:val="20"/>
                <w:szCs w:val="20"/>
                <w:color w:val="auto"/>
              </w:rPr>
            </w:pPr>
            <w:r>
              <w:rPr>
                <w:rFonts w:ascii="Arial" w:cs="Arial" w:eastAsia="Arial" w:hAnsi="Arial"/>
                <w:sz w:val="20"/>
                <w:szCs w:val="20"/>
                <w:color w:val="auto"/>
                <w:vertAlign w:val="subscript"/>
              </w:rPr>
              <w:t>Group, Inc.</w:t>
            </w:r>
            <w:r>
              <w:rPr>
                <w:rFonts w:ascii="Arial" w:cs="Arial" w:eastAsia="Arial" w:hAnsi="Arial"/>
                <w:sz w:val="9"/>
                <w:szCs w:val="9"/>
                <w:color w:val="auto"/>
              </w:rPr>
              <w:t xml:space="preserve"> (11), (9), (5)</w:t>
            </w:r>
          </w:p>
        </w:tc>
        <w:tc>
          <w:tcPr>
            <w:tcW w:w="780" w:type="dxa"/>
            <w:vAlign w:val="bottom"/>
            <w:gridSpan w:val="2"/>
          </w:tcPr>
          <w:p>
            <w:pPr>
              <w:jc w:val="right"/>
              <w:ind w:right="120"/>
              <w:spacing w:after="0"/>
              <w:rPr>
                <w:sz w:val="20"/>
                <w:szCs w:val="20"/>
                <w:color w:val="auto"/>
              </w:rPr>
            </w:pPr>
            <w:r>
              <w:rPr>
                <w:rFonts w:ascii="Arial" w:cs="Arial" w:eastAsia="Arial" w:hAnsi="Arial"/>
                <w:sz w:val="14"/>
                <w:szCs w:val="14"/>
                <w:color w:val="auto"/>
                <w:w w:val="91"/>
              </w:rPr>
              <w:t>07/31/2018</w:t>
            </w:r>
          </w:p>
        </w:tc>
        <w:tc>
          <w:tcPr>
            <w:tcW w:w="1800" w:type="dxa"/>
            <w:vAlign w:val="bottom"/>
            <w:gridSpan w:val="3"/>
          </w:tcPr>
          <w:p>
            <w:pPr>
              <w:jc w:val="center"/>
              <w:spacing w:after="0"/>
              <w:rPr>
                <w:sz w:val="20"/>
                <w:szCs w:val="20"/>
                <w:color w:val="auto"/>
              </w:rPr>
            </w:pPr>
            <w:r>
              <w:rPr>
                <w:rFonts w:ascii="Arial" w:cs="Arial" w:eastAsia="Arial" w:hAnsi="Arial"/>
                <w:sz w:val="14"/>
                <w:szCs w:val="14"/>
                <w:color w:val="auto"/>
                <w:w w:val="84"/>
              </w:rPr>
              <w:t>Beverage, Food and Tobacco</w:t>
            </w:r>
          </w:p>
        </w:tc>
        <w:tc>
          <w:tcPr>
            <w:tcW w:w="80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800" w:type="dxa"/>
            <w:vAlign w:val="bottom"/>
            <w:gridSpan w:val="2"/>
          </w:tcPr>
          <w:p>
            <w:pPr>
              <w:ind w:left="440"/>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w w:val="89"/>
              </w:rPr>
              <w:t>2,206,000</w:t>
            </w: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2,161,880</w:t>
            </w:r>
          </w:p>
        </w:tc>
        <w:tc>
          <w:tcPr>
            <w:tcW w:w="2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2,161,880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7,374,862</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7,004,130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6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Equity/Partnership Interests—0.1%</w:t>
            </w:r>
            <w:r>
              <w:rPr>
                <w:rFonts w:ascii="Arial" w:cs="Arial" w:eastAsia="Arial" w:hAnsi="Arial"/>
                <w:sz w:val="18"/>
                <w:szCs w:val="18"/>
                <w:b w:val="1"/>
                <w:bCs w:val="1"/>
                <w:color w:val="auto"/>
                <w:vertAlign w:val="superscript"/>
              </w:rPr>
              <w:t>(5), (10)</w:t>
            </w: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TrustHouse Services Holdings, LLC (TrustHouse Services Group, Inc.)</w:t>
            </w:r>
          </w:p>
        </w:tc>
        <w:tc>
          <w:tcPr>
            <w:tcW w:w="7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80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Beverage, Food and Tobacco</w:t>
            </w:r>
          </w:p>
        </w:tc>
        <w:tc>
          <w:tcPr>
            <w:tcW w:w="80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12.50%</w:t>
            </w:r>
          </w:p>
        </w:tc>
        <w:tc>
          <w:tcPr>
            <w:tcW w:w="800" w:type="dxa"/>
            <w:vAlign w:val="bottom"/>
            <w:gridSpan w:val="2"/>
            <w:shd w:val="clear" w:color="auto" w:fill="CCEEFF"/>
          </w:tcPr>
          <w:p>
            <w:pPr>
              <w:ind w:left="440"/>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95,000</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96,985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line="149" w:lineRule="exact"/>
              <w:rPr>
                <w:sz w:val="20"/>
                <w:szCs w:val="20"/>
                <w:color w:val="auto"/>
              </w:rPr>
            </w:pPr>
            <w:r>
              <w:rPr>
                <w:rFonts w:ascii="Arial" w:cs="Arial" w:eastAsia="Arial" w:hAnsi="Arial"/>
                <w:sz w:val="11"/>
                <w:szCs w:val="11"/>
                <w:b w:val="1"/>
                <w:bCs w:val="1"/>
                <w:color w:val="auto"/>
              </w:rPr>
              <w:t>Common Equity—0.0%</w:t>
            </w:r>
            <w:r>
              <w:rPr>
                <w:rFonts w:ascii="Arial" w:cs="Arial" w:eastAsia="Arial" w:hAnsi="Arial"/>
                <w:sz w:val="17"/>
                <w:szCs w:val="17"/>
                <w:b w:val="1"/>
                <w:bCs w:val="1"/>
                <w:color w:val="auto"/>
                <w:vertAlign w:val="superscript"/>
              </w:rPr>
              <w:t>(5), (10)</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6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Holdings, LLC (TrustHouse Services Group, Inc.)</w:t>
            </w: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0" w:type="dxa"/>
            <w:vAlign w:val="bottom"/>
            <w:gridSpan w:val="3"/>
            <w:shd w:val="clear" w:color="auto" w:fill="CCEEFF"/>
          </w:tcPr>
          <w:p>
            <w:pPr>
              <w:jc w:val="center"/>
              <w:spacing w:after="0" w:line="138" w:lineRule="exact"/>
              <w:rPr>
                <w:sz w:val="20"/>
                <w:szCs w:val="20"/>
                <w:color w:val="auto"/>
              </w:rPr>
            </w:pPr>
            <w:r>
              <w:rPr>
                <w:rFonts w:ascii="Arial" w:cs="Arial" w:eastAsia="Arial" w:hAnsi="Arial"/>
                <w:sz w:val="14"/>
                <w:szCs w:val="14"/>
                <w:color w:val="auto"/>
                <w:w w:val="85"/>
              </w:rPr>
              <w:t>Beverage, Food and</w:t>
            </w:r>
          </w:p>
        </w:tc>
        <w:tc>
          <w:tcPr>
            <w:tcW w:w="4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39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center"/>
              <w:ind w:right="600"/>
              <w:spacing w:after="0" w:line="159" w:lineRule="exact"/>
              <w:rPr>
                <w:sz w:val="20"/>
                <w:szCs w:val="20"/>
                <w:color w:val="auto"/>
              </w:rPr>
            </w:pPr>
            <w:r>
              <w:rPr>
                <w:rFonts w:ascii="Arial" w:cs="Arial" w:eastAsia="Arial" w:hAnsi="Arial"/>
                <w:sz w:val="14"/>
                <w:szCs w:val="14"/>
                <w:color w:val="auto"/>
                <w:w w:val="85"/>
              </w:rPr>
              <w:t>Tobacco</w:t>
            </w:r>
          </w:p>
        </w:tc>
        <w:tc>
          <w:tcPr>
            <w:tcW w:w="800" w:type="dxa"/>
            <w:vAlign w:val="bottom"/>
            <w:gridSpan w:val="2"/>
            <w:shd w:val="clear" w:color="auto" w:fill="CCEEFF"/>
          </w:tcPr>
          <w:p>
            <w:pPr>
              <w:ind w:left="260"/>
              <w:spacing w:after="0" w:line="15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ind w:left="440"/>
              <w:spacing w:after="0" w:line="15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8</w:t>
            </w: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280" w:type="dxa"/>
            <w:vAlign w:val="bottom"/>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spacing w:after="0"/>
              <w:rPr>
                <w:sz w:val="13"/>
                <w:szCs w:val="13"/>
                <w:color w:val="auto"/>
              </w:rPr>
            </w:pPr>
          </w:p>
        </w:tc>
        <w:tc>
          <w:tcPr>
            <w:tcW w:w="680" w:type="dxa"/>
            <w:vAlign w:val="bottom"/>
            <w:tcBorders>
              <w:bottom w:val="single" w:sz="8" w:color="auto"/>
            </w:tcBorders>
            <w:gridSpan w:val="3"/>
            <w:shd w:val="clear" w:color="auto" w:fill="CCEEFF"/>
          </w:tcPr>
          <w:p>
            <w:pPr>
              <w:jc w:val="right"/>
              <w:spacing w:after="0" w:line="159" w:lineRule="exact"/>
              <w:rPr>
                <w:sz w:val="20"/>
                <w:szCs w:val="20"/>
                <w:color w:val="auto"/>
              </w:rPr>
            </w:pPr>
            <w:r>
              <w:rPr>
                <w:rFonts w:ascii="Arial" w:cs="Arial" w:eastAsia="Arial" w:hAnsi="Arial"/>
                <w:sz w:val="14"/>
                <w:szCs w:val="14"/>
                <w:color w:val="auto"/>
              </w:rPr>
              <w:t>5,000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46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w w:val="96"/>
              </w:rPr>
              <w:t>Total Investments in Non-Controlled, Non-Affiliated Portfolio Companies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4"/>
              </w:rPr>
              <w:t>114,829,621</w:t>
            </w:r>
          </w:p>
        </w:tc>
        <w:tc>
          <w:tcPr>
            <w:tcW w:w="2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gridSpan w:val="3"/>
          </w:tcPr>
          <w:p>
            <w:pPr>
              <w:jc w:val="right"/>
              <w:spacing w:after="0" w:line="155" w:lineRule="exact"/>
              <w:rPr>
                <w:sz w:val="20"/>
                <w:szCs w:val="20"/>
                <w:color w:val="auto"/>
              </w:rPr>
            </w:pPr>
            <w:r>
              <w:rPr>
                <w:rFonts w:ascii="Arial" w:cs="Arial" w:eastAsia="Arial" w:hAnsi="Arial"/>
                <w:sz w:val="14"/>
                <w:szCs w:val="14"/>
                <w:color w:val="auto"/>
                <w:w w:val="84"/>
              </w:rPr>
              <w:t>110,724,241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Equivalents—7.6%</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6,987,450</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6,987,450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Equivalents—127.8%</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960" w:type="dxa"/>
            <w:vAlign w:val="bottom"/>
            <w:gridSpan w:val="4"/>
          </w:tcPr>
          <w:p>
            <w:pPr>
              <w:jc w:val="right"/>
              <w:ind w:right="280"/>
              <w:spacing w:after="0" w:line="149" w:lineRule="exact"/>
              <w:rPr>
                <w:sz w:val="20"/>
                <w:szCs w:val="20"/>
                <w:color w:val="auto"/>
              </w:rPr>
            </w:pPr>
            <w:r>
              <w:rPr>
                <w:rFonts w:ascii="Arial" w:cs="Arial" w:eastAsia="Arial" w:hAnsi="Arial"/>
                <w:sz w:val="14"/>
                <w:szCs w:val="14"/>
                <w:color w:val="auto"/>
                <w:w w:val="84"/>
              </w:rPr>
              <w:t>121,817,071</w:t>
            </w:r>
          </w:p>
        </w:tc>
        <w:tc>
          <w:tcPr>
            <w:tcW w:w="80" w:type="dxa"/>
            <w:vAlign w:val="bottom"/>
          </w:tcPr>
          <w:p>
            <w:pPr>
              <w:jc w:val="right"/>
              <w:spacing w:after="0" w:line="149" w:lineRule="exact"/>
              <w:rPr>
                <w:sz w:val="20"/>
                <w:szCs w:val="20"/>
                <w:color w:val="auto"/>
              </w:rPr>
            </w:pPr>
            <w:r>
              <w:rPr>
                <w:rFonts w:ascii="Arial" w:cs="Arial" w:eastAsia="Arial" w:hAnsi="Arial"/>
                <w:sz w:val="14"/>
                <w:szCs w:val="14"/>
                <w:u w:val="single" w:color="auto"/>
                <w:color w:val="auto"/>
                <w:w w:val="76"/>
              </w:rPr>
              <w:t>$</w:t>
            </w:r>
          </w:p>
        </w:tc>
        <w:tc>
          <w:tcPr>
            <w:tcW w:w="740" w:type="dxa"/>
            <w:vAlign w:val="bottom"/>
            <w:gridSpan w:val="4"/>
          </w:tcPr>
          <w:p>
            <w:pPr>
              <w:jc w:val="right"/>
              <w:ind w:right="60"/>
              <w:spacing w:after="0" w:line="149" w:lineRule="exact"/>
              <w:rPr>
                <w:sz w:val="20"/>
                <w:szCs w:val="20"/>
                <w:color w:val="auto"/>
              </w:rPr>
            </w:pPr>
            <w:r>
              <w:rPr>
                <w:rFonts w:ascii="Arial" w:cs="Arial" w:eastAsia="Arial" w:hAnsi="Arial"/>
                <w:sz w:val="14"/>
                <w:szCs w:val="14"/>
                <w:color w:val="auto"/>
                <w:w w:val="84"/>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6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Assets—(27.8%)</w:t>
            </w:r>
          </w:p>
        </w:tc>
        <w:tc>
          <w:tcPr>
            <w:tcW w:w="6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40" w:type="dxa"/>
            <w:vAlign w:val="bottom"/>
            <w:gridSpan w:val="4"/>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w w:val="88"/>
              </w:rPr>
              <w:t>(25,639,586)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gridSpan w:val="2"/>
          </w:tcPr>
          <w:p>
            <w:pPr>
              <w:spacing w:after="0" w:line="149" w:lineRule="exact"/>
              <w:rPr>
                <w:sz w:val="20"/>
                <w:szCs w:val="20"/>
                <w:color w:val="auto"/>
              </w:rPr>
            </w:pPr>
            <w:r>
              <w:rPr>
                <w:rFonts w:ascii="Arial" w:cs="Arial" w:eastAsia="Arial" w:hAnsi="Arial"/>
                <w:sz w:val="14"/>
                <w:szCs w:val="14"/>
                <w:color w:val="auto"/>
              </w:rPr>
              <w:t>Net Assets—100.0%</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w w:val="76"/>
              </w:rPr>
              <w:t>$</w:t>
            </w: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4"/>
              </w:rPr>
              <w:t>92,072,105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hanging="332"/>
        <w:spacing w:after="0"/>
        <w:tabs>
          <w:tab w:leader="none" w:pos="3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Prime and its coupon is subject to a LIBOR or Prime rate floor.</w:t>
      </w:r>
    </w:p>
    <w:p>
      <w:pPr>
        <w:spacing w:after="0" w:line="22" w:lineRule="exact"/>
        <w:rPr>
          <w:rFonts w:ascii="Arial" w:cs="Arial" w:eastAsia="Arial" w:hAnsi="Arial"/>
          <w:sz w:val="12"/>
          <w:szCs w:val="12"/>
          <w:color w:val="auto"/>
        </w:rPr>
      </w:pPr>
    </w:p>
    <w:p>
      <w:pPr>
        <w:ind w:left="340" w:hanging="332"/>
        <w:spacing w:after="0" w:line="221" w:lineRule="auto"/>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00" w:hanging="332"/>
        <w:spacing w:after="0" w:line="258" w:lineRule="auto"/>
        <w:tabs>
          <w:tab w:leader="none" w:pos="3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hanging="332"/>
        <w:spacing w:after="0" w:line="221" w:lineRule="auto"/>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right="60" w:hanging="332"/>
        <w:spacing w:after="0" w:line="221" w:lineRule="auto"/>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Coupon is payable in cash and/or through payment-in-kind, or PIK.</w:t>
      </w:r>
    </w:p>
    <w:p>
      <w:pPr>
        <w:ind w:left="340" w:hanging="332"/>
        <w:spacing w:after="0" w:line="221" w:lineRule="auto"/>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Represents the purchase of a security with delayed settlement (unfunded investment). This security does not have a basis point spread above an index.</w:t>
      </w:r>
    </w:p>
    <w:p>
      <w:pPr>
        <w:ind w:left="340" w:hanging="332"/>
        <w:spacing w:after="0" w:line="221" w:lineRule="auto"/>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tabs>
          <w:tab w:leader="none" w:pos="3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20"/>
          </w:cols>
          <w:pgMar w:left="240" w:top="459" w:right="2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PennantPark Floating Rate Capital Ltd. was organized as a Maryland corporation in October 2010. We are a closed-end, externally managed, non-diversified investment company that has elected to be treated as a business development company, or BDC, under the 1940 Act.</w:t>
      </w:r>
    </w:p>
    <w:p>
      <w:pPr>
        <w:spacing w:after="0" w:line="85"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over it.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second-lien, high yield, mezzanine and distressed debt securities and, to a lesser extent, equity investments.</w:t>
      </w:r>
    </w:p>
    <w:p>
      <w:pPr>
        <w:spacing w:after="0" w:line="118"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April 2011, we closed our initial public offering and our common stock trades on the NASDAQ Global Select Market under the symbol “PFLT.” Also in April 2011, we issued 6,700,000 shares of common stock, and in May 2011, the underwriters exercised their overallotment option and purchased an additional 150,000 shares of common stock, resulting in total gross proceeds of $102.8 million. After deducting the underwriters’ discount, or the sales load, of $5.1 million, we received net proceeds of $97.7 million from our initial public offering. The underwriters agreed to reimburse, and have paid us, $0.4 million of the estimated $1.0 million of offering expenses. In March 2011, we sold 667 shares of common stock for $10,000 ($15.00 per share) to the Investment Adviser.</w:t>
      </w:r>
    </w:p>
    <w:p>
      <w:pPr>
        <w:spacing w:after="0" w:line="11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220" w:firstLine="456"/>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fees owing with respect to such services are to be paid to us so long as the Investment Adviser remains the collateral manager. This arrangement does not increase our consolidated management fee. The five-year Credit Facility allows Funding I to borrow up to $100.0 million at LIBOR plus 225 basis points during the revolving period. The Credit Facility is secured by all of the assets held by Funding I. See Note 10.</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 Actual results could differ from these estimates. We have reclassified certain prior period amounts to conform to the current period presentation. We have eliminated</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460" w:right="23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spacing w:after="0"/>
        <w:rPr>
          <w:sz w:val="20"/>
          <w:szCs w:val="20"/>
          <w:color w:val="auto"/>
        </w:rPr>
      </w:pPr>
      <w:r>
        <w:rPr>
          <w:rFonts w:ascii="Arial" w:cs="Arial" w:eastAsia="Arial" w:hAnsi="Arial"/>
          <w:sz w:val="15"/>
          <w:szCs w:val="15"/>
          <w:color w:val="auto"/>
        </w:rPr>
        <w:t>all intercompany balances and transactions, if any. References to the Accounting Standards Codification, or ASC, serve as a single source of accounting literature.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Subsequent events are evaluated and disclosed as appropriate for events occurring through the date the Consolidated Financial Statements are issued.</w:t>
      </w:r>
    </w:p>
    <w:p>
      <w:pPr>
        <w:spacing w:after="0" w:line="18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293" w:lineRule="exact"/>
        <w:rPr>
          <w:sz w:val="20"/>
          <w:szCs w:val="20"/>
          <w:color w:val="auto"/>
        </w:rPr>
      </w:pPr>
    </w:p>
    <w:p>
      <w:pPr>
        <w:ind w:left="1480" w:hanging="567"/>
        <w:spacing w:after="0"/>
        <w:tabs>
          <w:tab w:leader="none" w:pos="1480" w:val="left"/>
        </w:tabs>
        <w:numPr>
          <w:ilvl w:val="0"/>
          <w:numId w:val="10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 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 w:hanging="446"/>
        <w:spacing w:after="0" w:line="256" w:lineRule="auto"/>
        <w:tabs>
          <w:tab w:leader="none" w:pos="9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460" w:right="2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left="900" w:right="180" w:hanging="446"/>
        <w:spacing w:after="0" w:line="332" w:lineRule="auto"/>
        <w:tabs>
          <w:tab w:leader="none" w:pos="9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54" w:lineRule="exact"/>
        <w:rPr>
          <w:sz w:val="20"/>
          <w:szCs w:val="20"/>
          <w:color w:val="auto"/>
        </w:rPr>
      </w:pPr>
    </w:p>
    <w:p>
      <w:pPr>
        <w:ind w:left="1480" w:hanging="567"/>
        <w:spacing w:after="0"/>
        <w:tabs>
          <w:tab w:leader="none" w:pos="1480" w:val="left"/>
        </w:tabs>
        <w:numPr>
          <w:ilvl w:val="0"/>
          <w:numId w:val="10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 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our portfolio investments and Credit Facility values during the reporting period, including any reversal of previously recorded unrealized appreciation or depreciation, when gains or losses are realized.</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480" w:hanging="567"/>
        <w:spacing w:after="0"/>
        <w:tabs>
          <w:tab w:leader="none" w:pos="1480" w:val="left"/>
        </w:tabs>
        <w:numPr>
          <w:ilvl w:val="0"/>
          <w:numId w:val="10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Since March 2011, PennantPark Floating Rate Capital Ltd. has complied with the requirements of Subchapter M of the Internal Revenue Code of 1986, as amended, or the Code, and has elected to be treated as a regulated investment company, or RIC. As a result, PennantPark Floating Rate Capital Ltd. accounts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our election to be subject to tax as a RIC, we do not anticipate paying any material level of federal income taxes in the future. We recognize in our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expect to file federal and state tax returns, our major tax jurisdiction is federal. Our tax return for our federal tax year 2011 remain subject to examination by the Internal Revenue Service.</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460" w:right="23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800"/>
        <w:spacing w:after="0" w:line="262"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SEPTEMBER 30, 2012</w:t>
      </w:r>
    </w:p>
    <w:p>
      <w:pPr>
        <w:spacing w:after="0" w:line="125"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65" w:lineRule="exact"/>
        <w:rPr>
          <w:sz w:val="20"/>
          <w:szCs w:val="20"/>
          <w:color w:val="auto"/>
        </w:rPr>
      </w:pPr>
    </w:p>
    <w:p>
      <w:pPr>
        <w:ind w:left="1480" w:hanging="567"/>
        <w:spacing w:after="0"/>
        <w:tabs>
          <w:tab w:leader="none" w:pos="1480" w:val="left"/>
        </w:tabs>
        <w:numPr>
          <w:ilvl w:val="0"/>
          <w:numId w:val="10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 Distributions, and Capital Transactions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determined by the board of directors each month and is generally based upon the earnings estimated by management. Net realized capital gains, if any, are distributed at least annually.</w:t>
      </w:r>
    </w:p>
    <w:p>
      <w:pPr>
        <w:spacing w:after="0" w:line="14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54" w:lineRule="exact"/>
        <w:rPr>
          <w:sz w:val="20"/>
          <w:szCs w:val="20"/>
          <w:color w:val="auto"/>
        </w:rPr>
      </w:pPr>
    </w:p>
    <w:p>
      <w:pPr>
        <w:ind w:left="1480" w:hanging="567"/>
        <w:spacing w:after="0"/>
        <w:tabs>
          <w:tab w:leader="none" w:pos="1480" w:val="left"/>
        </w:tabs>
        <w:numPr>
          <w:ilvl w:val="0"/>
          <w:numId w:val="10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As permitted under Regulation S-X and the American Institute of Certified Public Accountants Audit and Accounting Guide for Investment Companies,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265" w:lineRule="exact"/>
        <w:rPr>
          <w:sz w:val="20"/>
          <w:szCs w:val="20"/>
          <w:color w:val="auto"/>
        </w:rPr>
      </w:pPr>
    </w:p>
    <w:p>
      <w:pPr>
        <w:ind w:left="1480" w:hanging="567"/>
        <w:spacing w:after="0"/>
        <w:tabs>
          <w:tab w:leader="none" w:pos="1480" w:val="left"/>
        </w:tabs>
        <w:numPr>
          <w:ilvl w:val="0"/>
          <w:numId w:val="1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Asset Transfers and Servicing</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any its assets and are not intended to be available to the creditors of PennantPark Floating Rate Capital Ltd. (or any affiliate of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Investment Management Agreement with the Investment Adviser was approved by our board of directors, including a majority of our independent directors, in March 2011.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fees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2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total assets at the end of the two most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360"/>
          </w:cols>
          <w:pgMar w:left="240" w:top="459" w:right="29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fees for any partial month or quarter are appropriately pro-rated. For the fiscal year ended September 30, 2012, and for the period March 4, 2011 (commencement of operations) to September 30, 2011, the Investment Adviser earned base management fees of $1.5 million and $0.4 million, respectively, from us.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w:t>
      </w:r>
    </w:p>
    <w:p>
      <w:pPr>
        <w:spacing w:after="0" w:line="4" w:lineRule="exact"/>
        <w:rPr>
          <w:sz w:val="20"/>
          <w:szCs w:val="20"/>
          <w:color w:val="auto"/>
        </w:rPr>
      </w:pPr>
    </w:p>
    <w:p>
      <w:pPr>
        <w:ind w:right="80" w:firstLine="8"/>
        <w:spacing w:after="0" w:line="288" w:lineRule="auto"/>
        <w:tabs>
          <w:tab w:leader="none" w:pos="249"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 2.9167% in any calendar quarter. These calculations are pro-rated for any share issuances or repurchases during the relevant quarter. The performance based incentive fee on net investment income due to our Investment Adviser as calculated under the Investment Management Agreement (as described above) for the year ended September 30, 2012 resulted in an accrual of $0.3 million. For the period March 4, 2011 (commencement of operations) to September 30, 2011, the Investment Adviser earned no performance based incentive fee on net investment income from us.</w:t>
      </w:r>
    </w:p>
    <w:p>
      <w:pPr>
        <w:spacing w:after="0" w:line="12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 inception. The performance-based incentive fee on capital gains due to our Investment Adviser as calculated under the Investment Management Agreement (as described above) for the year ended September 30, 2012, and for the period March 4, 2011 (commencement of operations) to September 30, 2011, resulted in no accruals.</w:t>
      </w:r>
    </w:p>
    <w:p>
      <w:pPr>
        <w:spacing w:after="0" w:line="120"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Under U.S. generally accepted accounting principles, or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20"/>
          </w:cols>
          <w:pgMar w:left="240" w:top="460" w:right="23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fees paid in all prior years. If such amount is negative, then there is no accrual for such year. There can be no assurance that such unrealized capital appreciation will be realized in the future. The performance based incentive fee on our unrealized and realized capital gains due to our Investment Adviser for the year ended September 30, 2012 resulted in an accrual of $0.3 million. For the period March 4, 2011 (commencement of operations) to September 30, 2011, our unrealized and realized capital gains did not exceed our cumulative realized and unrealized losses and resulted in no accrual under GAAP.</w:t>
      </w:r>
    </w:p>
    <w:p>
      <w:pPr>
        <w:spacing w:after="0" w:line="118"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We entered into the Administration Agreement with the Administrator which was approved by our board of directors, including a majority of the independent directors, in March 2011. Under this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year ended September 30, 2012, the Investment Adviser and Administrator, collectively, were reimbursed approximately $0.2 million, from us, including expenses incurred by the Investment Adviser on behalf of the Administrator, for the services described above. For the period March 4, 2011 (commencement of operations) to September 30, 2011, the Investment Adviser and Administrator, collectively, were reimbursed approximately $0.1 million from us, including expenses it incurred on behalf of the Administrator, for services described above.</w:t>
      </w:r>
    </w:p>
    <w:p>
      <w:pPr>
        <w:spacing w:after="0" w:line="123"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$2.1 million in the aggregate, with respect to the offering of shares of our common stock. We (and indirectly our stockholders) will be obligated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If one or more of these events does not occur on or before April 7, 2014, we will not be obligated to repay this amount. We will repay such amount to the Investment Adviser in cash, and the Investment Adviser has agreed to use such payment to purchase shares of our common stock in the secondary market. In connection with the sales load paid by the Investment Adviser more fully described above and based on actual returns as of September 30, 2012, as well as the likelihood of future activity that may generate additional returns, management determined that the 7.0% return on Pre-Incentive Fee Net Investment Income for four consecutive calendar quarter periods was probable. Accordingly, we recorded a liability for this $2.1 million of accrued sales load charges. Management continues to assess performance to determine whether the 7.0% return on Pre-Incentive Fee Net Investment Income will continue to be probable.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Purchases of long-term investments, including PIK, for the year ended September 30, 2012 totaled $128.8 million. Sales and repayments of long-term investments for the year ended September 30, 2012 totaled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20"/>
          </w:cols>
          <w:pgMar w:left="240" w:top="460" w:right="23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$71.5 million. Purchases of long-term investments, including PIK, for the period March 4, 2011 (commencement of operations) to September 30, 2011, totaled $147.5 million. Sales and repayments for the same period totaled $33.2 million.</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540" w:type="dxa"/>
            <w:vAlign w:val="bottom"/>
          </w:tcPr>
          <w:p>
            <w:pPr>
              <w:spacing w:after="0"/>
              <w:rPr>
                <w:sz w:val="14"/>
                <w:szCs w:val="14"/>
                <w:color w:val="auto"/>
              </w:rPr>
            </w:pPr>
          </w:p>
        </w:tc>
        <w:tc>
          <w:tcPr>
            <w:tcW w:w="2500" w:type="dxa"/>
            <w:vAlign w:val="bottom"/>
            <w:gridSpan w:val="3"/>
          </w:tcPr>
          <w:p>
            <w:pPr>
              <w:jc w:val="right"/>
              <w:ind w:right="595"/>
              <w:spacing w:after="0"/>
              <w:rPr>
                <w:sz w:val="20"/>
                <w:szCs w:val="20"/>
                <w:color w:val="auto"/>
              </w:rPr>
            </w:pPr>
            <w:r>
              <w:rPr>
                <w:rFonts w:ascii="Arial" w:cs="Arial" w:eastAsia="Arial" w:hAnsi="Arial"/>
                <w:sz w:val="14"/>
                <w:szCs w:val="14"/>
                <w:b w:val="1"/>
                <w:bCs w:val="1"/>
                <w:color w:val="auto"/>
              </w:rPr>
              <w:t>September 30, 2012</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20" w:type="dxa"/>
            <w:vAlign w:val="bottom"/>
            <w:gridSpan w:val="5"/>
          </w:tcPr>
          <w:p>
            <w:pPr>
              <w:ind w:left="58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49"/>
        </w:trPr>
        <w:tc>
          <w:tcPr>
            <w:tcW w:w="4280" w:type="dxa"/>
            <w:vAlign w:val="bottom"/>
            <w:gridSpan w:val="3"/>
            <w:vMerge w:val="continue"/>
          </w:tcPr>
          <w:p>
            <w:pPr>
              <w:spacing w:after="0"/>
              <w:rPr>
                <w:sz w:val="12"/>
                <w:szCs w:val="12"/>
                <w:color w:val="auto"/>
              </w:rPr>
            </w:pPr>
          </w:p>
        </w:tc>
        <w:tc>
          <w:tcPr>
            <w:tcW w:w="1540" w:type="dxa"/>
            <w:vAlign w:val="bottom"/>
          </w:tcPr>
          <w:p>
            <w:pPr>
              <w:spacing w:after="0"/>
              <w:rPr>
                <w:sz w:val="12"/>
                <w:szCs w:val="12"/>
                <w:color w:val="auto"/>
              </w:rPr>
            </w:pPr>
          </w:p>
        </w:tc>
        <w:tc>
          <w:tcPr>
            <w:tcW w:w="1460" w:type="dxa"/>
            <w:vAlign w:val="bottom"/>
            <w:tcBorders>
              <w:top w:val="single" w:sz="8" w:color="auto"/>
            </w:tcBorders>
            <w:gridSpan w:val="2"/>
          </w:tcPr>
          <w:p>
            <w:pPr>
              <w:ind w:left="380"/>
              <w:spacing w:after="0" w:line="129" w:lineRule="exact"/>
              <w:rPr>
                <w:sz w:val="20"/>
                <w:szCs w:val="20"/>
                <w:color w:val="auto"/>
              </w:rPr>
            </w:pPr>
            <w:r>
              <w:rPr>
                <w:rFonts w:ascii="Arial" w:cs="Arial" w:eastAsia="Arial" w:hAnsi="Arial"/>
                <w:sz w:val="14"/>
                <w:szCs w:val="14"/>
                <w:b w:val="1"/>
                <w:bCs w:val="1"/>
                <w:color w:val="auto"/>
              </w:rPr>
              <w:t>Cost</w:t>
            </w:r>
          </w:p>
        </w:tc>
        <w:tc>
          <w:tcPr>
            <w:tcW w:w="1040" w:type="dxa"/>
            <w:vAlign w:val="bottom"/>
            <w:tcBorders>
              <w:top w:val="single" w:sz="8" w:color="auto"/>
            </w:tcBorders>
          </w:tcPr>
          <w:p>
            <w:pPr>
              <w:jc w:val="right"/>
              <w:ind w:right="115"/>
              <w:spacing w:after="0" w:line="129" w:lineRule="exact"/>
              <w:rPr>
                <w:sz w:val="20"/>
                <w:szCs w:val="20"/>
                <w:color w:val="auto"/>
              </w:rPr>
            </w:pPr>
            <w:r>
              <w:rPr>
                <w:rFonts w:ascii="Arial" w:cs="Arial" w:eastAsia="Arial" w:hAnsi="Arial"/>
                <w:sz w:val="14"/>
                <w:szCs w:val="14"/>
                <w:b w:val="1"/>
                <w:bCs w:val="1"/>
                <w:color w:val="auto"/>
              </w:rPr>
              <w:t>Fair Value</w:t>
            </w:r>
          </w:p>
        </w:tc>
        <w:tc>
          <w:tcPr>
            <w:tcW w:w="4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317"/>
              <w:spacing w:after="0" w:line="129" w:lineRule="exact"/>
              <w:rPr>
                <w:sz w:val="20"/>
                <w:szCs w:val="20"/>
                <w:color w:val="auto"/>
              </w:rPr>
            </w:pPr>
            <w:r>
              <w:rPr>
                <w:rFonts w:ascii="Arial" w:cs="Arial" w:eastAsia="Arial" w:hAnsi="Arial"/>
                <w:sz w:val="14"/>
                <w:szCs w:val="14"/>
                <w:b w:val="1"/>
                <w:bCs w:val="1"/>
                <w:color w:val="auto"/>
              </w:rPr>
              <w:t>Cost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55"/>
              <w:spacing w:after="0" w:line="129" w:lineRule="exact"/>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272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$ 150,258,038</w:t>
            </w:r>
          </w:p>
        </w:tc>
        <w:tc>
          <w:tcPr>
            <w:tcW w:w="4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$ 150,209,747</w:t>
            </w:r>
          </w:p>
        </w:tc>
        <w:tc>
          <w:tcPr>
            <w:tcW w:w="4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94,975,314</w:t>
            </w:r>
          </w:p>
        </w:tc>
        <w:tc>
          <w:tcPr>
            <w:tcW w:w="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91,363,126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3000" w:type="dxa"/>
            <w:vAlign w:val="bottom"/>
            <w:gridSpan w:val="3"/>
          </w:tcPr>
          <w:p>
            <w:pPr>
              <w:jc w:val="right"/>
              <w:ind w:right="420"/>
              <w:spacing w:after="0"/>
              <w:rPr>
                <w:sz w:val="20"/>
                <w:szCs w:val="20"/>
                <w:color w:val="auto"/>
              </w:rPr>
            </w:pPr>
            <w:r>
              <w:rPr>
                <w:rFonts w:ascii="Arial" w:cs="Arial" w:eastAsia="Arial" w:hAnsi="Arial"/>
                <w:sz w:val="18"/>
                <w:szCs w:val="18"/>
                <w:color w:val="auto"/>
              </w:rPr>
              <w:t>11,608,643</w:t>
            </w:r>
          </w:p>
        </w:tc>
        <w:tc>
          <w:tcPr>
            <w:tcW w:w="1040" w:type="dxa"/>
            <w:vAlign w:val="bottom"/>
          </w:tcPr>
          <w:p>
            <w:pPr>
              <w:jc w:val="right"/>
              <w:spacing w:after="0"/>
              <w:rPr>
                <w:sz w:val="20"/>
                <w:szCs w:val="20"/>
                <w:color w:val="auto"/>
              </w:rPr>
            </w:pPr>
            <w:r>
              <w:rPr>
                <w:rFonts w:ascii="Arial" w:cs="Arial" w:eastAsia="Arial" w:hAnsi="Arial"/>
                <w:sz w:val="18"/>
                <w:szCs w:val="18"/>
                <w:color w:val="auto"/>
              </w:rPr>
              <w:t>12,025,500</w:t>
            </w: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12,379,445</w:t>
            </w: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12,255,000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9,194,181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8,296,719</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7,374,862</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7,004,130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517,147</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171,578,009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171,834,400</w:t>
            </w: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114,829,621</w:t>
            </w: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110,724,241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6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54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42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3,845,803</w:t>
            </w:r>
          </w:p>
        </w:tc>
        <w:tc>
          <w:tcPr>
            <w:tcW w:w="4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4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30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$ 175,423,812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$ 175,680,203</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121,817,071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117,711,691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as of September 30:</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Industry Classification</w:t>
            </w:r>
          </w:p>
        </w:tc>
        <w:tc>
          <w:tcPr>
            <w:tcW w:w="2260" w:type="dxa"/>
            <w:vAlign w:val="bottom"/>
          </w:tcPr>
          <w:p>
            <w:pPr>
              <w:spacing w:after="0"/>
              <w:rPr>
                <w:sz w:val="14"/>
                <w:szCs w:val="14"/>
                <w:color w:val="auto"/>
              </w:rPr>
            </w:pPr>
          </w:p>
        </w:tc>
        <w:tc>
          <w:tcPr>
            <w:tcW w:w="2820" w:type="dxa"/>
            <w:vAlign w:val="bottom"/>
            <w:gridSpan w:val="2"/>
          </w:tcPr>
          <w:p>
            <w:pPr>
              <w:jc w:val="right"/>
              <w:ind w:right="192"/>
              <w:spacing w:after="0"/>
              <w:rPr>
                <w:sz w:val="20"/>
                <w:szCs w:val="20"/>
                <w:color w:val="auto"/>
              </w:rPr>
            </w:pPr>
            <w:r>
              <w:rPr>
                <w:rFonts w:ascii="Arial" w:cs="Arial" w:eastAsia="Arial" w:hAnsi="Arial"/>
                <w:sz w:val="14"/>
                <w:szCs w:val="14"/>
                <w:b w:val="1"/>
                <w:bCs w:val="1"/>
                <w:color w:val="auto"/>
              </w:rPr>
              <w:t>2012</w:t>
            </w:r>
          </w:p>
        </w:tc>
        <w:tc>
          <w:tcPr>
            <w:tcW w:w="1200" w:type="dxa"/>
            <w:vAlign w:val="bottom"/>
          </w:tcPr>
          <w:p>
            <w:pPr>
              <w:spacing w:after="0"/>
              <w:rPr>
                <w:sz w:val="14"/>
                <w:szCs w:val="14"/>
                <w:color w:val="auto"/>
              </w:rPr>
            </w:pPr>
          </w:p>
        </w:tc>
        <w:tc>
          <w:tcPr>
            <w:tcW w:w="820" w:type="dxa"/>
            <w:vAlign w:val="bottom"/>
          </w:tcPr>
          <w:p>
            <w:pPr>
              <w:jc w:val="right"/>
              <w:ind w:right="193"/>
              <w:spacing w:after="0"/>
              <w:rPr>
                <w:sz w:val="20"/>
                <w:szCs w:val="20"/>
                <w:color w:val="auto"/>
              </w:rPr>
            </w:pPr>
            <w:r>
              <w:rPr>
                <w:rFonts w:ascii="Arial" w:cs="Arial" w:eastAsia="Arial" w:hAnsi="Arial"/>
                <w:sz w:val="14"/>
                <w:szCs w:val="14"/>
                <w:b w:val="1"/>
                <w:bCs w:val="1"/>
                <w:color w:val="auto"/>
              </w:rPr>
              <w:t>2011</w:t>
            </w: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020" w:type="dxa"/>
            <w:vAlign w:val="bottom"/>
            <w:vMerge w:val="restart"/>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vMerge w:val="continue"/>
            <w:shd w:val="clear" w:color="auto" w:fill="CCEEFF"/>
          </w:tcPr>
          <w:p>
            <w:pPr>
              <w:spacing w:after="0"/>
              <w:rPr>
                <w:sz w:val="17"/>
                <w:szCs w:val="17"/>
                <w:color w:val="auto"/>
              </w:rPr>
            </w:pPr>
          </w:p>
        </w:tc>
        <w:tc>
          <w:tcPr>
            <w:tcW w:w="2020" w:type="dxa"/>
            <w:vAlign w:val="bottom"/>
            <w:vMerge w:val="continue"/>
            <w:shd w:val="clear" w:color="auto" w:fill="CCEEFF"/>
          </w:tcPr>
          <w:p>
            <w:pPr>
              <w:spacing w:after="0"/>
              <w:rPr>
                <w:sz w:val="17"/>
                <w:szCs w:val="17"/>
                <w:color w:val="auto"/>
              </w:rPr>
            </w:pPr>
          </w:p>
        </w:tc>
        <w:tc>
          <w:tcPr>
            <w:tcW w:w="2000" w:type="dxa"/>
            <w:vAlign w:val="bottom"/>
            <w:gridSpan w:val="2"/>
            <w:shd w:val="clear" w:color="auto" w:fill="CCEEFF"/>
          </w:tcPr>
          <w:p>
            <w:pPr>
              <w:jc w:val="right"/>
              <w:ind w:right="1060"/>
              <w:spacing w:after="0" w:line="203" w:lineRule="exact"/>
              <w:rPr>
                <w:sz w:val="20"/>
                <w:szCs w:val="20"/>
                <w:color w:val="auto"/>
              </w:rPr>
            </w:pPr>
            <w:r>
              <w:rPr>
                <w:rFonts w:ascii="Arial" w:cs="Arial" w:eastAsia="Arial" w:hAnsi="Arial"/>
                <w:sz w:val="18"/>
                <w:szCs w:val="18"/>
                <w:color w:val="auto"/>
              </w:rPr>
              <w:t>11%</w:t>
            </w:r>
          </w:p>
        </w:tc>
        <w:tc>
          <w:tcPr>
            <w:tcW w:w="102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Healthcare and Pharmaceuticals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Hotel, Gaming and Leisure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Media: Diversified and Production</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Advertising, Printing and Publishing</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Durable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Media: Broadcasting and Subscription</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Metals and Mining</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Retail</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20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Wholesale</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Energy: Oil and Gas</w:t>
            </w:r>
          </w:p>
        </w:tc>
        <w:tc>
          <w:tcPr>
            <w:tcW w:w="2020" w:type="dxa"/>
            <w:vAlign w:val="bottom"/>
          </w:tcPr>
          <w:p>
            <w:pPr>
              <w:spacing w:after="0"/>
              <w:rPr>
                <w:sz w:val="18"/>
                <w:szCs w:val="18"/>
                <w:color w:val="auto"/>
              </w:rPr>
            </w:pPr>
          </w:p>
        </w:tc>
        <w:tc>
          <w:tcPr>
            <w:tcW w:w="2000" w:type="dxa"/>
            <w:vAlign w:val="bottom"/>
            <w:gridSpan w:val="2"/>
          </w:tcPr>
          <w:p>
            <w:pPr>
              <w:jc w:val="right"/>
              <w:ind w:right="130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202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20" w:type="dxa"/>
            <w:vAlign w:val="bottom"/>
          </w:tcPr>
          <w:p>
            <w:pPr>
              <w:spacing w:after="0"/>
              <w:rPr>
                <w:sz w:val="19"/>
                <w:szCs w:val="19"/>
                <w:color w:val="auto"/>
              </w:rPr>
            </w:pPr>
          </w:p>
        </w:tc>
        <w:tc>
          <w:tcPr>
            <w:tcW w:w="2000" w:type="dxa"/>
            <w:vAlign w:val="bottom"/>
            <w:gridSpan w:val="2"/>
          </w:tcPr>
          <w:p>
            <w:pPr>
              <w:jc w:val="right"/>
              <w:ind w:right="1060"/>
              <w:spacing w:after="0"/>
              <w:rPr>
                <w:sz w:val="20"/>
                <w:szCs w:val="20"/>
                <w:color w:val="auto"/>
              </w:rPr>
            </w:pPr>
            <w:r>
              <w:rPr>
                <w:rFonts w:ascii="Arial" w:cs="Arial" w:eastAsia="Arial" w:hAnsi="Arial"/>
                <w:sz w:val="18"/>
                <w:szCs w:val="18"/>
                <w:color w:val="auto"/>
              </w:rPr>
              <w:t>100%</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4020" w:type="dxa"/>
            <w:vAlign w:val="bottom"/>
            <w:gridSpan w:val="3"/>
          </w:tcPr>
          <w:p>
            <w:pPr>
              <w:jc w:val="right"/>
              <w:ind w:right="3160"/>
              <w:spacing w:after="0"/>
              <w:rPr>
                <w:sz w:val="20"/>
                <w:szCs w:val="20"/>
                <w:color w:val="auto"/>
              </w:rPr>
            </w:pPr>
            <w:r>
              <w:rPr>
                <w:rFonts w:ascii="Arial" w:cs="Arial" w:eastAsia="Arial" w:hAnsi="Arial"/>
                <w:sz w:val="18"/>
                <w:szCs w:val="18"/>
                <w:color w:val="auto"/>
              </w:rPr>
              <w:t>F-20</w:t>
            </w: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4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460" w:right="2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impacting Level 3 of the fair value hierarchy are reported as transfers in or out of the Level 3 category as of the end of the quarter in which the reclassifications occur. During the fiscal year ended September 30, 2012 and the period March 4, 2011 (commencement of operations) to September 30, 2011, our ability to observe valuation inputs has resulted in no reclassification of assets amongst Levels 1, 2 and 3.</w:t>
      </w:r>
    </w:p>
    <w:p>
      <w:pPr>
        <w:spacing w:after="0" w:line="140"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May 2011, the FASB issued Accounting Standards Update No. 2011-04, “Fair Value Measurement: Amendments to Achieve Common Fair Value Measurement and Disclosure Requirements in U.S. GAAP and IFRS”. ASU 2011-04 was effective for interim and annual periods after December 15, 2011. The Company adopted ASU 2011-04 on December 31, 2011. In accordance with ASU 2011-04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1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The remainder of our portfolio, including our long-term Credit Facility, is classified and was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216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Fair Value as of</w:t>
            </w:r>
          </w:p>
        </w:tc>
        <w:tc>
          <w:tcPr>
            <w:tcW w:w="2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60" w:type="dxa"/>
            <w:vAlign w:val="bottom"/>
          </w:tcPr>
          <w:p>
            <w:pPr>
              <w:jc w:val="center"/>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216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2"/>
          </w:tcPr>
          <w:p>
            <w:pPr>
              <w:jc w:val="right"/>
              <w:ind w:right="360"/>
              <w:spacing w:after="0" w:line="148" w:lineRule="exact"/>
              <w:rPr>
                <w:sz w:val="20"/>
                <w:szCs w:val="20"/>
                <w:color w:val="auto"/>
              </w:rPr>
            </w:pPr>
            <w:r>
              <w:rPr>
                <w:rFonts w:ascii="Arial" w:cs="Arial" w:eastAsia="Arial" w:hAnsi="Arial"/>
                <w:sz w:val="14"/>
                <w:szCs w:val="14"/>
                <w:b w:val="1"/>
                <w:bCs w:val="1"/>
                <w:color w:val="auto"/>
                <w:w w:val="87"/>
              </w:rPr>
              <w:t>September 30, 2012</w:t>
            </w:r>
          </w:p>
        </w:tc>
        <w:tc>
          <w:tcPr>
            <w:tcW w:w="228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Valuation Technique</w:t>
            </w:r>
          </w:p>
        </w:tc>
        <w:tc>
          <w:tcPr>
            <w:tcW w:w="23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7"/>
              </w:rPr>
              <w:t>Unobservable Input</w:t>
            </w:r>
          </w:p>
        </w:tc>
        <w:tc>
          <w:tcPr>
            <w:tcW w:w="20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81"/>
        </w:trPr>
        <w:tc>
          <w:tcPr>
            <w:tcW w:w="30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First lien, second lien, subordinated</w:t>
            </w:r>
          </w:p>
        </w:tc>
        <w:tc>
          <w:tcPr>
            <w:tcW w:w="12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1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0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debt/corporate notes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155,983,312</w:t>
            </w:r>
          </w:p>
        </w:tc>
        <w:tc>
          <w:tcPr>
            <w:tcW w:w="2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Broker/Dealer bid quotes</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1 – 6</w:t>
            </w:r>
          </w:p>
        </w:tc>
        <w:tc>
          <w:tcPr>
            <w:tcW w:w="0" w:type="dxa"/>
            <w:vAlign w:val="bottom"/>
          </w:tcPr>
          <w:p>
            <w:pPr>
              <w:spacing w:after="0"/>
              <w:rPr>
                <w:sz w:val="1"/>
                <w:szCs w:val="1"/>
                <w:color w:val="auto"/>
              </w:rPr>
            </w:pPr>
          </w:p>
        </w:tc>
      </w:tr>
      <w:tr>
        <w:trPr>
          <w:trHeight w:val="208"/>
        </w:trPr>
        <w:tc>
          <w:tcPr>
            <w:tcW w:w="3080" w:type="dxa"/>
            <w:vAlign w:val="bottom"/>
            <w:gridSpan w:val="2"/>
          </w:tcPr>
          <w:p>
            <w:pPr>
              <w:spacing w:after="0"/>
              <w:rPr>
                <w:sz w:val="20"/>
                <w:szCs w:val="20"/>
                <w:color w:val="auto"/>
              </w:rPr>
            </w:pPr>
            <w:r>
              <w:rPr>
                <w:rFonts w:ascii="Arial" w:cs="Arial" w:eastAsia="Arial" w:hAnsi="Arial"/>
                <w:sz w:val="18"/>
                <w:szCs w:val="18"/>
                <w:color w:val="auto"/>
              </w:rPr>
              <w:t>First lien, second lien, subordinated</w:t>
            </w: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080" w:type="dxa"/>
            <w:vAlign w:val="bottom"/>
            <w:gridSpan w:val="2"/>
          </w:tcPr>
          <w:p>
            <w:pPr>
              <w:ind w:left="220"/>
              <w:spacing w:after="0"/>
              <w:rPr>
                <w:sz w:val="20"/>
                <w:szCs w:val="20"/>
                <w:color w:val="auto"/>
              </w:rPr>
            </w:pPr>
            <w:r>
              <w:rPr>
                <w:rFonts w:ascii="Arial" w:cs="Arial" w:eastAsia="Arial" w:hAnsi="Arial"/>
                <w:sz w:val="18"/>
                <w:szCs w:val="18"/>
                <w:color w:val="auto"/>
              </w:rPr>
              <w:t>debt/corporate notes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11,760,650</w:t>
            </w:r>
          </w:p>
        </w:tc>
        <w:tc>
          <w:tcPr>
            <w:tcW w:w="228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Market Yield</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7.3% – 15.3% (11.9%)</w:t>
            </w:r>
          </w:p>
        </w:tc>
        <w:tc>
          <w:tcPr>
            <w:tcW w:w="0" w:type="dxa"/>
            <w:vAlign w:val="bottom"/>
          </w:tcPr>
          <w:p>
            <w:pPr>
              <w:spacing w:after="0"/>
              <w:rPr>
                <w:sz w:val="1"/>
                <w:szCs w:val="1"/>
                <w:color w:val="auto"/>
              </w:rPr>
            </w:pPr>
          </w:p>
        </w:tc>
      </w:tr>
      <w:tr>
        <w:trPr>
          <w:trHeight w:val="218"/>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1,302,438</w:t>
            </w: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Enterprise Market Value</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5"/>
              </w:rPr>
              <w:t>EBITDA multiple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6.5x – 8.5x (6.8x)</w:t>
            </w:r>
          </w:p>
        </w:tc>
        <w:tc>
          <w:tcPr>
            <w:tcW w:w="0" w:type="dxa"/>
            <w:vAlign w:val="bottom"/>
          </w:tcPr>
          <w:p>
            <w:pPr>
              <w:spacing w:after="0"/>
              <w:rPr>
                <w:sz w:val="1"/>
                <w:szCs w:val="1"/>
                <w:color w:val="auto"/>
              </w:rPr>
            </w:pPr>
          </w:p>
        </w:tc>
      </w:tr>
      <w:tr>
        <w:trPr>
          <w:trHeight w:val="222"/>
        </w:trPr>
        <w:tc>
          <w:tcPr>
            <w:tcW w:w="3080" w:type="dxa"/>
            <w:vAlign w:val="bottom"/>
            <w:gridSpan w:val="2"/>
          </w:tcPr>
          <w:p>
            <w:pPr>
              <w:ind w:left="440"/>
              <w:spacing w:after="0"/>
              <w:rPr>
                <w:sz w:val="20"/>
                <w:szCs w:val="20"/>
                <w:color w:val="auto"/>
              </w:rPr>
            </w:pPr>
            <w:r>
              <w:rPr>
                <w:rFonts w:ascii="Arial" w:cs="Arial" w:eastAsia="Arial" w:hAnsi="Arial"/>
                <w:sz w:val="18"/>
                <w:szCs w:val="18"/>
                <w:color w:val="auto"/>
              </w:rPr>
              <w:t>Total Level 3 investments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169,046,400</w:t>
            </w:r>
          </w:p>
        </w:tc>
        <w:tc>
          <w:tcPr>
            <w:tcW w:w="22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75,122,500</w:t>
            </w:r>
          </w:p>
        </w:tc>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Discount rate</w:t>
            </w:r>
          </w:p>
        </w:tc>
        <w:tc>
          <w:tcPr>
            <w:tcW w:w="2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3.1%</w:t>
            </w:r>
          </w:p>
        </w:tc>
        <w:tc>
          <w:tcPr>
            <w:tcW w:w="0" w:type="dxa"/>
            <w:vAlign w:val="bottom"/>
          </w:tcPr>
          <w:p>
            <w:pPr>
              <w:spacing w:after="0"/>
              <w:rPr>
                <w:sz w:val="1"/>
                <w:szCs w:val="1"/>
                <w:color w:val="auto"/>
              </w:rPr>
            </w:pPr>
          </w:p>
        </w:tc>
      </w:tr>
      <w:tr>
        <w:trPr>
          <w:trHeight w:val="363"/>
        </w:trPr>
        <w:tc>
          <w:tcPr>
            <w:tcW w:w="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2"/>
          </w:tcPr>
          <w:p>
            <w:pPr>
              <w:ind w:left="820"/>
              <w:spacing w:after="0"/>
              <w:rPr>
                <w:sz w:val="20"/>
                <w:szCs w:val="20"/>
                <w:color w:val="auto"/>
              </w:rPr>
            </w:pPr>
            <w:r>
              <w:rPr>
                <w:rFonts w:ascii="Arial" w:cs="Arial" w:eastAsia="Arial" w:hAnsi="Arial"/>
                <w:sz w:val="18"/>
                <w:szCs w:val="18"/>
                <w:color w:val="auto"/>
              </w:rPr>
              <w:t>F-22</w:t>
            </w: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equivalents, investments and our long-term Credit Facility were categorized as follows in the fair value hierarchy for ASC 820 purposes.</w:t>
      </w:r>
    </w:p>
    <w:p>
      <w:pPr>
        <w:spacing w:after="0" w:line="32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020" w:type="dxa"/>
            <w:vAlign w:val="bottom"/>
            <w:vMerge w:val="restart"/>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240" w:type="dxa"/>
            <w:vAlign w:val="bottom"/>
            <w:tcBorders>
              <w:bottom w:val="single" w:sz="8" w:color="auto"/>
            </w:tcBorders>
            <w:gridSpan w:val="10"/>
          </w:tcPr>
          <w:p>
            <w:pPr>
              <w:ind w:left="160"/>
              <w:spacing w:after="0"/>
              <w:rPr>
                <w:sz w:val="20"/>
                <w:szCs w:val="20"/>
                <w:color w:val="auto"/>
              </w:rPr>
            </w:pPr>
            <w:r>
              <w:rPr>
                <w:rFonts w:ascii="Arial" w:cs="Arial" w:eastAsia="Arial" w:hAnsi="Arial"/>
                <w:sz w:val="14"/>
                <w:szCs w:val="14"/>
                <w:b w:val="1"/>
                <w:bCs w:val="1"/>
                <w:color w:val="auto"/>
                <w:w w:val="95"/>
              </w:rPr>
              <w:t>Fair Value Measurements at September 30, 2012</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4"/>
          </w:tcPr>
          <w:p>
            <w:pPr>
              <w:jc w:val="right"/>
              <w:ind w:right="480"/>
              <w:spacing w:after="0" w:line="129" w:lineRule="exact"/>
              <w:rPr>
                <w:sz w:val="20"/>
                <w:szCs w:val="20"/>
                <w:color w:val="auto"/>
              </w:rPr>
            </w:pPr>
            <w:r>
              <w:rPr>
                <w:rFonts w:ascii="Arial" w:cs="Arial" w:eastAsia="Arial" w:hAnsi="Arial"/>
                <w:sz w:val="14"/>
                <w:szCs w:val="14"/>
                <w:b w:val="1"/>
                <w:bCs w:val="1"/>
                <w:color w:val="auto"/>
                <w:w w:val="95"/>
              </w:rPr>
              <w:t>Fair Value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Level 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Level 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98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$150,209,747</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ind w:left="340"/>
              <w:spacing w:after="0" w:line="203"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5"/>
                <w:szCs w:val="5"/>
                <w:color w:val="auto"/>
                <w:w w:val="70"/>
              </w:rPr>
              <w:t>$</w:t>
            </w:r>
          </w:p>
        </w:tc>
        <w:tc>
          <w:tcPr>
            <w:tcW w:w="660" w:type="dxa"/>
            <w:vAlign w:val="bottom"/>
            <w:tcBorders>
              <w:top w:val="single" w:sz="8" w:color="auto"/>
            </w:tcBorders>
            <w:shd w:val="clear" w:color="auto" w:fill="CCEEFF"/>
          </w:tcPr>
          <w:p>
            <w:pPr>
              <w:ind w:left="400"/>
              <w:spacing w:after="0" w:line="203" w:lineRule="exact"/>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120" w:type="dxa"/>
            <w:vAlign w:val="bottom"/>
            <w:gridSpan w:val="4"/>
          </w:tcPr>
          <w:p>
            <w:pPr>
              <w:jc w:val="right"/>
              <w:ind w:right="140"/>
              <w:spacing w:after="0"/>
              <w:rPr>
                <w:sz w:val="20"/>
                <w:szCs w:val="20"/>
                <w:color w:val="auto"/>
              </w:rPr>
            </w:pPr>
            <w:r>
              <w:rPr>
                <w:rFonts w:ascii="Arial" w:cs="Arial" w:eastAsia="Arial" w:hAnsi="Arial"/>
                <w:sz w:val="18"/>
                <w:szCs w:val="18"/>
                <w:color w:val="auto"/>
              </w:rPr>
              <w:t>12,025,500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9"/>
              </w:rPr>
              <w:t>8,296,719</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center"/>
              <w:ind w:left="632"/>
              <w:spacing w:after="0"/>
              <w:rPr>
                <w:sz w:val="20"/>
                <w:szCs w:val="20"/>
                <w:color w:val="auto"/>
              </w:rPr>
            </w:pPr>
            <w:r>
              <w:rPr>
                <w:rFonts w:ascii="Arial" w:cs="Arial" w:eastAsia="Arial" w:hAnsi="Arial"/>
                <w:sz w:val="18"/>
                <w:szCs w:val="18"/>
                <w:color w:val="auto"/>
                <w:w w:val="87"/>
              </w:rPr>
              <w:t>2,788,000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1,302,434</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12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5"/>
              </w:rPr>
              <w:t>171,834,400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420" w:type="dxa"/>
            <w:vAlign w:val="bottom"/>
            <w:gridSpan w:val="3"/>
            <w:shd w:val="clear" w:color="auto" w:fill="CCEEFF"/>
          </w:tcPr>
          <w:p>
            <w:pPr>
              <w:jc w:val="center"/>
              <w:ind w:left="632"/>
              <w:spacing w:after="0"/>
              <w:rPr>
                <w:sz w:val="20"/>
                <w:szCs w:val="20"/>
                <w:color w:val="auto"/>
              </w:rPr>
            </w:pPr>
            <w:r>
              <w:rPr>
                <w:rFonts w:ascii="Arial" w:cs="Arial" w:eastAsia="Arial" w:hAnsi="Arial"/>
                <w:sz w:val="18"/>
                <w:szCs w:val="18"/>
                <w:color w:val="auto"/>
                <w:w w:val="87"/>
              </w:rPr>
              <w:t>2,788,000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3,845,803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gridSpan w:val="4"/>
          </w:tcPr>
          <w:p>
            <w:pPr>
              <w:jc w:val="right"/>
              <w:ind w:right="100"/>
              <w:spacing w:after="0"/>
              <w:rPr>
                <w:sz w:val="20"/>
                <w:szCs w:val="20"/>
                <w:color w:val="auto"/>
              </w:rPr>
            </w:pPr>
            <w:r>
              <w:rPr>
                <w:rFonts w:ascii="Arial" w:cs="Arial" w:eastAsia="Arial" w:hAnsi="Arial"/>
                <w:sz w:val="18"/>
                <w:szCs w:val="18"/>
                <w:color w:val="auto"/>
                <w:w w:val="97"/>
              </w:rPr>
              <w:t>3,845,803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4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5"/>
              </w:rPr>
              <w:t>175,680,203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w w:val="97"/>
              </w:rPr>
              <w:t>3,845,803</w:t>
            </w:r>
          </w:p>
        </w:tc>
        <w:tc>
          <w:tcPr>
            <w:tcW w:w="1420" w:type="dxa"/>
            <w:vAlign w:val="bottom"/>
            <w:gridSpan w:val="3"/>
            <w:shd w:val="clear" w:color="auto" w:fill="CCEEFF"/>
          </w:tcPr>
          <w:p>
            <w:pPr>
              <w:jc w:val="center"/>
              <w:ind w:left="632"/>
              <w:spacing w:after="0"/>
              <w:rPr>
                <w:sz w:val="20"/>
                <w:szCs w:val="20"/>
                <w:color w:val="auto"/>
              </w:rPr>
            </w:pPr>
            <w:r>
              <w:rPr>
                <w:rFonts w:ascii="Arial" w:cs="Arial" w:eastAsia="Arial" w:hAnsi="Arial"/>
                <w:sz w:val="18"/>
                <w:szCs w:val="18"/>
                <w:color w:val="auto"/>
                <w:w w:val="87"/>
              </w:rPr>
              <w:t>2,788,000</w:t>
            </w:r>
          </w:p>
        </w:tc>
        <w:tc>
          <w:tcPr>
            <w:tcW w:w="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w w:val="91"/>
              </w:rPr>
              <w:t>$ 75,122,500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8"/>
                <w:szCs w:val="18"/>
                <w:color w:val="auto"/>
              </w:rPr>
            </w:pPr>
          </w:p>
        </w:tc>
        <w:tc>
          <w:tcPr>
            <w:tcW w:w="600" w:type="dxa"/>
            <w:vAlign w:val="bottom"/>
          </w:tcPr>
          <w:p>
            <w:pPr>
              <w:ind w:lef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jc w:val="right"/>
              <w:ind w:right="12"/>
              <w:spacing w:after="0"/>
              <w:rPr>
                <w:sz w:val="20"/>
                <w:szCs w:val="20"/>
                <w:color w:val="auto"/>
              </w:rPr>
            </w:pPr>
            <w:r>
              <w:rPr>
                <w:rFonts w:ascii="Arial" w:cs="Arial" w:eastAsia="Arial" w:hAnsi="Arial"/>
                <w:sz w:val="5"/>
                <w:szCs w:val="5"/>
                <w:color w:val="auto"/>
                <w:w w:val="70"/>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c>
          <w:tcPr>
            <w:tcW w:w="520" w:type="dxa"/>
            <w:vAlign w:val="bottom"/>
            <w:gridSpan w:val="2"/>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020" w:type="dxa"/>
            <w:vAlign w:val="bottom"/>
            <w:vMerge w:val="restart"/>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gridSpan w:val="10"/>
          </w:tcPr>
          <w:p>
            <w:pPr>
              <w:ind w:left="240"/>
              <w:spacing w:after="0"/>
              <w:rPr>
                <w:sz w:val="20"/>
                <w:szCs w:val="20"/>
                <w:color w:val="auto"/>
              </w:rPr>
            </w:pPr>
            <w:r>
              <w:rPr>
                <w:rFonts w:ascii="Arial" w:cs="Arial" w:eastAsia="Arial" w:hAnsi="Arial"/>
                <w:sz w:val="14"/>
                <w:szCs w:val="14"/>
                <w:b w:val="1"/>
                <w:bCs w:val="1"/>
                <w:color w:val="auto"/>
                <w:w w:val="93"/>
              </w:rPr>
              <w:t>Fair Value Measurements at September 30, 2011</w:t>
            </w: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right"/>
              <w:ind w:right="340"/>
              <w:spacing w:after="0" w:line="129" w:lineRule="exact"/>
              <w:rPr>
                <w:sz w:val="20"/>
                <w:szCs w:val="20"/>
                <w:color w:val="auto"/>
              </w:rPr>
            </w:pPr>
            <w:r>
              <w:rPr>
                <w:rFonts w:ascii="Arial" w:cs="Arial" w:eastAsia="Arial" w:hAnsi="Arial"/>
                <w:sz w:val="14"/>
                <w:szCs w:val="14"/>
                <w:b w:val="1"/>
                <w:bCs w:val="1"/>
                <w:color w:val="auto"/>
              </w:rPr>
              <w:t>Fair Value</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3"/>
          </w:tcPr>
          <w:p>
            <w:pPr>
              <w:jc w:val="center"/>
              <w:ind w:right="580"/>
              <w:spacing w:after="0" w:line="129" w:lineRule="exact"/>
              <w:rPr>
                <w:sz w:val="20"/>
                <w:szCs w:val="20"/>
                <w:color w:val="auto"/>
              </w:rPr>
            </w:pPr>
            <w:r>
              <w:rPr>
                <w:rFonts w:ascii="Arial" w:cs="Arial" w:eastAsia="Arial" w:hAnsi="Arial"/>
                <w:sz w:val="14"/>
                <w:szCs w:val="14"/>
                <w:b w:val="1"/>
                <w:bCs w:val="1"/>
                <w:color w:val="auto"/>
                <w:w w:val="84"/>
              </w:rPr>
              <w:t>Level 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91,363,126</w:t>
            </w:r>
          </w:p>
        </w:tc>
        <w:tc>
          <w:tcPr>
            <w:tcW w:w="16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gridSpan w:val="2"/>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gridSpan w:val="2"/>
            <w:shd w:val="clear" w:color="auto" w:fill="CCEEFF"/>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CCEEFF"/>
              <w:right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3"/>
            <w:shd w:val="clear" w:color="auto" w:fill="CCEEFF"/>
          </w:tcPr>
          <w:p>
            <w:pPr>
              <w:jc w:val="right"/>
              <w:spacing w:after="0" w:line="203" w:lineRule="exact"/>
              <w:rPr>
                <w:sz w:val="20"/>
                <w:szCs w:val="20"/>
                <w:color w:val="auto"/>
              </w:rPr>
            </w:pPr>
            <w:r>
              <w:rPr>
                <w:rFonts w:ascii="Arial" w:cs="Arial" w:eastAsia="Arial" w:hAnsi="Arial"/>
                <w:sz w:val="18"/>
                <w:szCs w:val="18"/>
                <w:color w:val="auto"/>
                <w:w w:val="86"/>
              </w:rPr>
              <w:t>$2,033,747</w:t>
            </w:r>
          </w:p>
        </w:tc>
        <w:tc>
          <w:tcPr>
            <w:tcW w:w="4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12,255,000</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12,255,000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7,004,130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1,155,000</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5,849,130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101,985</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110,724,241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3,188,747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6,987,450</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4"/>
              </w:rPr>
              <w:t>6,987,450</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85"/>
              </w:rPr>
              <w:t>117,711,691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4"/>
              </w:rPr>
              <w:t>6,987,450</w:t>
            </w:r>
          </w:p>
        </w:tc>
        <w:tc>
          <w:tcPr>
            <w:tcW w:w="6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3,188,747</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5"/>
              </w:rPr>
              <w:t>24,650,000</w:t>
            </w:r>
          </w:p>
        </w:tc>
        <w:tc>
          <w:tcPr>
            <w:tcW w:w="16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24,650,000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6"/>
              </w:rPr>
              <w:t>Year Ended September 30, 2012</w:t>
            </w: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80" w:type="dxa"/>
            <w:vAlign w:val="bottom"/>
            <w:gridSpan w:val="2"/>
          </w:tcPr>
          <w:p>
            <w:pPr>
              <w:jc w:val="center"/>
              <w:ind w:right="660"/>
              <w:spacing w:after="0" w:line="129" w:lineRule="exact"/>
              <w:rPr>
                <w:sz w:val="20"/>
                <w:szCs w:val="20"/>
                <w:color w:val="auto"/>
              </w:rPr>
            </w:pPr>
            <w:r>
              <w:rPr>
                <w:rFonts w:ascii="Arial" w:cs="Arial" w:eastAsia="Arial" w:hAnsi="Arial"/>
                <w:sz w:val="14"/>
                <w:szCs w:val="14"/>
                <w:b w:val="1"/>
                <w:bCs w:val="1"/>
                <w:color w:val="auto"/>
                <w:w w:val="82"/>
              </w:rPr>
              <w:t>Second lien,</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7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780" w:type="dxa"/>
            <w:vAlign w:val="bottom"/>
            <w:gridSpan w:val="3"/>
          </w:tcPr>
          <w:p>
            <w:pPr>
              <w:spacing w:after="0" w:line="135" w:lineRule="exact"/>
              <w:rPr>
                <w:sz w:val="20"/>
                <w:szCs w:val="20"/>
                <w:color w:val="auto"/>
              </w:rPr>
            </w:pPr>
            <w:r>
              <w:rPr>
                <w:rFonts w:ascii="Arial" w:cs="Arial" w:eastAsia="Arial" w:hAnsi="Arial"/>
                <w:sz w:val="14"/>
                <w:szCs w:val="14"/>
                <w:b w:val="1"/>
                <w:bCs w:val="1"/>
                <w:color w:val="auto"/>
              </w:rPr>
              <w:t>subordinated debt and</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6440" w:type="dxa"/>
            <w:vAlign w:val="bottom"/>
            <w:gridSpan w:val="3"/>
          </w:tcPr>
          <w:p>
            <w:pPr>
              <w:spacing w:after="0"/>
              <w:rPr>
                <w:sz w:val="20"/>
                <w:szCs w:val="20"/>
                <w:color w:val="auto"/>
              </w:rPr>
            </w:pPr>
            <w:r>
              <w:rPr>
                <w:rFonts w:ascii="Arial" w:cs="Arial" w:eastAsia="Arial" w:hAnsi="Arial"/>
                <w:sz w:val="14"/>
                <w:szCs w:val="14"/>
                <w:b w:val="1"/>
                <w:bCs w:val="1"/>
                <w:color w:val="auto"/>
              </w:rPr>
              <w:t>Description</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First Lien</w:t>
            </w:r>
          </w:p>
        </w:tc>
        <w:tc>
          <w:tcPr>
            <w:tcW w:w="420" w:type="dxa"/>
            <w:vAlign w:val="bottom"/>
          </w:tcPr>
          <w:p>
            <w:pPr>
              <w:spacing w:after="0"/>
              <w:rPr>
                <w:sz w:val="14"/>
                <w:szCs w:val="14"/>
                <w:color w:val="auto"/>
              </w:rPr>
            </w:pPr>
          </w:p>
        </w:tc>
        <w:tc>
          <w:tcPr>
            <w:tcW w:w="1780" w:type="dxa"/>
            <w:vAlign w:val="bottom"/>
            <w:gridSpan w:val="3"/>
          </w:tcPr>
          <w:p>
            <w:pPr>
              <w:jc w:val="center"/>
              <w:ind w:right="460"/>
              <w:spacing w:after="0" w:line="162" w:lineRule="exact"/>
              <w:rPr>
                <w:sz w:val="20"/>
                <w:szCs w:val="20"/>
                <w:color w:val="auto"/>
              </w:rPr>
            </w:pPr>
            <w:r>
              <w:rPr>
                <w:rFonts w:ascii="Arial" w:cs="Arial" w:eastAsia="Arial" w:hAnsi="Arial"/>
                <w:sz w:val="12"/>
                <w:szCs w:val="12"/>
                <w:b w:val="1"/>
                <w:bCs w:val="1"/>
                <w:color w:val="auto"/>
                <w:w w:val="97"/>
              </w:rPr>
              <w:t xml:space="preserve">equity investments </w:t>
            </w:r>
            <w:r>
              <w:rPr>
                <w:rFonts w:ascii="Arial" w:cs="Arial" w:eastAsia="Arial" w:hAnsi="Arial"/>
                <w:sz w:val="18"/>
                <w:szCs w:val="18"/>
                <w:b w:val="1"/>
                <w:bCs w:val="1"/>
                <w:color w:val="auto"/>
                <w:w w:val="97"/>
                <w:vertAlign w:val="superscript"/>
              </w:rPr>
              <w:t>(1)</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18,206,115</w:t>
            </w: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630,647</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278,832</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909,479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3,543,311</w:t>
            </w: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1,422,002</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4,965,313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114,967,516</w:t>
            </w: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7,945,929</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122,913,445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 / exchanges</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0"/>
              </w:rPr>
              <w:t>(58,261,106)</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(9,016,225)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(67,277,331)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150,209,747</w:t>
            </w: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18,836,653</w:t>
            </w:r>
          </w:p>
        </w:tc>
        <w:tc>
          <w:tcPr>
            <w:tcW w:w="4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3"/>
            <w:vMerge w:val="restart"/>
          </w:tcPr>
          <w:p>
            <w:pPr>
              <w:spacing w:after="0"/>
              <w:rPr>
                <w:sz w:val="20"/>
                <w:szCs w:val="20"/>
                <w:color w:val="auto"/>
              </w:rPr>
            </w:pPr>
            <w:r>
              <w:rPr>
                <w:rFonts w:ascii="Arial" w:cs="Arial" w:eastAsia="Arial" w:hAnsi="Arial"/>
                <w:sz w:val="18"/>
                <w:szCs w:val="18"/>
                <w:color w:val="auto"/>
                <w:w w:val="92"/>
              </w:rPr>
              <w:t>Net change in unrealized appreciation for the year ended September 30, 2012 reported</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40" w:type="dxa"/>
            <w:vAlign w:val="bottom"/>
            <w:gridSpan w:val="3"/>
            <w:vMerge w:val="continue"/>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color w:val="auto"/>
                <w:w w:val="93"/>
              </w:rPr>
              <w:t>within the net change in unrealized appreciation on investments in our Consolidated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color w:val="auto"/>
                <w:w w:val="94"/>
              </w:rPr>
              <w:t>Statement of Operations attributable to our Level 3 assets still held at the reporting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2"/>
          </w:tcPr>
          <w:p>
            <w:pPr>
              <w:ind w:left="200"/>
              <w:spacing w:after="0"/>
              <w:rPr>
                <w:sz w:val="20"/>
                <w:szCs w:val="20"/>
                <w:color w:val="auto"/>
              </w:rPr>
            </w:pPr>
            <w:r>
              <w:rPr>
                <w:rFonts w:ascii="Arial" w:cs="Arial" w:eastAsia="Arial" w:hAnsi="Arial"/>
                <w:sz w:val="18"/>
                <w:szCs w:val="18"/>
                <w:color w:val="auto"/>
              </w:rPr>
              <w:t>date.</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4,140,166</w:t>
            </w:r>
          </w:p>
        </w:tc>
        <w:tc>
          <w:tcPr>
            <w:tcW w:w="220" w:type="dxa"/>
            <w:vAlign w:val="bottom"/>
          </w:tcPr>
          <w:p>
            <w:pPr>
              <w:spacing w:after="0"/>
              <w:rPr>
                <w:sz w:val="19"/>
                <w:szCs w:val="19"/>
                <w:color w:val="auto"/>
              </w:rPr>
            </w:pPr>
          </w:p>
        </w:tc>
        <w:tc>
          <w:tcPr>
            <w:tcW w:w="6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1,424,404</w:t>
            </w:r>
          </w:p>
        </w:tc>
        <w:tc>
          <w:tcPr>
            <w:tcW w:w="4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5,564,570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20" w:type="dxa"/>
            <w:vAlign w:val="bottom"/>
            <w:vMerge w:val="restart"/>
          </w:tcPr>
          <w:p>
            <w:pPr>
              <w:ind w:left="4820"/>
              <w:spacing w:after="0"/>
              <w:rPr>
                <w:sz w:val="20"/>
                <w:szCs w:val="20"/>
                <w:color w:val="auto"/>
              </w:rPr>
            </w:pPr>
            <w:r>
              <w:rPr>
                <w:rFonts w:ascii="Arial" w:cs="Arial" w:eastAsia="Arial" w:hAnsi="Arial"/>
                <w:sz w:val="18"/>
                <w:szCs w:val="18"/>
                <w:color w:val="auto"/>
              </w:rPr>
              <w:t>F-23</w:t>
            </w: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2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2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8"/>
              </w:rPr>
              <w:t>For the period March 4, 2011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22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(commencement of operations) to</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85"/>
              </w:rPr>
              <w:t>September 30, 2011</w:t>
            </w:r>
          </w:p>
        </w:tc>
        <w:tc>
          <w:tcPr>
            <w:tcW w:w="1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700" w:type="dxa"/>
            <w:vAlign w:val="bottom"/>
            <w:gridSpan w:val="2"/>
          </w:tcPr>
          <w:p>
            <w:pPr>
              <w:jc w:val="center"/>
              <w:ind w:right="56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780" w:type="dxa"/>
            <w:vAlign w:val="bottom"/>
            <w:gridSpan w:val="3"/>
          </w:tcPr>
          <w:p>
            <w:pPr>
              <w:jc w:val="center"/>
              <w:ind w:right="480"/>
              <w:spacing w:after="0" w:line="149" w:lineRule="exact"/>
              <w:rPr>
                <w:sz w:val="20"/>
                <w:szCs w:val="20"/>
                <w:color w:val="auto"/>
              </w:rPr>
            </w:pPr>
            <w:r>
              <w:rPr>
                <w:rFonts w:ascii="Arial" w:cs="Arial" w:eastAsia="Arial" w:hAnsi="Arial"/>
                <w:sz w:val="14"/>
                <w:szCs w:val="14"/>
                <w:b w:val="1"/>
                <w:bCs w:val="1"/>
                <w:color w:val="auto"/>
                <w:w w:val="86"/>
              </w:rPr>
              <w:t>subordinated debt and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8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3"/>
          </w:tcPr>
          <w:p>
            <w:pPr>
              <w:jc w:val="right"/>
              <w:ind w:right="400"/>
              <w:spacing w:after="0" w:line="148" w:lineRule="exact"/>
              <w:rPr>
                <w:sz w:val="20"/>
                <w:szCs w:val="20"/>
                <w:color w:val="auto"/>
              </w:rPr>
            </w:pPr>
            <w:r>
              <w:rPr>
                <w:rFonts w:ascii="Arial" w:cs="Arial" w:eastAsia="Arial" w:hAnsi="Arial"/>
                <w:sz w:val="14"/>
                <w:szCs w:val="14"/>
                <w:b w:val="1"/>
                <w:bCs w:val="1"/>
                <w:color w:val="auto"/>
              </w:rPr>
              <w:t>First Lien</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00" w:type="dxa"/>
            <w:vAlign w:val="bottom"/>
            <w:gridSpan w:val="2"/>
          </w:tcPr>
          <w:p>
            <w:pPr>
              <w:jc w:val="center"/>
              <w:ind w:right="560"/>
              <w:spacing w:after="0" w:line="148" w:lineRule="exact"/>
              <w:rPr>
                <w:sz w:val="20"/>
                <w:szCs w:val="20"/>
                <w:color w:val="auto"/>
              </w:rPr>
            </w:pPr>
            <w:r>
              <w:rPr>
                <w:rFonts w:ascii="Arial" w:cs="Arial" w:eastAsia="Arial" w:hAnsi="Arial"/>
                <w:sz w:val="14"/>
                <w:szCs w:val="14"/>
                <w:b w:val="1"/>
                <w:bCs w:val="1"/>
                <w:color w:val="auto"/>
                <w:w w:val="83"/>
              </w:rPr>
              <w:t>equity investments</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60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7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March 4, 2011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ind w:left="960"/>
              <w:spacing w:after="0" w:line="203" w:lineRule="exact"/>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218,684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93,319</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312,003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9"/>
              </w:rPr>
              <w:t>(3,591,606)</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(123,301)</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121,246,206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2"/>
          </w:tcPr>
          <w:p>
            <w:pPr>
              <w:jc w:val="right"/>
              <w:ind w:right="480"/>
              <w:spacing w:after="0"/>
              <w:rPr>
                <w:sz w:val="20"/>
                <w:szCs w:val="20"/>
                <w:color w:val="auto"/>
              </w:rPr>
            </w:pPr>
            <w:r>
              <w:rPr>
                <w:rFonts w:ascii="Arial" w:cs="Arial" w:eastAsia="Arial" w:hAnsi="Arial"/>
                <w:sz w:val="18"/>
                <w:szCs w:val="18"/>
                <w:color w:val="auto"/>
              </w:rPr>
              <w:t>22,766,732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144,012,938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0"/>
              </w:rPr>
              <w:t>(28,543,905)</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(4,530,635)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(33,074,540)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gridSpan w:val="2"/>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ind w:left="96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September 30, 2011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89,329,379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18,206,115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80" w:type="dxa"/>
            <w:vAlign w:val="bottom"/>
            <w:gridSpan w:val="3"/>
            <w:vMerge w:val="restart"/>
          </w:tcPr>
          <w:p>
            <w:pPr>
              <w:spacing w:after="0"/>
              <w:rPr>
                <w:sz w:val="20"/>
                <w:szCs w:val="20"/>
                <w:color w:val="auto"/>
              </w:rPr>
            </w:pPr>
            <w:r>
              <w:rPr>
                <w:rFonts w:ascii="Arial" w:cs="Arial" w:eastAsia="Arial" w:hAnsi="Arial"/>
                <w:sz w:val="18"/>
                <w:szCs w:val="18"/>
                <w:color w:val="auto"/>
                <w:w w:val="99"/>
              </w:rPr>
              <w:t>Net change in unrealized appreciation (depreciation) for the period reported within the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78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w w:val="97"/>
              </w:rPr>
              <w:t>net change in unrealized depreciation on investments in our Consolidated Statement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760" w:type="dxa"/>
            <w:vAlign w:val="bottom"/>
            <w:gridSpan w:val="2"/>
          </w:tcPr>
          <w:p>
            <w:pPr>
              <w:ind w:left="200"/>
              <w:spacing w:after="0"/>
              <w:rPr>
                <w:sz w:val="20"/>
                <w:szCs w:val="20"/>
                <w:color w:val="auto"/>
              </w:rPr>
            </w:pPr>
            <w:r>
              <w:rPr>
                <w:rFonts w:ascii="Arial" w:cs="Arial" w:eastAsia="Arial" w:hAnsi="Arial"/>
                <w:sz w:val="18"/>
                <w:szCs w:val="18"/>
                <w:color w:val="auto"/>
              </w:rPr>
              <w:t>of Operations attributable to our Level 3 assets still held at the reporting date.</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3"/>
          </w:tcPr>
          <w:p>
            <w:pPr>
              <w:jc w:val="right"/>
              <w:ind w:right="140"/>
              <w:spacing w:after="0"/>
              <w:rPr>
                <w:sz w:val="20"/>
                <w:szCs w:val="20"/>
                <w:color w:val="auto"/>
              </w:rPr>
            </w:pPr>
            <w:r>
              <w:rPr>
                <w:rFonts w:ascii="Arial" w:cs="Arial" w:eastAsia="Arial" w:hAnsi="Arial"/>
                <w:sz w:val="18"/>
                <w:szCs w:val="18"/>
                <w:color w:val="auto"/>
                <w:w w:val="99"/>
              </w:rPr>
              <w:t>(3,591,606)</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420"/>
              <w:spacing w:after="0"/>
              <w:rPr>
                <w:sz w:val="20"/>
                <w:szCs w:val="20"/>
                <w:color w:val="auto"/>
              </w:rPr>
            </w:pPr>
            <w:r>
              <w:rPr>
                <w:rFonts w:ascii="Arial" w:cs="Arial" w:eastAsia="Arial" w:hAnsi="Arial"/>
                <w:sz w:val="18"/>
                <w:szCs w:val="18"/>
                <w:color w:val="auto"/>
              </w:rPr>
              <w:t>(123,301)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(3,714,907)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6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w w:val="89"/>
              </w:rPr>
              <w:t>Carrying / Fair Value</w:t>
            </w:r>
          </w:p>
        </w:tc>
        <w:tc>
          <w:tcPr>
            <w:tcW w:w="14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6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0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88"/>
              </w:rPr>
              <w:t>For the period March 4, 2011</w:t>
            </w:r>
          </w:p>
        </w:tc>
        <w:tc>
          <w:tcPr>
            <w:tcW w:w="10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5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4"/>
              </w:rPr>
              <w:t>(commencement of</w:t>
            </w: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96"/>
              </w:rPr>
              <w:t>Year Ended</w:t>
            </w:r>
          </w:p>
        </w:tc>
        <w:tc>
          <w:tcPr>
            <w:tcW w:w="1040" w:type="dxa"/>
            <w:vAlign w:val="bottom"/>
          </w:tcPr>
          <w:p>
            <w:pPr>
              <w:spacing w:after="0"/>
              <w:rPr>
                <w:sz w:val="12"/>
                <w:szCs w:val="12"/>
                <w:color w:val="auto"/>
              </w:rPr>
            </w:pPr>
          </w:p>
        </w:tc>
        <w:tc>
          <w:tcPr>
            <w:tcW w:w="1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operations) to September 30,</w:t>
            </w:r>
          </w:p>
        </w:tc>
      </w:t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September 30, 2012</w:t>
            </w: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right"/>
              <w:ind w:right="637"/>
              <w:spacing w:after="0"/>
              <w:rPr>
                <w:sz w:val="20"/>
                <w:szCs w:val="20"/>
                <w:color w:val="auto"/>
              </w:rPr>
            </w:pPr>
            <w:r>
              <w:rPr>
                <w:rFonts w:ascii="Arial" w:cs="Arial" w:eastAsia="Arial" w:hAnsi="Arial"/>
                <w:sz w:val="14"/>
                <w:szCs w:val="14"/>
                <w:b w:val="1"/>
                <w:bCs w:val="1"/>
                <w:color w:val="auto"/>
              </w:rPr>
              <w:t>2011</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3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Long-Term Credit Facility</w:t>
            </w: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Beginning Balance, September 30, 2011 (cost— $24,650,000)</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24,650,000</w:t>
            </w:r>
          </w:p>
        </w:tc>
        <w:tc>
          <w:tcPr>
            <w:tcW w:w="160" w:type="dxa"/>
            <w:vAlign w:val="bottom"/>
          </w:tcPr>
          <w:p>
            <w:pPr>
              <w:spacing w:after="0"/>
              <w:rPr>
                <w:sz w:val="18"/>
                <w:szCs w:val="18"/>
                <w:color w:val="auto"/>
              </w:rPr>
            </w:pP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unrealized depreciation included in earnings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(377,500)</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Borrowings</w:t>
            </w: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97,650,000</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29,000,000</w:t>
            </w: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Repayments</w:t>
            </w:r>
          </w:p>
        </w:tc>
        <w:tc>
          <w:tcPr>
            <w:tcW w:w="1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(46,800,000)</w:t>
            </w: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(4,350,000)</w:t>
            </w:r>
          </w:p>
        </w:tc>
      </w:tr>
      <w:tr>
        <w:trPr>
          <w:trHeight w:val="223"/>
        </w:trPr>
        <w:tc>
          <w:tcPr>
            <w:tcW w:w="20" w:type="dxa"/>
            <w:vAlign w:val="bottom"/>
          </w:tcPr>
          <w:p>
            <w:pPr>
              <w:spacing w:after="0"/>
              <w:rPr>
                <w:sz w:val="19"/>
                <w:szCs w:val="19"/>
                <w:color w:val="auto"/>
              </w:rPr>
            </w:pPr>
          </w:p>
        </w:tc>
        <w:tc>
          <w:tcPr>
            <w:tcW w:w="6340" w:type="dxa"/>
            <w:vAlign w:val="bottom"/>
          </w:tcPr>
          <w:p>
            <w:pPr>
              <w:ind w:left="420"/>
              <w:spacing w:after="0"/>
              <w:rPr>
                <w:sz w:val="20"/>
                <w:szCs w:val="20"/>
                <w:color w:val="auto"/>
              </w:rPr>
            </w:pPr>
            <w:r>
              <w:rPr>
                <w:rFonts w:ascii="Arial" w:cs="Arial" w:eastAsia="Arial" w:hAnsi="Arial"/>
                <w:sz w:val="18"/>
                <w:szCs w:val="18"/>
                <w:color w:val="auto"/>
              </w:rPr>
              <w:t>Transfers in and/or out of Level 3</w:t>
            </w:r>
          </w:p>
        </w:tc>
        <w:tc>
          <w:tcPr>
            <w:tcW w:w="160" w:type="dxa"/>
            <w:vAlign w:val="bottom"/>
          </w:tcPr>
          <w:p>
            <w:pPr>
              <w:spacing w:after="0"/>
              <w:rPr>
                <w:sz w:val="19"/>
                <w:szCs w:val="19"/>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 September 30, 2012 (cost—$75,500,000 and</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$24,650,000, respectively)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75,122,500</w:t>
            </w: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24,650,000</w:t>
            </w: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firstLine="456"/>
        <w:spacing w:after="0" w:line="312" w:lineRule="auto"/>
        <w:rPr>
          <w:sz w:val="20"/>
          <w:szCs w:val="20"/>
          <w:color w:val="auto"/>
        </w:rPr>
      </w:pPr>
      <w:r>
        <w:rPr>
          <w:rFonts w:ascii="Arial" w:cs="Arial" w:eastAsia="Arial" w:hAnsi="Arial"/>
          <w:sz w:val="15"/>
          <w:szCs w:val="15"/>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and expensed $0.3 million relating to amendment fees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460" w:right="2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Consolidated Statement of Operations. For the year ended September 30, 2012 and for the period March 4, 2011 (commencement of operations to September 30, 2011), the Credit Facility had a net change in unrealized appreciation of approximately $0.4 million and zero, respectively. As of September 30, 2012 and 2011, the Credit Facility had unrealized appreciation of $0.4 million and zero, respectively. We use a nationally recognized independent valuation service to measure the fair value of the Credit Facility in a manner consistent with the valuation process that the board of directors uses to value investments.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information sets forth the computation of basic and diluted per share net increase (decrease) in net assets resulting from operations.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9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88"/>
              </w:rPr>
              <w:t>For the period March 4, 2011</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92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(commencement of operations)</w:t>
            </w:r>
          </w:p>
        </w:tc>
        <w:tc>
          <w:tcPr>
            <w:tcW w:w="0" w:type="dxa"/>
            <w:vAlign w:val="bottom"/>
          </w:tcPr>
          <w:p>
            <w:pPr>
              <w:spacing w:after="0"/>
              <w:rPr>
                <w:sz w:val="1"/>
                <w:szCs w:val="1"/>
                <w:color w:val="auto"/>
              </w:rPr>
            </w:pPr>
          </w:p>
        </w:tc>
      </w:tr>
      <w:tr>
        <w:trPr>
          <w:trHeight w:val="149"/>
        </w:trPr>
        <w:tc>
          <w:tcPr>
            <w:tcW w:w="940" w:type="dxa"/>
            <w:vAlign w:val="bottom"/>
            <w:vMerge w:val="restart"/>
          </w:tcPr>
          <w:p>
            <w:pPr>
              <w:spacing w:after="0"/>
              <w:rPr>
                <w:sz w:val="20"/>
                <w:szCs w:val="20"/>
                <w:color w:val="auto"/>
              </w:rPr>
            </w:pPr>
            <w:r>
              <w:rPr>
                <w:rFonts w:ascii="Arial" w:cs="Arial" w:eastAsia="Arial" w:hAnsi="Arial"/>
                <w:sz w:val="14"/>
                <w:szCs w:val="14"/>
                <w:b w:val="1"/>
                <w:bCs w:val="1"/>
                <w:color w:val="auto"/>
                <w:w w:val="91"/>
              </w:rPr>
              <w:t>Class and Year</w:t>
            </w:r>
          </w:p>
        </w:tc>
        <w:tc>
          <w:tcPr>
            <w:tcW w:w="534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40" w:type="dxa"/>
            <w:vAlign w:val="bottom"/>
            <w:gridSpan w:val="2"/>
          </w:tcPr>
          <w:p>
            <w:pPr>
              <w:jc w:val="right"/>
              <w:ind w:right="880"/>
              <w:spacing w:after="0" w:line="149" w:lineRule="exact"/>
              <w:rPr>
                <w:sz w:val="20"/>
                <w:szCs w:val="20"/>
                <w:color w:val="auto"/>
              </w:rPr>
            </w:pPr>
            <w:r>
              <w:rPr>
                <w:rFonts w:ascii="Arial" w:cs="Arial" w:eastAsia="Arial" w:hAnsi="Arial"/>
                <w:sz w:val="14"/>
                <w:szCs w:val="14"/>
                <w:b w:val="1"/>
                <w:bCs w:val="1"/>
                <w:color w:val="auto"/>
                <w:w w:val="96"/>
              </w:rPr>
              <w:t>Year Ended</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7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to</w:t>
            </w:r>
          </w:p>
        </w:tc>
        <w:tc>
          <w:tcPr>
            <w:tcW w:w="0" w:type="dxa"/>
            <w:vAlign w:val="bottom"/>
          </w:tcPr>
          <w:p>
            <w:pPr>
              <w:spacing w:after="0"/>
              <w:rPr>
                <w:sz w:val="1"/>
                <w:szCs w:val="1"/>
                <w:color w:val="auto"/>
              </w:rPr>
            </w:pPr>
          </w:p>
        </w:tc>
      </w:tr>
      <w:tr>
        <w:trPr>
          <w:trHeight w:val="168"/>
        </w:trPr>
        <w:tc>
          <w:tcPr>
            <w:tcW w:w="940" w:type="dxa"/>
            <w:vAlign w:val="bottom"/>
            <w:tcBorders>
              <w:bottom w:val="single" w:sz="8" w:color="auto"/>
            </w:tcBorders>
            <w:vMerge w:val="continue"/>
          </w:tcPr>
          <w:p>
            <w:pPr>
              <w:spacing w:after="0"/>
              <w:rPr>
                <w:sz w:val="14"/>
                <w:szCs w:val="14"/>
                <w:color w:val="auto"/>
              </w:rPr>
            </w:pPr>
          </w:p>
        </w:tc>
        <w:tc>
          <w:tcPr>
            <w:tcW w:w="534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780" w:type="dxa"/>
            <w:vAlign w:val="bottom"/>
            <w:gridSpan w:val="3"/>
          </w:tcPr>
          <w:p>
            <w:pPr>
              <w:jc w:val="right"/>
              <w:ind w:right="660"/>
              <w:spacing w:after="0" w:line="148" w:lineRule="exact"/>
              <w:rPr>
                <w:sz w:val="20"/>
                <w:szCs w:val="20"/>
                <w:color w:val="auto"/>
              </w:rPr>
            </w:pPr>
            <w:r>
              <w:rPr>
                <w:rFonts w:ascii="Arial" w:cs="Arial" w:eastAsia="Arial" w:hAnsi="Arial"/>
                <w:sz w:val="14"/>
                <w:szCs w:val="14"/>
                <w:b w:val="1"/>
                <w:bCs w:val="1"/>
                <w:color w:val="auto"/>
                <w:w w:val="84"/>
              </w:rPr>
              <w:t>September 30, 2012</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gridSpan w:val="2"/>
          </w:tcPr>
          <w:p>
            <w:pPr>
              <w:jc w:val="center"/>
              <w:ind w:right="300"/>
              <w:spacing w:after="0" w:line="148" w:lineRule="exact"/>
              <w:rPr>
                <w:sz w:val="20"/>
                <w:szCs w:val="20"/>
                <w:color w:val="auto"/>
              </w:rPr>
            </w:pPr>
            <w:r>
              <w:rPr>
                <w:rFonts w:ascii="Arial" w:cs="Arial" w:eastAsia="Arial" w:hAnsi="Arial"/>
                <w:sz w:val="14"/>
                <w:szCs w:val="14"/>
                <w:b w:val="1"/>
                <w:bCs w:val="1"/>
                <w:color w:val="auto"/>
                <w:w w:val="86"/>
              </w:rPr>
              <w:t>September 30, 2011*</w:t>
            </w:r>
          </w:p>
        </w:tc>
        <w:tc>
          <w:tcPr>
            <w:tcW w:w="0" w:type="dxa"/>
            <w:vAlign w:val="bottom"/>
          </w:tcPr>
          <w:p>
            <w:pPr>
              <w:spacing w:after="0"/>
              <w:rPr>
                <w:sz w:val="1"/>
                <w:szCs w:val="1"/>
                <w:color w:val="auto"/>
              </w:rPr>
            </w:pPr>
          </w:p>
        </w:tc>
      </w:tr>
      <w:tr>
        <w:trPr>
          <w:trHeight w:val="203"/>
        </w:trPr>
        <w:tc>
          <w:tcPr>
            <w:tcW w:w="628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(decrease) in net assets resulting from operations</w:t>
            </w:r>
          </w:p>
        </w:tc>
        <w:tc>
          <w:tcPr>
            <w:tcW w:w="8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11,960,878</w:t>
            </w:r>
          </w:p>
        </w:tc>
        <w:tc>
          <w:tcPr>
            <w:tcW w:w="6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6"/>
              <w:spacing w:after="0" w:line="203" w:lineRule="exact"/>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(3,473,253)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80" w:type="dxa"/>
            <w:vAlign w:val="bottom"/>
            <w:gridSpan w:val="2"/>
          </w:tcPr>
          <w:p>
            <w:pPr>
              <w:spacing w:after="0"/>
              <w:rPr>
                <w:sz w:val="20"/>
                <w:szCs w:val="20"/>
                <w:color w:val="auto"/>
              </w:rPr>
            </w:pPr>
            <w:r>
              <w:rPr>
                <w:rFonts w:ascii="Arial" w:cs="Arial" w:eastAsia="Arial" w:hAnsi="Arial"/>
                <w:sz w:val="18"/>
                <w:szCs w:val="18"/>
                <w:color w:val="auto"/>
              </w:rPr>
              <w:t>Denominator for basic and diluted weighted average shares</w:t>
            </w: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2"/>
          </w:tcPr>
          <w:p>
            <w:pPr>
              <w:jc w:val="right"/>
              <w:ind w:right="660"/>
              <w:spacing w:after="0"/>
              <w:rPr>
                <w:sz w:val="20"/>
                <w:szCs w:val="20"/>
                <w:color w:val="auto"/>
              </w:rPr>
            </w:pPr>
            <w:r>
              <w:rPr>
                <w:rFonts w:ascii="Arial" w:cs="Arial" w:eastAsia="Arial" w:hAnsi="Arial"/>
                <w:sz w:val="18"/>
                <w:szCs w:val="18"/>
                <w:color w:val="auto"/>
              </w:rPr>
              <w:t>6,850,667</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6,826,105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Basic and diluted net increase (decrease) in net assets per share resulting from</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operations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1.75</w:t>
            </w:r>
          </w:p>
        </w:tc>
        <w:tc>
          <w:tcPr>
            <w:tcW w:w="840" w:type="dxa"/>
            <w:vAlign w:val="bottom"/>
            <w:gridSpan w:val="2"/>
            <w:shd w:val="clear" w:color="auto" w:fill="CCEEFF"/>
          </w:tcPr>
          <w:p>
            <w:pPr>
              <w:jc w:val="right"/>
              <w:ind w:right="26"/>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Weighted average shares is based on the initial public offering issuance date of April 13, 2011.</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Cash equivalents represent cash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September 30, 2012 and 2011, cash equivalents consisted of $3.8 million and $7.0 million, respectively, including amounts in money market funds.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TAXES AND DISTRIBUTIONS</w:t>
      </w:r>
    </w:p>
    <w:p>
      <w:pPr>
        <w:spacing w:after="0" w:line="96"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Dividends from net investment income and distributions from net realized capital gains are determined in accordance with U.S. federal tax regulations, which may materially differ from amounts determined in accordance with GAAP. These book-to-tax differences are either temporary or permanent in nature. To the extent these differences are permanent, they are reclassified to undistributed net investment income, accumulated net realized loss or paid-in-capital, as appropriate in the period that the difference arises.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460" w:right="2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40" w:right="2780"/>
        <w:spacing w:after="0" w:line="262"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SEPTEMBER 30, 2012</w:t>
      </w:r>
    </w:p>
    <w:p>
      <w:pPr>
        <w:spacing w:after="0" w:line="125"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As of September 30, 2012 and 2011, the cost of investments for federal income tax purposes was $171.6 million and $114.8 million, respectively, resulting in a gross unrealized appreciation of $3.6 million and $0.1 million, respectively, and depreciation of $3.3 million and $4.2 million, respectively.</w:t>
      </w:r>
    </w:p>
    <w:p>
      <w:pPr>
        <w:spacing w:after="0" w:line="8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following permanent differences were reclassified for tax purposes for the year ended September 30, 2012 and there were no reclassifications for the period March 4, 2011 (commencement of operations) to September 30, 2011:</w:t>
      </w:r>
    </w:p>
    <w:p>
      <w:pPr>
        <w:spacing w:after="0" w:line="156"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 Ended</w:t>
            </w:r>
          </w:p>
        </w:tc>
      </w:tr>
      <w:tr>
        <w:trPr>
          <w:trHeight w:val="149"/>
        </w:trPr>
        <w:tc>
          <w:tcPr>
            <w:tcW w:w="5080" w:type="dxa"/>
            <w:vAlign w:val="bottom"/>
          </w:tcPr>
          <w:p>
            <w:pPr>
              <w:spacing w:after="0"/>
              <w:rPr>
                <w:sz w:val="12"/>
                <w:szCs w:val="12"/>
                <w:color w:val="auto"/>
              </w:rPr>
            </w:pPr>
          </w:p>
        </w:tc>
        <w:tc>
          <w:tcPr>
            <w:tcW w:w="2680" w:type="dxa"/>
            <w:vAlign w:val="bottom"/>
            <w:gridSpan w:val="4"/>
          </w:tcPr>
          <w:p>
            <w:pPr>
              <w:ind w:left="1700"/>
              <w:spacing w:after="0" w:line="149" w:lineRule="exact"/>
              <w:rPr>
                <w:sz w:val="20"/>
                <w:szCs w:val="20"/>
                <w:color w:val="auto"/>
              </w:rPr>
            </w:pPr>
            <w:r>
              <w:rPr>
                <w:rFonts w:ascii="Arial" w:cs="Arial" w:eastAsia="Arial" w:hAnsi="Arial"/>
                <w:sz w:val="14"/>
                <w:szCs w:val="14"/>
                <w:b w:val="1"/>
                <w:bCs w:val="1"/>
                <w:color w:val="auto"/>
              </w:rPr>
              <w:t>September 30,</w:t>
            </w:r>
          </w:p>
        </w:tc>
      </w:tr>
      <w:tr>
        <w:trPr>
          <w:trHeight w:val="161"/>
        </w:trPr>
        <w:tc>
          <w:tcPr>
            <w:tcW w:w="5080" w:type="dxa"/>
            <w:vAlign w:val="bottom"/>
            <w:tcBorders>
              <w:bottom w:val="single" w:sz="8" w:color="CCEEFF"/>
            </w:tcBorders>
          </w:tcPr>
          <w:p>
            <w:pPr>
              <w:spacing w:after="0"/>
              <w:rPr>
                <w:sz w:val="14"/>
                <w:szCs w:val="14"/>
                <w:color w:val="auto"/>
              </w:rPr>
            </w:pPr>
          </w:p>
        </w:tc>
        <w:tc>
          <w:tcPr>
            <w:tcW w:w="17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4"/>
                <w:szCs w:val="14"/>
                <w:color w:val="auto"/>
              </w:rPr>
            </w:pPr>
          </w:p>
        </w:tc>
      </w:tr>
      <w:tr>
        <w:trPr>
          <w:trHeight w:val="210"/>
        </w:trPr>
        <w:tc>
          <w:tcPr>
            <w:tcW w:w="50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Decrease in paid-in capital</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20" w:type="dxa"/>
            <w:vAlign w:val="bottom"/>
            <w:shd w:val="clear" w:color="auto" w:fill="CCEEFF"/>
          </w:tcPr>
          <w:p>
            <w:pPr>
              <w:spacing w:after="0"/>
              <w:rPr>
                <w:sz w:val="18"/>
                <w:szCs w:val="18"/>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8"/>
                <w:szCs w:val="18"/>
                <w:color w:val="auto"/>
              </w:rPr>
              <w:t>Increase in undistributed net investment income</w:t>
            </w:r>
          </w:p>
        </w:tc>
        <w:tc>
          <w:tcPr>
            <w:tcW w:w="1780" w:type="dxa"/>
            <w:vAlign w:val="bottom"/>
            <w:gridSpan w:val="2"/>
          </w:tcPr>
          <w:p>
            <w:pPr>
              <w:ind w:left="170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3,952</w:t>
            </w:r>
          </w:p>
        </w:tc>
        <w:tc>
          <w:tcPr>
            <w:tcW w:w="120" w:type="dxa"/>
            <w:vAlign w:val="bottom"/>
          </w:tcPr>
          <w:p>
            <w:pPr>
              <w:spacing w:after="0"/>
              <w:rPr>
                <w:sz w:val="19"/>
                <w:szCs w:val="19"/>
                <w:color w:val="auto"/>
              </w:rPr>
            </w:pPr>
          </w:p>
        </w:tc>
      </w:tr>
    </w:tbl>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reconciles net increase in net assets resulting from operations to taxable income:</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March 4, 2011</w:t>
            </w:r>
          </w:p>
        </w:tc>
      </w:tr>
      <w:tr>
        <w:trPr>
          <w:trHeight w:val="149"/>
        </w:trPr>
        <w:tc>
          <w:tcPr>
            <w:tcW w:w="20" w:type="dxa"/>
            <w:vAlign w:val="bottom"/>
          </w:tcPr>
          <w:p>
            <w:pPr>
              <w:spacing w:after="0"/>
              <w:rPr>
                <w:sz w:val="12"/>
                <w:szCs w:val="12"/>
                <w:color w:val="auto"/>
              </w:rPr>
            </w:pPr>
          </w:p>
        </w:tc>
        <w:tc>
          <w:tcPr>
            <w:tcW w:w="50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w w:val="93"/>
              </w:rPr>
              <w:t>Year Ended</w:t>
            </w:r>
          </w:p>
        </w:tc>
        <w:tc>
          <w:tcPr>
            <w:tcW w:w="620" w:type="dxa"/>
            <w:vAlign w:val="bottom"/>
          </w:tcPr>
          <w:p>
            <w:pPr>
              <w:spacing w:after="0"/>
              <w:rPr>
                <w:sz w:val="12"/>
                <w:szCs w:val="12"/>
                <w:color w:val="auto"/>
              </w:rPr>
            </w:pPr>
          </w:p>
        </w:tc>
        <w:tc>
          <w:tcPr>
            <w:tcW w:w="20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(commencement of operations) to</w:t>
            </w:r>
          </w:p>
        </w:tc>
      </w:tr>
      <w:tr>
        <w:trPr>
          <w:trHeight w:val="161"/>
        </w:trPr>
        <w:tc>
          <w:tcPr>
            <w:tcW w:w="20" w:type="dxa"/>
            <w:vAlign w:val="bottom"/>
          </w:tcPr>
          <w:p>
            <w:pPr>
              <w:spacing w:after="0"/>
              <w:rPr>
                <w:sz w:val="14"/>
                <w:szCs w:val="14"/>
                <w:color w:val="auto"/>
              </w:rPr>
            </w:pPr>
          </w:p>
        </w:tc>
        <w:tc>
          <w:tcPr>
            <w:tcW w:w="5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September 30, 2011</w:t>
            </w:r>
          </w:p>
        </w:tc>
      </w:tr>
      <w:tr>
        <w:trPr>
          <w:trHeight w:val="210"/>
        </w:trPr>
        <w:tc>
          <w:tcPr>
            <w:tcW w:w="20" w:type="dxa"/>
            <w:vAlign w:val="bottom"/>
          </w:tcPr>
          <w:p>
            <w:pPr>
              <w:spacing w:after="0"/>
              <w:rPr>
                <w:sz w:val="18"/>
                <w:szCs w:val="18"/>
                <w:color w:val="auto"/>
              </w:rPr>
            </w:pPr>
          </w:p>
        </w:tc>
        <w:tc>
          <w:tcPr>
            <w:tcW w:w="506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Net increase in net assets resulting from operations</w:t>
            </w:r>
          </w:p>
        </w:tc>
        <w:tc>
          <w:tcPr>
            <w:tcW w:w="9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11,960,878</w:t>
            </w:r>
          </w:p>
        </w:tc>
        <w:tc>
          <w:tcPr>
            <w:tcW w:w="68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(3,473,253)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Net change in unrealized (depreciation) appreciation on</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60" w:type="dxa"/>
            <w:vAlign w:val="bottom"/>
          </w:tcPr>
          <w:p>
            <w:pPr>
              <w:ind w:left="200"/>
              <w:spacing w:after="0"/>
              <w:rPr>
                <w:sz w:val="20"/>
                <w:szCs w:val="20"/>
                <w:color w:val="auto"/>
              </w:rPr>
            </w:pPr>
            <w:r>
              <w:rPr>
                <w:rFonts w:ascii="Arial" w:cs="Arial" w:eastAsia="Arial" w:hAnsi="Arial"/>
                <w:sz w:val="18"/>
                <w:szCs w:val="18"/>
                <w:color w:val="auto"/>
              </w:rPr>
              <w:t>investments and Credit Facility transactions not taxable</w:t>
            </w: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gridSpan w:val="2"/>
          </w:tcPr>
          <w:p>
            <w:pPr>
              <w:jc w:val="right"/>
              <w:ind w:right="620"/>
              <w:spacing w:after="0"/>
              <w:rPr>
                <w:sz w:val="20"/>
                <w:szCs w:val="20"/>
                <w:color w:val="auto"/>
              </w:rPr>
            </w:pPr>
            <w:r>
              <w:rPr>
                <w:rFonts w:ascii="Arial" w:cs="Arial" w:eastAsia="Arial" w:hAnsi="Arial"/>
                <w:sz w:val="18"/>
                <w:szCs w:val="18"/>
                <w:color w:val="auto"/>
              </w:rPr>
              <w:t>(4,739,272)</w:t>
            </w: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4,105,380</w:t>
            </w:r>
          </w:p>
        </w:tc>
      </w:tr>
      <w:tr>
        <w:trPr>
          <w:trHeight w:val="218"/>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Other temporary book-to-tax differences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307,975</w:t>
            </w:r>
          </w:p>
        </w:tc>
        <w:tc>
          <w:tcPr>
            <w:tcW w:w="6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1,297,741</w:t>
            </w:r>
          </w:p>
        </w:tc>
      </w:tr>
      <w:tr>
        <w:trPr>
          <w:trHeight w:val="223"/>
        </w:trPr>
        <w:tc>
          <w:tcPr>
            <w:tcW w:w="20" w:type="dxa"/>
            <w:vAlign w:val="bottom"/>
          </w:tcPr>
          <w:p>
            <w:pPr>
              <w:spacing w:after="0"/>
              <w:rPr>
                <w:sz w:val="19"/>
                <w:szCs w:val="19"/>
                <w:color w:val="auto"/>
              </w:rPr>
            </w:pPr>
          </w:p>
        </w:tc>
        <w:tc>
          <w:tcPr>
            <w:tcW w:w="5060" w:type="dxa"/>
            <w:vAlign w:val="bottom"/>
          </w:tcPr>
          <w:p>
            <w:pPr>
              <w:spacing w:after="0"/>
              <w:rPr>
                <w:sz w:val="20"/>
                <w:szCs w:val="20"/>
                <w:color w:val="auto"/>
              </w:rPr>
            </w:pPr>
            <w:r>
              <w:rPr>
                <w:rFonts w:ascii="Arial" w:cs="Arial" w:eastAsia="Arial" w:hAnsi="Arial"/>
                <w:sz w:val="18"/>
                <w:szCs w:val="18"/>
                <w:color w:val="auto"/>
              </w:rPr>
              <w:t>Other non deductible expenses</w:t>
            </w:r>
          </w:p>
        </w:tc>
        <w:tc>
          <w:tcPr>
            <w:tcW w:w="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42,027</w:t>
            </w: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Taxable net income before deductions for distribution</w:t>
            </w:r>
          </w:p>
        </w:tc>
        <w:tc>
          <w:tcPr>
            <w:tcW w:w="110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7,571,608</w:t>
            </w:r>
          </w:p>
        </w:tc>
        <w:tc>
          <w:tcPr>
            <w:tcW w:w="6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1,929,868</w:t>
            </w: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components of accumulated surplus (deficit) on book basis and a reconciliation to accumulated surplus (deficit) on a tax basis are as follows: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5"/>
              </w:rPr>
              <w:t>As of</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79"/>
              </w:rPr>
              <w:t>As of</w:t>
            </w:r>
          </w:p>
        </w:tc>
        <w:tc>
          <w:tcPr>
            <w:tcW w:w="0" w:type="dxa"/>
            <w:vAlign w:val="bottom"/>
          </w:tcPr>
          <w:p>
            <w:pPr>
              <w:spacing w:after="0"/>
              <w:rPr>
                <w:sz w:val="1"/>
                <w:szCs w:val="1"/>
                <w:color w:val="auto"/>
              </w:rPr>
            </w:pPr>
          </w:p>
        </w:tc>
      </w:tr>
      <w:tr>
        <w:trPr>
          <w:trHeight w:val="149"/>
        </w:trPr>
        <w:tc>
          <w:tcPr>
            <w:tcW w:w="8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36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280" w:type="dxa"/>
            <w:vAlign w:val="bottom"/>
          </w:tcPr>
          <w:p>
            <w:pPr>
              <w:spacing w:after="0"/>
              <w:rPr>
                <w:sz w:val="12"/>
                <w:szCs w:val="12"/>
                <w:color w:val="auto"/>
              </w:rPr>
            </w:pPr>
          </w:p>
        </w:tc>
        <w:tc>
          <w:tcPr>
            <w:tcW w:w="9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September 30,</w:t>
            </w:r>
          </w:p>
        </w:tc>
        <w:tc>
          <w:tcPr>
            <w:tcW w:w="0" w:type="dxa"/>
            <w:vAlign w:val="bottom"/>
          </w:tcPr>
          <w:p>
            <w:pPr>
              <w:spacing w:after="0"/>
              <w:rPr>
                <w:sz w:val="1"/>
                <w:szCs w:val="1"/>
                <w:color w:val="auto"/>
              </w:rPr>
            </w:pPr>
          </w:p>
        </w:tc>
      </w:tr>
      <w:tr>
        <w:trPr>
          <w:trHeight w:val="161"/>
        </w:trPr>
        <w:tc>
          <w:tcPr>
            <w:tcW w:w="80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2011</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Undistributed ordinary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2,139,738</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696,748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40" w:type="dxa"/>
            <w:vAlign w:val="bottom"/>
          </w:tcPr>
          <w:p>
            <w:pPr>
              <w:spacing w:after="0"/>
              <w:rPr>
                <w:sz w:val="20"/>
                <w:szCs w:val="20"/>
                <w:color w:val="auto"/>
              </w:rPr>
            </w:pPr>
            <w:r>
              <w:rPr>
                <w:rFonts w:ascii="Arial" w:cs="Arial" w:eastAsia="Arial" w:hAnsi="Arial"/>
                <w:sz w:val="18"/>
                <w:szCs w:val="18"/>
                <w:color w:val="auto"/>
              </w:rPr>
              <w:t>Dividends payable and other temporary differences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w w:val="86"/>
              </w:rPr>
              <w:t>(2,228,826)</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(1,777,288)</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of investments and credit facility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633,891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(4,105,380)</w:t>
            </w:r>
          </w:p>
        </w:tc>
        <w:tc>
          <w:tcPr>
            <w:tcW w:w="0" w:type="dxa"/>
            <w:vAlign w:val="bottom"/>
          </w:tcPr>
          <w:p>
            <w:pPr>
              <w:spacing w:after="0"/>
              <w:rPr>
                <w:sz w:val="1"/>
                <w:szCs w:val="1"/>
                <w:color w:val="auto"/>
              </w:rPr>
            </w:pPr>
          </w:p>
        </w:tc>
      </w:tr>
      <w:tr>
        <w:trPr>
          <w:trHeight w:val="20"/>
        </w:trPr>
        <w:tc>
          <w:tcPr>
            <w:tcW w:w="8040" w:type="dxa"/>
            <w:vAlign w:val="bottom"/>
            <w:vMerge w:val="restart"/>
          </w:tcPr>
          <w:p>
            <w:pPr>
              <w:spacing w:after="0"/>
              <w:rPr>
                <w:sz w:val="20"/>
                <w:szCs w:val="20"/>
                <w:color w:val="auto"/>
              </w:rPr>
            </w:pPr>
            <w:r>
              <w:rPr>
                <w:rFonts w:ascii="Arial" w:cs="Arial" w:eastAsia="Arial" w:hAnsi="Arial"/>
                <w:sz w:val="18"/>
                <w:szCs w:val="18"/>
                <w:color w:val="auto"/>
              </w:rPr>
              <w:t>Total accumulated surplus (deficit)</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04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544,803</w:t>
            </w:r>
          </w:p>
        </w:tc>
        <w:tc>
          <w:tcPr>
            <w:tcW w:w="32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(5,185,920)</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accordance with Section 19(a) under the 1940 Act, $103,884 of the Company’s distributions paid to stockholders during the fiscal year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2012 represent a distribution of long-term realized capital gains. The tax characteristics of dividends accrued are as follows:</w:t>
      </w:r>
    </w:p>
    <w:p>
      <w:pPr>
        <w:spacing w:after="0" w:line="18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March 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380" w:type="dxa"/>
            <w:vAlign w:val="bottom"/>
            <w:gridSpan w:val="2"/>
          </w:tcPr>
          <w:p>
            <w:pPr>
              <w:jc w:val="right"/>
              <w:ind w:right="1620"/>
              <w:spacing w:after="0" w:line="149" w:lineRule="exact"/>
              <w:rPr>
                <w:sz w:val="20"/>
                <w:szCs w:val="20"/>
                <w:color w:val="auto"/>
              </w:rPr>
            </w:pPr>
            <w:r>
              <w:rPr>
                <w:rFonts w:ascii="Arial" w:cs="Arial" w:eastAsia="Arial" w:hAnsi="Arial"/>
                <w:sz w:val="14"/>
                <w:szCs w:val="14"/>
                <w:b w:val="1"/>
                <w:bCs w:val="1"/>
                <w:color w:val="auto"/>
                <w:w w:val="96"/>
              </w:rPr>
              <w:t>Year Ended</w:t>
            </w:r>
          </w:p>
        </w:tc>
        <w:tc>
          <w:tcPr>
            <w:tcW w:w="2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(commencement of 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5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54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2012</w:t>
            </w:r>
          </w:p>
        </w:tc>
        <w:tc>
          <w:tcPr>
            <w:tcW w:w="240" w:type="dxa"/>
            <w:vAlign w:val="bottom"/>
          </w:tcPr>
          <w:p>
            <w:pPr>
              <w:spacing w:after="0"/>
              <w:rPr>
                <w:sz w:val="14"/>
                <w:szCs w:val="14"/>
                <w:color w:val="auto"/>
              </w:rPr>
            </w:pPr>
          </w:p>
        </w:tc>
        <w:tc>
          <w:tcPr>
            <w:tcW w:w="17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September 30, 2011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00" w:type="dxa"/>
            <w:vAlign w:val="bottom"/>
            <w:tcBorders>
              <w:top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Ordinary income</w:t>
            </w:r>
          </w:p>
        </w:tc>
        <w:tc>
          <w:tcPr>
            <w:tcW w:w="24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6,130,222</w:t>
            </w:r>
          </w:p>
        </w:tc>
        <w:tc>
          <w:tcPr>
            <w:tcW w:w="14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1,712,667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Long-Term capital gain</w:t>
            </w:r>
          </w:p>
        </w:tc>
        <w:tc>
          <w:tcPr>
            <w:tcW w:w="2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2"/>
          </w:tcPr>
          <w:p>
            <w:pPr>
              <w:jc w:val="right"/>
              <w:ind w:right="1400"/>
              <w:spacing w:after="0"/>
              <w:rPr>
                <w:sz w:val="20"/>
                <w:szCs w:val="20"/>
                <w:color w:val="auto"/>
              </w:rPr>
            </w:pPr>
            <w:r>
              <w:rPr>
                <w:rFonts w:ascii="Arial" w:cs="Arial" w:eastAsia="Arial" w:hAnsi="Arial"/>
                <w:sz w:val="18"/>
                <w:szCs w:val="18"/>
                <w:color w:val="auto"/>
              </w:rPr>
              <w:t>103,884</w:t>
            </w:r>
          </w:p>
        </w:tc>
        <w:tc>
          <w:tcPr>
            <w:tcW w:w="240" w:type="dxa"/>
            <w:vAlign w:val="bottom"/>
          </w:tcPr>
          <w:p>
            <w:pPr>
              <w:spacing w:after="0"/>
              <w:rPr>
                <w:sz w:val="18"/>
                <w:szCs w:val="18"/>
                <w:color w:val="auto"/>
              </w:rPr>
            </w:pPr>
          </w:p>
        </w:tc>
        <w:tc>
          <w:tcPr>
            <w:tcW w:w="178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5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4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6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w:t>
            </w:r>
          </w:p>
        </w:tc>
        <w:tc>
          <w:tcPr>
            <w:tcW w:w="2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380" w:type="dxa"/>
            <w:vAlign w:val="bottom"/>
            <w:gridSpan w:val="2"/>
            <w:shd w:val="clear" w:color="auto" w:fill="CCEEFF"/>
          </w:tcPr>
          <w:p>
            <w:pPr>
              <w:jc w:val="right"/>
              <w:ind w:right="1400"/>
              <w:spacing w:after="0"/>
              <w:rPr>
                <w:sz w:val="20"/>
                <w:szCs w:val="20"/>
                <w:color w:val="auto"/>
              </w:rPr>
            </w:pPr>
            <w:r>
              <w:rPr>
                <w:rFonts w:ascii="Arial" w:cs="Arial" w:eastAsia="Arial" w:hAnsi="Arial"/>
                <w:sz w:val="18"/>
                <w:szCs w:val="18"/>
                <w:color w:val="auto"/>
              </w:rPr>
              <w:t>6,234,106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1,712,667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20" w:type="dxa"/>
            <w:vAlign w:val="bottom"/>
            <w:gridSpan w:val="2"/>
            <w:vMerge w:val="restart"/>
          </w:tcPr>
          <w:p>
            <w:pPr>
              <w:spacing w:after="0"/>
              <w:rPr>
                <w:sz w:val="20"/>
                <w:szCs w:val="20"/>
                <w:color w:val="auto"/>
              </w:rPr>
            </w:pPr>
            <w:r>
              <w:rPr>
                <w:rFonts w:ascii="Arial" w:cs="Arial" w:eastAsia="Arial" w:hAnsi="Arial"/>
                <w:sz w:val="18"/>
                <w:szCs w:val="18"/>
                <w:color w:val="auto"/>
              </w:rPr>
              <w:t>Total distributions per share</w:t>
            </w:r>
          </w:p>
        </w:tc>
        <w:tc>
          <w:tcPr>
            <w:tcW w:w="2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20" w:type="dxa"/>
            <w:vAlign w:val="bottom"/>
            <w:gridSpan w:val="2"/>
            <w:vMerge w:val="continue"/>
          </w:tcPr>
          <w:p>
            <w:pPr>
              <w:spacing w:after="0"/>
              <w:rPr>
                <w:sz w:val="18"/>
                <w:szCs w:val="18"/>
                <w:color w:val="auto"/>
              </w:rPr>
            </w:pPr>
          </w:p>
        </w:tc>
        <w:tc>
          <w:tcPr>
            <w:tcW w:w="2580" w:type="dxa"/>
            <w:vAlign w:val="bottom"/>
            <w:gridSpan w:val="2"/>
          </w:tcPr>
          <w:p>
            <w:pPr>
              <w:ind w:left="2420"/>
              <w:spacing w:after="0"/>
              <w:rPr>
                <w:sz w:val="20"/>
                <w:szCs w:val="20"/>
                <w:color w:val="auto"/>
              </w:rPr>
            </w:pPr>
            <w:r>
              <w:rPr>
                <w:rFonts w:ascii="Arial" w:cs="Arial" w:eastAsia="Arial" w:hAnsi="Arial"/>
                <w:sz w:val="18"/>
                <w:szCs w:val="18"/>
                <w:color w:val="auto"/>
              </w:rPr>
              <w:t>$</w:t>
            </w:r>
          </w:p>
        </w:tc>
        <w:tc>
          <w:tcPr>
            <w:tcW w:w="2380" w:type="dxa"/>
            <w:vAlign w:val="bottom"/>
            <w:gridSpan w:val="2"/>
          </w:tcPr>
          <w:p>
            <w:pPr>
              <w:jc w:val="right"/>
              <w:ind w:right="1400"/>
              <w:spacing w:after="0"/>
              <w:rPr>
                <w:sz w:val="20"/>
                <w:szCs w:val="20"/>
                <w:color w:val="auto"/>
              </w:rPr>
            </w:pPr>
            <w:r>
              <w:rPr>
                <w:rFonts w:ascii="Arial" w:cs="Arial" w:eastAsia="Arial" w:hAnsi="Arial"/>
                <w:sz w:val="18"/>
                <w:szCs w:val="18"/>
                <w:color w:val="auto"/>
              </w:rPr>
              <w:t>0.91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580" w:type="dxa"/>
            <w:vAlign w:val="bottom"/>
            <w:gridSpan w:val="2"/>
          </w:tcPr>
          <w:p>
            <w:pPr>
              <w:ind w:left="1560"/>
              <w:spacing w:after="0"/>
              <w:rPr>
                <w:sz w:val="20"/>
                <w:szCs w:val="20"/>
                <w:color w:val="auto"/>
              </w:rPr>
            </w:pPr>
            <w:r>
              <w:rPr>
                <w:rFonts w:ascii="Arial" w:cs="Arial" w:eastAsia="Arial" w:hAnsi="Arial"/>
                <w:sz w:val="18"/>
                <w:szCs w:val="18"/>
                <w:color w:val="auto"/>
              </w:rPr>
              <w:t>F-26</w:t>
            </w:r>
          </w:p>
        </w:tc>
        <w:tc>
          <w:tcPr>
            <w:tcW w:w="9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240" w:top="460" w:right="31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FINANCIAL HIGHLIGHTS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net assets and net asset value per share on September 30, 2012 and 2011 were $95.7 million and $13.98 per share and $92.1 million and $13.44 per share, respectively. Below are the financial highlights: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For the period from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90"/>
              </w:rPr>
              <w:t>March 04, 2011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(commencement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0" w:type="dxa"/>
            <w:vAlign w:val="bottom"/>
            <w:gridSpan w:val="2"/>
          </w:tcPr>
          <w:p>
            <w:pPr>
              <w:jc w:val="right"/>
              <w:ind w:right="1860"/>
              <w:spacing w:after="0" w:line="149" w:lineRule="exact"/>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2"/>
                <w:szCs w:val="12"/>
                <w:color w:val="auto"/>
              </w:rPr>
            </w:pPr>
          </w:p>
        </w:tc>
        <w:tc>
          <w:tcPr>
            <w:tcW w:w="126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w w:val="89"/>
              </w:rPr>
              <w:t>operations) to</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760" w:type="dxa"/>
            <w:vAlign w:val="bottom"/>
            <w:gridSpan w:val="3"/>
          </w:tcPr>
          <w:p>
            <w:pPr>
              <w:spacing w:after="0"/>
              <w:rPr>
                <w:sz w:val="20"/>
                <w:szCs w:val="20"/>
                <w:color w:val="auto"/>
              </w:rPr>
            </w:pPr>
            <w:r>
              <w:rPr>
                <w:rFonts w:ascii="Arial" w:cs="Arial" w:eastAsia="Arial" w:hAnsi="Arial"/>
                <w:sz w:val="14"/>
                <w:szCs w:val="14"/>
                <w:b w:val="1"/>
                <w:bCs w:val="1"/>
                <w:color w:val="auto"/>
              </w:rPr>
              <w:t>September 30, 2012</w:t>
            </w:r>
          </w:p>
        </w:tc>
        <w:tc>
          <w:tcPr>
            <w:tcW w:w="13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 2011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r>
              <w:rPr>
                <w:rFonts w:ascii="Arial" w:cs="Arial" w:eastAsia="Arial" w:hAnsi="Arial"/>
                <w:sz w:val="11"/>
                <w:szCs w:val="11"/>
                <w:b w:val="1"/>
                <w:bCs w:val="1"/>
                <w:color w:val="auto"/>
              </w:rPr>
              <w:t>(1)</w:t>
            </w:r>
            <w:r>
              <w:rPr>
                <w:rFonts w:ascii="Arial" w:cs="Arial" w:eastAsia="Arial" w:hAnsi="Arial"/>
                <w:sz w:val="18"/>
                <w:szCs w:val="18"/>
                <w:b w:val="1"/>
                <w:bCs w:val="1"/>
                <w:color w:val="auto"/>
              </w:rPr>
              <w:t>:</w:t>
            </w:r>
          </w:p>
        </w:tc>
        <w:tc>
          <w:tcPr>
            <w:tcW w:w="10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106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13.44</w:t>
            </w:r>
          </w:p>
        </w:tc>
        <w:tc>
          <w:tcPr>
            <w:tcW w:w="16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change in realized and unrealized gain (loss)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0.83</w:t>
            </w: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(2)</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2"/>
          </w:tcPr>
          <w:p>
            <w:pPr>
              <w:jc w:val="right"/>
              <w:ind w:right="1560"/>
              <w:spacing w:after="0"/>
              <w:rPr>
                <w:sz w:val="20"/>
                <w:szCs w:val="20"/>
                <w:color w:val="auto"/>
              </w:rPr>
            </w:pPr>
            <w:r>
              <w:rPr>
                <w:rFonts w:ascii="Arial" w:cs="Arial" w:eastAsia="Arial" w:hAnsi="Arial"/>
                <w:sz w:val="18"/>
                <w:szCs w:val="18"/>
                <w:color w:val="auto"/>
              </w:rPr>
              <w:t>(0.91)</w:t>
            </w:r>
          </w:p>
        </w:tc>
        <w:tc>
          <w:tcPr>
            <w:tcW w:w="10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Initial issuance of common stock</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7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Offering costs</w:t>
            </w: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2"/>
          </w:tcPr>
          <w:p>
            <w:pPr>
              <w:jc w:val="right"/>
              <w:ind w:right="1560"/>
              <w:spacing w:after="0"/>
              <w:rPr>
                <w:sz w:val="20"/>
                <w:szCs w:val="20"/>
                <w:color w:val="auto"/>
              </w:rPr>
            </w:pPr>
            <w:r>
              <w:rPr>
                <w:rFonts w:ascii="Arial" w:cs="Arial" w:eastAsia="Arial" w:hAnsi="Arial"/>
                <w:sz w:val="18"/>
                <w:szCs w:val="18"/>
                <w:color w:val="auto"/>
              </w:rPr>
              <w:t>(0.30)</w:t>
            </w:r>
          </w:p>
        </w:tc>
        <w:tc>
          <w:tcPr>
            <w:tcW w:w="100" w:type="dxa"/>
            <w:vAlign w:val="bottom"/>
          </w:tcPr>
          <w:p>
            <w:pPr>
              <w:spacing w:after="0"/>
              <w:rPr>
                <w:sz w:val="19"/>
                <w:szCs w:val="19"/>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end of period</w:t>
            </w:r>
          </w:p>
        </w:tc>
        <w:tc>
          <w:tcPr>
            <w:tcW w:w="10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13.98</w:t>
            </w:r>
          </w:p>
        </w:tc>
        <w:tc>
          <w:tcPr>
            <w:tcW w:w="16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40" w:type="dxa"/>
            <w:vAlign w:val="bottom"/>
            <w:gridSpan w:val="2"/>
          </w:tcPr>
          <w:p>
            <w:pPr>
              <w:spacing w:after="0"/>
              <w:rPr>
                <w:sz w:val="20"/>
                <w:szCs w:val="20"/>
                <w:color w:val="auto"/>
              </w:rPr>
            </w:pPr>
            <w:r>
              <w:rPr>
                <w:rFonts w:ascii="Arial" w:cs="Arial" w:eastAsia="Arial" w:hAnsi="Arial"/>
                <w:sz w:val="18"/>
                <w:szCs w:val="18"/>
                <w:color w:val="auto"/>
              </w:rPr>
              <w:t>Per share market value, end of period</w:t>
            </w:r>
          </w:p>
        </w:tc>
        <w:tc>
          <w:tcPr>
            <w:tcW w:w="12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1620"/>
              <w:spacing w:after="0"/>
              <w:rPr>
                <w:sz w:val="20"/>
                <w:szCs w:val="20"/>
                <w:color w:val="auto"/>
              </w:rPr>
            </w:pPr>
            <w:r>
              <w:rPr>
                <w:rFonts w:ascii="Arial" w:cs="Arial" w:eastAsia="Arial" w:hAnsi="Arial"/>
                <w:sz w:val="18"/>
                <w:szCs w:val="18"/>
                <w:color w:val="auto"/>
              </w:rPr>
              <w:t>12.67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10.55</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29.43%</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2"/>
          </w:tcPr>
          <w:p>
            <w:pPr>
              <w:jc w:val="right"/>
              <w:ind w:right="1620"/>
              <w:spacing w:after="0"/>
              <w:rPr>
                <w:sz w:val="20"/>
                <w:szCs w:val="20"/>
                <w:color w:val="auto"/>
              </w:rPr>
            </w:pPr>
            <w:r>
              <w:rPr>
                <w:rFonts w:ascii="Arial" w:cs="Arial" w:eastAsia="Arial" w:hAnsi="Arial"/>
                <w:sz w:val="18"/>
                <w:szCs w:val="18"/>
                <w:color w:val="auto"/>
              </w:rPr>
              <w:t>6,850,667</w:t>
            </w: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6,850,667</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 / Supplemental Data*:</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(4)</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2"/>
          </w:tcPr>
          <w:p>
            <w:pPr>
              <w:jc w:val="right"/>
              <w:ind w:right="1480"/>
              <w:spacing w:after="0"/>
              <w:rPr>
                <w:sz w:val="20"/>
                <w:szCs w:val="20"/>
                <w:color w:val="auto"/>
              </w:rPr>
            </w:pPr>
            <w:r>
              <w:rPr>
                <w:rFonts w:ascii="Arial" w:cs="Arial" w:eastAsia="Arial" w:hAnsi="Arial"/>
                <w:sz w:val="18"/>
                <w:szCs w:val="18"/>
                <w:color w:val="auto"/>
              </w:rPr>
              <w:t>4.20%</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Ratio of Credit Facility related interest and expenses to average net assets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Ratio of total expenses to average net assets</w:t>
            </w: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0" w:type="dxa"/>
            <w:vAlign w:val="bottom"/>
            <w:gridSpan w:val="2"/>
          </w:tcPr>
          <w:p>
            <w:pPr>
              <w:jc w:val="right"/>
              <w:ind w:right="1480"/>
              <w:spacing w:after="0"/>
              <w:rPr>
                <w:sz w:val="20"/>
                <w:szCs w:val="20"/>
                <w:color w:val="auto"/>
              </w:rPr>
            </w:pPr>
            <w:r>
              <w:rPr>
                <w:rFonts w:ascii="Arial" w:cs="Arial" w:eastAsia="Arial" w:hAnsi="Arial"/>
                <w:sz w:val="18"/>
                <w:szCs w:val="18"/>
                <w:color w:val="auto"/>
              </w:rPr>
              <w:t>6.09%</w:t>
            </w: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6.64%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12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1620"/>
              <w:spacing w:after="0"/>
              <w:rPr>
                <w:sz w:val="20"/>
                <w:szCs w:val="20"/>
                <w:color w:val="auto"/>
              </w:rPr>
            </w:pPr>
            <w:r>
              <w:rPr>
                <w:rFonts w:ascii="Arial" w:cs="Arial" w:eastAsia="Arial" w:hAnsi="Arial"/>
                <w:sz w:val="18"/>
                <w:szCs w:val="18"/>
                <w:color w:val="auto"/>
              </w:rPr>
              <w:t>95,743,877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92,072,105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Average debt outstanding</w:t>
            </w:r>
          </w:p>
        </w:tc>
        <w:tc>
          <w:tcPr>
            <w:tcW w:w="122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0" w:type="dxa"/>
            <w:vAlign w:val="bottom"/>
            <w:gridSpan w:val="2"/>
            <w:shd w:val="clear" w:color="auto" w:fill="CCEEFF"/>
          </w:tcPr>
          <w:p>
            <w:pPr>
              <w:jc w:val="right"/>
              <w:ind w:right="1620"/>
              <w:spacing w:after="0"/>
              <w:rPr>
                <w:sz w:val="20"/>
                <w:szCs w:val="20"/>
                <w:color w:val="auto"/>
              </w:rPr>
            </w:pPr>
            <w:r>
              <w:rPr>
                <w:rFonts w:ascii="Arial" w:cs="Arial" w:eastAsia="Arial" w:hAnsi="Arial"/>
                <w:sz w:val="18"/>
                <w:szCs w:val="18"/>
                <w:color w:val="auto"/>
              </w:rPr>
              <w:t>46,133,607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7,550,877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Pr>
          <w:p>
            <w:pPr>
              <w:spacing w:after="0"/>
              <w:rPr>
                <w:sz w:val="20"/>
                <w:szCs w:val="20"/>
                <w:color w:val="auto"/>
              </w:rPr>
            </w:pPr>
            <w:r>
              <w:rPr>
                <w:rFonts w:ascii="Arial" w:cs="Arial" w:eastAsia="Arial" w:hAnsi="Arial"/>
                <w:sz w:val="18"/>
                <w:szCs w:val="18"/>
                <w:color w:val="auto"/>
              </w:rPr>
              <w:t>Average debt per share</w:t>
            </w:r>
          </w:p>
        </w:tc>
        <w:tc>
          <w:tcPr>
            <w:tcW w:w="12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0" w:type="dxa"/>
            <w:vAlign w:val="bottom"/>
            <w:gridSpan w:val="2"/>
          </w:tcPr>
          <w:p>
            <w:pPr>
              <w:jc w:val="right"/>
              <w:ind w:right="162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1.11</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ratio</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1480"/>
              <w:spacing w:after="0"/>
              <w:rPr>
                <w:sz w:val="20"/>
                <w:szCs w:val="20"/>
                <w:color w:val="auto"/>
              </w:rPr>
            </w:pPr>
            <w:r>
              <w:rPr>
                <w:rFonts w:ascii="Arial" w:cs="Arial" w:eastAsia="Arial" w:hAnsi="Arial"/>
                <w:sz w:val="18"/>
                <w:szCs w:val="18"/>
                <w:color w:val="auto"/>
              </w:rPr>
              <w:t>50.80%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Not annualized for period less than a year.</w:t>
      </w:r>
    </w:p>
    <w:p>
      <w:pPr>
        <w:spacing w:after="0" w:line="15" w:lineRule="exact"/>
        <w:rPr>
          <w:sz w:val="20"/>
          <w:szCs w:val="20"/>
          <w:color w:val="auto"/>
        </w:rPr>
      </w:pP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the weighted average shares outstanding for the period except for net asset value.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Determined based on taxable income calculated in accordance with income tax regulations, which may differ from amounts determined under GAAP.</w:t>
      </w:r>
    </w:p>
    <w:p>
      <w:pPr>
        <w:spacing w:after="0" w:line="32"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Based on the change in market price per share during the period and takes into account dividends and distributions, if any, reinvested in accordance with our dividend reinvestment plan.</w:t>
      </w:r>
    </w:p>
    <w:p>
      <w:pPr>
        <w:ind w:left="460" w:hanging="452"/>
        <w:spacing w:after="0"/>
        <w:tabs>
          <w:tab w:leader="none" w:pos="4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Operating expenses exclude Credit Facility related costs.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CREDIT FACILITY</w:t>
      </w:r>
    </w:p>
    <w:p>
      <w:pPr>
        <w:spacing w:after="0" w:line="96"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May 2012, Funding I amended and restated its Credit Facility with affiliates of SunTrust Bank, or the Lender, to extend the maturity date to May 2017 and reinvestment period to May 2015 while increasing our investment flexibility under the Credit Facility. The Credit Facility allows Funding I to borrow up to $100.0 million and contains an accordion feature whereby the Credit Facility can be expanded to $600.0 million, subject to satisfaction of certain conditions and the regulatory restrictions that the 1940 Act imposes on us as a BDC. As of September 30, 2012 and September 30, 2011, Funding I had $75.5 million and $24.7 million of outstanding borrowings under the Credit Facility, and carried an interest rate of 2.47% and 2.53%, in each case excluding the 0.375% and 0.500% undrawn commitment fee, respectively.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459" w:right="2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2012</w:t>
      </w:r>
    </w:p>
    <w:p>
      <w:pPr>
        <w:spacing w:after="0" w:line="151"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During the three years beginning in May 2012, or the revolving period, the Credit Facility bears interest at LIBOR plus 225 basis points and, after the revolving period, the rate sets to LIBOR plus 425 basis points for the remaining two years, maturing in May 2017.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 (for example, fair value, as defined under ASC 820, is not permitted to be used for assets or liabilities for such compliance reporting).</w:t>
      </w:r>
    </w:p>
    <w:p>
      <w:pPr>
        <w:spacing w:after="0" w:line="144"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own 100% of the equity interest in Funding I and will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 As of September 30, 2012 and 2011, our asset coverage ratios were 227% and 474%, respectively.</w:t>
      </w:r>
    </w:p>
    <w:p>
      <w:pPr>
        <w:spacing w:after="0" w:line="143"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Our interest in Funding I (other than the management fees)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fees owing with respect to such services are to be paid to the Company so long as the Investment Adviser remains the collateral manager.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From time to time, PennantPark Floating Rate Capital Ltd.,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in first lien secured debt and subordinated debt investments.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459" w:right="2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PennantPark Floating Rate Capital Ltd. and its Subsidiary:</w:t>
      </w:r>
    </w:p>
    <w:p>
      <w:pPr>
        <w:spacing w:after="0" w:line="16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have reviewed the accompanying consolidated statement of assets and liabilities of PennantPark Floating Rate Capital Ltd. and its Subsidiary (the “Company”), including the consolidated schedule of investments, as of March 31, 2013 and the consolidated statements of operations for the three and six months ended March 31, 2013 and 2012, and the consolidated statements of changes in net assets, and cash flows for the six months ended March 31, 2013 and 2012. These consolidated financial statements are the responsibility of the Company’s management.</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We conducted our review in accordance with the standards of the Public Company Accounting Oversight Board (United States). A review of interim financial information consists principally of applying analytical procedures and making inquires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consolidated financial statements taken as a whole. Accordingly, we do not express such an opinion.</w:t>
      </w:r>
    </w:p>
    <w:p>
      <w:pPr>
        <w:spacing w:after="0" w:line="143"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Based on our review, we are not aware of any material modifications that should be made to the consolidated financial statements referred to above for them to be in conformity with U.S. generally accepted accounting principles.</w:t>
      </w:r>
    </w:p>
    <w:p>
      <w:pPr>
        <w:spacing w:after="0" w:line="132"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We have previously audited, in accordance with the standards of the Public Company Accounting Oversight Board (United States), the consolidated statement of assets and liabilities of PennantPark Floating Rate Capital Ltd. and its Subsidiary, including the consolidated schedule of investments, as of September 30, 2012 and the related consolidated statements of operations, changes in net assets, and cash flows for the year then ended (not presented herein); and in our report dated November 14, 2012, we expressed an unqualified opinion on those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102870</wp:posOffset>
            </wp:positionV>
            <wp:extent cx="720090" cy="2057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0090" cy="20574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May 9, 2013</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00"/>
          </w:cols>
          <w:pgMar w:left="240" w:top="460" w:right="2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14"/>
              <w:spacing w:after="0" w:line="149" w:lineRule="exact"/>
              <w:rPr>
                <w:sz w:val="20"/>
                <w:szCs w:val="20"/>
                <w:color w:val="auto"/>
              </w:rPr>
            </w:pPr>
            <w:r>
              <w:rPr>
                <w:rFonts w:ascii="Arial" w:cs="Arial" w:eastAsia="Arial" w:hAnsi="Arial"/>
                <w:sz w:val="14"/>
                <w:szCs w:val="14"/>
                <w:b w:val="1"/>
                <w:bCs w:val="1"/>
                <w:color w:val="auto"/>
                <w:w w:val="83"/>
              </w:rPr>
              <w:t>2013</w:t>
            </w:r>
          </w:p>
        </w:tc>
        <w:tc>
          <w:tcPr>
            <w:tcW w:w="340" w:type="dxa"/>
            <w:vAlign w:val="bottom"/>
          </w:tcPr>
          <w:p>
            <w:pPr>
              <w:spacing w:after="0"/>
              <w:rPr>
                <w:sz w:val="12"/>
                <w:szCs w:val="12"/>
                <w:color w:val="auto"/>
              </w:rPr>
            </w:pPr>
          </w:p>
        </w:tc>
        <w:tc>
          <w:tcPr>
            <w:tcW w:w="108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September 30,</w:t>
            </w:r>
          </w:p>
        </w:tc>
      </w:tr>
      <w:tr>
        <w:trPr>
          <w:trHeight w:val="161"/>
        </w:trPr>
        <w:tc>
          <w:tcPr>
            <w:tcW w:w="2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4"/>
                <w:szCs w:val="14"/>
                <w:color w:val="auto"/>
              </w:rPr>
            </w:pPr>
          </w:p>
        </w:tc>
        <w:tc>
          <w:tcPr>
            <w:tcW w:w="880" w:type="dxa"/>
            <w:vAlign w:val="bottom"/>
          </w:tcPr>
          <w:p>
            <w:pPr>
              <w:jc w:val="right"/>
              <w:ind w:right="27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69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Non-controlled, non-affiliated investments, at fair value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98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(cost—$183,536,973 and $171,578,009, respectively)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183,869,762</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171,834,400</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Cash equivalents (See Note 7)</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2,725,248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3,845,803</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1,231,099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1,388,867</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Receivable for investments sold</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986,278</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50,735</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311,313</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860"/>
              <w:spacing w:after="0"/>
              <w:rPr>
                <w:sz w:val="20"/>
                <w:szCs w:val="20"/>
                <w:color w:val="auto"/>
              </w:rPr>
            </w:pPr>
            <w:r>
              <w:rPr>
                <w:rFonts w:ascii="Arial" w:cs="Arial" w:eastAsia="Arial" w:hAnsi="Arial"/>
                <w:sz w:val="18"/>
                <w:szCs w:val="18"/>
                <w:b w:val="1"/>
                <w:bCs w:val="1"/>
                <w:color w:val="auto"/>
              </w:rPr>
              <w:t>Total assets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187,876,844</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85"/>
              </w:rPr>
              <w:t>178,366,661</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Distributions payable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599,476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548,053</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Payable for investments purchased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11,852,369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3,357,500</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2"/>
              </w:rPr>
              <w:t>Credit Facility payable (cost—$34,200,000 and $75,500,000, respectively) (See Notes 5 and 9)</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34,200,000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75,122,500</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 on Credit Facility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153,476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161,550</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Management fee payable (See Note 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456,637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424,747</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Performance-based incentive fee payable (See Note 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876,067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506,314</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Accrued other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859,334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447,120</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Accrued sales load charges (See Note 3)</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2,055,000</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860"/>
              <w:spacing w:after="0"/>
              <w:rPr>
                <w:sz w:val="20"/>
                <w:szCs w:val="20"/>
                <w:color w:val="auto"/>
              </w:rPr>
            </w:pPr>
            <w:r>
              <w:rPr>
                <w:rFonts w:ascii="Arial" w:cs="Arial" w:eastAsia="Arial" w:hAnsi="Arial"/>
                <w:sz w:val="18"/>
                <w:szCs w:val="18"/>
                <w:b w:val="1"/>
                <w:bCs w:val="1"/>
                <w:color w:val="auto"/>
              </w:rPr>
              <w:t>Total liabilities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48,997,359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82,622,784</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w w:val="96"/>
              </w:rPr>
              <w:t>Common stock, 9,851,151 and 6,850,667 shares are issued and outstanding, respectively.</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Par value $0.001 per share and 100,000,000 shares authorized</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6,851</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Paid-in capital in excess of par value</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5"/>
              </w:rPr>
              <w:t>136,796,167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95,192,222</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Distributions in excess of net investment income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9"/>
              </w:rPr>
              <w:t>(1,030,705)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(1,313,000)</w:t>
            </w: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Accumulated net realized gain on investments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2,771,383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1,223,913</w:t>
            </w: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332,789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256,391</w:t>
            </w:r>
          </w:p>
        </w:tc>
      </w:tr>
      <w:tr>
        <w:trPr>
          <w:trHeight w:val="223"/>
        </w:trPr>
        <w:tc>
          <w:tcPr>
            <w:tcW w:w="20" w:type="dxa"/>
            <w:vAlign w:val="bottom"/>
          </w:tcPr>
          <w:p>
            <w:pPr>
              <w:spacing w:after="0"/>
              <w:rPr>
                <w:sz w:val="19"/>
                <w:szCs w:val="19"/>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unrealized depreciation on Credit Facility</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ind w:left="860"/>
              <w:spacing w:after="0"/>
              <w:rPr>
                <w:sz w:val="20"/>
                <w:szCs w:val="20"/>
                <w:color w:val="auto"/>
              </w:rPr>
            </w:pPr>
            <w:r>
              <w:rPr>
                <w:rFonts w:ascii="Arial" w:cs="Arial" w:eastAsia="Arial" w:hAnsi="Arial"/>
                <w:sz w:val="18"/>
                <w:szCs w:val="18"/>
                <w:b w:val="1"/>
                <w:bCs w:val="1"/>
                <w:color w:val="auto"/>
              </w:rPr>
              <w:t>Total net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138,879,485</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95,743,877</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980" w:type="dxa"/>
            <w:vAlign w:val="bottom"/>
          </w:tcPr>
          <w:p>
            <w:pPr>
              <w:ind w:left="860"/>
              <w:spacing w:after="0"/>
              <w:rPr>
                <w:sz w:val="20"/>
                <w:szCs w:val="20"/>
                <w:color w:val="auto"/>
              </w:rPr>
            </w:pPr>
            <w:r>
              <w:rPr>
                <w:rFonts w:ascii="Arial" w:cs="Arial" w:eastAsia="Arial" w:hAnsi="Arial"/>
                <w:sz w:val="18"/>
                <w:szCs w:val="18"/>
                <w:b w:val="1"/>
                <w:bCs w:val="1"/>
                <w:color w:val="auto"/>
              </w:rPr>
              <w:t>Total liabilities and net assets</w:t>
            </w:r>
          </w:p>
        </w:tc>
        <w:tc>
          <w:tcPr>
            <w:tcW w:w="3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187,876,844</w:t>
            </w:r>
          </w:p>
        </w:tc>
        <w:tc>
          <w:tcPr>
            <w:tcW w:w="3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178,366,661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 value per share</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w:t>
            </w:r>
          </w:p>
        </w:tc>
      </w:tr>
      <w:tr>
        <w:trPr>
          <w:trHeight w:val="20"/>
        </w:trPr>
        <w:tc>
          <w:tcPr>
            <w:tcW w:w="2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0219"/>
          </w:cols>
          <w:pgMar w:left="240" w:top="460" w:right="1440"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8"/>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73"/>
              <w:spacing w:after="0" w:line="142" w:lineRule="exact"/>
              <w:rPr>
                <w:sz w:val="20"/>
                <w:szCs w:val="20"/>
                <w:color w:val="auto"/>
              </w:rPr>
            </w:pPr>
            <w:r>
              <w:rPr>
                <w:rFonts w:ascii="Arial" w:cs="Arial" w:eastAsia="Arial" w:hAnsi="Arial"/>
                <w:sz w:val="14"/>
                <w:szCs w:val="14"/>
                <w:b w:val="1"/>
                <w:bCs w:val="1"/>
                <w:color w:val="auto"/>
              </w:rPr>
              <w:t>2012</w:t>
            </w: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2013</w:t>
            </w:r>
          </w:p>
        </w:tc>
        <w:tc>
          <w:tcPr>
            <w:tcW w:w="3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0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Investment income:</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From non-controlled, non-affiliated investments:</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3,976,016</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2,824,557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7,614,243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5,267,364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Other income</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163,861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119,173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488,307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143,394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investment income</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4,139,877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2,943,730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8,102,550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5,410,758</w:t>
            </w:r>
          </w:p>
        </w:tc>
        <w:tc>
          <w:tcPr>
            <w:tcW w:w="0" w:type="dxa"/>
            <w:vAlign w:val="bottom"/>
          </w:tcPr>
          <w:p>
            <w:pPr>
              <w:spacing w:after="0"/>
              <w:rPr>
                <w:sz w:val="1"/>
                <w:szCs w:val="1"/>
                <w:color w:val="auto"/>
              </w:rPr>
            </w:pPr>
          </w:p>
        </w:tc>
      </w:tr>
      <w:tr>
        <w:trPr>
          <w:trHeight w:val="222"/>
        </w:trPr>
        <w:tc>
          <w:tcPr>
            <w:tcW w:w="7080" w:type="dxa"/>
            <w:vAlign w:val="bottom"/>
            <w:gridSpan w:val="2"/>
          </w:tcPr>
          <w:p>
            <w:pPr>
              <w:spacing w:after="0"/>
              <w:rPr>
                <w:sz w:val="20"/>
                <w:szCs w:val="20"/>
                <w:color w:val="auto"/>
              </w:rPr>
            </w:pPr>
            <w:r>
              <w:rPr>
                <w:rFonts w:ascii="Arial" w:cs="Arial" w:eastAsia="Arial" w:hAnsi="Arial"/>
                <w:sz w:val="18"/>
                <w:szCs w:val="18"/>
                <w:b w:val="1"/>
                <w:bCs w:val="1"/>
                <w:color w:val="auto"/>
              </w:rPr>
              <w:t>Expenses:</w:t>
            </w:r>
          </w:p>
        </w:tc>
        <w:tc>
          <w:tcPr>
            <w:tcW w:w="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Base management fee (See Note 3)</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456,637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370,352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915,623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686,197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Performance-based incentive fee (See Note 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563,191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175,740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980,220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175,740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and expenses on the Credit Facility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(See Note 9)</w:t>
            </w: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495,395</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342,496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966,463</w:t>
            </w: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Administrative services expenses (See Note 3)</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153,679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149,624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308,824</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general and administrative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271,709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360,618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639,209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719,587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Expenses before excise tax expense and amendment costs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0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1,940,611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1,398,830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3,810,339</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2,490,959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Excise tax</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33,341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Credit Facility amendment costs (See Note 9)</w:t>
            </w: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w:t>
            </w: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Total expenses</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2,473,952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1,398,830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4,377,752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2,490,959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investment income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06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1,665,925</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1,544,900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3,724,798</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2,919,799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 (loss) on investments and Credit Facility:</w:t>
            </w:r>
          </w:p>
        </w:tc>
        <w:tc>
          <w:tcPr>
            <w:tcW w:w="8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spacing w:after="0"/>
              <w:rPr>
                <w:sz w:val="20"/>
                <w:szCs w:val="20"/>
                <w:color w:val="auto"/>
              </w:rPr>
            </w:pPr>
            <w:r>
              <w:rPr>
                <w:rFonts w:ascii="Arial" w:cs="Arial" w:eastAsia="Arial" w:hAnsi="Arial"/>
                <w:sz w:val="18"/>
                <w:szCs w:val="18"/>
                <w:color w:val="auto"/>
              </w:rPr>
              <w:t>Net realized gain on non-controlled, non-affiliated investments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1,104,627</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95,712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1,547,470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405,887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appreciation (depreciation) on:</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color w:val="auto"/>
              </w:rPr>
              <w:t>Non-controlled, non-affiliated investments</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435,183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2,996,463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76,398</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4,065,554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Credit Facility (appreciation) depreciation (See Note 5)</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(112,000)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5"/>
              </w:rPr>
              <w:t>(377,500)</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tcPr>
          <w:p>
            <w:pPr>
              <w:ind w:left="420"/>
              <w:spacing w:after="0"/>
              <w:rPr>
                <w:sz w:val="20"/>
                <w:szCs w:val="20"/>
                <w:color w:val="auto"/>
              </w:rPr>
            </w:pPr>
            <w:r>
              <w:rPr>
                <w:rFonts w:ascii="Arial" w:cs="Arial" w:eastAsia="Arial" w:hAnsi="Arial"/>
                <w:sz w:val="18"/>
                <w:szCs w:val="18"/>
                <w:b w:val="1"/>
                <w:bCs w:val="1"/>
                <w:color w:val="auto"/>
                <w:w w:val="97"/>
              </w:rPr>
              <w:t>Net change in unrealized appreciation (depreciation) on investments and Credit</w:t>
            </w:r>
          </w:p>
        </w:tc>
        <w:tc>
          <w:tcPr>
            <w:tcW w:w="8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060" w:type="dxa"/>
            <w:vAlign w:val="bottom"/>
          </w:tcPr>
          <w:p>
            <w:pPr>
              <w:ind w:left="640"/>
              <w:spacing w:after="0"/>
              <w:rPr>
                <w:sz w:val="20"/>
                <w:szCs w:val="20"/>
                <w:color w:val="auto"/>
              </w:rPr>
            </w:pPr>
            <w:r>
              <w:rPr>
                <w:rFonts w:ascii="Arial" w:cs="Arial" w:eastAsia="Arial" w:hAnsi="Arial"/>
                <w:sz w:val="18"/>
                <w:szCs w:val="18"/>
                <w:b w:val="1"/>
                <w:bCs w:val="1"/>
                <w:color w:val="auto"/>
              </w:rPr>
              <w:t>Facility</w:t>
            </w: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435,183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2,884,463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w w:val="95"/>
              </w:rPr>
              <w:t>(301,102)</w:t>
            </w:r>
          </w:p>
        </w:tc>
        <w:tc>
          <w:tcPr>
            <w:tcW w:w="10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4,304,554</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 from investments and Credit Facility</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1,539,810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4"/>
              </w:rPr>
              <w:t>2,980,175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1,246,368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4,710,441</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3,205,735</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w w:val="84"/>
              </w:rPr>
              <w:t>4,525,075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87"/>
              </w:rPr>
              <w:t>4,971,166</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7,630,240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5"/>
              </w:rPr>
              <w:t>Basic—Net increase in net assets resulting from operations per common share (See Note 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Basic—Net investment income per common share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0.54</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w w:val="94"/>
              </w:rPr>
              <w:t>Diluted—Net increase in net assets resulting from operations per common share (See Note 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0.66</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Diluted—Net investment income per common share</w:t>
            </w: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0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0.24</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0.23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0.53</w:t>
            </w: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460" w:right="23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rPr>
              <w:t>March 31,</w:t>
            </w:r>
          </w:p>
        </w:tc>
        <w:tc>
          <w:tcPr>
            <w:tcW w:w="8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40" w:type="dxa"/>
            <w:vAlign w:val="bottom"/>
            <w:tcBorders>
              <w:bottom w:val="single" w:sz="8" w:color="CCEEFF"/>
            </w:tcBorders>
          </w:tcPr>
          <w:p>
            <w:pPr>
              <w:spacing w:after="0"/>
              <w:rPr>
                <w:sz w:val="12"/>
                <w:szCs w:val="12"/>
                <w:color w:val="auto"/>
              </w:rPr>
            </w:pPr>
          </w:p>
        </w:tc>
        <w:tc>
          <w:tcPr>
            <w:tcW w:w="17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76"/>
              <w:spacing w:after="0" w:line="142" w:lineRule="exact"/>
              <w:rPr>
                <w:sz w:val="20"/>
                <w:szCs w:val="20"/>
                <w:color w:val="auto"/>
              </w:rPr>
            </w:pPr>
            <w:r>
              <w:rPr>
                <w:rFonts w:ascii="Arial" w:cs="Arial" w:eastAsia="Arial" w:hAnsi="Arial"/>
                <w:sz w:val="14"/>
                <w:szCs w:val="14"/>
                <w:b w:val="1"/>
                <w:bCs w:val="1"/>
                <w:color w:val="auto"/>
              </w:rPr>
              <w:t>2013</w:t>
            </w:r>
          </w:p>
        </w:tc>
        <w:tc>
          <w:tcPr>
            <w:tcW w:w="26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increase in net assets from operations:</w:t>
            </w: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investment income</w:t>
            </w: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3,724,798</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2,919,799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realized gain on investments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1,547,470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405,887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Net change in unrealized appreciation on investments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76,398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4,065,554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(377,500)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Net increase in net assets resulting from operations</w:t>
            </w: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7140" w:type="dxa"/>
            <w:vAlign w:val="bottom"/>
            <w:vMerge w:val="continue"/>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4,971,166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7,630,240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Distributions to stockholders:</w:t>
            </w:r>
          </w:p>
        </w:tc>
        <w:tc>
          <w:tcPr>
            <w:tcW w:w="1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Distributions</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(3,442,503)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(2,980,040)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transactions:</w:t>
            </w:r>
          </w:p>
        </w:tc>
        <w:tc>
          <w:tcPr>
            <w:tcW w:w="17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Public offering and distributions reinvested</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42,006,945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Offering costs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Net increase in net assets</w:t>
            </w: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160" w:type="dxa"/>
            <w:vAlign w:val="bottom"/>
            <w:gridSpan w:val="2"/>
            <w:vMerge w:val="continue"/>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43,135,608</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4,650,200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assets: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Beginning of period</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w w:val="97"/>
              </w:rPr>
              <w:t>95,743,877</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92,072,105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End of period</w:t>
            </w:r>
          </w:p>
        </w:tc>
        <w:tc>
          <w:tcPr>
            <w:tcW w:w="1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7"/>
              </w:rPr>
              <w:t>138,879,485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96,722,305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vMerge w:val="restart"/>
          </w:tcPr>
          <w:p>
            <w:pPr>
              <w:ind w:left="420"/>
              <w:spacing w:after="0"/>
              <w:rPr>
                <w:sz w:val="20"/>
                <w:szCs w:val="20"/>
                <w:color w:val="auto"/>
              </w:rPr>
            </w:pPr>
            <w:r>
              <w:rPr>
                <w:rFonts w:ascii="Arial" w:cs="Arial" w:eastAsia="Arial" w:hAnsi="Arial"/>
                <w:sz w:val="18"/>
                <w:szCs w:val="18"/>
                <w:color w:val="auto"/>
              </w:rPr>
              <w:t>Distributions in excess of net investment income, end of period</w:t>
            </w: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7140" w:type="dxa"/>
            <w:vAlign w:val="bottom"/>
            <w:vMerge w:val="continue"/>
          </w:tcPr>
          <w:p>
            <w:pPr>
              <w:spacing w:after="0"/>
              <w:rPr>
                <w:sz w:val="18"/>
                <w:szCs w:val="18"/>
                <w:color w:val="auto"/>
              </w:rPr>
            </w:pPr>
          </w:p>
        </w:tc>
        <w:tc>
          <w:tcPr>
            <w:tcW w:w="18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(1,030,705)</w:t>
            </w:r>
          </w:p>
        </w:tc>
        <w:tc>
          <w:tcPr>
            <w:tcW w:w="3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(1,452,769)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activity:</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tcPr>
          <w:p>
            <w:pPr>
              <w:ind w:left="420"/>
              <w:spacing w:after="0"/>
              <w:rPr>
                <w:sz w:val="20"/>
                <w:szCs w:val="20"/>
                <w:color w:val="auto"/>
              </w:rPr>
            </w:pPr>
            <w:r>
              <w:rPr>
                <w:rFonts w:ascii="Arial" w:cs="Arial" w:eastAsia="Arial" w:hAnsi="Arial"/>
                <w:sz w:val="18"/>
                <w:szCs w:val="18"/>
                <w:color w:val="auto"/>
              </w:rPr>
              <w:t>Shares issued from public offering</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8"/>
                <w:szCs w:val="18"/>
                <w:color w:val="auto"/>
              </w:rPr>
              <w:t>3,000,000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14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Shares issued from reinvestment of dividends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460" w:right="2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1"/>
        </w:trPr>
        <w:tc>
          <w:tcPr>
            <w:tcW w:w="8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March 31,</w:t>
            </w: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7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440"/>
              <w:spacing w:after="0"/>
              <w:rPr>
                <w:sz w:val="20"/>
                <w:szCs w:val="20"/>
                <w:color w:val="auto"/>
              </w:rPr>
            </w:pPr>
            <w:r>
              <w:rPr>
                <w:rFonts w:ascii="Arial" w:cs="Arial" w:eastAsia="Arial" w:hAnsi="Arial"/>
                <w:sz w:val="18"/>
                <w:szCs w:val="18"/>
                <w:color w:val="auto"/>
              </w:rPr>
              <w:t>Net increase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4,971,166</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7,630,240</w:t>
            </w:r>
          </w:p>
        </w:tc>
        <w:tc>
          <w:tcPr>
            <w:tcW w:w="0" w:type="dxa"/>
            <w:vAlign w:val="bottom"/>
          </w:tcPr>
          <w:p>
            <w:pPr>
              <w:spacing w:after="0"/>
              <w:rPr>
                <w:sz w:val="1"/>
                <w:szCs w:val="1"/>
                <w:color w:val="auto"/>
              </w:rPr>
            </w:pPr>
          </w:p>
        </w:tc>
      </w:tr>
      <w:tr>
        <w:trPr>
          <w:trHeight w:val="208"/>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Adjustments to reconcile net increase in net assets resulting from operations to net cash provided by (used for)</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87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activities:</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Net change in unrealized appreciation on investments</w:t>
            </w:r>
          </w:p>
        </w:tc>
        <w:tc>
          <w:tcPr>
            <w:tcW w:w="100" w:type="dxa"/>
            <w:vAlign w:val="bottom"/>
          </w:tcPr>
          <w:p>
            <w:pPr>
              <w:spacing w:after="0"/>
              <w:rPr>
                <w:sz w:val="18"/>
                <w:szCs w:val="18"/>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8"/>
                <w:szCs w:val="18"/>
                <w:color w:val="auto"/>
              </w:rPr>
              <w:t>(76,398)</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(4,065,554)</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change in unrealized appreciation (depreciation) on Credit Facility</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377,500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Net realized gain on investments</w:t>
            </w:r>
          </w:p>
        </w:tc>
        <w:tc>
          <w:tcPr>
            <w:tcW w:w="100" w:type="dxa"/>
            <w:vAlign w:val="bottom"/>
          </w:tcPr>
          <w:p>
            <w:pPr>
              <w:spacing w:after="0"/>
              <w:rPr>
                <w:sz w:val="18"/>
                <w:szCs w:val="18"/>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8"/>
                <w:szCs w:val="18"/>
                <w:color w:val="auto"/>
                <w:w w:val="95"/>
              </w:rPr>
              <w:t>(1,547,470)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(405,887)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Net accretion of discount and amortization of premium</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(565,957)</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(333,296)</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Purchase of investments</w:t>
            </w:r>
          </w:p>
        </w:tc>
        <w:tc>
          <w:tcPr>
            <w:tcW w:w="100" w:type="dxa"/>
            <w:vAlign w:val="bottom"/>
          </w:tcPr>
          <w:p>
            <w:pPr>
              <w:spacing w:after="0"/>
              <w:rPr>
                <w:sz w:val="18"/>
                <w:szCs w:val="18"/>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8"/>
                <w:szCs w:val="18"/>
                <w:color w:val="auto"/>
                <w:w w:val="86"/>
              </w:rPr>
              <w:t>(83,971,182)</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(72,216,125)</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Payments-in-kind interest</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(101,480)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(47,292)</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Proceeds from dispositions of investments</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0"/>
              </w:rPr>
              <w:t>74,227,125</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41,604,263</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receivable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157,768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(353,235)</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Decrease in receivables for investments sold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986,278</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2,467,500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 prepaid expenses and other assets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260,578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112,632</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Increase in payables for investments purchased</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8,494,869</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1,788,630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(Decrease) increase in interest payable on Credit Facility</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rPr>
              <w:t>(8,074)</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192,249</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Increase in management fee payable</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31,890</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103,920</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Increase in performance-based incentive fee payable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369,753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175,740</w:t>
            </w:r>
          </w:p>
        </w:tc>
        <w:tc>
          <w:tcPr>
            <w:tcW w:w="0" w:type="dxa"/>
            <w:vAlign w:val="bottom"/>
          </w:tcPr>
          <w:p>
            <w:pPr>
              <w:spacing w:after="0"/>
              <w:rPr>
                <w:sz w:val="1"/>
                <w:szCs w:val="1"/>
                <w:color w:val="auto"/>
              </w:rPr>
            </w:pPr>
          </w:p>
        </w:tc>
      </w:tr>
      <w:tr>
        <w:trPr>
          <w:trHeight w:val="223"/>
        </w:trPr>
        <w:tc>
          <w:tcPr>
            <w:tcW w:w="8760" w:type="dxa"/>
            <w:vAlign w:val="bottom"/>
          </w:tcPr>
          <w:p>
            <w:pPr>
              <w:ind w:left="880"/>
              <w:spacing w:after="0"/>
              <w:rPr>
                <w:sz w:val="20"/>
                <w:szCs w:val="20"/>
                <w:color w:val="auto"/>
              </w:rPr>
            </w:pPr>
            <w:r>
              <w:rPr>
                <w:rFonts w:ascii="Arial" w:cs="Arial" w:eastAsia="Arial" w:hAnsi="Arial"/>
                <w:sz w:val="18"/>
                <w:szCs w:val="18"/>
                <w:color w:val="auto"/>
              </w:rPr>
              <w:t>Increase in accrued other expenses</w:t>
            </w: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412,214</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242,912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provided by (used for) operating activities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4,018,580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(23,342,303)</w:t>
            </w:r>
          </w:p>
        </w:tc>
        <w:tc>
          <w:tcPr>
            <w:tcW w:w="0" w:type="dxa"/>
            <w:vAlign w:val="bottom"/>
          </w:tcPr>
          <w:p>
            <w:pPr>
              <w:spacing w:after="0"/>
              <w:rPr>
                <w:sz w:val="1"/>
                <w:szCs w:val="1"/>
                <w:color w:val="auto"/>
              </w:rPr>
            </w:pPr>
          </w:p>
        </w:tc>
      </w:tr>
      <w:tr>
        <w:trPr>
          <w:trHeight w:val="222"/>
        </w:trPr>
        <w:tc>
          <w:tcPr>
            <w:tcW w:w="87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Public offering</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42,000,000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Offering costs</w:t>
            </w:r>
          </w:p>
        </w:tc>
        <w:tc>
          <w:tcPr>
            <w:tcW w:w="100" w:type="dxa"/>
            <w:vAlign w:val="bottom"/>
          </w:tcPr>
          <w:p>
            <w:pPr>
              <w:spacing w:after="0"/>
              <w:rPr>
                <w:sz w:val="18"/>
                <w:szCs w:val="18"/>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Deferred sales load paid</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95"/>
              </w:rPr>
              <w:t>(2,055,000)</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Distributions paid to stockholders</w:t>
            </w:r>
          </w:p>
        </w:tc>
        <w:tc>
          <w:tcPr>
            <w:tcW w:w="100" w:type="dxa"/>
            <w:vAlign w:val="bottom"/>
          </w:tcPr>
          <w:p>
            <w:pPr>
              <w:spacing w:after="0"/>
              <w:rPr>
                <w:sz w:val="18"/>
                <w:szCs w:val="18"/>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8"/>
                <w:szCs w:val="18"/>
                <w:color w:val="auto"/>
                <w:w w:val="95"/>
              </w:rPr>
              <w:t>(3,384,135)</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(2,945,787)</w:t>
            </w: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Borrowings under Credit Facility (See Notes 5 and 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45,250,000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54,050,000</w:t>
            </w:r>
          </w:p>
        </w:tc>
        <w:tc>
          <w:tcPr>
            <w:tcW w:w="0" w:type="dxa"/>
            <w:vAlign w:val="bottom"/>
          </w:tcPr>
          <w:p>
            <w:pPr>
              <w:spacing w:after="0"/>
              <w:rPr>
                <w:sz w:val="1"/>
                <w:szCs w:val="1"/>
                <w:color w:val="auto"/>
              </w:rPr>
            </w:pPr>
          </w:p>
        </w:tc>
      </w:tr>
      <w:tr>
        <w:trPr>
          <w:trHeight w:val="216"/>
        </w:trPr>
        <w:tc>
          <w:tcPr>
            <w:tcW w:w="8760" w:type="dxa"/>
            <w:vAlign w:val="bottom"/>
          </w:tcPr>
          <w:p>
            <w:pPr>
              <w:ind w:left="880"/>
              <w:spacing w:after="0"/>
              <w:rPr>
                <w:sz w:val="20"/>
                <w:szCs w:val="20"/>
                <w:color w:val="auto"/>
              </w:rPr>
            </w:pPr>
            <w:r>
              <w:rPr>
                <w:rFonts w:ascii="Arial" w:cs="Arial" w:eastAsia="Arial" w:hAnsi="Arial"/>
                <w:sz w:val="18"/>
                <w:szCs w:val="18"/>
                <w:color w:val="auto"/>
              </w:rPr>
              <w:t>Repayments under Credit Facility (See Notes 5 and 9)</w:t>
            </w:r>
          </w:p>
        </w:tc>
        <w:tc>
          <w:tcPr>
            <w:tcW w:w="100" w:type="dxa"/>
            <w:vAlign w:val="bottom"/>
          </w:tcPr>
          <w:p>
            <w:pPr>
              <w:spacing w:after="0"/>
              <w:rPr>
                <w:sz w:val="18"/>
                <w:szCs w:val="18"/>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8"/>
                <w:szCs w:val="18"/>
                <w:color w:val="auto"/>
                <w:w w:val="86"/>
              </w:rPr>
              <w:t>(86,550,000)</w:t>
            </w:r>
          </w:p>
        </w:tc>
        <w:tc>
          <w:tcPr>
            <w:tcW w:w="10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88"/>
              </w:rPr>
              <w:t>(30,900,000)</w:t>
            </w:r>
          </w:p>
        </w:tc>
        <w:tc>
          <w:tcPr>
            <w:tcW w:w="0" w:type="dxa"/>
            <w:vAlign w:val="bottom"/>
          </w:tcPr>
          <w:p>
            <w:pPr>
              <w:spacing w:after="0"/>
              <w:rPr>
                <w:sz w:val="1"/>
                <w:szCs w:val="1"/>
                <w:color w:val="auto"/>
              </w:rPr>
            </w:pPr>
          </w:p>
        </w:tc>
      </w:tr>
      <w:tr>
        <w:trPr>
          <w:trHeight w:val="27"/>
        </w:trPr>
        <w:tc>
          <w:tcPr>
            <w:tcW w:w="8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76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Net cash (used for) provided by financing activities</w:t>
            </w: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532"/>
              <w:spacing w:after="0"/>
              <w:rPr>
                <w:sz w:val="20"/>
                <w:szCs w:val="20"/>
                <w:color w:val="auto"/>
              </w:rPr>
            </w:pPr>
            <w:r>
              <w:rPr>
                <w:rFonts w:ascii="Arial" w:cs="Arial" w:eastAsia="Arial" w:hAnsi="Arial"/>
                <w:sz w:val="18"/>
                <w:szCs w:val="18"/>
                <w:color w:val="auto"/>
                <w:w w:val="95"/>
              </w:rPr>
              <w:t>(5,139,135)</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20,204,213</w:t>
            </w:r>
          </w:p>
        </w:tc>
        <w:tc>
          <w:tcPr>
            <w:tcW w:w="0" w:type="dxa"/>
            <w:vAlign w:val="bottom"/>
          </w:tcPr>
          <w:p>
            <w:pPr>
              <w:spacing w:after="0"/>
              <w:rPr>
                <w:sz w:val="1"/>
                <w:szCs w:val="1"/>
                <w:color w:val="auto"/>
              </w:rPr>
            </w:pPr>
          </w:p>
        </w:tc>
      </w:tr>
      <w:tr>
        <w:trPr>
          <w:trHeight w:val="20"/>
        </w:trPr>
        <w:tc>
          <w:tcPr>
            <w:tcW w:w="8760" w:type="dxa"/>
            <w:vAlign w:val="bottom"/>
            <w:vMerge w:val="restart"/>
          </w:tcPr>
          <w:p>
            <w:pPr>
              <w:spacing w:after="0"/>
              <w:rPr>
                <w:sz w:val="20"/>
                <w:szCs w:val="20"/>
                <w:color w:val="auto"/>
              </w:rPr>
            </w:pPr>
            <w:r>
              <w:rPr>
                <w:rFonts w:ascii="Arial" w:cs="Arial" w:eastAsia="Arial" w:hAnsi="Arial"/>
                <w:sz w:val="18"/>
                <w:szCs w:val="18"/>
                <w:b w:val="1"/>
                <w:bCs w:val="1"/>
                <w:color w:val="auto"/>
              </w:rPr>
              <w:t>Net decrease in cash equivalents</w:t>
            </w: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00" w:type="dxa"/>
            <w:vAlign w:val="bottom"/>
            <w:gridSpan w:val="2"/>
          </w:tcPr>
          <w:p>
            <w:pPr>
              <w:jc w:val="right"/>
              <w:ind w:right="532"/>
              <w:spacing w:after="0"/>
              <w:rPr>
                <w:sz w:val="20"/>
                <w:szCs w:val="20"/>
                <w:color w:val="auto"/>
              </w:rPr>
            </w:pPr>
            <w:r>
              <w:rPr>
                <w:rFonts w:ascii="Arial" w:cs="Arial" w:eastAsia="Arial" w:hAnsi="Arial"/>
                <w:sz w:val="18"/>
                <w:szCs w:val="18"/>
                <w:color w:val="auto"/>
                <w:w w:val="95"/>
              </w:rPr>
              <w:t>(1,120,555)</w:t>
            </w:r>
          </w:p>
        </w:tc>
        <w:tc>
          <w:tcPr>
            <w:tcW w:w="100" w:type="dxa"/>
            <w:vAlign w:val="bottom"/>
          </w:tcPr>
          <w:p>
            <w:pPr>
              <w:spacing w:after="0"/>
              <w:rPr>
                <w:sz w:val="19"/>
                <w:szCs w:val="19"/>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(3,138,090)</w:t>
            </w:r>
          </w:p>
        </w:tc>
        <w:tc>
          <w:tcPr>
            <w:tcW w:w="0" w:type="dxa"/>
            <w:vAlign w:val="bottom"/>
          </w:tcPr>
          <w:p>
            <w:pPr>
              <w:spacing w:after="0"/>
              <w:rPr>
                <w:sz w:val="1"/>
                <w:szCs w:val="1"/>
                <w:color w:val="auto"/>
              </w:rPr>
            </w:pPr>
          </w:p>
        </w:tc>
      </w:tr>
      <w:tr>
        <w:trPr>
          <w:trHeight w:val="218"/>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equivalents, beginning of period</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3,845,803</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6,987,450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60" w:type="dxa"/>
            <w:vAlign w:val="bottom"/>
          </w:tcPr>
          <w:p>
            <w:pPr>
              <w:spacing w:after="0"/>
              <w:rPr>
                <w:sz w:val="20"/>
                <w:szCs w:val="20"/>
                <w:color w:val="auto"/>
              </w:rPr>
            </w:pPr>
            <w:r>
              <w:rPr>
                <w:rFonts w:ascii="Arial" w:cs="Arial" w:eastAsia="Arial" w:hAnsi="Arial"/>
                <w:sz w:val="18"/>
                <w:szCs w:val="18"/>
                <w:b w:val="1"/>
                <w:bCs w:val="1"/>
                <w:color w:val="auto"/>
              </w:rPr>
              <w:t>Cash equivalents, end of period</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2,725,248</w:t>
            </w:r>
          </w:p>
        </w:tc>
        <w:tc>
          <w:tcPr>
            <w:tcW w:w="6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3,849,360</w:t>
            </w:r>
          </w:p>
        </w:tc>
        <w:tc>
          <w:tcPr>
            <w:tcW w:w="0" w:type="dxa"/>
            <w:vAlign w:val="bottom"/>
          </w:tcPr>
          <w:p>
            <w:pPr>
              <w:spacing w:after="0"/>
              <w:rPr>
                <w:sz w:val="1"/>
                <w:szCs w:val="1"/>
                <w:color w:val="auto"/>
              </w:rPr>
            </w:pPr>
          </w:p>
        </w:tc>
      </w:tr>
      <w:tr>
        <w:trPr>
          <w:trHeight w:val="20"/>
        </w:trPr>
        <w:tc>
          <w:tcPr>
            <w:tcW w:w="8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760" w:type="dxa"/>
            <w:vAlign w:val="bottom"/>
          </w:tcPr>
          <w:p>
            <w:pPr>
              <w:ind w:left="440"/>
              <w:spacing w:after="0"/>
              <w:rPr>
                <w:sz w:val="20"/>
                <w:szCs w:val="20"/>
                <w:color w:val="auto"/>
              </w:rPr>
            </w:pPr>
            <w:r>
              <w:rPr>
                <w:rFonts w:ascii="Arial" w:cs="Arial" w:eastAsia="Arial" w:hAnsi="Arial"/>
                <w:sz w:val="18"/>
                <w:szCs w:val="18"/>
                <w:color w:val="auto"/>
              </w:rPr>
              <w:t>Interest paid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974,538</w:t>
            </w:r>
          </w:p>
        </w:tc>
        <w:tc>
          <w:tcPr>
            <w:tcW w:w="6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Excise taxes paid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79,140</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760" w:type="dxa"/>
            <w:vAlign w:val="bottom"/>
          </w:tcPr>
          <w:p>
            <w:pPr>
              <w:ind w:left="440"/>
              <w:spacing w:after="0"/>
              <w:rPr>
                <w:sz w:val="20"/>
                <w:szCs w:val="20"/>
                <w:color w:val="auto"/>
              </w:rPr>
            </w:pPr>
            <w:r>
              <w:rPr>
                <w:rFonts w:ascii="Arial" w:cs="Arial" w:eastAsia="Arial" w:hAnsi="Arial"/>
                <w:sz w:val="18"/>
                <w:szCs w:val="18"/>
                <w:color w:val="auto"/>
              </w:rPr>
              <w:t>Dividend reinvested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6,945</w:t>
            </w:r>
          </w:p>
        </w:tc>
        <w:tc>
          <w:tcPr>
            <w:tcW w:w="6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420"/>
          </w:cols>
          <w:pgMar w:left="240" w:top="459" w:right="2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3"/>
              </w:rPr>
              <w:t>Basis Point</w:t>
            </w: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Spread</w:t>
            </w: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60" w:type="dxa"/>
            <w:vAlign w:val="bottom"/>
            <w:gridSpan w:val="2"/>
          </w:tcPr>
          <w:p>
            <w:pPr>
              <w:jc w:val="right"/>
              <w:ind w:right="400"/>
              <w:spacing w:after="0" w:line="135" w:lineRule="exact"/>
              <w:rPr>
                <w:sz w:val="20"/>
                <w:szCs w:val="20"/>
                <w:color w:val="auto"/>
              </w:rPr>
            </w:pPr>
            <w:r>
              <w:rPr>
                <w:rFonts w:ascii="Arial" w:cs="Arial" w:eastAsia="Arial" w:hAnsi="Arial"/>
                <w:sz w:val="14"/>
                <w:szCs w:val="14"/>
                <w:b w:val="1"/>
                <w:bCs w:val="1"/>
                <w:color w:val="auto"/>
                <w:w w:val="86"/>
              </w:rPr>
              <w:t>Current</w:t>
            </w:r>
          </w:p>
        </w:tc>
        <w:tc>
          <w:tcPr>
            <w:tcW w:w="82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Above</w:t>
            </w:r>
          </w:p>
        </w:tc>
        <w:tc>
          <w:tcPr>
            <w:tcW w:w="580" w:type="dxa"/>
            <w:vAlign w:val="bottom"/>
          </w:tcPr>
          <w:p>
            <w:pPr>
              <w:jc w:val="right"/>
              <w:ind w:right="72"/>
              <w:spacing w:after="0" w:line="135" w:lineRule="exact"/>
              <w:rPr>
                <w:sz w:val="20"/>
                <w:szCs w:val="20"/>
                <w:color w:val="auto"/>
              </w:rPr>
            </w:pPr>
            <w:r>
              <w:rPr>
                <w:rFonts w:ascii="Arial" w:cs="Arial" w:eastAsia="Arial" w:hAnsi="Arial"/>
                <w:sz w:val="14"/>
                <w:szCs w:val="14"/>
                <w:b w:val="1"/>
                <w:bCs w:val="1"/>
                <w:color w:val="auto"/>
              </w:rPr>
              <w:t>Par /</w:t>
            </w: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2"/>
          </w:tcPr>
          <w:p>
            <w:pPr>
              <w:jc w:val="center"/>
              <w:ind w:right="60"/>
              <w:spacing w:after="0" w:line="13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2"/>
        </w:trPr>
        <w:tc>
          <w:tcPr>
            <w:tcW w:w="41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620" w:type="dxa"/>
            <w:vAlign w:val="bottom"/>
          </w:tcPr>
          <w:p>
            <w:pPr>
              <w:jc w:val="center"/>
              <w:spacing w:after="0"/>
              <w:rPr>
                <w:sz w:val="20"/>
                <w:szCs w:val="20"/>
                <w:color w:val="auto"/>
              </w:rPr>
            </w:pPr>
            <w:r>
              <w:rPr>
                <w:rFonts w:ascii="Arial" w:cs="Arial" w:eastAsia="Arial" w:hAnsi="Arial"/>
                <w:sz w:val="14"/>
                <w:szCs w:val="14"/>
                <w:b w:val="1"/>
                <w:bCs w:val="1"/>
                <w:color w:val="auto"/>
                <w:w w:val="95"/>
              </w:rPr>
              <w:t>Maturity</w:t>
            </w:r>
          </w:p>
        </w:tc>
        <w:tc>
          <w:tcPr>
            <w:tcW w:w="1120" w:type="dxa"/>
            <w:vAlign w:val="bottom"/>
          </w:tcPr>
          <w:p>
            <w:pPr>
              <w:spacing w:after="0"/>
              <w:rPr>
                <w:sz w:val="15"/>
                <w:szCs w:val="15"/>
                <w:color w:val="auto"/>
              </w:rPr>
            </w:pPr>
          </w:p>
        </w:tc>
        <w:tc>
          <w:tcPr>
            <w:tcW w:w="1660" w:type="dxa"/>
            <w:vAlign w:val="bottom"/>
            <w:gridSpan w:val="2"/>
          </w:tcPr>
          <w:p>
            <w:pPr>
              <w:jc w:val="center"/>
              <w:ind w:right="1120"/>
              <w:spacing w:after="0"/>
              <w:rPr>
                <w:sz w:val="20"/>
                <w:szCs w:val="20"/>
                <w:color w:val="auto"/>
              </w:rPr>
            </w:pPr>
            <w:r>
              <w:rPr>
                <w:rFonts w:ascii="Arial" w:cs="Arial" w:eastAsia="Arial" w:hAnsi="Arial"/>
                <w:sz w:val="14"/>
                <w:szCs w:val="14"/>
                <w:b w:val="1"/>
                <w:bCs w:val="1"/>
                <w:color w:val="auto"/>
                <w:w w:val="90"/>
              </w:rPr>
              <w:t>Industry</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820" w:type="dxa"/>
            <w:vAlign w:val="bottom"/>
            <w:gridSpan w:val="2"/>
          </w:tcPr>
          <w:p>
            <w:pPr>
              <w:jc w:val="center"/>
              <w:ind w:right="160"/>
              <w:spacing w:after="0" w:line="162" w:lineRule="exact"/>
              <w:rPr>
                <w:sz w:val="20"/>
                <w:szCs w:val="20"/>
                <w:color w:val="auto"/>
              </w:rPr>
            </w:pPr>
            <w:r>
              <w:rPr>
                <w:rFonts w:ascii="Arial" w:cs="Arial" w:eastAsia="Arial" w:hAnsi="Arial"/>
                <w:sz w:val="12"/>
                <w:szCs w:val="12"/>
                <w:b w:val="1"/>
                <w:bCs w:val="1"/>
                <w:color w:val="auto"/>
                <w:w w:val="99"/>
              </w:rPr>
              <w:t>Index</w:t>
            </w:r>
            <w:r>
              <w:rPr>
                <w:rFonts w:ascii="Arial" w:cs="Arial" w:eastAsia="Arial" w:hAnsi="Arial"/>
                <w:sz w:val="18"/>
                <w:szCs w:val="18"/>
                <w:b w:val="1"/>
                <w:bCs w:val="1"/>
                <w:color w:val="auto"/>
                <w:w w:val="99"/>
                <w:vertAlign w:val="superscript"/>
              </w:rPr>
              <w:t>(1)</w:t>
            </w:r>
          </w:p>
        </w:tc>
        <w:tc>
          <w:tcPr>
            <w:tcW w:w="580" w:type="dxa"/>
            <w:vAlign w:val="bottom"/>
          </w:tcPr>
          <w:p>
            <w:pPr>
              <w:jc w:val="right"/>
              <w:ind w:right="32"/>
              <w:spacing w:after="0"/>
              <w:rPr>
                <w:sz w:val="20"/>
                <w:szCs w:val="20"/>
                <w:color w:val="auto"/>
              </w:rPr>
            </w:pPr>
            <w:r>
              <w:rPr>
                <w:rFonts w:ascii="Arial" w:cs="Arial" w:eastAsia="Arial" w:hAnsi="Arial"/>
                <w:sz w:val="14"/>
                <w:szCs w:val="14"/>
                <w:b w:val="1"/>
                <w:bCs w:val="1"/>
                <w:color w:val="auto"/>
                <w:w w:val="98"/>
              </w:rPr>
              <w:t>Shares</w:t>
            </w:r>
          </w:p>
        </w:tc>
        <w:tc>
          <w:tcPr>
            <w:tcW w:w="88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5"/>
                <w:szCs w:val="15"/>
                <w:color w:val="auto"/>
              </w:rPr>
            </w:pPr>
          </w:p>
        </w:tc>
        <w:tc>
          <w:tcPr>
            <w:tcW w:w="680" w:type="dxa"/>
            <w:vAlign w:val="bottom"/>
            <w:gridSpan w:val="2"/>
          </w:tcPr>
          <w:p>
            <w:pPr>
              <w:jc w:val="center"/>
              <w:ind w:right="60"/>
              <w:spacing w:after="0" w:line="162" w:lineRule="exact"/>
              <w:rPr>
                <w:sz w:val="20"/>
                <w:szCs w:val="20"/>
                <w:color w:val="auto"/>
              </w:rPr>
            </w:pPr>
            <w:r>
              <w:rPr>
                <w:rFonts w:ascii="Arial" w:cs="Arial" w:eastAsia="Arial" w:hAnsi="Arial"/>
                <w:sz w:val="12"/>
                <w:szCs w:val="12"/>
                <w:b w:val="1"/>
                <w:bCs w:val="1"/>
                <w:color w:val="auto"/>
                <w:w w:val="98"/>
              </w:rPr>
              <w:t>Value</w:t>
            </w:r>
            <w:r>
              <w:rPr>
                <w:rFonts w:ascii="Arial" w:cs="Arial" w:eastAsia="Arial" w:hAnsi="Arial"/>
                <w:sz w:val="18"/>
                <w:szCs w:val="18"/>
                <w:b w:val="1"/>
                <w:bCs w:val="1"/>
                <w:color w:val="auto"/>
                <w:w w:val="98"/>
                <w:vertAlign w:val="superscript"/>
              </w:rPr>
              <w:t>(2)</w:t>
            </w:r>
          </w:p>
        </w:tc>
        <w:tc>
          <w:tcPr>
            <w:tcW w:w="0" w:type="dxa"/>
            <w:vAlign w:val="bottom"/>
          </w:tcPr>
          <w:p>
            <w:pPr>
              <w:spacing w:after="0"/>
              <w:rPr>
                <w:sz w:val="1"/>
                <w:szCs w:val="1"/>
                <w:color w:val="auto"/>
              </w:rPr>
            </w:pPr>
          </w:p>
        </w:tc>
      </w:tr>
      <w:tr>
        <w:trPr>
          <w:trHeight w:val="41"/>
        </w:trPr>
        <w:tc>
          <w:tcPr>
            <w:tcW w:w="20" w:type="dxa"/>
            <w:vAlign w:val="bottom"/>
            <w:vMerge w:val="restart"/>
          </w:tcPr>
          <w:p>
            <w:pPr>
              <w:spacing w:after="0"/>
              <w:rPr>
                <w:sz w:val="3"/>
                <w:szCs w:val="3"/>
                <w:color w:val="auto"/>
              </w:rPr>
            </w:pPr>
          </w:p>
        </w:tc>
        <w:tc>
          <w:tcPr>
            <w:tcW w:w="740" w:type="dxa"/>
            <w:vAlign w:val="bottom"/>
            <w:tcBorders>
              <w:top w:val="single" w:sz="8" w:color="auto"/>
            </w:tcBorders>
          </w:tcPr>
          <w:p>
            <w:pPr>
              <w:spacing w:after="0"/>
              <w:rPr>
                <w:sz w:val="3"/>
                <w:szCs w:val="3"/>
                <w:color w:val="auto"/>
              </w:rPr>
            </w:pPr>
          </w:p>
        </w:tc>
        <w:tc>
          <w:tcPr>
            <w:tcW w:w="336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Borders>
              <w:top w:val="single" w:sz="8" w:color="auto"/>
            </w:tcBorders>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Borders>
              <w:top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top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4720" w:type="dxa"/>
            <w:vAlign w:val="bottom"/>
            <w:gridSpan w:val="3"/>
            <w:shd w:val="clear" w:color="auto" w:fill="CCEEFF"/>
          </w:tcPr>
          <w:p>
            <w:pPr>
              <w:spacing w:after="0" w:line="122" w:lineRule="exact"/>
              <w:rPr>
                <w:sz w:val="20"/>
                <w:szCs w:val="20"/>
                <w:color w:val="auto"/>
              </w:rPr>
            </w:pPr>
            <w:r>
              <w:rPr>
                <w:rFonts w:ascii="Arial" w:cs="Arial" w:eastAsia="Arial" w:hAnsi="Arial"/>
                <w:sz w:val="10"/>
                <w:szCs w:val="10"/>
                <w:b w:val="1"/>
                <w:bCs w:val="1"/>
                <w:color w:val="auto"/>
              </w:rPr>
              <w:t>Investments in Non-Controlled, Non-Affiliated Portfolio Companies—132.4%</w:t>
            </w:r>
            <w:r>
              <w:rPr>
                <w:rFonts w:ascii="Arial" w:cs="Arial" w:eastAsia="Arial" w:hAnsi="Arial"/>
                <w:sz w:val="14"/>
                <w:szCs w:val="14"/>
                <w:b w:val="1"/>
                <w:bCs w:val="1"/>
                <w:color w:val="auto"/>
                <w:vertAlign w:val="superscript"/>
              </w:rPr>
              <w:t>(3),</w:t>
            </w:r>
          </w:p>
        </w:tc>
        <w:tc>
          <w:tcPr>
            <w:tcW w:w="1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shd w:val="clear" w:color="auto" w:fill="CCEEFF"/>
          </w:tcPr>
          <w:p>
            <w:pPr>
              <w:ind w:left="200"/>
              <w:spacing w:after="0"/>
              <w:rPr>
                <w:sz w:val="20"/>
                <w:szCs w:val="20"/>
                <w:color w:val="auto"/>
              </w:rPr>
            </w:pPr>
            <w:r>
              <w:rPr>
                <w:rFonts w:ascii="Arial" w:cs="Arial" w:eastAsia="Arial" w:hAnsi="Arial"/>
                <w:sz w:val="11"/>
                <w:szCs w:val="11"/>
                <w:b w:val="1"/>
                <w:bCs w:val="1"/>
                <w:color w:val="auto"/>
              </w:rPr>
              <w:t>(4)</w:t>
            </w:r>
          </w:p>
        </w:tc>
        <w:tc>
          <w:tcPr>
            <w:tcW w:w="3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Debt—115.0%</w:t>
            </w: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ALG USA Holdings,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02/28/2019</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8,500,000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$8,429,233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$8,415,000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ARC Auto Group,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11/15/2018</w:t>
            </w:r>
          </w:p>
        </w:tc>
        <w:tc>
          <w:tcPr>
            <w:tcW w:w="27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2,543,625</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2,519,876</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2,563,763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Aspen Dental Management, Inc.</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10/06/2016</w:t>
            </w:r>
          </w:p>
        </w:tc>
        <w:tc>
          <w:tcPr>
            <w:tcW w:w="27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Consumer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2,962,500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2,930,850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2,836,594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ATI Holdings, Inc.</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12/21/2019</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5.75%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L+450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2,992,500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2,963,147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3,033,647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Attachmate Corporation</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11/22/2017</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2,831,250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2,784,237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2,854,843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Autoparts Holdings Limited</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07/31/2017</w:t>
            </w:r>
          </w:p>
        </w:tc>
        <w:tc>
          <w:tcPr>
            <w:tcW w:w="27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964,483</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960,942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976,137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BBB Industries,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03/27/2019</w:t>
            </w:r>
          </w:p>
        </w:tc>
        <w:tc>
          <w:tcPr>
            <w:tcW w:w="27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L+425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2,975,000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Berlin Packaging L.L.C.</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03/28/2019</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L+350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1,990,000</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1,990,000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03/19/2018</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L+575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3,714,375</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3,658,259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3,658,659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Document Technologies,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12/03/2018</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L+425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980,988</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973,177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976,083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DS Waters of America,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08/29/2017</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10.50%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L+900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3,960,000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3,892,574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4,059,000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EAG,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07/28/2017</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P+350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925,363</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921,835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923,050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Edmenturn, Inc. (f/k/a Archipelago Learning, Inc.)</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05/17/2018</w:t>
            </w:r>
          </w:p>
        </w:tc>
        <w:tc>
          <w:tcPr>
            <w:tcW w:w="2780" w:type="dxa"/>
            <w:vAlign w:val="bottom"/>
            <w:gridSpan w:val="3"/>
            <w:shd w:val="clear" w:color="auto" w:fill="CCEEFF"/>
          </w:tcPr>
          <w:p>
            <w:pPr>
              <w:jc w:val="center"/>
              <w:ind w:right="20"/>
              <w:spacing w:after="0"/>
              <w:rPr>
                <w:sz w:val="20"/>
                <w:szCs w:val="20"/>
                <w:color w:val="auto"/>
              </w:rPr>
            </w:pPr>
            <w:r>
              <w:rPr>
                <w:rFonts w:ascii="Arial" w:cs="Arial" w:eastAsia="Arial" w:hAnsi="Arial"/>
                <w:sz w:val="14"/>
                <w:szCs w:val="14"/>
                <w:color w:val="auto"/>
                <w:w w:val="88"/>
              </w:rPr>
              <w:t>Media: Broadcasting and Subscription</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6.00%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L+475</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962,813</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962,812</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966,423</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EIG Investors Corp.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11/12/2019</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L+500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1,995,000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1,976,242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2,004,975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05/18/2018</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2,482,496</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2,463,517</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2,494,909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eResearchtechnology,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05/02/2018</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L+475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2,985,019</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2,970,201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3,014,869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Fishnet Security,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11/30/2017</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High Tech Industries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7.75%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L+650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2,992,500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2,963,909</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2,992,500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GFA Brands,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07/02/2018</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1,940,000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1,905,699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1,961,825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Graton Economic Development Authority</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09/02/2019</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9.63%</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3,000,000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3,360,000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GSE Environmental, Inc.</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05/27/2016</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Environmental Industries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2,949,343</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2,940,257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2,934,596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04/01/2019</w:t>
            </w:r>
          </w:p>
        </w:tc>
        <w:tc>
          <w:tcPr>
            <w:tcW w:w="1120" w:type="dxa"/>
            <w:vAlign w:val="bottom"/>
            <w:shd w:val="clear" w:color="auto" w:fill="CCEEFF"/>
          </w:tcPr>
          <w:p>
            <w:pPr>
              <w:spacing w:after="0"/>
              <w:rPr>
                <w:sz w:val="12"/>
                <w:szCs w:val="12"/>
                <w:color w:val="auto"/>
              </w:rPr>
            </w:pPr>
          </w:p>
        </w:tc>
        <w:tc>
          <w:tcPr>
            <w:tcW w:w="1660" w:type="dxa"/>
            <w:vAlign w:val="bottom"/>
            <w:gridSpan w:val="2"/>
            <w:shd w:val="clear" w:color="auto" w:fill="CCEEFF"/>
          </w:tcPr>
          <w:p>
            <w:pPr>
              <w:jc w:val="center"/>
              <w:ind w:right="1140"/>
              <w:spacing w:after="0" w:line="149" w:lineRule="exact"/>
              <w:rPr>
                <w:sz w:val="20"/>
                <w:szCs w:val="20"/>
                <w:color w:val="auto"/>
              </w:rPr>
            </w:pPr>
            <w:r>
              <w:rPr>
                <w:rFonts w:ascii="Arial" w:cs="Arial" w:eastAsia="Arial" w:hAnsi="Arial"/>
                <w:sz w:val="14"/>
                <w:szCs w:val="14"/>
                <w:color w:val="auto"/>
                <w:w w:val="89"/>
              </w:rPr>
              <w:t>Retail</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7.25%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L+600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2,970,000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2,918,581</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2,992,275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Howard Berger Co. LLC</w:t>
            </w:r>
            <w:r>
              <w:rPr>
                <w:rFonts w:ascii="Arial" w:cs="Arial" w:eastAsia="Arial" w:hAnsi="Arial"/>
                <w:sz w:val="17"/>
                <w:szCs w:val="17"/>
                <w:color w:val="auto"/>
                <w:vertAlign w:val="superscript"/>
              </w:rPr>
              <w:t>(8)</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08/03/2017</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Wholesale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2,729,375</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2,694,461</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2,702,081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03/30/2017</w:t>
            </w:r>
          </w:p>
        </w:tc>
        <w:tc>
          <w:tcPr>
            <w:tcW w:w="27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11.50%</w:t>
            </w:r>
          </w:p>
        </w:tc>
        <w:tc>
          <w:tcPr>
            <w:tcW w:w="8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2,000,000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1,966,362</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2,200,000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Ikaria Acqusition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06/22/2016</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L+650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1,691,500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1,683,717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1,708,415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InfuSystem Holdings,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11/30/2016</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11.99%</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P+625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2,175,000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2,175,000</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2,229,812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08/07/2014</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9"/>
              </w:rPr>
              <w:t>Media: Advertising, Printing and Publishing</w:t>
            </w:r>
          </w:p>
        </w:tc>
        <w:tc>
          <w:tcPr>
            <w:tcW w:w="860" w:type="dxa"/>
            <w:vAlign w:val="bottom"/>
            <w:gridSpan w:val="2"/>
          </w:tcPr>
          <w:p>
            <w:pPr>
              <w:jc w:val="right"/>
              <w:ind w:right="140"/>
              <w:spacing w:after="0" w:line="149" w:lineRule="exact"/>
              <w:rPr>
                <w:sz w:val="20"/>
                <w:szCs w:val="20"/>
                <w:color w:val="auto"/>
              </w:rPr>
            </w:pPr>
            <w:r>
              <w:rPr>
                <w:rFonts w:ascii="Arial" w:cs="Arial" w:eastAsia="Arial" w:hAnsi="Arial"/>
                <w:sz w:val="11"/>
                <w:szCs w:val="11"/>
                <w:color w:val="auto"/>
              </w:rPr>
              <w:t>3.58%</w:t>
            </w:r>
            <w:r>
              <w:rPr>
                <w:rFonts w:ascii="Arial" w:cs="Arial" w:eastAsia="Arial" w:hAnsi="Arial"/>
                <w:sz w:val="17"/>
                <w:szCs w:val="17"/>
                <w:color w:val="auto"/>
                <w:vertAlign w:val="superscript"/>
              </w:rPr>
              <w:t>(9)</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L+338</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6,836,508</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6,621,979</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4,785,555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Jackson Hewitt Tax Service Inc.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10/16/2017</w:t>
            </w:r>
          </w:p>
        </w:tc>
        <w:tc>
          <w:tcPr>
            <w:tcW w:w="27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Consumer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10.00%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L+850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3,400,000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3,273,298</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3,349,000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K2 Pure Solutions NoCal, L.P.</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09/10/2015</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Chemicals, Plastics and Rubber</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10.50%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P+725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5,909,957</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5,945,073</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5,880,407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7"/>
                <w:szCs w:val="17"/>
                <w:color w:val="auto"/>
                <w:vertAlign w:val="superscript"/>
              </w:rPr>
              <w:t>(6), (8)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06/02/2014</w:t>
            </w:r>
          </w:p>
        </w:tc>
        <w:tc>
          <w:tcPr>
            <w:tcW w:w="27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Consumer Goods: Non-Durable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8.50%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L+700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4,912,500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4,848,463</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4,875,656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Milk Specialties Company</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5"/>
              </w:rPr>
              <w:t>11/09/2018</w:t>
            </w:r>
          </w:p>
        </w:tc>
        <w:tc>
          <w:tcPr>
            <w:tcW w:w="27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Consumer Goods: Non-Durable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L+475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3,400,000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3,368,102</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3,434,000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MModal Inc.</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08/16/2019</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3,383,191</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3,337,786</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3,247,863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05/07/2018</w:t>
            </w:r>
          </w:p>
        </w:tc>
        <w:tc>
          <w:tcPr>
            <w:tcW w:w="278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L+550</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2,360,522</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2,342,587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2,358,752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41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MOSAID Technologies</w:t>
            </w:r>
          </w:p>
        </w:tc>
        <w:tc>
          <w:tcPr>
            <w:tcW w:w="6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Incorporated</w:t>
            </w:r>
            <w:r>
              <w:rPr>
                <w:rFonts w:ascii="Arial" w:cs="Arial" w:eastAsia="Arial" w:hAnsi="Arial"/>
                <w:sz w:val="20"/>
                <w:szCs w:val="20"/>
                <w:color w:val="auto"/>
                <w:vertAlign w:val="superscript"/>
              </w:rPr>
              <w:t>(6)</w:t>
            </w:r>
          </w:p>
        </w:tc>
        <w:tc>
          <w:tcPr>
            <w:tcW w:w="6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8"/>
              </w:rPr>
              <w:t>12/23/2016</w:t>
            </w:r>
          </w:p>
        </w:tc>
        <w:tc>
          <w:tcPr>
            <w:tcW w:w="27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8"/>
              </w:rPr>
              <w:t>High Tech Industries</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8.50%</w:t>
            </w: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L+700</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2,775,000</w:t>
            </w:r>
          </w:p>
        </w:tc>
        <w:tc>
          <w:tcPr>
            <w:tcW w:w="880" w:type="dxa"/>
            <w:vAlign w:val="bottom"/>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2,721,385</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2,788,875</w:t>
            </w: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MX USA, Inc.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05/01/2017</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Healthcare and Pharmaceuticals</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L+525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2,970,000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2,933,577</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2,977,425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NAB Holdings, LLC</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04/24/2018</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6"/>
              </w:rPr>
              <w:t>Banking, Finance, Insurance and Real Estate</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L+550</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962,500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950,224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972,125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tcPr>
          <w:p>
            <w:pPr>
              <w:spacing w:after="0" w:line="149" w:lineRule="exact"/>
              <w:rPr>
                <w:sz w:val="20"/>
                <w:szCs w:val="20"/>
                <w:color w:val="auto"/>
              </w:rPr>
            </w:pPr>
            <w:r>
              <w:rPr>
                <w:rFonts w:ascii="Arial" w:cs="Arial" w:eastAsia="Arial" w:hAnsi="Arial"/>
                <w:sz w:val="14"/>
                <w:szCs w:val="14"/>
                <w:color w:val="auto"/>
              </w:rPr>
              <w:t>Northfield Park Associates LLC</w:t>
            </w:r>
          </w:p>
        </w:tc>
        <w:tc>
          <w:tcPr>
            <w:tcW w:w="620" w:type="dxa"/>
            <w:vAlign w:val="bottom"/>
          </w:tcPr>
          <w:p>
            <w:pPr>
              <w:jc w:val="center"/>
              <w:spacing w:after="0" w:line="149" w:lineRule="exact"/>
              <w:rPr>
                <w:sz w:val="20"/>
                <w:szCs w:val="20"/>
                <w:color w:val="auto"/>
              </w:rPr>
            </w:pPr>
            <w:r>
              <w:rPr>
                <w:rFonts w:ascii="Arial" w:cs="Arial" w:eastAsia="Arial" w:hAnsi="Arial"/>
                <w:sz w:val="14"/>
                <w:szCs w:val="14"/>
                <w:color w:val="auto"/>
                <w:w w:val="88"/>
              </w:rPr>
              <w:t>12/19/2018</w:t>
            </w:r>
          </w:p>
        </w:tc>
        <w:tc>
          <w:tcPr>
            <w:tcW w:w="27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Hotel, Gaming and Leisure</w:t>
            </w:r>
          </w:p>
        </w:tc>
        <w:tc>
          <w:tcPr>
            <w:tcW w:w="8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9.00%</w:t>
            </w:r>
          </w:p>
        </w:tc>
        <w:tc>
          <w:tcPr>
            <w:tcW w:w="8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L+775</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89"/>
              </w:rPr>
              <w:t>4,500,000</w:t>
            </w:r>
          </w:p>
        </w:tc>
        <w:tc>
          <w:tcPr>
            <w:tcW w:w="88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4,414,105</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4,601,250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Orbitz Worldwide, Inc., Term Loan C</w:t>
            </w:r>
            <w:r>
              <w:rPr>
                <w:rFonts w:ascii="Arial" w:cs="Arial" w:eastAsia="Arial" w:hAnsi="Arial"/>
                <w:sz w:val="17"/>
                <w:szCs w:val="17"/>
                <w:color w:val="auto"/>
                <w:vertAlign w:val="superscript"/>
              </w:rPr>
              <w:t>(8)</w:t>
            </w:r>
          </w:p>
        </w:tc>
        <w:tc>
          <w:tcPr>
            <w:tcW w:w="6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03/25/2019</w:t>
            </w:r>
          </w:p>
        </w:tc>
        <w:tc>
          <w:tcPr>
            <w:tcW w:w="27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Transportation: Consumer</w:t>
            </w:r>
          </w:p>
        </w:tc>
        <w:tc>
          <w:tcPr>
            <w:tcW w:w="86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8.00%</w:t>
            </w:r>
          </w:p>
        </w:tc>
        <w:tc>
          <w:tcPr>
            <w:tcW w:w="8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L+675</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9"/>
              </w:rPr>
              <w:t>4,000,000</w:t>
            </w:r>
          </w:p>
        </w:tc>
        <w:tc>
          <w:tcPr>
            <w:tcW w:w="88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3,960,084</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4,038,332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460" w:right="2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Basis Point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Spread</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380"/>
              <w:spacing w:after="0" w:line="135" w:lineRule="exact"/>
              <w:rPr>
                <w:sz w:val="20"/>
                <w:szCs w:val="20"/>
                <w:color w:val="auto"/>
              </w:rPr>
            </w:pPr>
            <w:r>
              <w:rPr>
                <w:rFonts w:ascii="Arial" w:cs="Arial" w:eastAsia="Arial" w:hAnsi="Arial"/>
                <w:sz w:val="14"/>
                <w:szCs w:val="14"/>
                <w:b w:val="1"/>
                <w:bCs w:val="1"/>
                <w:color w:val="auto"/>
                <w:w w:val="90"/>
              </w:rPr>
              <w:t>Current</w:t>
            </w:r>
          </w:p>
        </w:tc>
        <w:tc>
          <w:tcPr>
            <w:tcW w:w="160" w:type="dxa"/>
            <w:vAlign w:val="bottom"/>
          </w:tcPr>
          <w:p>
            <w:pPr>
              <w:spacing w:after="0"/>
              <w:rPr>
                <w:sz w:val="11"/>
                <w:szCs w:val="11"/>
                <w:color w:val="auto"/>
              </w:rPr>
            </w:pPr>
          </w:p>
        </w:tc>
        <w:tc>
          <w:tcPr>
            <w:tcW w:w="6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4"/>
              </w:rPr>
              <w:t>Above</w:t>
            </w:r>
          </w:p>
        </w:tc>
        <w:tc>
          <w:tcPr>
            <w:tcW w:w="160" w:type="dxa"/>
            <w:vAlign w:val="bottom"/>
          </w:tcPr>
          <w:p>
            <w:pPr>
              <w:spacing w:after="0"/>
              <w:rPr>
                <w:sz w:val="11"/>
                <w:szCs w:val="11"/>
                <w:color w:val="auto"/>
              </w:rPr>
            </w:pPr>
          </w:p>
        </w:tc>
        <w:tc>
          <w:tcPr>
            <w:tcW w:w="58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rPr>
              <w:t>Par /</w:t>
            </w: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3"/>
          </w:tcPr>
          <w:p>
            <w:pPr>
              <w:jc w:val="center"/>
              <w:ind w:right="200"/>
              <w:spacing w:after="0" w:line="135" w:lineRule="exact"/>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76"/>
        </w:trPr>
        <w:tc>
          <w:tcPr>
            <w:tcW w:w="368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02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Maturity</w:t>
            </w:r>
          </w:p>
        </w:tc>
        <w:tc>
          <w:tcPr>
            <w:tcW w:w="600" w:type="dxa"/>
            <w:vAlign w:val="bottom"/>
          </w:tcPr>
          <w:p>
            <w:pPr>
              <w:spacing w:after="0"/>
              <w:rPr>
                <w:sz w:val="15"/>
                <w:szCs w:val="15"/>
                <w:color w:val="auto"/>
              </w:rPr>
            </w:pP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0"/>
              </w:rPr>
              <w:t>Industry</w:t>
            </w:r>
          </w:p>
        </w:tc>
        <w:tc>
          <w:tcPr>
            <w:tcW w:w="100" w:type="dxa"/>
            <w:vAlign w:val="bottom"/>
          </w:tcPr>
          <w:p>
            <w:pPr>
              <w:spacing w:after="0"/>
              <w:rPr>
                <w:sz w:val="15"/>
                <w:szCs w:val="15"/>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3"/>
              </w:rPr>
              <w:t>Coupon</w:t>
            </w:r>
          </w:p>
        </w:tc>
        <w:tc>
          <w:tcPr>
            <w:tcW w:w="160" w:type="dxa"/>
            <w:vAlign w:val="bottom"/>
          </w:tcPr>
          <w:p>
            <w:pPr>
              <w:spacing w:after="0"/>
              <w:rPr>
                <w:sz w:val="15"/>
                <w:szCs w:val="15"/>
                <w:color w:val="auto"/>
              </w:rPr>
            </w:pPr>
          </w:p>
        </w:tc>
        <w:tc>
          <w:tcPr>
            <w:tcW w:w="660" w:type="dxa"/>
            <w:vAlign w:val="bottom"/>
            <w:gridSpan w:val="2"/>
          </w:tcPr>
          <w:p>
            <w:pPr>
              <w:jc w:val="center"/>
              <w:ind w:right="16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160" w:type="dxa"/>
            <w:vAlign w:val="bottom"/>
          </w:tcPr>
          <w:p>
            <w:pPr>
              <w:spacing w:after="0"/>
              <w:rPr>
                <w:sz w:val="15"/>
                <w:szCs w:val="15"/>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1"/>
              </w:rPr>
              <w:t>Shares</w:t>
            </w:r>
          </w:p>
        </w:tc>
        <w:tc>
          <w:tcPr>
            <w:tcW w:w="100" w:type="dxa"/>
            <w:vAlign w:val="bottom"/>
          </w:tcPr>
          <w:p>
            <w:pPr>
              <w:spacing w:after="0"/>
              <w:rPr>
                <w:sz w:val="15"/>
                <w:szCs w:val="15"/>
                <w:color w:val="auto"/>
              </w:rPr>
            </w:pPr>
          </w:p>
        </w:tc>
        <w:tc>
          <w:tcPr>
            <w:tcW w:w="74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gridSpan w:val="3"/>
          </w:tcPr>
          <w:p>
            <w:pPr>
              <w:jc w:val="center"/>
              <w:ind w:right="200"/>
              <w:spacing w:after="0" w:line="176" w:lineRule="exact"/>
              <w:rPr>
                <w:sz w:val="20"/>
                <w:szCs w:val="20"/>
                <w:color w:val="auto"/>
              </w:rPr>
            </w:pPr>
            <w:r>
              <w:rPr>
                <w:rFonts w:ascii="Arial" w:cs="Arial" w:eastAsia="Arial" w:hAnsi="Arial"/>
                <w:sz w:val="13"/>
                <w:szCs w:val="13"/>
                <w:b w:val="1"/>
                <w:bCs w:val="1"/>
                <w:color w:val="auto"/>
                <w:w w:val="86"/>
              </w:rPr>
              <w:t>Value</w:t>
            </w:r>
            <w:r>
              <w:rPr>
                <w:rFonts w:ascii="Arial" w:cs="Arial" w:eastAsia="Arial" w:hAnsi="Arial"/>
                <w:sz w:val="20"/>
                <w:szCs w:val="20"/>
                <w:b w:val="1"/>
                <w:bCs w:val="1"/>
                <w:color w:val="auto"/>
                <w:w w:val="86"/>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9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Pelican Products, Inc.</w:t>
            </w:r>
          </w:p>
        </w:tc>
        <w:tc>
          <w:tcPr>
            <w:tcW w:w="1680" w:type="dxa"/>
            <w:vAlign w:val="bottom"/>
            <w:gridSpan w:val="3"/>
            <w:shd w:val="clear" w:color="auto" w:fill="CCEEFF"/>
          </w:tcPr>
          <w:p>
            <w:pPr>
              <w:ind w:left="1000"/>
              <w:spacing w:after="0" w:line="138" w:lineRule="exact"/>
              <w:rPr>
                <w:sz w:val="20"/>
                <w:szCs w:val="20"/>
                <w:color w:val="auto"/>
              </w:rPr>
            </w:pPr>
            <w:r>
              <w:rPr>
                <w:rFonts w:ascii="Arial" w:cs="Arial" w:eastAsia="Arial" w:hAnsi="Arial"/>
                <w:sz w:val="14"/>
                <w:szCs w:val="14"/>
                <w:color w:val="auto"/>
                <w:w w:val="94"/>
              </w:rPr>
              <w:t>07/11/2018</w:t>
            </w:r>
          </w:p>
        </w:tc>
        <w:tc>
          <w:tcPr>
            <w:tcW w:w="172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5"/>
              </w:rPr>
              <w:t>Containers, Packaging and</w:t>
            </w:r>
          </w:p>
        </w:tc>
        <w:tc>
          <w:tcPr>
            <w:tcW w:w="9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7.00%</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L+550</w:t>
            </w:r>
          </w:p>
        </w:tc>
        <w:tc>
          <w:tcPr>
            <w:tcW w:w="7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1,488,750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1,462,509</w:t>
            </w:r>
          </w:p>
        </w:tc>
        <w:tc>
          <w:tcPr>
            <w:tcW w:w="9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1,488,750</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620"/>
              <w:spacing w:after="0" w:line="159" w:lineRule="exact"/>
              <w:rPr>
                <w:sz w:val="20"/>
                <w:szCs w:val="20"/>
                <w:color w:val="auto"/>
              </w:rPr>
            </w:pPr>
            <w:r>
              <w:rPr>
                <w:rFonts w:ascii="Arial" w:cs="Arial" w:eastAsia="Arial" w:hAnsi="Arial"/>
                <w:sz w:val="14"/>
                <w:szCs w:val="14"/>
                <w:color w:val="auto"/>
                <w:w w:val="83"/>
              </w:rPr>
              <w:t>Glass</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0"/>
                <w:szCs w:val="10"/>
                <w:color w:val="auto"/>
              </w:rPr>
              <w:t>Penton Media, Inc.</w:t>
            </w:r>
            <w:r>
              <w:rPr>
                <w:rFonts w:ascii="Arial" w:cs="Arial" w:eastAsia="Arial" w:hAnsi="Arial"/>
                <w:sz w:val="15"/>
                <w:szCs w:val="15"/>
                <w:color w:val="auto"/>
                <w:vertAlign w:val="superscript"/>
              </w:rPr>
              <w:t>(8)</w:t>
            </w:r>
          </w:p>
        </w:tc>
        <w:tc>
          <w:tcPr>
            <w:tcW w:w="1680" w:type="dxa"/>
            <w:vAlign w:val="bottom"/>
            <w:gridSpan w:val="3"/>
          </w:tcPr>
          <w:p>
            <w:pPr>
              <w:ind w:left="1000"/>
              <w:spacing w:after="0" w:line="138" w:lineRule="exact"/>
              <w:rPr>
                <w:sz w:val="20"/>
                <w:szCs w:val="20"/>
                <w:color w:val="auto"/>
              </w:rPr>
            </w:pPr>
            <w:r>
              <w:rPr>
                <w:rFonts w:ascii="Arial" w:cs="Arial" w:eastAsia="Arial" w:hAnsi="Arial"/>
                <w:sz w:val="14"/>
                <w:szCs w:val="14"/>
                <w:color w:val="auto"/>
                <w:w w:val="94"/>
              </w:rPr>
              <w:t>08/01/2014</w:t>
            </w:r>
          </w:p>
        </w:tc>
        <w:tc>
          <w:tcPr>
            <w:tcW w:w="172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90"/>
              </w:rPr>
              <w:t>Media: Diversified and</w:t>
            </w:r>
          </w:p>
        </w:tc>
        <w:tc>
          <w:tcPr>
            <w:tcW w:w="9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6.00%</w:t>
            </w:r>
          </w:p>
        </w:tc>
        <w:tc>
          <w:tcPr>
            <w:tcW w:w="16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L+500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5,497,697</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5,101,044</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5,286,954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3"/>
          </w:tcPr>
          <w:p>
            <w:pPr>
              <w:jc w:val="center"/>
              <w:ind w:right="20"/>
              <w:spacing w:after="0"/>
              <w:rPr>
                <w:sz w:val="20"/>
                <w:szCs w:val="20"/>
                <w:color w:val="auto"/>
              </w:rPr>
            </w:pPr>
            <w:r>
              <w:rPr>
                <w:rFonts w:ascii="Arial" w:cs="Arial" w:eastAsia="Arial" w:hAnsi="Arial"/>
                <w:sz w:val="14"/>
                <w:szCs w:val="14"/>
                <w:color w:val="auto"/>
                <w:w w:val="86"/>
              </w:rPr>
              <w:t>Production</w:t>
            </w:r>
          </w:p>
        </w:tc>
        <w:tc>
          <w:tcPr>
            <w:tcW w:w="10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w w:val="90"/>
              </w:rPr>
              <w:t>(PIK 2.00%)</w:t>
            </w: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Premier Dental Services, Inc.</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11/01/2018</w:t>
            </w:r>
          </w:p>
        </w:tc>
        <w:tc>
          <w:tcPr>
            <w:tcW w:w="17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Consumer Services</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8.25%</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L+700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3,391,500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3,295,382</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3,399,979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1"/>
                <w:szCs w:val="11"/>
                <w:color w:val="auto"/>
              </w:rPr>
              <w:t>RiverBoat Corporation of Mississippi</w:t>
            </w:r>
            <w:r>
              <w:rPr>
                <w:rFonts w:ascii="Arial" w:cs="Arial" w:eastAsia="Arial" w:hAnsi="Arial"/>
                <w:sz w:val="17"/>
                <w:szCs w:val="17"/>
                <w:color w:val="auto"/>
                <w:vertAlign w:val="superscript"/>
              </w:rPr>
              <w:t>(8)</w:t>
            </w:r>
          </w:p>
        </w:tc>
        <w:tc>
          <w:tcPr>
            <w:tcW w:w="3400" w:type="dxa"/>
            <w:vAlign w:val="bottom"/>
            <w:gridSpan w:val="6"/>
          </w:tcPr>
          <w:p>
            <w:pPr>
              <w:ind w:left="1000"/>
              <w:spacing w:after="0" w:line="149" w:lineRule="exact"/>
              <w:rPr>
                <w:sz w:val="20"/>
                <w:szCs w:val="20"/>
                <w:color w:val="auto"/>
              </w:rPr>
            </w:pPr>
            <w:r>
              <w:rPr>
                <w:rFonts w:ascii="Arial" w:cs="Arial" w:eastAsia="Arial" w:hAnsi="Arial"/>
                <w:sz w:val="14"/>
                <w:szCs w:val="14"/>
                <w:color w:val="auto"/>
                <w:w w:val="95"/>
              </w:rPr>
              <w:t>11/29/2016   Hotel, Gaming and Leisure</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L+875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4,250,000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4,172,535</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4,207,500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Sabre Industries, Inc.</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08/24/2018</w:t>
            </w:r>
          </w:p>
        </w:tc>
        <w:tc>
          <w:tcPr>
            <w:tcW w:w="17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Construction and Building</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5.75%</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L+475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2,992,500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2,951,469</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2,990,630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68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4"/>
              </w:rPr>
              <w:t>04/21/2017</w:t>
            </w:r>
          </w:p>
        </w:tc>
        <w:tc>
          <w:tcPr>
            <w:tcW w:w="1720" w:type="dxa"/>
            <w:vAlign w:val="bottom"/>
            <w:gridSpan w:val="3"/>
          </w:tcPr>
          <w:p>
            <w:pPr>
              <w:jc w:val="center"/>
              <w:ind w:right="40"/>
              <w:spacing w:after="0" w:line="149" w:lineRule="exact"/>
              <w:rPr>
                <w:sz w:val="20"/>
                <w:szCs w:val="20"/>
                <w:color w:val="auto"/>
              </w:rPr>
            </w:pPr>
            <w:r>
              <w:rPr>
                <w:rFonts w:ascii="Arial" w:cs="Arial" w:eastAsia="Arial" w:hAnsi="Arial"/>
                <w:sz w:val="14"/>
                <w:szCs w:val="14"/>
                <w:color w:val="auto"/>
                <w:w w:val="85"/>
              </w:rPr>
              <w:t>Aerospace and Defense</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7.50%</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2,773,249</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2,754,202</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2,696,985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St. George’s University Scholastic Services LLC</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12/20/2017</w:t>
            </w:r>
          </w:p>
        </w:tc>
        <w:tc>
          <w:tcPr>
            <w:tcW w:w="17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Consumer Services</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L+700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2,486,250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2,438,423</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2,480,034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Sutherland Global Services, Inc.</w:t>
            </w:r>
          </w:p>
        </w:tc>
        <w:tc>
          <w:tcPr>
            <w:tcW w:w="168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4"/>
              </w:rPr>
              <w:t>03/06/2019</w:t>
            </w:r>
          </w:p>
        </w:tc>
        <w:tc>
          <w:tcPr>
            <w:tcW w:w="17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7.25%</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L+600</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1,000,000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980,145</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987,500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01/29/2018</w:t>
            </w:r>
          </w:p>
        </w:tc>
        <w:tc>
          <w:tcPr>
            <w:tcW w:w="172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Telecommunications</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L+1,200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1,408,837</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1,372,727</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1,627,207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Therakos, Inc.</w:t>
            </w:r>
          </w:p>
        </w:tc>
        <w:tc>
          <w:tcPr>
            <w:tcW w:w="1680" w:type="dxa"/>
            <w:vAlign w:val="bottom"/>
            <w:gridSpan w:val="3"/>
          </w:tcPr>
          <w:p>
            <w:pPr>
              <w:ind w:left="1000"/>
              <w:spacing w:after="0" w:line="138" w:lineRule="exact"/>
              <w:rPr>
                <w:sz w:val="20"/>
                <w:szCs w:val="20"/>
                <w:color w:val="auto"/>
              </w:rPr>
            </w:pPr>
            <w:r>
              <w:rPr>
                <w:rFonts w:ascii="Arial" w:cs="Arial" w:eastAsia="Arial" w:hAnsi="Arial"/>
                <w:sz w:val="14"/>
                <w:szCs w:val="14"/>
                <w:color w:val="auto"/>
                <w:w w:val="94"/>
              </w:rPr>
              <w:t>12/27/2017</w:t>
            </w:r>
          </w:p>
        </w:tc>
        <w:tc>
          <w:tcPr>
            <w:tcW w:w="172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6"/>
              </w:rPr>
              <w:t>Healthcare and</w:t>
            </w:r>
          </w:p>
        </w:tc>
        <w:tc>
          <w:tcPr>
            <w:tcW w:w="9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7.50%</w:t>
            </w:r>
          </w:p>
        </w:tc>
        <w:tc>
          <w:tcPr>
            <w:tcW w:w="16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L+525</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2,992,500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2,904,882</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2,951,353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4"/>
              </w:rPr>
              <w:t>Pharmaceuticals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04/16/2018</w:t>
            </w:r>
          </w:p>
        </w:tc>
        <w:tc>
          <w:tcPr>
            <w:tcW w:w="1720" w:type="dxa"/>
            <w:vAlign w:val="bottom"/>
            <w:gridSpan w:val="3"/>
            <w:shd w:val="clear" w:color="auto" w:fill="CCEEFF"/>
          </w:tcPr>
          <w:p>
            <w:pPr>
              <w:jc w:val="center"/>
              <w:ind w:right="40"/>
              <w:spacing w:after="0" w:line="149" w:lineRule="exact"/>
              <w:rPr>
                <w:sz w:val="20"/>
                <w:szCs w:val="20"/>
                <w:color w:val="auto"/>
              </w:rPr>
            </w:pPr>
            <w:r>
              <w:rPr>
                <w:rFonts w:ascii="Arial" w:cs="Arial" w:eastAsia="Arial" w:hAnsi="Arial"/>
                <w:sz w:val="14"/>
                <w:szCs w:val="14"/>
                <w:color w:val="auto"/>
                <w:w w:val="87"/>
              </w:rPr>
              <w:t>Telecommunications</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L+750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1,985,000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1,930,464</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1,965,150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168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4"/>
              </w:rPr>
              <w:t>06/19/2017</w:t>
            </w:r>
          </w:p>
        </w:tc>
        <w:tc>
          <w:tcPr>
            <w:tcW w:w="17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6"/>
              </w:rPr>
              <w:t>Consumer Services</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6.25%</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L+475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2,947,500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2,926,538</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2,873,812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Valitas Health Services, Inc.</w:t>
            </w:r>
          </w:p>
        </w:tc>
        <w:tc>
          <w:tcPr>
            <w:tcW w:w="1680" w:type="dxa"/>
            <w:vAlign w:val="bottom"/>
            <w:gridSpan w:val="3"/>
            <w:shd w:val="clear" w:color="auto" w:fill="CCEEFF"/>
          </w:tcPr>
          <w:p>
            <w:pPr>
              <w:ind w:left="1000"/>
              <w:spacing w:after="0" w:line="138" w:lineRule="exact"/>
              <w:rPr>
                <w:sz w:val="20"/>
                <w:szCs w:val="20"/>
                <w:color w:val="auto"/>
              </w:rPr>
            </w:pPr>
            <w:r>
              <w:rPr>
                <w:rFonts w:ascii="Arial" w:cs="Arial" w:eastAsia="Arial" w:hAnsi="Arial"/>
                <w:sz w:val="14"/>
                <w:szCs w:val="14"/>
                <w:color w:val="auto"/>
                <w:w w:val="94"/>
              </w:rPr>
              <w:t>06/02/2017</w:t>
            </w:r>
          </w:p>
        </w:tc>
        <w:tc>
          <w:tcPr>
            <w:tcW w:w="172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6"/>
              </w:rPr>
              <w:t>Healthcare and</w:t>
            </w:r>
          </w:p>
        </w:tc>
        <w:tc>
          <w:tcPr>
            <w:tcW w:w="9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5.75%</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L+450</w:t>
            </w:r>
          </w:p>
        </w:tc>
        <w:tc>
          <w:tcPr>
            <w:tcW w:w="7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1,266,455</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1,261,822</w:t>
            </w:r>
          </w:p>
        </w:tc>
        <w:tc>
          <w:tcPr>
            <w:tcW w:w="9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1,266,455</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72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4"/>
              </w:rPr>
              <w:t>Pharmaceuticals</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Viamedia Services Corp.</w:t>
            </w:r>
          </w:p>
        </w:tc>
        <w:tc>
          <w:tcPr>
            <w:tcW w:w="1680" w:type="dxa"/>
            <w:vAlign w:val="bottom"/>
            <w:gridSpan w:val="3"/>
          </w:tcPr>
          <w:p>
            <w:pPr>
              <w:ind w:left="1000"/>
              <w:spacing w:after="0" w:line="138" w:lineRule="exact"/>
              <w:rPr>
                <w:sz w:val="20"/>
                <w:szCs w:val="20"/>
                <w:color w:val="auto"/>
              </w:rPr>
            </w:pPr>
            <w:r>
              <w:rPr>
                <w:rFonts w:ascii="Arial" w:cs="Arial" w:eastAsia="Arial" w:hAnsi="Arial"/>
                <w:sz w:val="14"/>
                <w:szCs w:val="14"/>
                <w:color w:val="auto"/>
                <w:w w:val="94"/>
              </w:rPr>
              <w:t>04/19/2016</w:t>
            </w:r>
          </w:p>
        </w:tc>
        <w:tc>
          <w:tcPr>
            <w:tcW w:w="172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91"/>
              </w:rPr>
              <w:t>Media: Advertising, Printing</w:t>
            </w:r>
          </w:p>
        </w:tc>
        <w:tc>
          <w:tcPr>
            <w:tcW w:w="9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7.00%</w:t>
            </w:r>
          </w:p>
        </w:tc>
        <w:tc>
          <w:tcPr>
            <w:tcW w:w="16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L+550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3,875,111</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3,843,936</w:t>
            </w:r>
          </w:p>
        </w:tc>
        <w:tc>
          <w:tcPr>
            <w:tcW w:w="980" w:type="dxa"/>
            <w:vAlign w:val="bottom"/>
            <w:gridSpan w:val="5"/>
          </w:tcPr>
          <w:p>
            <w:pPr>
              <w:jc w:val="right"/>
              <w:ind w:right="60"/>
              <w:spacing w:after="0" w:line="138" w:lineRule="exact"/>
              <w:rPr>
                <w:sz w:val="20"/>
                <w:szCs w:val="20"/>
                <w:color w:val="auto"/>
              </w:rPr>
            </w:pPr>
            <w:r>
              <w:rPr>
                <w:rFonts w:ascii="Arial" w:cs="Arial" w:eastAsia="Arial" w:hAnsi="Arial"/>
                <w:sz w:val="14"/>
                <w:szCs w:val="14"/>
                <w:color w:val="auto"/>
              </w:rPr>
              <w:t>3,875,111</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20" w:type="dxa"/>
            <w:vAlign w:val="bottom"/>
            <w:gridSpan w:val="3"/>
          </w:tcPr>
          <w:p>
            <w:pPr>
              <w:jc w:val="center"/>
              <w:ind w:right="20"/>
              <w:spacing w:after="0" w:line="159" w:lineRule="exact"/>
              <w:rPr>
                <w:sz w:val="20"/>
                <w:szCs w:val="20"/>
                <w:color w:val="auto"/>
              </w:rPr>
            </w:pPr>
            <w:r>
              <w:rPr>
                <w:rFonts w:ascii="Arial" w:cs="Arial" w:eastAsia="Arial" w:hAnsi="Arial"/>
                <w:sz w:val="14"/>
                <w:szCs w:val="14"/>
                <w:color w:val="auto"/>
                <w:w w:val="89"/>
              </w:rPr>
              <w:t>and Publishing</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Virtual Radiologic Corporation</w:t>
            </w:r>
            <w:r>
              <w:rPr>
                <w:rFonts w:ascii="Arial" w:cs="Arial" w:eastAsia="Arial" w:hAnsi="Arial"/>
                <w:sz w:val="17"/>
                <w:szCs w:val="17"/>
                <w:color w:val="auto"/>
                <w:vertAlign w:val="superscript"/>
              </w:rPr>
              <w:t>(8)</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12/22/2016</w:t>
            </w:r>
          </w:p>
        </w:tc>
        <w:tc>
          <w:tcPr>
            <w:tcW w:w="17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Business Services</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7.75%</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P+450</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2,955,000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2,933,256</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1,920,750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1680" w:type="dxa"/>
            <w:vAlign w:val="bottom"/>
            <w:gridSpan w:val="3"/>
          </w:tcPr>
          <w:p>
            <w:pPr>
              <w:ind w:left="1000"/>
              <w:spacing w:after="0" w:line="149" w:lineRule="exact"/>
              <w:rPr>
                <w:sz w:val="20"/>
                <w:szCs w:val="20"/>
                <w:color w:val="auto"/>
              </w:rPr>
            </w:pPr>
            <w:r>
              <w:rPr>
                <w:rFonts w:ascii="Arial" w:cs="Arial" w:eastAsia="Arial" w:hAnsi="Arial"/>
                <w:sz w:val="14"/>
                <w:szCs w:val="14"/>
                <w:color w:val="auto"/>
                <w:w w:val="94"/>
              </w:rPr>
              <w:t>08/10/2017</w:t>
            </w:r>
          </w:p>
        </w:tc>
        <w:tc>
          <w:tcPr>
            <w:tcW w:w="172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Consumer Goods: Durable</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6.75%</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L+525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3,447,500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3,420,248</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  3,438,881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Wilton Brands, LLC</w:t>
            </w:r>
          </w:p>
        </w:tc>
        <w:tc>
          <w:tcPr>
            <w:tcW w:w="1680" w:type="dxa"/>
            <w:vAlign w:val="bottom"/>
            <w:gridSpan w:val="3"/>
            <w:shd w:val="clear" w:color="auto" w:fill="CCEEFF"/>
          </w:tcPr>
          <w:p>
            <w:pPr>
              <w:ind w:left="1000"/>
              <w:spacing w:after="0" w:line="138" w:lineRule="exact"/>
              <w:rPr>
                <w:sz w:val="20"/>
                <w:szCs w:val="20"/>
                <w:color w:val="auto"/>
              </w:rPr>
            </w:pPr>
            <w:r>
              <w:rPr>
                <w:rFonts w:ascii="Arial" w:cs="Arial" w:eastAsia="Arial" w:hAnsi="Arial"/>
                <w:sz w:val="14"/>
                <w:szCs w:val="14"/>
                <w:color w:val="auto"/>
                <w:w w:val="94"/>
              </w:rPr>
              <w:t>08/30/2018</w:t>
            </w:r>
          </w:p>
        </w:tc>
        <w:tc>
          <w:tcPr>
            <w:tcW w:w="172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7"/>
              </w:rPr>
              <w:t>Consumer Goods: Non-</w:t>
            </w:r>
          </w:p>
        </w:tc>
        <w:tc>
          <w:tcPr>
            <w:tcW w:w="9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7.50%</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00"/>
              <w:spacing w:after="0" w:line="138" w:lineRule="exact"/>
              <w:rPr>
                <w:sz w:val="20"/>
                <w:szCs w:val="20"/>
                <w:color w:val="auto"/>
              </w:rPr>
            </w:pPr>
            <w:r>
              <w:rPr>
                <w:rFonts w:ascii="Arial" w:cs="Arial" w:eastAsia="Arial" w:hAnsi="Arial"/>
                <w:sz w:val="14"/>
                <w:szCs w:val="14"/>
                <w:color w:val="auto"/>
              </w:rPr>
              <w:t>L+625</w:t>
            </w:r>
          </w:p>
        </w:tc>
        <w:tc>
          <w:tcPr>
            <w:tcW w:w="7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3,315,000</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3,254,750</w:t>
            </w:r>
          </w:p>
        </w:tc>
        <w:tc>
          <w:tcPr>
            <w:tcW w:w="9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3,356,438</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292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center"/>
              <w:ind w:right="640"/>
              <w:spacing w:after="0" w:line="159" w:lineRule="exact"/>
              <w:rPr>
                <w:sz w:val="20"/>
                <w:szCs w:val="20"/>
                <w:color w:val="auto"/>
              </w:rPr>
            </w:pPr>
            <w:r>
              <w:rPr>
                <w:rFonts w:ascii="Arial" w:cs="Arial" w:eastAsia="Arial" w:hAnsi="Arial"/>
                <w:sz w:val="14"/>
                <w:szCs w:val="14"/>
                <w:color w:val="auto"/>
                <w:w w:val="89"/>
              </w:rPr>
              <w:t>Durable</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Z Wireless</w:t>
            </w:r>
          </w:p>
        </w:tc>
        <w:tc>
          <w:tcPr>
            <w:tcW w:w="1680" w:type="dxa"/>
            <w:vAlign w:val="bottom"/>
            <w:gridSpan w:val="3"/>
          </w:tcPr>
          <w:p>
            <w:pPr>
              <w:ind w:left="1000"/>
              <w:spacing w:after="0" w:line="138" w:lineRule="exact"/>
              <w:rPr>
                <w:sz w:val="20"/>
                <w:szCs w:val="20"/>
                <w:color w:val="auto"/>
              </w:rPr>
            </w:pPr>
            <w:r>
              <w:rPr>
                <w:rFonts w:ascii="Arial" w:cs="Arial" w:eastAsia="Arial" w:hAnsi="Arial"/>
                <w:sz w:val="14"/>
                <w:szCs w:val="14"/>
                <w:color w:val="auto"/>
                <w:w w:val="94"/>
              </w:rPr>
              <w:t>12/21/2016</w:t>
            </w:r>
          </w:p>
        </w:tc>
        <w:tc>
          <w:tcPr>
            <w:tcW w:w="600" w:type="dxa"/>
            <w:vAlign w:val="bottom"/>
          </w:tcPr>
          <w:p>
            <w:pPr>
              <w:spacing w:after="0"/>
              <w:rPr>
                <w:sz w:val="11"/>
                <w:szCs w:val="11"/>
                <w:color w:val="auto"/>
              </w:rPr>
            </w:pPr>
          </w:p>
        </w:tc>
        <w:tc>
          <w:tcPr>
            <w:tcW w:w="1120" w:type="dxa"/>
            <w:vAlign w:val="bottom"/>
            <w:gridSpan w:val="2"/>
          </w:tcPr>
          <w:p>
            <w:pPr>
              <w:jc w:val="center"/>
              <w:ind w:right="640"/>
              <w:spacing w:after="0" w:line="138" w:lineRule="exact"/>
              <w:rPr>
                <w:sz w:val="20"/>
                <w:szCs w:val="20"/>
                <w:color w:val="auto"/>
              </w:rPr>
            </w:pPr>
            <w:r>
              <w:rPr>
                <w:rFonts w:ascii="Arial" w:cs="Arial" w:eastAsia="Arial" w:hAnsi="Arial"/>
                <w:sz w:val="14"/>
                <w:szCs w:val="14"/>
                <w:color w:val="auto"/>
                <w:w w:val="89"/>
              </w:rPr>
              <w:t>Retail</w:t>
            </w:r>
          </w:p>
        </w:tc>
        <w:tc>
          <w:tcPr>
            <w:tcW w:w="960" w:type="dxa"/>
            <w:vAlign w:val="bottom"/>
            <w:gridSpan w:val="3"/>
          </w:tcPr>
          <w:p>
            <w:pPr>
              <w:jc w:val="right"/>
              <w:ind w:right="80"/>
              <w:spacing w:after="0" w:line="138" w:lineRule="exact"/>
              <w:rPr>
                <w:sz w:val="20"/>
                <w:szCs w:val="20"/>
                <w:color w:val="auto"/>
              </w:rPr>
            </w:pPr>
            <w:r>
              <w:rPr>
                <w:rFonts w:ascii="Arial" w:cs="Arial" w:eastAsia="Arial" w:hAnsi="Arial"/>
                <w:sz w:val="10"/>
                <w:szCs w:val="10"/>
                <w:color w:val="auto"/>
              </w:rPr>
              <w:t>12.50%</w:t>
            </w:r>
            <w:r>
              <w:rPr>
                <w:rFonts w:ascii="Arial" w:cs="Arial" w:eastAsia="Arial" w:hAnsi="Arial"/>
                <w:sz w:val="15"/>
                <w:szCs w:val="15"/>
                <w:color w:val="auto"/>
                <w:vertAlign w:val="superscript"/>
              </w:rPr>
              <w:t>(9)</w:t>
            </w:r>
          </w:p>
        </w:tc>
        <w:tc>
          <w:tcPr>
            <w:tcW w:w="16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L+1,225</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2,707,318</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2,656,561</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2,710,078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w w:val="98"/>
              </w:rPr>
              <w:t>(PIK 1.50 %)</w:t>
            </w: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First Lien Secured Debt</w:t>
            </w: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159,997,444</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159,682,263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Second Lien Secured Debt—7.4%</w:t>
            </w: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American Gilsonite Company</w:t>
            </w:r>
            <w:r>
              <w:rPr>
                <w:rFonts w:ascii="Arial" w:cs="Arial" w:eastAsia="Arial" w:hAnsi="Arial"/>
                <w:sz w:val="17"/>
                <w:szCs w:val="17"/>
                <w:color w:val="auto"/>
                <w:vertAlign w:val="superscript"/>
              </w:rPr>
              <w:t>(5), (8)</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09/01/2017</w:t>
            </w:r>
          </w:p>
        </w:tc>
        <w:tc>
          <w:tcPr>
            <w:tcW w:w="17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Metals and Mining</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11.50%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3,000,000</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3,000,000</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3,187,500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0"/>
                <w:szCs w:val="10"/>
                <w:color w:val="auto"/>
              </w:rPr>
              <w:t>Berlin Packaging L.L.C.</w:t>
            </w:r>
            <w:r>
              <w:rPr>
                <w:rFonts w:ascii="Arial" w:cs="Arial" w:eastAsia="Arial" w:hAnsi="Arial"/>
                <w:sz w:val="15"/>
                <w:szCs w:val="15"/>
                <w:color w:val="auto"/>
                <w:vertAlign w:val="superscript"/>
              </w:rPr>
              <w:t>(8)</w:t>
            </w:r>
          </w:p>
        </w:tc>
        <w:tc>
          <w:tcPr>
            <w:tcW w:w="1680" w:type="dxa"/>
            <w:vAlign w:val="bottom"/>
            <w:gridSpan w:val="3"/>
          </w:tcPr>
          <w:p>
            <w:pPr>
              <w:ind w:left="1000"/>
              <w:spacing w:after="0" w:line="138" w:lineRule="exact"/>
              <w:rPr>
                <w:sz w:val="20"/>
                <w:szCs w:val="20"/>
                <w:color w:val="auto"/>
              </w:rPr>
            </w:pPr>
            <w:r>
              <w:rPr>
                <w:rFonts w:ascii="Arial" w:cs="Arial" w:eastAsia="Arial" w:hAnsi="Arial"/>
                <w:sz w:val="14"/>
                <w:szCs w:val="14"/>
                <w:color w:val="auto"/>
                <w:w w:val="94"/>
              </w:rPr>
              <w:t>03/28/2020</w:t>
            </w:r>
          </w:p>
        </w:tc>
        <w:tc>
          <w:tcPr>
            <w:tcW w:w="172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5"/>
              </w:rPr>
              <w:t>Containers, Packaging and</w:t>
            </w:r>
          </w:p>
        </w:tc>
        <w:tc>
          <w:tcPr>
            <w:tcW w:w="9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8.75%</w:t>
            </w:r>
          </w:p>
        </w:tc>
        <w:tc>
          <w:tcPr>
            <w:tcW w:w="160" w:type="dxa"/>
            <w:vAlign w:val="bottom"/>
          </w:tcPr>
          <w:p>
            <w:pPr>
              <w:spacing w:after="0"/>
              <w:rPr>
                <w:sz w:val="11"/>
                <w:szCs w:val="11"/>
                <w:color w:val="auto"/>
              </w:rPr>
            </w:pPr>
          </w:p>
        </w:tc>
        <w:tc>
          <w:tcPr>
            <w:tcW w:w="660" w:type="dxa"/>
            <w:vAlign w:val="bottom"/>
            <w:gridSpan w:val="2"/>
          </w:tcPr>
          <w:p>
            <w:pPr>
              <w:jc w:val="right"/>
              <w:ind w:right="100"/>
              <w:spacing w:after="0" w:line="138" w:lineRule="exact"/>
              <w:rPr>
                <w:sz w:val="20"/>
                <w:szCs w:val="20"/>
                <w:color w:val="auto"/>
              </w:rPr>
            </w:pPr>
            <w:r>
              <w:rPr>
                <w:rFonts w:ascii="Arial" w:cs="Arial" w:eastAsia="Arial" w:hAnsi="Arial"/>
                <w:sz w:val="14"/>
                <w:szCs w:val="14"/>
                <w:color w:val="auto"/>
              </w:rPr>
              <w:t>L+750</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2,000,000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1,970,000</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1,970,000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gridSpan w:val="2"/>
          </w:tcPr>
          <w:p>
            <w:pPr>
              <w:jc w:val="center"/>
              <w:ind w:right="620"/>
              <w:spacing w:after="0" w:line="159" w:lineRule="exact"/>
              <w:rPr>
                <w:sz w:val="20"/>
                <w:szCs w:val="20"/>
                <w:color w:val="auto"/>
              </w:rPr>
            </w:pPr>
            <w:r>
              <w:rPr>
                <w:rFonts w:ascii="Arial" w:cs="Arial" w:eastAsia="Arial" w:hAnsi="Arial"/>
                <w:sz w:val="14"/>
                <w:szCs w:val="14"/>
                <w:color w:val="auto"/>
                <w:w w:val="83"/>
              </w:rPr>
              <w:t>Glass</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Brand Energy and Infrastructure Services, Inc.</w:t>
            </w:r>
            <w:r>
              <w:rPr>
                <w:rFonts w:ascii="Arial" w:cs="Arial" w:eastAsia="Arial" w:hAnsi="Arial"/>
                <w:sz w:val="17"/>
                <w:szCs w:val="17"/>
                <w:color w:val="auto"/>
                <w:vertAlign w:val="superscript"/>
              </w:rPr>
              <w:t>(8)</w:t>
            </w:r>
          </w:p>
        </w:tc>
        <w:tc>
          <w:tcPr>
            <w:tcW w:w="1680" w:type="dxa"/>
            <w:vAlign w:val="bottom"/>
            <w:gridSpan w:val="3"/>
            <w:shd w:val="clear" w:color="auto" w:fill="CCEEFF"/>
          </w:tcPr>
          <w:p>
            <w:pPr>
              <w:ind w:left="1000"/>
              <w:spacing w:after="0" w:line="149" w:lineRule="exact"/>
              <w:rPr>
                <w:sz w:val="20"/>
                <w:szCs w:val="20"/>
                <w:color w:val="auto"/>
              </w:rPr>
            </w:pPr>
            <w:r>
              <w:rPr>
                <w:rFonts w:ascii="Arial" w:cs="Arial" w:eastAsia="Arial" w:hAnsi="Arial"/>
                <w:sz w:val="14"/>
                <w:szCs w:val="14"/>
                <w:color w:val="auto"/>
                <w:w w:val="94"/>
              </w:rPr>
              <w:t>10/23/2019</w:t>
            </w:r>
          </w:p>
        </w:tc>
        <w:tc>
          <w:tcPr>
            <w:tcW w:w="172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Energy: Oil and Gas</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11.00%</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L+975</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1,906,607</w:t>
            </w:r>
          </w:p>
        </w:tc>
        <w:tc>
          <w:tcPr>
            <w:tcW w:w="84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1,859,054</w:t>
            </w:r>
          </w:p>
        </w:tc>
        <w:tc>
          <w:tcPr>
            <w:tcW w:w="92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1,925,673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tcPr>
          <w:p>
            <w:pPr>
              <w:spacing w:after="0" w:line="149" w:lineRule="exact"/>
              <w:rPr>
                <w:sz w:val="20"/>
                <w:szCs w:val="20"/>
                <w:color w:val="auto"/>
              </w:rPr>
            </w:pPr>
            <w:r>
              <w:rPr>
                <w:rFonts w:ascii="Arial" w:cs="Arial" w:eastAsia="Arial" w:hAnsi="Arial"/>
                <w:sz w:val="14"/>
                <w:szCs w:val="14"/>
                <w:color w:val="auto"/>
              </w:rPr>
              <w:t>Cannery Casino Resorts, LLC</w:t>
            </w:r>
          </w:p>
        </w:tc>
        <w:tc>
          <w:tcPr>
            <w:tcW w:w="3400" w:type="dxa"/>
            <w:vAlign w:val="bottom"/>
            <w:gridSpan w:val="6"/>
          </w:tcPr>
          <w:p>
            <w:pPr>
              <w:ind w:left="1000"/>
              <w:spacing w:after="0" w:line="149" w:lineRule="exact"/>
              <w:rPr>
                <w:sz w:val="20"/>
                <w:szCs w:val="20"/>
                <w:color w:val="auto"/>
              </w:rPr>
            </w:pPr>
            <w:r>
              <w:rPr>
                <w:rFonts w:ascii="Arial" w:cs="Arial" w:eastAsia="Arial" w:hAnsi="Arial"/>
                <w:sz w:val="14"/>
                <w:szCs w:val="14"/>
                <w:color w:val="auto"/>
                <w:w w:val="95"/>
              </w:rPr>
              <w:t>10/02/2019   Hotel, Gaming and Leisure</w:t>
            </w:r>
          </w:p>
        </w:tc>
        <w:tc>
          <w:tcPr>
            <w:tcW w:w="9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10.00%</w:t>
            </w:r>
          </w:p>
        </w:tc>
        <w:tc>
          <w:tcPr>
            <w:tcW w:w="160" w:type="dxa"/>
            <w:vAlign w:val="bottom"/>
          </w:tcPr>
          <w:p>
            <w:pPr>
              <w:spacing w:after="0"/>
              <w:rPr>
                <w:sz w:val="12"/>
                <w:szCs w:val="12"/>
                <w:color w:val="auto"/>
              </w:rPr>
            </w:pPr>
          </w:p>
        </w:tc>
        <w:tc>
          <w:tcPr>
            <w:tcW w:w="6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L+875</w:t>
            </w:r>
          </w:p>
        </w:tc>
        <w:tc>
          <w:tcPr>
            <w:tcW w:w="7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1,700,000</w:t>
            </w:r>
          </w:p>
        </w:tc>
        <w:tc>
          <w:tcPr>
            <w:tcW w:w="8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1,668,423</w:t>
            </w:r>
          </w:p>
        </w:tc>
        <w:tc>
          <w:tcPr>
            <w:tcW w:w="9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1,640,500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(5), (6), (8)</w:t>
            </w:r>
          </w:p>
        </w:tc>
        <w:tc>
          <w:tcPr>
            <w:tcW w:w="3400" w:type="dxa"/>
            <w:vAlign w:val="bottom"/>
            <w:gridSpan w:val="6"/>
            <w:shd w:val="clear" w:color="auto" w:fill="CCEEFF"/>
          </w:tcPr>
          <w:p>
            <w:pPr>
              <w:ind w:left="1000"/>
              <w:spacing w:after="0" w:line="149" w:lineRule="exact"/>
              <w:rPr>
                <w:sz w:val="20"/>
                <w:szCs w:val="20"/>
                <w:color w:val="auto"/>
              </w:rPr>
            </w:pPr>
            <w:r>
              <w:rPr>
                <w:rFonts w:ascii="Arial" w:cs="Arial" w:eastAsia="Arial" w:hAnsi="Arial"/>
                <w:sz w:val="14"/>
                <w:szCs w:val="14"/>
                <w:color w:val="auto"/>
                <w:w w:val="95"/>
              </w:rPr>
              <w:t>05/15/2019   Hotel, Gaming and Leisure</w:t>
            </w:r>
          </w:p>
        </w:tc>
        <w:tc>
          <w:tcPr>
            <w:tcW w:w="9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9.13%</w:t>
            </w:r>
          </w:p>
        </w:tc>
        <w:tc>
          <w:tcPr>
            <w:tcW w:w="16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1,500,000</w:t>
            </w:r>
          </w:p>
        </w:tc>
        <w:tc>
          <w:tcPr>
            <w:tcW w:w="100" w:type="dxa"/>
            <w:vAlign w:val="bottom"/>
            <w:shd w:val="clear" w:color="auto" w:fill="CCEEFF"/>
          </w:tcPr>
          <w:p>
            <w:pPr>
              <w:spacing w:after="0"/>
              <w:rPr>
                <w:sz w:val="12"/>
                <w:szCs w:val="12"/>
                <w:color w:val="auto"/>
              </w:rPr>
            </w:pPr>
          </w:p>
        </w:tc>
        <w:tc>
          <w:tcPr>
            <w:tcW w:w="74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1,500,000</w:t>
            </w:r>
          </w:p>
        </w:tc>
        <w:tc>
          <w:tcPr>
            <w:tcW w:w="16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1,623,750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36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Second Lien Secured Debt</w:t>
            </w:r>
          </w:p>
        </w:tc>
        <w:tc>
          <w:tcPr>
            <w:tcW w:w="10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9,997,477</w:t>
            </w:r>
          </w:p>
        </w:tc>
        <w:tc>
          <w:tcPr>
            <w:tcW w:w="92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10,347,423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6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Subordinated Debt/Corporate Notes—8.6%</w:t>
            </w:r>
            <w:r>
              <w:rPr>
                <w:rFonts w:ascii="Arial" w:cs="Arial" w:eastAsia="Arial" w:hAnsi="Arial"/>
                <w:sz w:val="17"/>
                <w:szCs w:val="17"/>
                <w:b w:val="1"/>
                <w:bCs w:val="1"/>
                <w:color w:val="auto"/>
                <w:vertAlign w:val="superscript"/>
              </w:rPr>
              <w:t>(8)</w:t>
            </w:r>
          </w:p>
        </w:tc>
        <w:tc>
          <w:tcPr>
            <w:tcW w:w="10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tcPr>
          <w:p>
            <w:pPr>
              <w:spacing w:after="0" w:line="138" w:lineRule="exact"/>
              <w:rPr>
                <w:sz w:val="20"/>
                <w:szCs w:val="20"/>
                <w:color w:val="auto"/>
              </w:rPr>
            </w:pPr>
            <w:r>
              <w:rPr>
                <w:rFonts w:ascii="Arial" w:cs="Arial" w:eastAsia="Arial" w:hAnsi="Arial"/>
                <w:sz w:val="14"/>
                <w:szCs w:val="14"/>
                <w:color w:val="auto"/>
              </w:rPr>
              <w:t>Affinion Group Holdings, Inc.</w:t>
            </w:r>
          </w:p>
        </w:tc>
        <w:tc>
          <w:tcPr>
            <w:tcW w:w="1680" w:type="dxa"/>
            <w:vAlign w:val="bottom"/>
            <w:gridSpan w:val="3"/>
          </w:tcPr>
          <w:p>
            <w:pPr>
              <w:ind w:left="1000"/>
              <w:spacing w:after="0" w:line="138" w:lineRule="exact"/>
              <w:rPr>
                <w:sz w:val="20"/>
                <w:szCs w:val="20"/>
                <w:color w:val="auto"/>
              </w:rPr>
            </w:pPr>
            <w:r>
              <w:rPr>
                <w:rFonts w:ascii="Arial" w:cs="Arial" w:eastAsia="Arial" w:hAnsi="Arial"/>
                <w:sz w:val="14"/>
                <w:szCs w:val="14"/>
                <w:color w:val="auto"/>
                <w:w w:val="94"/>
              </w:rPr>
              <w:t>11/15/2015</w:t>
            </w:r>
          </w:p>
        </w:tc>
        <w:tc>
          <w:tcPr>
            <w:tcW w:w="172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7"/>
              </w:rPr>
              <w:t>Consumer Goods: Non-</w:t>
            </w:r>
          </w:p>
        </w:tc>
        <w:tc>
          <w:tcPr>
            <w:tcW w:w="9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11.63%</w:t>
            </w:r>
          </w:p>
        </w:tc>
        <w:tc>
          <w:tcPr>
            <w:tcW w:w="160" w:type="dxa"/>
            <w:vAlign w:val="bottom"/>
          </w:tcPr>
          <w:p>
            <w:pPr>
              <w:spacing w:after="0"/>
              <w:rPr>
                <w:sz w:val="11"/>
                <w:szCs w:val="11"/>
                <w:color w:val="auto"/>
              </w:rPr>
            </w:pPr>
          </w:p>
        </w:tc>
        <w:tc>
          <w:tcPr>
            <w:tcW w:w="660" w:type="dxa"/>
            <w:vAlign w:val="bottom"/>
            <w:gridSpan w:val="2"/>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4,100,000</w:t>
            </w:r>
          </w:p>
        </w:tc>
        <w:tc>
          <w:tcPr>
            <w:tcW w:w="84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3,831,006</w:t>
            </w:r>
          </w:p>
        </w:tc>
        <w:tc>
          <w:tcPr>
            <w:tcW w:w="92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2,603,500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20" w:type="dxa"/>
            <w:vAlign w:val="bottom"/>
            <w:gridSpan w:val="2"/>
          </w:tcPr>
          <w:p>
            <w:pPr>
              <w:jc w:val="center"/>
              <w:ind w:right="640"/>
              <w:spacing w:after="0" w:line="159" w:lineRule="exact"/>
              <w:rPr>
                <w:sz w:val="20"/>
                <w:szCs w:val="20"/>
                <w:color w:val="auto"/>
              </w:rPr>
            </w:pPr>
            <w:r>
              <w:rPr>
                <w:rFonts w:ascii="Arial" w:cs="Arial" w:eastAsia="Arial" w:hAnsi="Arial"/>
                <w:sz w:val="14"/>
                <w:szCs w:val="14"/>
                <w:color w:val="auto"/>
                <w:w w:val="89"/>
              </w:rPr>
              <w:t>Durable</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6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3400" w:type="dxa"/>
            <w:vAlign w:val="bottom"/>
            <w:gridSpan w:val="6"/>
            <w:shd w:val="clear" w:color="auto" w:fill="CCEEFF"/>
          </w:tcPr>
          <w:p>
            <w:pPr>
              <w:ind w:left="1000"/>
              <w:spacing w:after="0" w:line="138" w:lineRule="exact"/>
              <w:rPr>
                <w:sz w:val="20"/>
                <w:szCs w:val="20"/>
                <w:color w:val="auto"/>
              </w:rPr>
            </w:pPr>
            <w:r>
              <w:rPr>
                <w:rFonts w:ascii="Arial" w:cs="Arial" w:eastAsia="Arial" w:hAnsi="Arial"/>
                <w:sz w:val="14"/>
                <w:szCs w:val="14"/>
                <w:color w:val="auto"/>
                <w:w w:val="90"/>
              </w:rPr>
              <w:t>06/03/2019  Beverage, Food and Tobacco</w:t>
            </w:r>
          </w:p>
        </w:tc>
        <w:tc>
          <w:tcPr>
            <w:tcW w:w="960" w:type="dxa"/>
            <w:vAlign w:val="bottom"/>
            <w:gridSpan w:val="3"/>
            <w:shd w:val="clear" w:color="auto" w:fill="CCEEFF"/>
          </w:tcPr>
          <w:p>
            <w:pPr>
              <w:jc w:val="right"/>
              <w:ind w:right="200"/>
              <w:spacing w:after="0" w:line="138" w:lineRule="exact"/>
              <w:rPr>
                <w:sz w:val="20"/>
                <w:szCs w:val="20"/>
                <w:color w:val="auto"/>
              </w:rPr>
            </w:pPr>
            <w:r>
              <w:rPr>
                <w:rFonts w:ascii="Arial" w:cs="Arial" w:eastAsia="Arial" w:hAnsi="Arial"/>
                <w:sz w:val="14"/>
                <w:szCs w:val="14"/>
                <w:color w:val="auto"/>
              </w:rPr>
              <w:t>14.25%</w:t>
            </w:r>
          </w:p>
        </w:tc>
        <w:tc>
          <w:tcPr>
            <w:tcW w:w="160" w:type="dxa"/>
            <w:vAlign w:val="bottom"/>
            <w:shd w:val="clear" w:color="auto" w:fill="CCEEFF"/>
          </w:tcPr>
          <w:p>
            <w:pPr>
              <w:spacing w:after="0"/>
              <w:rPr>
                <w:sz w:val="11"/>
                <w:szCs w:val="11"/>
                <w:color w:val="auto"/>
              </w:rPr>
            </w:pPr>
          </w:p>
        </w:tc>
        <w:tc>
          <w:tcPr>
            <w:tcW w:w="660" w:type="dxa"/>
            <w:vAlign w:val="bottom"/>
            <w:gridSpan w:val="2"/>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4,560,151</w:t>
            </w:r>
          </w:p>
        </w:tc>
        <w:tc>
          <w:tcPr>
            <w:tcW w:w="84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4,483,524</w:t>
            </w:r>
          </w:p>
        </w:tc>
        <w:tc>
          <w:tcPr>
            <w:tcW w:w="92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4,696,956</w:t>
            </w: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w w:val="98"/>
              </w:rPr>
              <w:t>(PIK 2.25 %)</w:t>
            </w: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460" w:right="2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3"/>
              </w:rPr>
              <w:t>Basis Point</w:t>
            </w: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Spread</w:t>
            </w: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w w:val="86"/>
              </w:rPr>
              <w:t>Current</w:t>
            </w:r>
          </w:p>
        </w:tc>
        <w:tc>
          <w:tcPr>
            <w:tcW w:w="180" w:type="dxa"/>
            <w:vAlign w:val="bottom"/>
          </w:tcPr>
          <w:p>
            <w:pPr>
              <w:spacing w:after="0"/>
              <w:rPr>
                <w:sz w:val="11"/>
                <w:szCs w:val="11"/>
                <w:color w:val="auto"/>
              </w:rPr>
            </w:pPr>
          </w:p>
        </w:tc>
        <w:tc>
          <w:tcPr>
            <w:tcW w:w="680" w:type="dxa"/>
            <w:vAlign w:val="bottom"/>
            <w:gridSpan w:val="2"/>
          </w:tcPr>
          <w:p>
            <w:pPr>
              <w:jc w:val="center"/>
              <w:ind w:right="220"/>
              <w:spacing w:after="0" w:line="135" w:lineRule="exact"/>
              <w:rPr>
                <w:sz w:val="20"/>
                <w:szCs w:val="20"/>
                <w:color w:val="auto"/>
              </w:rPr>
            </w:pPr>
            <w:r>
              <w:rPr>
                <w:rFonts w:ascii="Arial" w:cs="Arial" w:eastAsia="Arial" w:hAnsi="Arial"/>
                <w:sz w:val="14"/>
                <w:szCs w:val="14"/>
                <w:b w:val="1"/>
                <w:bCs w:val="1"/>
                <w:color w:val="auto"/>
                <w:w w:val="88"/>
              </w:rPr>
              <w:t>Above</w:t>
            </w:r>
          </w:p>
        </w:tc>
        <w:tc>
          <w:tcPr>
            <w:tcW w:w="160" w:type="dxa"/>
            <w:vAlign w:val="bottom"/>
          </w:tcPr>
          <w:p>
            <w:pPr>
              <w:spacing w:after="0"/>
              <w:rPr>
                <w:sz w:val="11"/>
                <w:szCs w:val="11"/>
                <w:color w:val="auto"/>
              </w:rPr>
            </w:pPr>
          </w:p>
        </w:tc>
        <w:tc>
          <w:tcPr>
            <w:tcW w:w="680" w:type="dxa"/>
            <w:vAlign w:val="bottom"/>
            <w:gridSpan w:val="2"/>
          </w:tcPr>
          <w:p>
            <w:pPr>
              <w:jc w:val="right"/>
              <w:ind w:right="320"/>
              <w:spacing w:after="0" w:line="135" w:lineRule="exact"/>
              <w:rPr>
                <w:sz w:val="20"/>
                <w:szCs w:val="20"/>
                <w:color w:val="auto"/>
              </w:rPr>
            </w:pPr>
            <w:r>
              <w:rPr>
                <w:rFonts w:ascii="Arial" w:cs="Arial" w:eastAsia="Arial" w:hAnsi="Arial"/>
                <w:sz w:val="14"/>
                <w:szCs w:val="14"/>
                <w:b w:val="1"/>
                <w:bCs w:val="1"/>
                <w:color w:val="auto"/>
              </w:rPr>
              <w:t>Par /</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374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80" w:type="dxa"/>
            <w:vAlign w:val="bottom"/>
          </w:tcPr>
          <w:p>
            <w:pPr>
              <w:spacing w:after="0"/>
              <w:rPr>
                <w:sz w:val="15"/>
                <w:szCs w:val="15"/>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Maturity</w:t>
            </w:r>
          </w:p>
        </w:tc>
        <w:tc>
          <w:tcPr>
            <w:tcW w:w="820" w:type="dxa"/>
            <w:vAlign w:val="bottom"/>
          </w:tcPr>
          <w:p>
            <w:pPr>
              <w:spacing w:after="0"/>
              <w:rPr>
                <w:sz w:val="15"/>
                <w:szCs w:val="15"/>
                <w:color w:val="auto"/>
              </w:rPr>
            </w:pPr>
          </w:p>
        </w:tc>
        <w:tc>
          <w:tcPr>
            <w:tcW w:w="1360" w:type="dxa"/>
            <w:vAlign w:val="bottom"/>
            <w:gridSpan w:val="2"/>
          </w:tcPr>
          <w:p>
            <w:pPr>
              <w:jc w:val="center"/>
              <w:ind w:right="860"/>
              <w:spacing w:after="0"/>
              <w:rPr>
                <w:sz w:val="20"/>
                <w:szCs w:val="20"/>
                <w:color w:val="auto"/>
              </w:rPr>
            </w:pPr>
            <w:r>
              <w:rPr>
                <w:rFonts w:ascii="Arial" w:cs="Arial" w:eastAsia="Arial" w:hAnsi="Arial"/>
                <w:sz w:val="14"/>
                <w:szCs w:val="14"/>
                <w:b w:val="1"/>
                <w:bCs w:val="1"/>
                <w:color w:val="auto"/>
                <w:w w:val="90"/>
              </w:rPr>
              <w:t>Industry</w:t>
            </w:r>
          </w:p>
        </w:tc>
        <w:tc>
          <w:tcPr>
            <w:tcW w:w="220" w:type="dxa"/>
            <w:vAlign w:val="bottom"/>
          </w:tcPr>
          <w:p>
            <w:pPr>
              <w:spacing w:after="0"/>
              <w:rPr>
                <w:sz w:val="15"/>
                <w:szCs w:val="15"/>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3"/>
              </w:rPr>
              <w:t>Coupon</w:t>
            </w:r>
          </w:p>
        </w:tc>
        <w:tc>
          <w:tcPr>
            <w:tcW w:w="180" w:type="dxa"/>
            <w:vAlign w:val="bottom"/>
          </w:tcPr>
          <w:p>
            <w:pPr>
              <w:spacing w:after="0"/>
              <w:rPr>
                <w:sz w:val="15"/>
                <w:szCs w:val="15"/>
                <w:color w:val="auto"/>
              </w:rPr>
            </w:pPr>
          </w:p>
        </w:tc>
        <w:tc>
          <w:tcPr>
            <w:tcW w:w="680" w:type="dxa"/>
            <w:vAlign w:val="bottom"/>
            <w:gridSpan w:val="2"/>
          </w:tcPr>
          <w:p>
            <w:pPr>
              <w:jc w:val="center"/>
              <w:ind w:right="220"/>
              <w:spacing w:after="0" w:line="176" w:lineRule="exact"/>
              <w:rPr>
                <w:sz w:val="20"/>
                <w:szCs w:val="20"/>
                <w:color w:val="auto"/>
              </w:rPr>
            </w:pPr>
            <w:r>
              <w:rPr>
                <w:rFonts w:ascii="Arial" w:cs="Arial" w:eastAsia="Arial" w:hAnsi="Arial"/>
                <w:sz w:val="13"/>
                <w:szCs w:val="13"/>
                <w:b w:val="1"/>
                <w:bCs w:val="1"/>
                <w:color w:val="auto"/>
                <w:w w:val="91"/>
              </w:rPr>
              <w:t>Index</w:t>
            </w:r>
            <w:r>
              <w:rPr>
                <w:rFonts w:ascii="Arial" w:cs="Arial" w:eastAsia="Arial" w:hAnsi="Arial"/>
                <w:sz w:val="20"/>
                <w:szCs w:val="20"/>
                <w:b w:val="1"/>
                <w:bCs w:val="1"/>
                <w:color w:val="auto"/>
                <w:w w:val="91"/>
                <w:vertAlign w:val="superscript"/>
              </w:rPr>
              <w:t>(1)</w:t>
            </w:r>
          </w:p>
        </w:tc>
        <w:tc>
          <w:tcPr>
            <w:tcW w:w="160" w:type="dxa"/>
            <w:vAlign w:val="bottom"/>
          </w:tcPr>
          <w:p>
            <w:pPr>
              <w:spacing w:after="0"/>
              <w:rPr>
                <w:sz w:val="15"/>
                <w:szCs w:val="15"/>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Shares</w:t>
            </w:r>
          </w:p>
        </w:tc>
        <w:tc>
          <w:tcPr>
            <w:tcW w:w="960" w:type="dxa"/>
            <w:vAlign w:val="bottom"/>
            <w:gridSpan w:val="4"/>
          </w:tcPr>
          <w:p>
            <w:pPr>
              <w:ind w:left="260"/>
              <w:spacing w:after="0"/>
              <w:rPr>
                <w:sz w:val="20"/>
                <w:szCs w:val="20"/>
                <w:color w:val="auto"/>
              </w:rPr>
            </w:pPr>
            <w:r>
              <w:rPr>
                <w:rFonts w:ascii="Arial" w:cs="Arial" w:eastAsia="Arial" w:hAnsi="Arial"/>
                <w:sz w:val="14"/>
                <w:szCs w:val="14"/>
                <w:b w:val="1"/>
                <w:bCs w:val="1"/>
                <w:color w:val="auto"/>
              </w:rPr>
              <w:t>Cost</w:t>
            </w:r>
          </w:p>
        </w:tc>
        <w:tc>
          <w:tcPr>
            <w:tcW w:w="20" w:type="dxa"/>
            <w:vAlign w:val="bottom"/>
          </w:tcPr>
          <w:p>
            <w:pPr>
              <w:spacing w:after="0"/>
              <w:rPr>
                <w:sz w:val="15"/>
                <w:szCs w:val="15"/>
                <w:color w:val="auto"/>
              </w:rPr>
            </w:pPr>
          </w:p>
        </w:tc>
        <w:tc>
          <w:tcPr>
            <w:tcW w:w="880" w:type="dxa"/>
            <w:vAlign w:val="bottom"/>
            <w:gridSpan w:val="4"/>
          </w:tcPr>
          <w:p>
            <w:pPr>
              <w:jc w:val="right"/>
              <w:ind w:right="140"/>
              <w:spacing w:after="0" w:line="176" w:lineRule="exact"/>
              <w:rPr>
                <w:sz w:val="20"/>
                <w:szCs w:val="20"/>
                <w:color w:val="auto"/>
              </w:rPr>
            </w:pPr>
            <w:r>
              <w:rPr>
                <w:rFonts w:ascii="Arial" w:cs="Arial" w:eastAsia="Arial" w:hAnsi="Arial"/>
                <w:sz w:val="13"/>
                <w:szCs w:val="13"/>
                <w:b w:val="1"/>
                <w:bCs w:val="1"/>
                <w:color w:val="auto"/>
                <w:w w:val="91"/>
              </w:rPr>
              <w:t>Fair Value</w:t>
            </w:r>
            <w:r>
              <w:rPr>
                <w:rFonts w:ascii="Arial" w:cs="Arial" w:eastAsia="Arial" w:hAnsi="Arial"/>
                <w:sz w:val="20"/>
                <w:szCs w:val="20"/>
                <w:b w:val="1"/>
                <w:bCs w:val="1"/>
                <w:color w:val="auto"/>
                <w:w w:val="91"/>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20" w:type="dxa"/>
            <w:vAlign w:val="bottom"/>
            <w:vMerge w:val="continue"/>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Varel International Energy Mezzanine Funding Corp.</w:t>
            </w:r>
          </w:p>
        </w:tc>
        <w:tc>
          <w:tcPr>
            <w:tcW w:w="94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8"/>
              </w:rPr>
              <w:t>01/15/2018</w:t>
            </w:r>
          </w:p>
        </w:tc>
        <w:tc>
          <w:tcPr>
            <w:tcW w:w="218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87"/>
              </w:rPr>
              <w:t>Energy: Oil and Gas</w:t>
            </w:r>
          </w:p>
        </w:tc>
        <w:tc>
          <w:tcPr>
            <w:tcW w:w="1000" w:type="dxa"/>
            <w:vAlign w:val="bottom"/>
            <w:gridSpan w:val="3"/>
            <w:shd w:val="clear" w:color="auto" w:fill="CCEEFF"/>
          </w:tcPr>
          <w:p>
            <w:pPr>
              <w:jc w:val="right"/>
              <w:ind w:right="120"/>
              <w:spacing w:after="0" w:line="138" w:lineRule="exact"/>
              <w:rPr>
                <w:sz w:val="20"/>
                <w:szCs w:val="20"/>
                <w:color w:val="auto"/>
              </w:rPr>
            </w:pPr>
            <w:r>
              <w:rPr>
                <w:rFonts w:ascii="Arial" w:cs="Arial" w:eastAsia="Arial" w:hAnsi="Arial"/>
                <w:sz w:val="14"/>
                <w:szCs w:val="14"/>
                <w:color w:val="auto"/>
              </w:rPr>
              <w:t>14.00%</w:t>
            </w:r>
          </w:p>
        </w:tc>
        <w:tc>
          <w:tcPr>
            <w:tcW w:w="180" w:type="dxa"/>
            <w:vAlign w:val="bottom"/>
            <w:shd w:val="clear" w:color="auto" w:fill="CCEEFF"/>
          </w:tcPr>
          <w:p>
            <w:pPr>
              <w:spacing w:after="0"/>
              <w:rPr>
                <w:sz w:val="11"/>
                <w:szCs w:val="11"/>
                <w:color w:val="auto"/>
              </w:rPr>
            </w:pPr>
          </w:p>
        </w:tc>
        <w:tc>
          <w:tcPr>
            <w:tcW w:w="680" w:type="dxa"/>
            <w:vAlign w:val="bottom"/>
            <w:gridSpan w:val="2"/>
            <w:shd w:val="clear" w:color="auto" w:fill="CCEEFF"/>
          </w:tcPr>
          <w:p>
            <w:pPr>
              <w:ind w:left="36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60"/>
              <w:spacing w:after="0" w:line="138" w:lineRule="exact"/>
              <w:rPr>
                <w:sz w:val="20"/>
                <w:szCs w:val="20"/>
                <w:color w:val="auto"/>
              </w:rPr>
            </w:pPr>
            <w:r>
              <w:rPr>
                <w:rFonts w:ascii="Arial" w:cs="Arial" w:eastAsia="Arial" w:hAnsi="Arial"/>
                <w:sz w:val="14"/>
                <w:szCs w:val="14"/>
                <w:color w:val="auto"/>
              </w:rPr>
              <w:t>1,774,080</w:t>
            </w:r>
          </w:p>
        </w:tc>
        <w:tc>
          <w:tcPr>
            <w:tcW w:w="960" w:type="dxa"/>
            <w:vAlign w:val="bottom"/>
            <w:gridSpan w:val="4"/>
            <w:shd w:val="clear" w:color="auto" w:fill="CCEEFF"/>
          </w:tcPr>
          <w:p>
            <w:pPr>
              <w:jc w:val="right"/>
              <w:ind w:right="180"/>
              <w:spacing w:after="0" w:line="138" w:lineRule="exact"/>
              <w:rPr>
                <w:sz w:val="20"/>
                <w:szCs w:val="20"/>
                <w:color w:val="auto"/>
              </w:rPr>
            </w:pPr>
            <w:r>
              <w:rPr>
                <w:rFonts w:ascii="Arial" w:cs="Arial" w:eastAsia="Arial" w:hAnsi="Arial"/>
                <w:sz w:val="14"/>
                <w:szCs w:val="14"/>
                <w:color w:val="auto"/>
              </w:rPr>
              <w:t>1,740,367</w:t>
            </w: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gridSpan w:val="2"/>
            <w:shd w:val="clear" w:color="auto" w:fill="CCEEFF"/>
          </w:tcPr>
          <w:p>
            <w:pPr>
              <w:jc w:val="right"/>
              <w:spacing w:after="0" w:line="138" w:lineRule="exact"/>
              <w:rPr>
                <w:sz w:val="20"/>
                <w:szCs w:val="20"/>
                <w:color w:val="auto"/>
              </w:rPr>
            </w:pPr>
            <w:r>
              <w:rPr>
                <w:rFonts w:ascii="Arial" w:cs="Arial" w:eastAsia="Arial" w:hAnsi="Arial"/>
                <w:sz w:val="14"/>
                <w:szCs w:val="14"/>
                <w:color w:val="auto"/>
              </w:rPr>
              <w:t>1,766,608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(PIK 4.00 %)</w:t>
            </w:r>
          </w:p>
        </w:tc>
        <w:tc>
          <w:tcPr>
            <w:tcW w:w="1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tcPr>
          <w:p>
            <w:pPr>
              <w:spacing w:after="0" w:line="138" w:lineRule="exact"/>
              <w:rPr>
                <w:sz w:val="20"/>
                <w:szCs w:val="20"/>
                <w:color w:val="auto"/>
              </w:rPr>
            </w:pPr>
            <w:r>
              <w:rPr>
                <w:rFonts w:ascii="Arial" w:cs="Arial" w:eastAsia="Arial" w:hAnsi="Arial"/>
                <w:sz w:val="14"/>
                <w:szCs w:val="14"/>
                <w:color w:val="auto"/>
              </w:rPr>
              <w:t>Vestcom International, Inc.</w:t>
            </w:r>
          </w:p>
        </w:tc>
        <w:tc>
          <w:tcPr>
            <w:tcW w:w="94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88"/>
              </w:rPr>
              <w:t>06/27/2019</w:t>
            </w:r>
          </w:p>
        </w:tc>
        <w:tc>
          <w:tcPr>
            <w:tcW w:w="2180" w:type="dxa"/>
            <w:vAlign w:val="bottom"/>
            <w:gridSpan w:val="3"/>
          </w:tcPr>
          <w:p>
            <w:pPr>
              <w:jc w:val="center"/>
              <w:ind w:right="40"/>
              <w:spacing w:after="0" w:line="138" w:lineRule="exact"/>
              <w:rPr>
                <w:sz w:val="20"/>
                <w:szCs w:val="20"/>
                <w:color w:val="auto"/>
              </w:rPr>
            </w:pPr>
            <w:r>
              <w:rPr>
                <w:rFonts w:ascii="Arial" w:cs="Arial" w:eastAsia="Arial" w:hAnsi="Arial"/>
                <w:sz w:val="14"/>
                <w:szCs w:val="14"/>
                <w:color w:val="auto"/>
                <w:w w:val="90"/>
              </w:rPr>
              <w:t>Media: Advertising, Printing and</w:t>
            </w:r>
          </w:p>
        </w:tc>
        <w:tc>
          <w:tcPr>
            <w:tcW w:w="1000" w:type="dxa"/>
            <w:vAlign w:val="bottom"/>
            <w:gridSpan w:val="3"/>
          </w:tcPr>
          <w:p>
            <w:pPr>
              <w:jc w:val="right"/>
              <w:ind w:right="120"/>
              <w:spacing w:after="0" w:line="138" w:lineRule="exact"/>
              <w:rPr>
                <w:sz w:val="20"/>
                <w:szCs w:val="20"/>
                <w:color w:val="auto"/>
              </w:rPr>
            </w:pPr>
            <w:r>
              <w:rPr>
                <w:rFonts w:ascii="Arial" w:cs="Arial" w:eastAsia="Arial" w:hAnsi="Arial"/>
                <w:sz w:val="14"/>
                <w:szCs w:val="14"/>
                <w:color w:val="auto"/>
              </w:rPr>
              <w:t>12.00%</w:t>
            </w:r>
          </w:p>
        </w:tc>
        <w:tc>
          <w:tcPr>
            <w:tcW w:w="180" w:type="dxa"/>
            <w:vAlign w:val="bottom"/>
          </w:tcPr>
          <w:p>
            <w:pPr>
              <w:spacing w:after="0"/>
              <w:rPr>
                <w:sz w:val="11"/>
                <w:szCs w:val="11"/>
                <w:color w:val="auto"/>
              </w:rPr>
            </w:pPr>
          </w:p>
        </w:tc>
        <w:tc>
          <w:tcPr>
            <w:tcW w:w="680" w:type="dxa"/>
            <w:vAlign w:val="bottom"/>
            <w:gridSpan w:val="2"/>
          </w:tcPr>
          <w:p>
            <w:pPr>
              <w:ind w:left="360"/>
              <w:spacing w:after="0" w:line="138"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60"/>
              <w:spacing w:after="0" w:line="138" w:lineRule="exact"/>
              <w:rPr>
                <w:sz w:val="20"/>
                <w:szCs w:val="20"/>
                <w:color w:val="auto"/>
              </w:rPr>
            </w:pPr>
            <w:r>
              <w:rPr>
                <w:rFonts w:ascii="Arial" w:cs="Arial" w:eastAsia="Arial" w:hAnsi="Arial"/>
                <w:sz w:val="14"/>
                <w:szCs w:val="14"/>
                <w:color w:val="auto"/>
              </w:rPr>
              <w:t>2,859,027</w:t>
            </w:r>
          </w:p>
        </w:tc>
        <w:tc>
          <w:tcPr>
            <w:tcW w:w="960" w:type="dxa"/>
            <w:vAlign w:val="bottom"/>
            <w:gridSpan w:val="4"/>
          </w:tcPr>
          <w:p>
            <w:pPr>
              <w:jc w:val="right"/>
              <w:ind w:right="180"/>
              <w:spacing w:after="0" w:line="138" w:lineRule="exact"/>
              <w:rPr>
                <w:sz w:val="20"/>
                <w:szCs w:val="20"/>
                <w:color w:val="auto"/>
              </w:rPr>
            </w:pPr>
            <w:r>
              <w:rPr>
                <w:rFonts w:ascii="Arial" w:cs="Arial" w:eastAsia="Arial" w:hAnsi="Arial"/>
                <w:sz w:val="14"/>
                <w:szCs w:val="14"/>
                <w:color w:val="auto"/>
              </w:rPr>
              <w:t>2,803,341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spacing w:after="0" w:line="138" w:lineRule="exact"/>
              <w:rPr>
                <w:sz w:val="20"/>
                <w:szCs w:val="20"/>
                <w:color w:val="auto"/>
              </w:rPr>
            </w:pPr>
            <w:r>
              <w:rPr>
                <w:rFonts w:ascii="Arial" w:cs="Arial" w:eastAsia="Arial" w:hAnsi="Arial"/>
                <w:sz w:val="14"/>
                <w:szCs w:val="14"/>
                <w:color w:val="auto"/>
              </w:rPr>
              <w:t>2,837,100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9"/>
              </w:rPr>
              <w:t>Publishing</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gridSpan w:val="4"/>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12,858,238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11,904,164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Preferred Equity/Partnership Interests—0.2%</w:t>
            </w:r>
            <w:r>
              <w:rPr>
                <w:rFonts w:ascii="Arial" w:cs="Arial" w:eastAsia="Arial" w:hAnsi="Arial"/>
                <w:sz w:val="18"/>
                <w:szCs w:val="18"/>
                <w:b w:val="1"/>
                <w:bCs w:val="1"/>
                <w:color w:val="auto"/>
                <w:vertAlign w:val="superscript"/>
              </w:rPr>
              <w:t>(7), (8)</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0"/>
              </w:rPr>
              <w:t>TrustHouse Services Holdings, LLC (TrustHouse Services Group,</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Inc.)</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2180" w:type="dxa"/>
            <w:vAlign w:val="bottom"/>
            <w:gridSpan w:val="3"/>
            <w:shd w:val="clear" w:color="auto" w:fill="CCEEFF"/>
          </w:tcPr>
          <w:p>
            <w:pPr>
              <w:jc w:val="center"/>
              <w:ind w:right="40"/>
              <w:spacing w:after="0" w:line="159" w:lineRule="exact"/>
              <w:rPr>
                <w:sz w:val="20"/>
                <w:szCs w:val="20"/>
                <w:color w:val="auto"/>
              </w:rPr>
            </w:pPr>
            <w:r>
              <w:rPr>
                <w:rFonts w:ascii="Arial" w:cs="Arial" w:eastAsia="Arial" w:hAnsi="Arial"/>
                <w:sz w:val="14"/>
                <w:szCs w:val="14"/>
                <w:color w:val="auto"/>
                <w:w w:val="85"/>
              </w:rPr>
              <w:t>Beverage, Food and Tobacco</w:t>
            </w:r>
          </w:p>
        </w:tc>
        <w:tc>
          <w:tcPr>
            <w:tcW w:w="1000" w:type="dxa"/>
            <w:vAlign w:val="bottom"/>
            <w:gridSpan w:val="3"/>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12.50%</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176</w:t>
            </w:r>
          </w:p>
        </w:tc>
        <w:tc>
          <w:tcPr>
            <w:tcW w:w="96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110,697</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243,338</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Common Equity/Partnership Interests—1.2%</w:t>
            </w:r>
            <w:r>
              <w:rPr>
                <w:rFonts w:ascii="Arial" w:cs="Arial" w:eastAsia="Arial" w:hAnsi="Arial"/>
                <w:sz w:val="18"/>
                <w:szCs w:val="18"/>
                <w:b w:val="1"/>
                <w:bCs w:val="1"/>
                <w:color w:val="auto"/>
                <w:vertAlign w:val="superscript"/>
              </w:rPr>
              <w:t>(7), (8)</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Titan Private Holdings I, LLC</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180" w:type="dxa"/>
            <w:vAlign w:val="bottom"/>
            <w:shd w:val="clear" w:color="auto" w:fill="CCEEFF"/>
          </w:tcPr>
          <w:p>
            <w:pPr>
              <w:spacing w:after="0"/>
              <w:rPr>
                <w:sz w:val="13"/>
                <w:szCs w:val="13"/>
                <w:color w:val="auto"/>
              </w:rPr>
            </w:pPr>
          </w:p>
        </w:tc>
        <w:tc>
          <w:tcPr>
            <w:tcW w:w="760" w:type="dxa"/>
            <w:vAlign w:val="bottom"/>
            <w:gridSpan w:val="2"/>
            <w:shd w:val="clear" w:color="auto" w:fill="CCEEFF"/>
          </w:tcPr>
          <w:p>
            <w:pPr>
              <w:ind w:left="160"/>
              <w:spacing w:after="0" w:line="159" w:lineRule="exact"/>
              <w:rPr>
                <w:sz w:val="20"/>
                <w:szCs w:val="20"/>
                <w:color w:val="auto"/>
              </w:rPr>
            </w:pPr>
            <w:r>
              <w:rPr>
                <w:rFonts w:ascii="Arial" w:cs="Arial" w:eastAsia="Arial" w:hAnsi="Arial"/>
                <w:sz w:val="14"/>
                <w:szCs w:val="14"/>
                <w:color w:val="auto"/>
              </w:rPr>
              <w:t>—</w:t>
            </w:r>
          </w:p>
        </w:tc>
        <w:tc>
          <w:tcPr>
            <w:tcW w:w="2180" w:type="dxa"/>
            <w:vAlign w:val="bottom"/>
            <w:gridSpan w:val="3"/>
            <w:shd w:val="clear" w:color="auto" w:fill="CCEEFF"/>
          </w:tcPr>
          <w:p>
            <w:pPr>
              <w:jc w:val="center"/>
              <w:ind w:right="20"/>
              <w:spacing w:after="0" w:line="159" w:lineRule="exact"/>
              <w:rPr>
                <w:sz w:val="20"/>
                <w:szCs w:val="20"/>
                <w:color w:val="auto"/>
              </w:rPr>
            </w:pPr>
            <w:r>
              <w:rPr>
                <w:rFonts w:ascii="Arial" w:cs="Arial" w:eastAsia="Arial" w:hAnsi="Arial"/>
                <w:sz w:val="14"/>
                <w:szCs w:val="14"/>
                <w:color w:val="auto"/>
                <w:w w:val="87"/>
              </w:rPr>
              <w:t>Telecommunications</w:t>
            </w:r>
          </w:p>
        </w:tc>
        <w:tc>
          <w:tcPr>
            <w:tcW w:w="2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401,797</w:t>
            </w:r>
          </w:p>
        </w:tc>
        <w:tc>
          <w:tcPr>
            <w:tcW w:w="960" w:type="dxa"/>
            <w:vAlign w:val="bottom"/>
            <w:gridSpan w:val="4"/>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401,450</w:t>
            </w: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1,494,877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tcPr>
          <w:p>
            <w:pPr>
              <w:spacing w:after="0" w:line="138" w:lineRule="exact"/>
              <w:rPr>
                <w:sz w:val="20"/>
                <w:szCs w:val="20"/>
                <w:color w:val="auto"/>
              </w:rPr>
            </w:pPr>
            <w:r>
              <w:rPr>
                <w:rFonts w:ascii="Arial" w:cs="Arial" w:eastAsia="Arial" w:hAnsi="Arial"/>
                <w:sz w:val="14"/>
                <w:szCs w:val="14"/>
                <w:color w:val="auto"/>
                <w:w w:val="90"/>
              </w:rPr>
              <w:t>TrustHouse Services Holdings, LLC (TrustHouse Services Group,</w:t>
            </w: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3720" w:type="dxa"/>
            <w:vAlign w:val="bottom"/>
            <w:gridSpan w:val="2"/>
          </w:tcPr>
          <w:p>
            <w:pPr>
              <w:ind w:left="200"/>
              <w:spacing w:after="0" w:line="159" w:lineRule="exact"/>
              <w:rPr>
                <w:sz w:val="20"/>
                <w:szCs w:val="20"/>
                <w:color w:val="auto"/>
              </w:rPr>
            </w:pPr>
            <w:r>
              <w:rPr>
                <w:rFonts w:ascii="Arial" w:cs="Arial" w:eastAsia="Arial" w:hAnsi="Arial"/>
                <w:sz w:val="14"/>
                <w:szCs w:val="14"/>
                <w:color w:val="auto"/>
              </w:rPr>
              <w:t>Inc.)</w:t>
            </w:r>
          </w:p>
        </w:tc>
        <w:tc>
          <w:tcPr>
            <w:tcW w:w="180" w:type="dxa"/>
            <w:vAlign w:val="bottom"/>
          </w:tcPr>
          <w:p>
            <w:pPr>
              <w:spacing w:after="0"/>
              <w:rPr>
                <w:sz w:val="13"/>
                <w:szCs w:val="13"/>
                <w:color w:val="auto"/>
              </w:rPr>
            </w:pPr>
          </w:p>
        </w:tc>
        <w:tc>
          <w:tcPr>
            <w:tcW w:w="760" w:type="dxa"/>
            <w:vAlign w:val="bottom"/>
            <w:gridSpan w:val="2"/>
          </w:tcPr>
          <w:p>
            <w:pPr>
              <w:ind w:left="160"/>
              <w:spacing w:after="0" w:line="159" w:lineRule="exact"/>
              <w:rPr>
                <w:sz w:val="20"/>
                <w:szCs w:val="20"/>
                <w:color w:val="auto"/>
              </w:rPr>
            </w:pPr>
            <w:r>
              <w:rPr>
                <w:rFonts w:ascii="Arial" w:cs="Arial" w:eastAsia="Arial" w:hAnsi="Arial"/>
                <w:sz w:val="14"/>
                <w:szCs w:val="14"/>
                <w:color w:val="auto"/>
              </w:rPr>
              <w:t>—</w:t>
            </w:r>
          </w:p>
        </w:tc>
        <w:tc>
          <w:tcPr>
            <w:tcW w:w="2180" w:type="dxa"/>
            <w:vAlign w:val="bottom"/>
            <w:gridSpan w:val="3"/>
          </w:tcPr>
          <w:p>
            <w:pPr>
              <w:jc w:val="center"/>
              <w:ind w:right="40"/>
              <w:spacing w:after="0" w:line="159" w:lineRule="exact"/>
              <w:rPr>
                <w:sz w:val="20"/>
                <w:szCs w:val="20"/>
                <w:color w:val="auto"/>
              </w:rPr>
            </w:pPr>
            <w:r>
              <w:rPr>
                <w:rFonts w:ascii="Arial" w:cs="Arial" w:eastAsia="Arial" w:hAnsi="Arial"/>
                <w:sz w:val="14"/>
                <w:szCs w:val="14"/>
                <w:color w:val="auto"/>
                <w:w w:val="85"/>
              </w:rPr>
              <w:t>Beverage, Food and Tobacco</w:t>
            </w:r>
          </w:p>
        </w:tc>
        <w:tc>
          <w:tcPr>
            <w:tcW w:w="220" w:type="dxa"/>
            <w:vAlign w:val="bottom"/>
          </w:tcPr>
          <w:p>
            <w:pPr>
              <w:spacing w:after="0"/>
              <w:rPr>
                <w:sz w:val="13"/>
                <w:szCs w:val="13"/>
                <w:color w:val="auto"/>
              </w:rPr>
            </w:pPr>
          </w:p>
        </w:tc>
        <w:tc>
          <w:tcPr>
            <w:tcW w:w="780" w:type="dxa"/>
            <w:vAlign w:val="bottom"/>
            <w:gridSpan w:val="2"/>
          </w:tcPr>
          <w:p>
            <w:pPr>
              <w:jc w:val="right"/>
              <w:ind w:right="300"/>
              <w:spacing w:after="0" w:line="15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80" w:type="dxa"/>
            <w:vAlign w:val="bottom"/>
            <w:gridSpan w:val="2"/>
          </w:tcPr>
          <w:p>
            <w:pPr>
              <w:ind w:left="360"/>
              <w:spacing w:after="0" w:line="159" w:lineRule="exact"/>
              <w:rPr>
                <w:sz w:val="20"/>
                <w:szCs w:val="20"/>
                <w:color w:val="auto"/>
              </w:rPr>
            </w:pPr>
            <w:r>
              <w:rPr>
                <w:rFonts w:ascii="Arial" w:cs="Arial" w:eastAsia="Arial" w:hAnsi="Arial"/>
                <w:sz w:val="14"/>
                <w:szCs w:val="14"/>
                <w:color w:val="auto"/>
              </w:rPr>
              <w:t>—</w:t>
            </w:r>
          </w:p>
        </w:tc>
        <w:tc>
          <w:tcPr>
            <w:tcW w:w="840" w:type="dxa"/>
            <w:vAlign w:val="bottom"/>
            <w:gridSpan w:val="3"/>
          </w:tcPr>
          <w:p>
            <w:pPr>
              <w:jc w:val="right"/>
              <w:ind w:right="160"/>
              <w:spacing w:after="0" w:line="159" w:lineRule="exact"/>
              <w:rPr>
                <w:sz w:val="20"/>
                <w:szCs w:val="20"/>
                <w:color w:val="auto"/>
              </w:rPr>
            </w:pPr>
            <w:r>
              <w:rPr>
                <w:rFonts w:ascii="Arial" w:cs="Arial" w:eastAsia="Arial" w:hAnsi="Arial"/>
                <w:sz w:val="14"/>
                <w:szCs w:val="14"/>
                <w:color w:val="auto"/>
              </w:rPr>
              <w:t>8</w:t>
            </w:r>
          </w:p>
        </w:tc>
        <w:tc>
          <w:tcPr>
            <w:tcW w:w="960" w:type="dxa"/>
            <w:vAlign w:val="bottom"/>
            <w:gridSpan w:val="4"/>
          </w:tcPr>
          <w:p>
            <w:pPr>
              <w:jc w:val="right"/>
              <w:ind w:right="180"/>
              <w:spacing w:after="0" w:line="159" w:lineRule="exact"/>
              <w:rPr>
                <w:sz w:val="20"/>
                <w:szCs w:val="20"/>
                <w:color w:val="auto"/>
              </w:rPr>
            </w:pPr>
            <w:r>
              <w:rPr>
                <w:rFonts w:ascii="Arial" w:cs="Arial" w:eastAsia="Arial" w:hAnsi="Arial"/>
                <w:sz w:val="14"/>
                <w:szCs w:val="14"/>
                <w:color w:val="auto"/>
              </w:rPr>
              <w:t>5,000</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14,305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Vestcom Parent Holdings, Inc.</w:t>
            </w:r>
          </w:p>
        </w:tc>
        <w:tc>
          <w:tcPr>
            <w:tcW w:w="180" w:type="dxa"/>
            <w:vAlign w:val="bottom"/>
            <w:shd w:val="clear" w:color="auto" w:fill="CCEEFF"/>
          </w:tcPr>
          <w:p>
            <w:pPr>
              <w:spacing w:after="0"/>
              <w:rPr>
                <w:sz w:val="11"/>
                <w:szCs w:val="11"/>
                <w:color w:val="auto"/>
              </w:rPr>
            </w:pPr>
          </w:p>
        </w:tc>
        <w:tc>
          <w:tcPr>
            <w:tcW w:w="760" w:type="dxa"/>
            <w:vAlign w:val="bottom"/>
            <w:gridSpan w:val="2"/>
            <w:shd w:val="clear" w:color="auto" w:fill="CCEEFF"/>
          </w:tcPr>
          <w:p>
            <w:pPr>
              <w:ind w:left="160"/>
              <w:spacing w:after="0" w:line="138" w:lineRule="exact"/>
              <w:rPr>
                <w:sz w:val="20"/>
                <w:szCs w:val="20"/>
                <w:color w:val="auto"/>
              </w:rPr>
            </w:pPr>
            <w:r>
              <w:rPr>
                <w:rFonts w:ascii="Arial" w:cs="Arial" w:eastAsia="Arial" w:hAnsi="Arial"/>
                <w:sz w:val="14"/>
                <w:szCs w:val="14"/>
                <w:color w:val="auto"/>
              </w:rPr>
              <w:t>—</w:t>
            </w:r>
          </w:p>
        </w:tc>
        <w:tc>
          <w:tcPr>
            <w:tcW w:w="2180" w:type="dxa"/>
            <w:vAlign w:val="bottom"/>
            <w:gridSpan w:val="3"/>
            <w:shd w:val="clear" w:color="auto" w:fill="CCEEFF"/>
          </w:tcPr>
          <w:p>
            <w:pPr>
              <w:jc w:val="center"/>
              <w:ind w:right="40"/>
              <w:spacing w:after="0" w:line="138" w:lineRule="exact"/>
              <w:rPr>
                <w:sz w:val="20"/>
                <w:szCs w:val="20"/>
                <w:color w:val="auto"/>
              </w:rPr>
            </w:pPr>
            <w:r>
              <w:rPr>
                <w:rFonts w:ascii="Arial" w:cs="Arial" w:eastAsia="Arial" w:hAnsi="Arial"/>
                <w:sz w:val="14"/>
                <w:szCs w:val="14"/>
                <w:color w:val="auto"/>
                <w:w w:val="90"/>
              </w:rPr>
              <w:t>Media: Advertising, Printing and</w:t>
            </w: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72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(Vestcom International, Inc.)</w:t>
            </w: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180" w:type="dxa"/>
            <w:vAlign w:val="bottom"/>
            <w:gridSpan w:val="3"/>
            <w:shd w:val="clear" w:color="auto" w:fill="CCEEFF"/>
          </w:tcPr>
          <w:p>
            <w:pPr>
              <w:jc w:val="center"/>
              <w:ind w:right="40"/>
              <w:spacing w:after="0"/>
              <w:rPr>
                <w:sz w:val="20"/>
                <w:szCs w:val="20"/>
                <w:color w:val="auto"/>
              </w:rPr>
            </w:pPr>
            <w:r>
              <w:rPr>
                <w:rFonts w:ascii="Arial" w:cs="Arial" w:eastAsia="Arial" w:hAnsi="Arial"/>
                <w:sz w:val="14"/>
                <w:szCs w:val="14"/>
                <w:color w:val="auto"/>
                <w:w w:val="89"/>
              </w:rPr>
              <w:t>Publishing</w:t>
            </w:r>
          </w:p>
        </w:tc>
        <w:tc>
          <w:tcPr>
            <w:tcW w:w="22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680" w:type="dxa"/>
            <w:vAlign w:val="bottom"/>
            <w:gridSpan w:val="2"/>
            <w:shd w:val="clear" w:color="auto" w:fill="CCEEFF"/>
          </w:tcPr>
          <w:p>
            <w:pPr>
              <w:ind w:left="360"/>
              <w:spacing w:after="0"/>
              <w:rPr>
                <w:sz w:val="20"/>
                <w:szCs w:val="20"/>
                <w:color w:val="auto"/>
              </w:rPr>
            </w:pPr>
            <w:r>
              <w:rPr>
                <w:rFonts w:ascii="Arial" w:cs="Arial" w:eastAsia="Arial" w:hAnsi="Arial"/>
                <w:sz w:val="14"/>
                <w:szCs w:val="14"/>
                <w:color w:val="auto"/>
              </w:rPr>
              <w:t>—</w:t>
            </w:r>
          </w:p>
        </w:tc>
        <w:tc>
          <w:tcPr>
            <w:tcW w:w="8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15,179</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166,667</w:t>
            </w:r>
          </w:p>
        </w:tc>
        <w:tc>
          <w:tcPr>
            <w:tcW w:w="180" w:type="dxa"/>
            <w:vAlign w:val="bottom"/>
            <w:shd w:val="clear" w:color="auto" w:fill="CCEEFF"/>
          </w:tcPr>
          <w:p>
            <w:pPr>
              <w:spacing w:after="0"/>
              <w:rPr>
                <w:sz w:val="15"/>
                <w:szCs w:val="15"/>
                <w:color w:val="auto"/>
              </w:rPr>
            </w:pPr>
          </w:p>
        </w:tc>
        <w:tc>
          <w:tcPr>
            <w:tcW w:w="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183,392</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74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Common Equity/Partnership Interests</w:t>
            </w: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gridSpan w:val="4"/>
          </w:tcPr>
          <w:p>
            <w:pPr>
              <w:jc w:val="right"/>
              <w:ind w:right="180"/>
              <w:spacing w:after="0" w:line="155" w:lineRule="exact"/>
              <w:rPr>
                <w:sz w:val="20"/>
                <w:szCs w:val="20"/>
                <w:color w:val="auto"/>
              </w:rPr>
            </w:pPr>
            <w:r>
              <w:rPr>
                <w:rFonts w:ascii="Arial" w:cs="Arial" w:eastAsia="Arial" w:hAnsi="Arial"/>
                <w:sz w:val="14"/>
                <w:szCs w:val="14"/>
                <w:color w:val="auto"/>
              </w:rPr>
              <w:t>573,117</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right"/>
              <w:spacing w:after="0" w:line="155" w:lineRule="exact"/>
              <w:rPr>
                <w:sz w:val="20"/>
                <w:szCs w:val="20"/>
                <w:color w:val="auto"/>
              </w:rPr>
            </w:pPr>
            <w:r>
              <w:rPr>
                <w:rFonts w:ascii="Arial" w:cs="Arial" w:eastAsia="Arial" w:hAnsi="Arial"/>
                <w:sz w:val="14"/>
                <w:szCs w:val="14"/>
                <w:color w:val="auto"/>
              </w:rPr>
              <w:t>1,692,574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720" w:type="dxa"/>
            <w:vAlign w:val="bottom"/>
            <w:gridSpan w:val="2"/>
            <w:shd w:val="clear" w:color="auto" w:fill="CCEEFF"/>
          </w:tcPr>
          <w:p>
            <w:pPr>
              <w:spacing w:after="0" w:line="136" w:lineRule="exact"/>
              <w:rPr>
                <w:sz w:val="20"/>
                <w:szCs w:val="20"/>
                <w:color w:val="auto"/>
              </w:rPr>
            </w:pPr>
            <w:r>
              <w:rPr>
                <w:rFonts w:ascii="Arial" w:cs="Arial" w:eastAsia="Arial" w:hAnsi="Arial"/>
                <w:sz w:val="14"/>
                <w:szCs w:val="14"/>
                <w:b w:val="1"/>
                <w:bCs w:val="1"/>
                <w:color w:val="auto"/>
                <w:w w:val="91"/>
              </w:rPr>
              <w:t>Total Investments in Non-Controlled, Non-Affiliated Portfolio</w:t>
            </w:r>
          </w:p>
        </w:tc>
        <w:tc>
          <w:tcPr>
            <w:tcW w:w="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72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Companies</w:t>
            </w:r>
          </w:p>
        </w:tc>
        <w:tc>
          <w:tcPr>
            <w:tcW w:w="1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gridSpan w:val="4"/>
            <w:shd w:val="clear" w:color="auto" w:fill="CCEEFF"/>
          </w:tcPr>
          <w:p>
            <w:pPr>
              <w:jc w:val="right"/>
              <w:ind w:right="180"/>
              <w:spacing w:after="0"/>
              <w:rPr>
                <w:sz w:val="20"/>
                <w:szCs w:val="20"/>
                <w:color w:val="auto"/>
              </w:rPr>
            </w:pPr>
            <w:r>
              <w:rPr>
                <w:rFonts w:ascii="Arial" w:cs="Arial" w:eastAsia="Arial" w:hAnsi="Arial"/>
                <w:sz w:val="14"/>
                <w:szCs w:val="14"/>
                <w:color w:val="auto"/>
                <w:w w:val="97"/>
              </w:rPr>
              <w:t>183,536,973</w:t>
            </w: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87"/>
              </w:rPr>
              <w:t>183,869,762</w:t>
            </w: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Cash Equivalents—2.0%</w:t>
            </w: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2,725,248</w:t>
            </w:r>
          </w:p>
        </w:tc>
        <w:tc>
          <w:tcPr>
            <w:tcW w:w="1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spacing w:after="0" w:line="149" w:lineRule="exact"/>
              <w:rPr>
                <w:sz w:val="20"/>
                <w:szCs w:val="20"/>
                <w:color w:val="auto"/>
              </w:rPr>
            </w:pPr>
            <w:r>
              <w:rPr>
                <w:rFonts w:ascii="Arial" w:cs="Arial" w:eastAsia="Arial" w:hAnsi="Arial"/>
                <w:sz w:val="14"/>
                <w:szCs w:val="14"/>
                <w:color w:val="auto"/>
              </w:rPr>
              <w:t>2,725,248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and Cash Equivalents—134.4%</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w w:val="84"/>
              </w:rPr>
              <w:t>$ 186,262,221</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186,595,010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Liabilities in Excess of Other Assets—(34.4)%</w:t>
            </w: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7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3"/>
          </w:tcPr>
          <w:p>
            <w:pPr>
              <w:jc w:val="right"/>
              <w:ind w:right="40"/>
              <w:spacing w:after="0" w:line="143" w:lineRule="exact"/>
              <w:rPr>
                <w:sz w:val="20"/>
                <w:szCs w:val="20"/>
                <w:color w:val="auto"/>
              </w:rPr>
            </w:pPr>
            <w:r>
              <w:rPr>
                <w:rFonts w:ascii="Arial" w:cs="Arial" w:eastAsia="Arial" w:hAnsi="Arial"/>
                <w:sz w:val="14"/>
                <w:szCs w:val="14"/>
                <w:color w:val="auto"/>
                <w:w w:val="93"/>
              </w:rPr>
              <w:t>(47,715,525)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7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w w:val="87"/>
              </w:rPr>
              <w:t>138,879,485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100" w:hanging="332"/>
        <w:spacing w:after="0" w:line="230"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London Interbank Offered Rate, or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60" w:hanging="332"/>
        <w:spacing w:after="0" w:line="258" w:lineRule="auto"/>
        <w:tabs>
          <w:tab w:leader="none" w:pos="3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1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280" w:hanging="332"/>
        <w:spacing w:after="0" w:line="221"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459" w:right="2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ind w:left="80"/>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3"/>
          </w:tcPr>
          <w:p>
            <w:pPr>
              <w:ind w:left="80"/>
              <w:spacing w:after="0" w:line="149" w:lineRule="exact"/>
              <w:rPr>
                <w:sz w:val="20"/>
                <w:szCs w:val="20"/>
                <w:color w:val="auto"/>
              </w:rPr>
            </w:pPr>
            <w:r>
              <w:rPr>
                <w:rFonts w:ascii="Arial" w:cs="Arial" w:eastAsia="Arial" w:hAnsi="Arial"/>
                <w:sz w:val="14"/>
                <w:szCs w:val="14"/>
                <w:b w:val="1"/>
                <w:bCs w:val="1"/>
                <w:color w:val="auto"/>
              </w:rPr>
              <w:t>Spread</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gridSpan w:val="3"/>
          </w:tcPr>
          <w:p>
            <w:pPr>
              <w:ind w:left="140"/>
              <w:spacing w:after="0" w:line="135" w:lineRule="exact"/>
              <w:rPr>
                <w:sz w:val="20"/>
                <w:szCs w:val="20"/>
                <w:color w:val="auto"/>
              </w:rPr>
            </w:pPr>
            <w:r>
              <w:rPr>
                <w:rFonts w:ascii="Arial" w:cs="Arial" w:eastAsia="Arial" w:hAnsi="Arial"/>
                <w:sz w:val="14"/>
                <w:szCs w:val="14"/>
                <w:b w:val="1"/>
                <w:bCs w:val="1"/>
                <w:color w:val="auto"/>
              </w:rPr>
              <w:t>Current</w:t>
            </w:r>
          </w:p>
        </w:tc>
        <w:tc>
          <w:tcPr>
            <w:tcW w:w="80" w:type="dxa"/>
            <w:vAlign w:val="bottom"/>
          </w:tcPr>
          <w:p>
            <w:pPr>
              <w:spacing w:after="0"/>
              <w:rPr>
                <w:sz w:val="11"/>
                <w:szCs w:val="11"/>
                <w:color w:val="auto"/>
              </w:rPr>
            </w:pPr>
          </w:p>
        </w:tc>
        <w:tc>
          <w:tcPr>
            <w:tcW w:w="660" w:type="dxa"/>
            <w:vAlign w:val="bottom"/>
            <w:gridSpan w:val="2"/>
          </w:tcPr>
          <w:p>
            <w:pPr>
              <w:jc w:val="right"/>
              <w:ind w:right="260"/>
              <w:spacing w:after="0" w:line="135" w:lineRule="exact"/>
              <w:rPr>
                <w:sz w:val="20"/>
                <w:szCs w:val="20"/>
                <w:color w:val="auto"/>
              </w:rPr>
            </w:pPr>
            <w:r>
              <w:rPr>
                <w:rFonts w:ascii="Arial" w:cs="Arial" w:eastAsia="Arial" w:hAnsi="Arial"/>
                <w:sz w:val="14"/>
                <w:szCs w:val="14"/>
                <w:b w:val="1"/>
                <w:bCs w:val="1"/>
                <w:color w:val="auto"/>
                <w:w w:val="88"/>
              </w:rPr>
              <w:t>Above</w:t>
            </w:r>
          </w:p>
        </w:tc>
        <w:tc>
          <w:tcPr>
            <w:tcW w:w="60" w:type="dxa"/>
            <w:vAlign w:val="bottom"/>
          </w:tcPr>
          <w:p>
            <w:pPr>
              <w:spacing w:after="0"/>
              <w:rPr>
                <w:sz w:val="11"/>
                <w:szCs w:val="11"/>
                <w:color w:val="auto"/>
              </w:rPr>
            </w:pPr>
          </w:p>
        </w:tc>
        <w:tc>
          <w:tcPr>
            <w:tcW w:w="56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8"/>
              </w:rPr>
              <w:t>Par /</w:t>
            </w: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Maturity</w:t>
            </w:r>
          </w:p>
        </w:tc>
        <w:tc>
          <w:tcPr>
            <w:tcW w:w="26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4"/>
              </w:rPr>
              <w:t>Industry</w:t>
            </w:r>
          </w:p>
        </w:tc>
        <w:tc>
          <w:tcPr>
            <w:tcW w:w="720" w:type="dxa"/>
            <w:vAlign w:val="bottom"/>
            <w:gridSpan w:val="3"/>
          </w:tcPr>
          <w:p>
            <w:pPr>
              <w:ind w:left="140"/>
              <w:spacing w:after="0"/>
              <w:rPr>
                <w:sz w:val="20"/>
                <w:szCs w:val="20"/>
                <w:color w:val="auto"/>
              </w:rPr>
            </w:pPr>
            <w:r>
              <w:rPr>
                <w:rFonts w:ascii="Arial" w:cs="Arial" w:eastAsia="Arial" w:hAnsi="Arial"/>
                <w:sz w:val="14"/>
                <w:szCs w:val="14"/>
                <w:b w:val="1"/>
                <w:bCs w:val="1"/>
                <w:color w:val="auto"/>
              </w:rPr>
              <w:t>Coupon</w:t>
            </w:r>
          </w:p>
        </w:tc>
        <w:tc>
          <w:tcPr>
            <w:tcW w:w="740" w:type="dxa"/>
            <w:vAlign w:val="bottom"/>
            <w:gridSpan w:val="3"/>
          </w:tcPr>
          <w:p>
            <w:pPr>
              <w:ind w:left="80"/>
              <w:spacing w:after="0" w:line="162"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18"/>
                <w:szCs w:val="18"/>
                <w:b w:val="1"/>
                <w:bCs w:val="1"/>
                <w:color w:val="auto"/>
                <w:vertAlign w:val="superscript"/>
              </w:rPr>
              <w:t>(1)</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Shares</w:t>
            </w:r>
          </w:p>
        </w:tc>
        <w:tc>
          <w:tcPr>
            <w:tcW w:w="820" w:type="dxa"/>
            <w:vAlign w:val="bottom"/>
            <w:gridSpan w:val="3"/>
          </w:tcPr>
          <w:p>
            <w:pPr>
              <w:jc w:val="right"/>
              <w:ind w:right="26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600" w:type="dxa"/>
            <w:vAlign w:val="bottom"/>
            <w:gridSpan w:val="2"/>
          </w:tcPr>
          <w:p>
            <w:pPr>
              <w:jc w:val="right"/>
              <w:ind w:right="140"/>
              <w:spacing w:after="0" w:line="162" w:lineRule="exact"/>
              <w:rPr>
                <w:sz w:val="20"/>
                <w:szCs w:val="20"/>
                <w:color w:val="auto"/>
              </w:rPr>
            </w:pPr>
            <w:r>
              <w:rPr>
                <w:rFonts w:ascii="Arial" w:cs="Arial" w:eastAsia="Arial" w:hAnsi="Arial"/>
                <w:sz w:val="12"/>
                <w:szCs w:val="12"/>
                <w:b w:val="1"/>
                <w:bCs w:val="1"/>
                <w:color w:val="auto"/>
                <w:w w:val="94"/>
              </w:rPr>
              <w:t>Value</w:t>
            </w:r>
            <w:r>
              <w:rPr>
                <w:rFonts w:ascii="Arial" w:cs="Arial" w:eastAsia="Arial" w:hAnsi="Arial"/>
                <w:sz w:val="18"/>
                <w:szCs w:val="18"/>
                <w:b w:val="1"/>
                <w:bCs w:val="1"/>
                <w:color w:val="auto"/>
                <w:w w:val="94"/>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vMerge w:val="continue"/>
          </w:tcPr>
          <w:p>
            <w:pPr>
              <w:spacing w:after="0"/>
              <w:rPr>
                <w:sz w:val="10"/>
                <w:szCs w:val="10"/>
                <w:color w:val="auto"/>
              </w:rPr>
            </w:pPr>
          </w:p>
        </w:tc>
        <w:tc>
          <w:tcPr>
            <w:tcW w:w="35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b w:val="1"/>
                <w:bCs w:val="1"/>
                <w:color w:val="auto"/>
              </w:rPr>
              <w:t>Investments in Non-Controlled, Non-Affiliated</w:t>
            </w:r>
          </w:p>
        </w:tc>
        <w:tc>
          <w:tcPr>
            <w:tcW w:w="9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5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b w:val="1"/>
                <w:bCs w:val="1"/>
                <w:color w:val="auto"/>
              </w:rPr>
              <w:t>Portfolio Companies—179.5%</w:t>
            </w:r>
            <w:r>
              <w:rPr>
                <w:rFonts w:ascii="Arial" w:cs="Arial" w:eastAsia="Arial" w:hAnsi="Arial"/>
                <w:sz w:val="20"/>
                <w:szCs w:val="20"/>
                <w:b w:val="1"/>
                <w:bCs w:val="1"/>
                <w:color w:val="auto"/>
                <w:vertAlign w:val="superscript"/>
              </w:rPr>
              <w:t>(3), (4)</w:t>
            </w:r>
          </w:p>
        </w:tc>
        <w:tc>
          <w:tcPr>
            <w:tcW w:w="9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First Lien Secured Debt—156.9%</w:t>
            </w: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Airvana Network Solutions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03/25/2015</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Telecommunications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L+800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214,286</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  214,838</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214,018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Archipelago Learning,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05/17/2018</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Media, Broadcasting and Subscription</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7.50%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L+600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987,500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959,574</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10/06/2016</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Consumer Services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2,977,500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2,937,079</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2,962,613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Attachmate Corporation</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11/22/2017</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High Tech Industries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7.25%</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L+575</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2,943,750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2,888,381</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2,960,309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07/31/2017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L+500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985,747</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Blue Coat Systems,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02/15/2018</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High Tech Industries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7.50%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L+600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3,975,000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3,902,979</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4,014,750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C.H.I. Overhead Doors,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08/17/2017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Consumer Goods: Durable</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7.25%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L+575</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3,866,119</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3,801,408</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3,859,675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DCS Business Services,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03/19/2018</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7.25%</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L+575</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3,733,125</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3,673,063</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3,677,128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12/01/2016</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L+500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990,000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981,827</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987,525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DS Waters of America,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08/29/2017</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4"/>
              </w:rPr>
              <w:t>Beverage, Food and Tobacco</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10.50%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L+900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3,980,000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3,904,846</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4,109,350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EAG,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07/28/2017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7"/>
              </w:rPr>
              <w:t>P+350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950,104</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946,081</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945,353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EIG Investors Corp.</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04/20/2018</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High Tech Industries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7.75%</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L+625</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3,990,000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3,952,867</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4,009,950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05/18/2018</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Chemicals, Plastics and Rubber</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6.75%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1,995,000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1,975,762</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2,004,975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eResearchtechnology,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05/02/2018</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4"/>
              </w:rPr>
              <w:t>Healthcare and Pharmaceuticals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8.00%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L+650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3,000,000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2,884,003</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2,962,500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Fundtech (US FT HOLDCO,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11/30/2017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7.50%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L+600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2,977,500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2,898,672</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2,977,500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GFA Brands,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07/02/2018</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4"/>
              </w:rPr>
              <w:t>Beverage, Food and Tobacco</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L+575</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1,995,000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1,956,496</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2,012,456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Graton Economic Development Authority </w:t>
            </w:r>
            <w:r>
              <w:rPr>
                <w:rFonts w:ascii="Arial" w:cs="Arial" w:eastAsia="Arial" w:hAnsi="Arial"/>
                <w:sz w:val="17"/>
                <w:szCs w:val="17"/>
                <w:color w:val="auto"/>
                <w:vertAlign w:val="superscript"/>
              </w:rPr>
              <w:t>(5),(8)</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09/02/2019</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8"/>
              </w:rPr>
              <w:t>Hotel, Gaming and Leisure</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9.63%</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3,000,000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3,000,000</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Gundle/SLT Environmental,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05/27/2016</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8"/>
              </w:rPr>
              <w:t>Environmental Industries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2,956,829</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2,933,351</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2,934,653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Healogics, Inc. (f/k/a National Healing Corp.)</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11/30/2017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4"/>
              </w:rPr>
              <w:t>Healthcare and Pharmaceuticals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8.25%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L+675</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4,962,500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4,742,008</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4,925,281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HMK Intermediate Holdings LLC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04/01/2019</w:t>
            </w:r>
          </w:p>
        </w:tc>
        <w:tc>
          <w:tcPr>
            <w:tcW w:w="1100" w:type="dxa"/>
            <w:vAlign w:val="bottom"/>
          </w:tcPr>
          <w:p>
            <w:pPr>
              <w:spacing w:after="0"/>
              <w:rPr>
                <w:sz w:val="12"/>
                <w:szCs w:val="12"/>
                <w:color w:val="auto"/>
              </w:rPr>
            </w:pPr>
          </w:p>
        </w:tc>
        <w:tc>
          <w:tcPr>
            <w:tcW w:w="1560" w:type="dxa"/>
            <w:vAlign w:val="bottom"/>
            <w:gridSpan w:val="2"/>
          </w:tcPr>
          <w:p>
            <w:pPr>
              <w:jc w:val="center"/>
              <w:ind w:right="1120"/>
              <w:spacing w:after="0" w:line="149" w:lineRule="exact"/>
              <w:rPr>
                <w:sz w:val="20"/>
                <w:szCs w:val="20"/>
                <w:color w:val="auto"/>
              </w:rPr>
            </w:pPr>
            <w:r>
              <w:rPr>
                <w:rFonts w:ascii="Arial" w:cs="Arial" w:eastAsia="Arial" w:hAnsi="Arial"/>
                <w:sz w:val="14"/>
                <w:szCs w:val="14"/>
                <w:color w:val="auto"/>
                <w:w w:val="89"/>
              </w:rPr>
              <w:t>Retail</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7.25%</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L+600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2,985,000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2,929,228</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2,992,463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Howard Berger Co. LLC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08/03/2017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5"/>
              </w:rPr>
              <w:t>Wholesale</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L+575</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2,743,125</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2,702,953</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2,715,694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1"/>
                <w:szCs w:val="11"/>
                <w:color w:val="auto"/>
              </w:rPr>
              <w:t>IDQ Holdings, Inc.</w:t>
            </w:r>
            <w:r>
              <w:rPr>
                <w:rFonts w:ascii="Arial" w:cs="Arial" w:eastAsia="Arial" w:hAnsi="Arial"/>
                <w:sz w:val="17"/>
                <w:szCs w:val="17"/>
                <w:color w:val="auto"/>
                <w:vertAlign w:val="superscript"/>
              </w:rPr>
              <w:t>(5), (8)</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03/30/2017</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1"/>
              </w:rPr>
              <w:t>Automotive</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11.50%</w:t>
            </w:r>
          </w:p>
        </w:tc>
        <w:tc>
          <w:tcPr>
            <w:tcW w:w="80" w:type="dxa"/>
            <w:vAlign w:val="bottom"/>
          </w:tcPr>
          <w:p>
            <w:pPr>
              <w:spacing w:after="0"/>
              <w:rPr>
                <w:sz w:val="12"/>
                <w:szCs w:val="12"/>
                <w:color w:val="auto"/>
              </w:rPr>
            </w:pPr>
          </w:p>
        </w:tc>
        <w:tc>
          <w:tcPr>
            <w:tcW w:w="6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2,000,000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1,963,159</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2,125,000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Ikaria Acquisition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06/22/2016</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4"/>
              </w:rPr>
              <w:t>Healthcare and Pharmaceuticals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7.75%</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L+650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1,700,000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1,691,500</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1,649,000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Instant Web,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08/07/2014</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1"/>
                <w:szCs w:val="11"/>
                <w:color w:val="auto"/>
              </w:rPr>
              <w:t>3.59%</w:t>
            </w:r>
            <w:r>
              <w:rPr>
                <w:rFonts w:ascii="Arial" w:cs="Arial" w:eastAsia="Arial" w:hAnsi="Arial"/>
                <w:sz w:val="17"/>
                <w:szCs w:val="17"/>
                <w:color w:val="auto"/>
                <w:vertAlign w:val="superscript"/>
              </w:rPr>
              <w:t>(9)</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L+338</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6,836,508</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6,534,349</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5,247,020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K2 Pure Solutions NoCal, L.P.</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09/10/2015</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6"/>
              </w:rPr>
              <w:t>Chemicals, Plastics and Rubber</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L+775</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5,476,250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5,512,699</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5,558,394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1"/>
                <w:szCs w:val="11"/>
                <w:color w:val="auto"/>
              </w:rPr>
              <w:t>KIK Custom Products Inc.</w:t>
            </w:r>
            <w:r>
              <w:rPr>
                <w:rFonts w:ascii="Arial" w:cs="Arial" w:eastAsia="Arial" w:hAnsi="Arial"/>
                <w:sz w:val="17"/>
                <w:szCs w:val="17"/>
                <w:color w:val="auto"/>
                <w:vertAlign w:val="superscript"/>
              </w:rPr>
              <w:t>(6), (8)</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06/02/2014</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Consumer Goods: Non-Durable</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8.50%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L+700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4,937,500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4,845,282</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4,863,438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Medpace Intermediateco,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06/19/2017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L+500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1,844,649</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1,821,373</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1,766,252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MModal Inc.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08/16/2019</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3"/>
              </w:rPr>
              <w:t>Business Services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6.75%</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3,400,000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3,349,374</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3,351,125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 xml:space="preserve">Mood Media Corporation </w:t>
            </w:r>
            <w:r>
              <w:rPr>
                <w:rFonts w:ascii="Arial" w:cs="Arial" w:eastAsia="Arial" w:hAnsi="Arial"/>
                <w:sz w:val="17"/>
                <w:szCs w:val="17"/>
                <w:color w:val="auto"/>
                <w:vertAlign w:val="superscript"/>
              </w:rPr>
              <w:t>(6)</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05/07/2018</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3,950,000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3,916,596</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3,921,611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1"/>
                <w:szCs w:val="11"/>
                <w:color w:val="auto"/>
              </w:rPr>
              <w:t xml:space="preserve">MOSAID Technologies Incorporated </w:t>
            </w:r>
            <w:r>
              <w:rPr>
                <w:rFonts w:ascii="Arial" w:cs="Arial" w:eastAsia="Arial" w:hAnsi="Arial"/>
                <w:sz w:val="17"/>
                <w:szCs w:val="17"/>
                <w:color w:val="auto"/>
                <w:vertAlign w:val="superscript"/>
              </w:rPr>
              <w:t>(6)</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12/23/2016</w:t>
            </w:r>
          </w:p>
        </w:tc>
        <w:tc>
          <w:tcPr>
            <w:tcW w:w="266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High Tech Industries</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8.50%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L+700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2,887,500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2,826,368</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2,887,500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MX USA, Inc. and KAN-DI-KI, LLC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05/01/2017</w:t>
            </w:r>
          </w:p>
        </w:tc>
        <w:tc>
          <w:tcPr>
            <w:tcW w:w="266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4"/>
              </w:rPr>
              <w:t>Healthcare and Pharmaceuticals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6.50%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L+525</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2,985,000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2,943,607</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2,955,150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NAB Holdings, LLC</w:t>
            </w:r>
          </w:p>
        </w:tc>
        <w:tc>
          <w:tcPr>
            <w:tcW w:w="15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04/24/2018</w:t>
            </w:r>
          </w:p>
        </w:tc>
        <w:tc>
          <w:tcPr>
            <w:tcW w:w="266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Banking, Finance, Insurance and Real Estate</w:t>
            </w:r>
          </w:p>
        </w:tc>
        <w:tc>
          <w:tcPr>
            <w:tcW w:w="7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80" w:type="dxa"/>
            <w:vAlign w:val="bottom"/>
          </w:tcPr>
          <w:p>
            <w:pPr>
              <w:spacing w:after="0"/>
              <w:rPr>
                <w:sz w:val="12"/>
                <w:szCs w:val="12"/>
                <w:color w:val="auto"/>
              </w:rPr>
            </w:pPr>
          </w:p>
        </w:tc>
        <w:tc>
          <w:tcPr>
            <w:tcW w:w="6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987,500</w:t>
            </w:r>
          </w:p>
        </w:tc>
        <w:tc>
          <w:tcPr>
            <w:tcW w:w="82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973,817</w:t>
            </w:r>
          </w:p>
        </w:tc>
        <w:tc>
          <w:tcPr>
            <w:tcW w:w="8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997,375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Pelican Products, Inc.</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07/11/2018</w:t>
            </w:r>
          </w:p>
        </w:tc>
        <w:tc>
          <w:tcPr>
            <w:tcW w:w="26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7.00%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L+550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1,496,250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1,467,389</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1,492,509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500" w:type="dxa"/>
            <w:vAlign w:val="bottom"/>
            <w:gridSpan w:val="2"/>
          </w:tcPr>
          <w:p>
            <w:pPr>
              <w:spacing w:after="0" w:line="138" w:lineRule="exact"/>
              <w:rPr>
                <w:sz w:val="20"/>
                <w:szCs w:val="20"/>
                <w:color w:val="auto"/>
              </w:rPr>
            </w:pPr>
            <w:r>
              <w:rPr>
                <w:rFonts w:ascii="Arial" w:cs="Arial" w:eastAsia="Arial" w:hAnsi="Arial"/>
                <w:sz w:val="14"/>
                <w:szCs w:val="14"/>
                <w:color w:val="auto"/>
              </w:rPr>
              <w:t>Penton Media, Inc.</w:t>
            </w:r>
          </w:p>
        </w:tc>
        <w:tc>
          <w:tcPr>
            <w:tcW w:w="154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08/01/2014</w:t>
            </w:r>
          </w:p>
        </w:tc>
        <w:tc>
          <w:tcPr>
            <w:tcW w:w="2660" w:type="dxa"/>
            <w:vAlign w:val="bottom"/>
            <w:gridSpan w:val="3"/>
          </w:tcPr>
          <w:p>
            <w:pPr>
              <w:jc w:val="center"/>
              <w:ind w:right="20"/>
              <w:spacing w:after="0" w:line="138" w:lineRule="exact"/>
              <w:rPr>
                <w:sz w:val="20"/>
                <w:szCs w:val="20"/>
                <w:color w:val="auto"/>
              </w:rPr>
            </w:pPr>
            <w:r>
              <w:rPr>
                <w:rFonts w:ascii="Arial" w:cs="Arial" w:eastAsia="Arial" w:hAnsi="Arial"/>
                <w:sz w:val="14"/>
                <w:szCs w:val="14"/>
                <w:color w:val="auto"/>
                <w:w w:val="89"/>
              </w:rPr>
              <w:t>Media: Diversified and Production</w:t>
            </w:r>
          </w:p>
        </w:tc>
        <w:tc>
          <w:tcPr>
            <w:tcW w:w="72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5.00%</w:t>
            </w:r>
          </w:p>
        </w:tc>
        <w:tc>
          <w:tcPr>
            <w:tcW w:w="80" w:type="dxa"/>
            <w:vAlign w:val="bottom"/>
          </w:tcPr>
          <w:p>
            <w:pPr>
              <w:spacing w:after="0"/>
              <w:rPr>
                <w:sz w:val="11"/>
                <w:szCs w:val="11"/>
                <w:color w:val="auto"/>
              </w:rPr>
            </w:pPr>
          </w:p>
        </w:tc>
        <w:tc>
          <w:tcPr>
            <w:tcW w:w="660" w:type="dxa"/>
            <w:vAlign w:val="bottom"/>
            <w:gridSpan w:val="2"/>
          </w:tcPr>
          <w:p>
            <w:pPr>
              <w:jc w:val="right"/>
              <w:ind w:right="240"/>
              <w:spacing w:after="0" w:line="138" w:lineRule="exact"/>
              <w:rPr>
                <w:sz w:val="20"/>
                <w:szCs w:val="20"/>
                <w:color w:val="auto"/>
              </w:rPr>
            </w:pPr>
            <w:r>
              <w:rPr>
                <w:rFonts w:ascii="Arial" w:cs="Arial" w:eastAsia="Arial" w:hAnsi="Arial"/>
                <w:sz w:val="14"/>
                <w:szCs w:val="14"/>
                <w:color w:val="auto"/>
              </w:rPr>
              <w:t>L+400</w:t>
            </w:r>
          </w:p>
        </w:tc>
        <w:tc>
          <w:tcPr>
            <w:tcW w:w="6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w w:val="83"/>
              </w:rPr>
              <w:t>5,497,407</w:t>
            </w:r>
          </w:p>
        </w:tc>
        <w:tc>
          <w:tcPr>
            <w:tcW w:w="820" w:type="dxa"/>
            <w:vAlign w:val="bottom"/>
            <w:gridSpan w:val="3"/>
          </w:tcPr>
          <w:p>
            <w:pPr>
              <w:jc w:val="right"/>
              <w:ind w:right="100"/>
              <w:spacing w:after="0" w:line="138" w:lineRule="exact"/>
              <w:rPr>
                <w:sz w:val="20"/>
                <w:szCs w:val="20"/>
                <w:color w:val="auto"/>
              </w:rPr>
            </w:pPr>
            <w:r>
              <w:rPr>
                <w:rFonts w:ascii="Arial" w:cs="Arial" w:eastAsia="Arial" w:hAnsi="Arial"/>
                <w:sz w:val="14"/>
                <w:szCs w:val="14"/>
                <w:color w:val="auto"/>
              </w:rPr>
              <w:t>4,931,995</w:t>
            </w:r>
          </w:p>
        </w:tc>
        <w:tc>
          <w:tcPr>
            <w:tcW w:w="80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rPr>
              <w:t>4,439,156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(PIK</w:t>
            </w: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gridSpan w:val="3"/>
          </w:tcPr>
          <w:p>
            <w:pPr>
              <w:jc w:val="right"/>
              <w:ind w:right="100"/>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Potter’s Holdings II, L.P.</w:t>
            </w:r>
          </w:p>
        </w:tc>
        <w:tc>
          <w:tcPr>
            <w:tcW w:w="154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05/08/2017</w:t>
            </w:r>
          </w:p>
        </w:tc>
        <w:tc>
          <w:tcPr>
            <w:tcW w:w="266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Containers, Packaging and Glass</w:t>
            </w:r>
          </w:p>
        </w:tc>
        <w:tc>
          <w:tcPr>
            <w:tcW w:w="7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L+450</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1,975,000</w:t>
            </w:r>
          </w:p>
        </w:tc>
        <w:tc>
          <w:tcPr>
            <w:tcW w:w="820" w:type="dxa"/>
            <w:vAlign w:val="bottom"/>
            <w:gridSpan w:val="3"/>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1,958,715</w:t>
            </w:r>
          </w:p>
        </w:tc>
        <w:tc>
          <w:tcPr>
            <w:tcW w:w="8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1,967,594</w:t>
            </w:r>
          </w:p>
        </w:tc>
        <w:tc>
          <w:tcPr>
            <w:tcW w:w="0" w:type="dxa"/>
            <w:vAlign w:val="bottom"/>
          </w:tcPr>
          <w:p>
            <w:pPr>
              <w:spacing w:after="0"/>
              <w:rPr>
                <w:sz w:val="1"/>
                <w:szCs w:val="1"/>
                <w:color w:val="auto"/>
              </w:rPr>
            </w:pP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460" w:right="2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Basis Point</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Spread</w:t>
            </w: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5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80" w:type="dxa"/>
            <w:vAlign w:val="bottom"/>
            <w:gridSpan w:val="3"/>
          </w:tcPr>
          <w:p>
            <w:pPr>
              <w:ind w:left="140"/>
              <w:spacing w:after="0" w:line="135" w:lineRule="exact"/>
              <w:rPr>
                <w:sz w:val="20"/>
                <w:szCs w:val="20"/>
                <w:color w:val="auto"/>
              </w:rPr>
            </w:pPr>
            <w:r>
              <w:rPr>
                <w:rFonts w:ascii="Arial" w:cs="Arial" w:eastAsia="Arial" w:hAnsi="Arial"/>
                <w:sz w:val="14"/>
                <w:szCs w:val="14"/>
                <w:b w:val="1"/>
                <w:bCs w:val="1"/>
                <w:color w:val="auto"/>
              </w:rPr>
              <w:t>Current</w:t>
            </w:r>
          </w:p>
        </w:tc>
        <w:tc>
          <w:tcPr>
            <w:tcW w:w="660" w:type="dxa"/>
            <w:vAlign w:val="bottom"/>
            <w:gridSpan w:val="2"/>
          </w:tcPr>
          <w:p>
            <w:pPr>
              <w:ind w:left="20"/>
              <w:spacing w:after="0" w:line="135" w:lineRule="exact"/>
              <w:rPr>
                <w:sz w:val="20"/>
                <w:szCs w:val="20"/>
                <w:color w:val="auto"/>
              </w:rPr>
            </w:pPr>
            <w:r>
              <w:rPr>
                <w:rFonts w:ascii="Arial" w:cs="Arial" w:eastAsia="Arial" w:hAnsi="Arial"/>
                <w:sz w:val="14"/>
                <w:szCs w:val="14"/>
                <w:b w:val="1"/>
                <w:bCs w:val="1"/>
                <w:color w:val="auto"/>
              </w:rPr>
              <w:t>Above</w:t>
            </w:r>
          </w:p>
        </w:tc>
        <w:tc>
          <w:tcPr>
            <w:tcW w:w="100" w:type="dxa"/>
            <w:vAlign w:val="bottom"/>
          </w:tcPr>
          <w:p>
            <w:pPr>
              <w:spacing w:after="0"/>
              <w:rPr>
                <w:sz w:val="11"/>
                <w:szCs w:val="11"/>
                <w:color w:val="auto"/>
              </w:rPr>
            </w:pPr>
          </w:p>
        </w:tc>
        <w:tc>
          <w:tcPr>
            <w:tcW w:w="56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8"/>
              </w:rPr>
              <w:t>Par /</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22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14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Maturity</w:t>
            </w:r>
          </w:p>
        </w:tc>
        <w:tc>
          <w:tcPr>
            <w:tcW w:w="26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Industry</w:t>
            </w:r>
          </w:p>
        </w:tc>
        <w:tc>
          <w:tcPr>
            <w:tcW w:w="880" w:type="dxa"/>
            <w:vAlign w:val="bottom"/>
            <w:gridSpan w:val="3"/>
          </w:tcPr>
          <w:p>
            <w:pPr>
              <w:ind w:left="140"/>
              <w:spacing w:after="0"/>
              <w:rPr>
                <w:sz w:val="20"/>
                <w:szCs w:val="20"/>
                <w:color w:val="auto"/>
              </w:rPr>
            </w:pPr>
            <w:r>
              <w:rPr>
                <w:rFonts w:ascii="Arial" w:cs="Arial" w:eastAsia="Arial" w:hAnsi="Arial"/>
                <w:sz w:val="14"/>
                <w:szCs w:val="14"/>
                <w:b w:val="1"/>
                <w:bCs w:val="1"/>
                <w:color w:val="auto"/>
              </w:rPr>
              <w:t>Coupon</w:t>
            </w:r>
          </w:p>
        </w:tc>
        <w:tc>
          <w:tcPr>
            <w:tcW w:w="660" w:type="dxa"/>
            <w:vAlign w:val="bottom"/>
            <w:gridSpan w:val="2"/>
          </w:tcPr>
          <w:p>
            <w:pPr>
              <w:spacing w:after="0" w:line="162"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18"/>
                <w:szCs w:val="18"/>
                <w:b w:val="1"/>
                <w:bCs w:val="1"/>
                <w:color w:val="auto"/>
                <w:vertAlign w:val="superscript"/>
              </w:rPr>
              <w:t>(1)</w:t>
            </w:r>
          </w:p>
        </w:tc>
        <w:tc>
          <w:tcPr>
            <w:tcW w:w="6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8"/>
              </w:rPr>
              <w:t>Shares</w:t>
            </w:r>
          </w:p>
        </w:tc>
        <w:tc>
          <w:tcPr>
            <w:tcW w:w="100" w:type="dxa"/>
            <w:vAlign w:val="bottom"/>
          </w:tcPr>
          <w:p>
            <w:pPr>
              <w:spacing w:after="0"/>
              <w:rPr>
                <w:sz w:val="14"/>
                <w:szCs w:val="14"/>
                <w:color w:val="auto"/>
              </w:rPr>
            </w:pPr>
          </w:p>
        </w:tc>
        <w:tc>
          <w:tcPr>
            <w:tcW w:w="840" w:type="dxa"/>
            <w:vAlign w:val="bottom"/>
            <w:gridSpan w:val="4"/>
          </w:tcPr>
          <w:p>
            <w:pPr>
              <w:jc w:val="right"/>
              <w:ind w:right="3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4"/>
                <w:szCs w:val="14"/>
                <w:color w:val="auto"/>
              </w:rPr>
            </w:pPr>
          </w:p>
        </w:tc>
        <w:tc>
          <w:tcPr>
            <w:tcW w:w="860" w:type="dxa"/>
            <w:vAlign w:val="bottom"/>
            <w:gridSpan w:val="4"/>
          </w:tcPr>
          <w:p>
            <w:pPr>
              <w:ind w:left="180"/>
              <w:spacing w:after="0" w:line="162" w:lineRule="exact"/>
              <w:rPr>
                <w:sz w:val="20"/>
                <w:szCs w:val="20"/>
                <w:color w:val="auto"/>
              </w:rPr>
            </w:pPr>
            <w:r>
              <w:rPr>
                <w:rFonts w:ascii="Arial" w:cs="Arial" w:eastAsia="Arial" w:hAnsi="Arial"/>
                <w:sz w:val="12"/>
                <w:szCs w:val="12"/>
                <w:b w:val="1"/>
                <w:bCs w:val="1"/>
                <w:color w:val="auto"/>
              </w:rPr>
              <w:t>Value</w:t>
            </w:r>
            <w:r>
              <w:rPr>
                <w:rFonts w:ascii="Arial" w:cs="Arial" w:eastAsia="Arial" w:hAnsi="Arial"/>
                <w:sz w:val="18"/>
                <w:szCs w:val="18"/>
                <w:b w:val="1"/>
                <w:bCs w:val="1"/>
                <w:color w:val="auto"/>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Pro Mach, Inc.</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07/06/2017</w:t>
            </w:r>
          </w:p>
        </w:tc>
        <w:tc>
          <w:tcPr>
            <w:tcW w:w="26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9"/>
              </w:rPr>
              <w:t>Capital Equipment</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6.25%</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L+475</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978,077</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970,036</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967,889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3200" w:type="dxa"/>
            <w:vAlign w:val="bottom"/>
            <w:gridSpan w:val="2"/>
          </w:tcPr>
          <w:p>
            <w:pPr>
              <w:spacing w:after="0" w:line="138" w:lineRule="exact"/>
              <w:rPr>
                <w:sz w:val="20"/>
                <w:szCs w:val="20"/>
                <w:color w:val="auto"/>
              </w:rPr>
            </w:pPr>
            <w:r>
              <w:rPr>
                <w:rFonts w:ascii="Arial" w:cs="Arial" w:eastAsia="Arial" w:hAnsi="Arial"/>
                <w:sz w:val="14"/>
                <w:szCs w:val="14"/>
                <w:color w:val="auto"/>
              </w:rPr>
              <w:t>Renaissance Learning, Inc.</w:t>
            </w:r>
          </w:p>
        </w:tc>
        <w:tc>
          <w:tcPr>
            <w:tcW w:w="1420" w:type="dxa"/>
            <w:vAlign w:val="bottom"/>
            <w:gridSpan w:val="3"/>
          </w:tcPr>
          <w:p>
            <w:pPr>
              <w:jc w:val="right"/>
              <w:ind w:right="140"/>
              <w:spacing w:after="0" w:line="138" w:lineRule="exact"/>
              <w:rPr>
                <w:sz w:val="20"/>
                <w:szCs w:val="20"/>
                <w:color w:val="auto"/>
              </w:rPr>
            </w:pPr>
            <w:r>
              <w:rPr>
                <w:rFonts w:ascii="Arial" w:cs="Arial" w:eastAsia="Arial" w:hAnsi="Arial"/>
                <w:sz w:val="14"/>
                <w:szCs w:val="14"/>
                <w:color w:val="auto"/>
              </w:rPr>
              <w:t>10/19/2017</w:t>
            </w:r>
          </w:p>
        </w:tc>
        <w:tc>
          <w:tcPr>
            <w:tcW w:w="268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7"/>
              </w:rPr>
              <w:t>Media: Broadcasting and</w:t>
            </w:r>
          </w:p>
        </w:tc>
        <w:tc>
          <w:tcPr>
            <w:tcW w:w="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80" w:type="dxa"/>
            <w:vAlign w:val="bottom"/>
            <w:gridSpan w:val="3"/>
          </w:tcPr>
          <w:p>
            <w:pPr>
              <w:jc w:val="center"/>
              <w:spacing w:after="0"/>
              <w:rPr>
                <w:sz w:val="20"/>
                <w:szCs w:val="20"/>
                <w:color w:val="auto"/>
              </w:rPr>
            </w:pPr>
            <w:r>
              <w:rPr>
                <w:rFonts w:ascii="Arial" w:cs="Arial" w:eastAsia="Arial" w:hAnsi="Arial"/>
                <w:sz w:val="14"/>
                <w:szCs w:val="14"/>
                <w:color w:val="auto"/>
                <w:w w:val="88"/>
              </w:rPr>
              <w:t>Subscription</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7.75%</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L+625</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w w:val="89"/>
              </w:rPr>
              <w:t>1,980,000</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1,909,788</w:t>
            </w:r>
          </w:p>
        </w:tc>
        <w:tc>
          <w:tcPr>
            <w:tcW w:w="80" w:type="dxa"/>
            <w:vAlign w:val="bottom"/>
          </w:tcPr>
          <w:p>
            <w:pPr>
              <w:spacing w:after="0"/>
              <w:rPr>
                <w:sz w:val="15"/>
                <w:szCs w:val="15"/>
                <w:color w:val="auto"/>
              </w:rPr>
            </w:pPr>
          </w:p>
        </w:tc>
        <w:tc>
          <w:tcPr>
            <w:tcW w:w="960" w:type="dxa"/>
            <w:vAlign w:val="bottom"/>
            <w:gridSpan w:val="5"/>
          </w:tcPr>
          <w:p>
            <w:pPr>
              <w:jc w:val="right"/>
              <w:ind w:right="80"/>
              <w:spacing w:after="0"/>
              <w:rPr>
                <w:sz w:val="20"/>
                <w:szCs w:val="20"/>
                <w:color w:val="auto"/>
              </w:rPr>
            </w:pPr>
            <w:r>
              <w:rPr>
                <w:rFonts w:ascii="Arial" w:cs="Arial" w:eastAsia="Arial" w:hAnsi="Arial"/>
                <w:sz w:val="14"/>
                <w:szCs w:val="14"/>
                <w:color w:val="auto"/>
              </w:rPr>
              <w:t>1,994,850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02/08/2018</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L+550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3,970,000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3,898,141</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3,970,000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Sabre Industries, Inc.</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08/24/2018</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90"/>
              </w:rPr>
              <w:t>Construction and Building</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L+575</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3,000,000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2,955,509</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2,973,126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Securus Technologies, Inc.</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05/31/2017</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L+525</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2,962,500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2,938,182</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2,960,648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Seven Seas Cruises S. DE R.L.</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12/21/2018</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6.25%</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L+500</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1,500,000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1,485,300</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1,505,625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Sotera Defense Solutions, Inc.</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04/21/2017</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Aerospace and Defense</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L+550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2,962,512</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2,939,052</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2,932,887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Tekelec Global, Inc. (First Out)</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01/29/2018</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9.00%</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L+750</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150,000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147,935</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150,000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Tekelec Global, Inc. (Second Out)</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01/29/2018</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13.50%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w w:val="86"/>
              </w:rPr>
              <w:t>L+1,200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1,875,000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1,823,914</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1,914,375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Triple Point Technology, Inc.</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10/27/2017</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High Tech Industries</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8.00%</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L+650</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992,500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958,036</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992,500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UniTek Global Services, Inc.</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04/16/2018</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7"/>
              </w:rPr>
              <w:t>Telecommunications</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9.00%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L+750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1,995,000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1,935,550</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1,950,113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Univita Health Inc.</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06/19/2017</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Consumer Services</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6.25%</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L+475</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2,962,500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2,938,318</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2,844,000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Valitas Health Services, Inc.</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06/02/2017</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4"/>
              </w:rPr>
              <w:t>Healthcare and Pharmaceuticals</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5.75%</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L+450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1,481,250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1,474,945</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1,466,438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Vantage Specialties, Inc.</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02/09/2018</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Chemicals, Plastics and Rubber</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L+550</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2,985,000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2,930,559</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2,999,925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Viamedia Services Corp.</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04/19/2016</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0"/>
              </w:rPr>
              <w:t>Media: Advertising, Printing and Publishing</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L+550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4,187,556</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4,147,483</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4,187,556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Virtual Radiologic Corporation</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12/22/2016</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3"/>
              </w:rPr>
              <w:t>Business Services</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7.75%</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P+450</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2,970,000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2,940,842</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2,643,300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W3 CO.</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10/31/2017</w:t>
            </w:r>
          </w:p>
        </w:tc>
        <w:tc>
          <w:tcPr>
            <w:tcW w:w="2680" w:type="dxa"/>
            <w:vAlign w:val="bottom"/>
            <w:gridSpan w:val="3"/>
            <w:shd w:val="clear" w:color="auto" w:fill="CCEEFF"/>
          </w:tcPr>
          <w:p>
            <w:pPr>
              <w:jc w:val="center"/>
              <w:ind w:right="20"/>
              <w:spacing w:after="0" w:line="149" w:lineRule="exact"/>
              <w:rPr>
                <w:sz w:val="20"/>
                <w:szCs w:val="20"/>
                <w:color w:val="auto"/>
              </w:rPr>
            </w:pPr>
            <w:r>
              <w:rPr>
                <w:rFonts w:ascii="Arial" w:cs="Arial" w:eastAsia="Arial" w:hAnsi="Arial"/>
                <w:sz w:val="14"/>
                <w:szCs w:val="14"/>
                <w:color w:val="auto"/>
                <w:w w:val="87"/>
              </w:rPr>
              <w:t>Energy: Oil and Gas</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L+625</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1,985,000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   1,916,035</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   1,982,519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Water Pik, Inc.</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08/10/2017</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6"/>
              </w:rPr>
              <w:t>Consumer Goods: Durable</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6.75%</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L+525</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3,465,000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3,434,281</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3,456,338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WCA Waste Corporation</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03/23/2018</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8"/>
              </w:rPr>
              <w:t>Environmental Industries</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5.50%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L+425</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995,000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985,787</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998,316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4"/>
                <w:szCs w:val="14"/>
                <w:color w:val="auto"/>
              </w:rPr>
              <w:t>Wilton Brands, LLC</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08/30/2018</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7"/>
              </w:rPr>
              <w:t>Consumer Goods: Non-Durable</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7.50%</w:t>
            </w:r>
          </w:p>
        </w:tc>
        <w:tc>
          <w:tcPr>
            <w:tcW w:w="6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L+625</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3,400,000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3,332,763</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3,417,000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gridSpan w:val="2"/>
            <w:shd w:val="clear" w:color="auto" w:fill="CCEEFF"/>
          </w:tcPr>
          <w:p>
            <w:pPr>
              <w:spacing w:after="0" w:line="122" w:lineRule="exact"/>
              <w:rPr>
                <w:sz w:val="20"/>
                <w:szCs w:val="20"/>
                <w:color w:val="auto"/>
              </w:rPr>
            </w:pPr>
            <w:r>
              <w:rPr>
                <w:rFonts w:ascii="Arial" w:cs="Arial" w:eastAsia="Arial" w:hAnsi="Arial"/>
                <w:sz w:val="14"/>
                <w:szCs w:val="14"/>
                <w:color w:val="auto"/>
              </w:rPr>
              <w:t>Yonkers Racing</w:t>
            </w:r>
          </w:p>
        </w:tc>
        <w:tc>
          <w:tcPr>
            <w:tcW w:w="74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gridSpan w:val="2"/>
            <w:shd w:val="clear" w:color="auto" w:fill="CCEEFF"/>
          </w:tcPr>
          <w:p>
            <w:pPr>
              <w:ind w:left="200"/>
              <w:spacing w:after="0" w:line="176" w:lineRule="exact"/>
              <w:rPr>
                <w:sz w:val="20"/>
                <w:szCs w:val="20"/>
                <w:color w:val="auto"/>
              </w:rPr>
            </w:pPr>
            <w:r>
              <w:rPr>
                <w:rFonts w:ascii="Arial" w:cs="Arial" w:eastAsia="Arial" w:hAnsi="Arial"/>
                <w:sz w:val="13"/>
                <w:szCs w:val="13"/>
                <w:color w:val="auto"/>
              </w:rPr>
              <w:t>Corporation</w:t>
            </w:r>
            <w:r>
              <w:rPr>
                <w:rFonts w:ascii="Arial" w:cs="Arial" w:eastAsia="Arial" w:hAnsi="Arial"/>
                <w:sz w:val="20"/>
                <w:szCs w:val="20"/>
                <w:color w:val="auto"/>
                <w:vertAlign w:val="superscript"/>
              </w:rPr>
              <w:t>(5), (8)</w:t>
            </w:r>
          </w:p>
        </w:tc>
        <w:tc>
          <w:tcPr>
            <w:tcW w:w="14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07/15/2016</w:t>
            </w:r>
          </w:p>
        </w:tc>
        <w:tc>
          <w:tcPr>
            <w:tcW w:w="2680" w:type="dxa"/>
            <w:vAlign w:val="bottom"/>
            <w:gridSpan w:val="3"/>
            <w:shd w:val="clear" w:color="auto" w:fill="CCEEFF"/>
          </w:tcPr>
          <w:p>
            <w:pPr>
              <w:jc w:val="center"/>
              <w:spacing w:after="0"/>
              <w:rPr>
                <w:sz w:val="20"/>
                <w:szCs w:val="20"/>
                <w:color w:val="auto"/>
              </w:rPr>
            </w:pPr>
            <w:r>
              <w:rPr>
                <w:rFonts w:ascii="Arial" w:cs="Arial" w:eastAsia="Arial" w:hAnsi="Arial"/>
                <w:sz w:val="14"/>
                <w:szCs w:val="14"/>
                <w:color w:val="auto"/>
                <w:w w:val="88"/>
              </w:rPr>
              <w:t>Hotel, Gaming and Leisure</w:t>
            </w:r>
          </w:p>
        </w:tc>
        <w:tc>
          <w:tcPr>
            <w:tcW w:w="880" w:type="dxa"/>
            <w:vAlign w:val="bottom"/>
            <w:gridSpan w:val="3"/>
            <w:shd w:val="clear" w:color="auto" w:fill="CCEEFF"/>
          </w:tcPr>
          <w:p>
            <w:pPr>
              <w:jc w:val="right"/>
              <w:ind w:right="200"/>
              <w:spacing w:after="0"/>
              <w:rPr>
                <w:sz w:val="20"/>
                <w:szCs w:val="20"/>
                <w:color w:val="auto"/>
              </w:rPr>
            </w:pPr>
            <w:r>
              <w:rPr>
                <w:rFonts w:ascii="Arial" w:cs="Arial" w:eastAsia="Arial" w:hAnsi="Arial"/>
                <w:sz w:val="14"/>
                <w:szCs w:val="14"/>
                <w:color w:val="auto"/>
              </w:rPr>
              <w:t>11.38%</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w w:val="89"/>
              </w:rPr>
              <w:t>4,000,000</w:t>
            </w:r>
          </w:p>
        </w:tc>
        <w:tc>
          <w:tcPr>
            <w:tcW w:w="100" w:type="dxa"/>
            <w:vAlign w:val="bottom"/>
            <w:shd w:val="clear" w:color="auto" w:fill="CCEEFF"/>
          </w:tcPr>
          <w:p>
            <w:pPr>
              <w:spacing w:after="0"/>
              <w:rPr>
                <w:sz w:val="15"/>
                <w:szCs w:val="15"/>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4,288,196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4,320,000</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22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First Lien Secured Debt</w:t>
            </w: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4"/>
          </w:tcPr>
          <w:p>
            <w:pPr>
              <w:jc w:val="right"/>
              <w:spacing w:after="0" w:line="155" w:lineRule="exact"/>
              <w:rPr>
                <w:sz w:val="20"/>
                <w:szCs w:val="20"/>
                <w:color w:val="auto"/>
              </w:rPr>
            </w:pPr>
            <w:r>
              <w:rPr>
                <w:rFonts w:ascii="Arial" w:cs="Arial" w:eastAsia="Arial" w:hAnsi="Arial"/>
                <w:sz w:val="14"/>
                <w:szCs w:val="14"/>
                <w:color w:val="auto"/>
              </w:rPr>
              <w:t>150,258,038</w:t>
            </w:r>
          </w:p>
        </w:tc>
        <w:tc>
          <w:tcPr>
            <w:tcW w:w="80" w:type="dxa"/>
            <w:vAlign w:val="bottom"/>
          </w:tcPr>
          <w:p>
            <w:pPr>
              <w:spacing w:after="0"/>
              <w:rPr>
                <w:sz w:val="14"/>
                <w:szCs w:val="14"/>
                <w:color w:val="auto"/>
              </w:rPr>
            </w:pPr>
          </w:p>
        </w:tc>
        <w:tc>
          <w:tcPr>
            <w:tcW w:w="960" w:type="dxa"/>
            <w:vAlign w:val="bottom"/>
            <w:gridSpan w:val="5"/>
          </w:tcPr>
          <w:p>
            <w:pPr>
              <w:jc w:val="right"/>
              <w:ind w:right="80"/>
              <w:spacing w:after="0" w:line="155" w:lineRule="exact"/>
              <w:rPr>
                <w:sz w:val="20"/>
                <w:szCs w:val="20"/>
                <w:color w:val="auto"/>
              </w:rPr>
            </w:pPr>
            <w:r>
              <w:rPr>
                <w:rFonts w:ascii="Arial" w:cs="Arial" w:eastAsia="Arial" w:hAnsi="Arial"/>
                <w:sz w:val="14"/>
                <w:szCs w:val="14"/>
                <w:color w:val="auto"/>
              </w:rPr>
              <w:t>150,209,747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Second Lien Secured Debt—12.6%</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gridSpan w:val="2"/>
          </w:tcPr>
          <w:p>
            <w:pPr>
              <w:spacing w:after="0" w:line="122" w:lineRule="exact"/>
              <w:rPr>
                <w:sz w:val="20"/>
                <w:szCs w:val="20"/>
                <w:color w:val="auto"/>
              </w:rPr>
            </w:pPr>
            <w:r>
              <w:rPr>
                <w:rFonts w:ascii="Arial" w:cs="Arial" w:eastAsia="Arial" w:hAnsi="Arial"/>
                <w:sz w:val="14"/>
                <w:szCs w:val="14"/>
                <w:color w:val="auto"/>
              </w:rPr>
              <w:t>American Gilsonite</w:t>
            </w: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gridSpan w:val="2"/>
          </w:tcPr>
          <w:p>
            <w:pPr>
              <w:ind w:left="200"/>
              <w:spacing w:after="0" w:line="176" w:lineRule="exact"/>
              <w:rPr>
                <w:sz w:val="20"/>
                <w:szCs w:val="20"/>
                <w:color w:val="auto"/>
              </w:rPr>
            </w:pPr>
            <w:r>
              <w:rPr>
                <w:rFonts w:ascii="Arial" w:cs="Arial" w:eastAsia="Arial" w:hAnsi="Arial"/>
                <w:sz w:val="13"/>
                <w:szCs w:val="13"/>
                <w:color w:val="auto"/>
              </w:rPr>
              <w:t>Company</w:t>
            </w:r>
            <w:r>
              <w:rPr>
                <w:rFonts w:ascii="Arial" w:cs="Arial" w:eastAsia="Arial" w:hAnsi="Arial"/>
                <w:sz w:val="20"/>
                <w:szCs w:val="20"/>
                <w:color w:val="auto"/>
                <w:vertAlign w:val="superscript"/>
              </w:rPr>
              <w:t>(5), (8)</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color w:val="auto"/>
              </w:rPr>
              <w:t>09/01/2017</w:t>
            </w:r>
          </w:p>
        </w:tc>
        <w:tc>
          <w:tcPr>
            <w:tcW w:w="2680" w:type="dxa"/>
            <w:vAlign w:val="bottom"/>
            <w:gridSpan w:val="3"/>
          </w:tcPr>
          <w:p>
            <w:pPr>
              <w:jc w:val="center"/>
              <w:spacing w:after="0"/>
              <w:rPr>
                <w:sz w:val="20"/>
                <w:szCs w:val="20"/>
                <w:color w:val="auto"/>
              </w:rPr>
            </w:pPr>
            <w:r>
              <w:rPr>
                <w:rFonts w:ascii="Arial" w:cs="Arial" w:eastAsia="Arial" w:hAnsi="Arial"/>
                <w:sz w:val="14"/>
                <w:szCs w:val="14"/>
                <w:color w:val="auto"/>
                <w:w w:val="91"/>
              </w:rPr>
              <w:t>Metals and Mining</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11.50%</w:t>
            </w:r>
          </w:p>
        </w:tc>
        <w:tc>
          <w:tcPr>
            <w:tcW w:w="6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w w:val="89"/>
              </w:rPr>
              <w:t>3,000,000</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3,000,000</w:t>
            </w:r>
          </w:p>
        </w:tc>
        <w:tc>
          <w:tcPr>
            <w:tcW w:w="80" w:type="dxa"/>
            <w:vAlign w:val="bottom"/>
          </w:tcPr>
          <w:p>
            <w:pPr>
              <w:spacing w:after="0"/>
              <w:rPr>
                <w:sz w:val="15"/>
                <w:szCs w:val="15"/>
                <w:color w:val="auto"/>
              </w:rPr>
            </w:pPr>
          </w:p>
        </w:tc>
        <w:tc>
          <w:tcPr>
            <w:tcW w:w="960" w:type="dxa"/>
            <w:vAlign w:val="bottom"/>
            <w:gridSpan w:val="5"/>
          </w:tcPr>
          <w:p>
            <w:pPr>
              <w:jc w:val="right"/>
              <w:ind w:right="80"/>
              <w:spacing w:after="0"/>
              <w:rPr>
                <w:sz w:val="20"/>
                <w:szCs w:val="20"/>
                <w:color w:val="auto"/>
              </w:rPr>
            </w:pPr>
            <w:r>
              <w:rPr>
                <w:rFonts w:ascii="Arial" w:cs="Arial" w:eastAsia="Arial" w:hAnsi="Arial"/>
                <w:sz w:val="14"/>
                <w:szCs w:val="14"/>
                <w:color w:val="auto"/>
              </w:rPr>
              <w:t>3,082,500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Autoparts Holdings Limited</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01/29/2018</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Automotive</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10.50%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L+900</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1,000,000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995,180</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900,000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00" w:type="dxa"/>
            <w:vAlign w:val="bottom"/>
            <w:gridSpan w:val="2"/>
          </w:tcPr>
          <w:p>
            <w:pPr>
              <w:spacing w:after="0" w:line="122" w:lineRule="exact"/>
              <w:rPr>
                <w:sz w:val="20"/>
                <w:szCs w:val="20"/>
                <w:color w:val="auto"/>
              </w:rPr>
            </w:pPr>
            <w:r>
              <w:rPr>
                <w:rFonts w:ascii="Arial" w:cs="Arial" w:eastAsia="Arial" w:hAnsi="Arial"/>
                <w:sz w:val="14"/>
                <w:szCs w:val="14"/>
                <w:color w:val="auto"/>
              </w:rPr>
              <w:t>Cannery Casino Resorts,</w:t>
            </w:r>
          </w:p>
        </w:tc>
        <w:tc>
          <w:tcPr>
            <w:tcW w:w="7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200" w:type="dxa"/>
            <w:vAlign w:val="bottom"/>
            <w:gridSpan w:val="2"/>
          </w:tcPr>
          <w:p>
            <w:pPr>
              <w:ind w:left="200"/>
              <w:spacing w:after="0" w:line="176" w:lineRule="exact"/>
              <w:rPr>
                <w:sz w:val="20"/>
                <w:szCs w:val="20"/>
                <w:color w:val="auto"/>
              </w:rPr>
            </w:pPr>
            <w:r>
              <w:rPr>
                <w:rFonts w:ascii="Arial" w:cs="Arial" w:eastAsia="Arial" w:hAnsi="Arial"/>
                <w:sz w:val="13"/>
                <w:szCs w:val="13"/>
                <w:color w:val="auto"/>
              </w:rPr>
              <w:t>LLC</w:t>
            </w:r>
            <w:r>
              <w:rPr>
                <w:rFonts w:ascii="Arial" w:cs="Arial" w:eastAsia="Arial" w:hAnsi="Arial"/>
                <w:sz w:val="20"/>
                <w:szCs w:val="20"/>
                <w:color w:val="auto"/>
                <w:vertAlign w:val="superscript"/>
              </w:rPr>
              <w:t>(8)</w:t>
            </w:r>
          </w:p>
        </w:tc>
        <w:tc>
          <w:tcPr>
            <w:tcW w:w="1420" w:type="dxa"/>
            <w:vAlign w:val="bottom"/>
            <w:gridSpan w:val="3"/>
          </w:tcPr>
          <w:p>
            <w:pPr>
              <w:jc w:val="right"/>
              <w:ind w:right="140"/>
              <w:spacing w:after="0"/>
              <w:rPr>
                <w:sz w:val="20"/>
                <w:szCs w:val="20"/>
                <w:color w:val="auto"/>
              </w:rPr>
            </w:pPr>
            <w:r>
              <w:rPr>
                <w:rFonts w:ascii="Arial" w:cs="Arial" w:eastAsia="Arial" w:hAnsi="Arial"/>
                <w:sz w:val="14"/>
                <w:szCs w:val="14"/>
                <w:color w:val="auto"/>
              </w:rPr>
              <w:t>10/02/2019</w:t>
            </w:r>
          </w:p>
        </w:tc>
        <w:tc>
          <w:tcPr>
            <w:tcW w:w="2680" w:type="dxa"/>
            <w:vAlign w:val="bottom"/>
            <w:gridSpan w:val="3"/>
          </w:tcPr>
          <w:p>
            <w:pPr>
              <w:jc w:val="center"/>
              <w:spacing w:after="0"/>
              <w:rPr>
                <w:sz w:val="20"/>
                <w:szCs w:val="20"/>
                <w:color w:val="auto"/>
              </w:rPr>
            </w:pPr>
            <w:r>
              <w:rPr>
                <w:rFonts w:ascii="Arial" w:cs="Arial" w:eastAsia="Arial" w:hAnsi="Arial"/>
                <w:sz w:val="14"/>
                <w:szCs w:val="14"/>
                <w:color w:val="auto"/>
                <w:w w:val="88"/>
              </w:rPr>
              <w:t>Hotel, Gaming and Leisure</w:t>
            </w:r>
          </w:p>
        </w:tc>
        <w:tc>
          <w:tcPr>
            <w:tcW w:w="880" w:type="dxa"/>
            <w:vAlign w:val="bottom"/>
            <w:gridSpan w:val="3"/>
          </w:tcPr>
          <w:p>
            <w:pPr>
              <w:jc w:val="right"/>
              <w:ind w:right="200"/>
              <w:spacing w:after="0"/>
              <w:rPr>
                <w:sz w:val="20"/>
                <w:szCs w:val="20"/>
                <w:color w:val="auto"/>
              </w:rPr>
            </w:pPr>
            <w:r>
              <w:rPr>
                <w:rFonts w:ascii="Arial" w:cs="Arial" w:eastAsia="Arial" w:hAnsi="Arial"/>
                <w:sz w:val="14"/>
                <w:szCs w:val="14"/>
                <w:color w:val="auto"/>
              </w:rPr>
              <w:t>10.00%</w:t>
            </w: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L+875</w:t>
            </w:r>
          </w:p>
        </w:tc>
        <w:tc>
          <w:tcPr>
            <w:tcW w:w="660" w:type="dxa"/>
            <w:vAlign w:val="bottom"/>
            <w:gridSpan w:val="3"/>
          </w:tcPr>
          <w:p>
            <w:pPr>
              <w:jc w:val="right"/>
              <w:ind w:right="80"/>
              <w:spacing w:after="0"/>
              <w:rPr>
                <w:sz w:val="20"/>
                <w:szCs w:val="20"/>
                <w:color w:val="auto"/>
              </w:rPr>
            </w:pPr>
            <w:r>
              <w:rPr>
                <w:rFonts w:ascii="Arial" w:cs="Arial" w:eastAsia="Arial" w:hAnsi="Arial"/>
                <w:sz w:val="14"/>
                <w:szCs w:val="14"/>
                <w:color w:val="auto"/>
                <w:w w:val="89"/>
              </w:rPr>
              <w:t>1,700,000</w:t>
            </w:r>
          </w:p>
        </w:tc>
        <w:tc>
          <w:tcPr>
            <w:tcW w:w="860" w:type="dxa"/>
            <w:vAlign w:val="bottom"/>
            <w:gridSpan w:val="4"/>
          </w:tcPr>
          <w:p>
            <w:pPr>
              <w:jc w:val="right"/>
              <w:spacing w:after="0"/>
              <w:rPr>
                <w:sz w:val="20"/>
                <w:szCs w:val="20"/>
                <w:color w:val="auto"/>
              </w:rPr>
            </w:pPr>
            <w:r>
              <w:rPr>
                <w:rFonts w:ascii="Arial" w:cs="Arial" w:eastAsia="Arial" w:hAnsi="Arial"/>
                <w:sz w:val="14"/>
                <w:szCs w:val="14"/>
                <w:color w:val="auto"/>
              </w:rPr>
              <w:t>1,666,000</w:t>
            </w:r>
          </w:p>
        </w:tc>
        <w:tc>
          <w:tcPr>
            <w:tcW w:w="80" w:type="dxa"/>
            <w:vAlign w:val="bottom"/>
          </w:tcPr>
          <w:p>
            <w:pPr>
              <w:spacing w:after="0"/>
              <w:rPr>
                <w:sz w:val="15"/>
                <w:szCs w:val="15"/>
                <w:color w:val="auto"/>
              </w:rPr>
            </w:pPr>
          </w:p>
        </w:tc>
        <w:tc>
          <w:tcPr>
            <w:tcW w:w="960" w:type="dxa"/>
            <w:vAlign w:val="bottom"/>
            <w:gridSpan w:val="5"/>
          </w:tcPr>
          <w:p>
            <w:pPr>
              <w:jc w:val="right"/>
              <w:ind w:right="80"/>
              <w:spacing w:after="0"/>
              <w:rPr>
                <w:sz w:val="20"/>
                <w:szCs w:val="20"/>
                <w:color w:val="auto"/>
              </w:rPr>
            </w:pPr>
            <w:r>
              <w:rPr>
                <w:rFonts w:ascii="Arial" w:cs="Arial" w:eastAsia="Arial" w:hAnsi="Arial"/>
                <w:sz w:val="14"/>
                <w:szCs w:val="14"/>
                <w:color w:val="auto"/>
              </w:rPr>
              <w:t>1,691,500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color w:val="auto"/>
              </w:rPr>
              <w:t>Mood Media Corporation</w:t>
            </w:r>
            <w:r>
              <w:rPr>
                <w:rFonts w:ascii="Arial" w:cs="Arial" w:eastAsia="Arial" w:hAnsi="Arial"/>
                <w:sz w:val="17"/>
                <w:szCs w:val="17"/>
                <w:color w:val="auto"/>
                <w:vertAlign w:val="superscript"/>
              </w:rPr>
              <w:t>(6)</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11/06/2018</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9"/>
              </w:rPr>
              <w:t>Media: Diversified and Production</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10.25%</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L+875</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1,500,000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1,486,780</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1,475,250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1"/>
                <w:szCs w:val="11"/>
                <w:color w:val="auto"/>
              </w:rPr>
              <w:t>ROC Finance LLC and ROC Finance 1 Corp</w:t>
            </w:r>
            <w:r>
              <w:rPr>
                <w:rFonts w:ascii="Arial" w:cs="Arial" w:eastAsia="Arial" w:hAnsi="Arial"/>
                <w:sz w:val="17"/>
                <w:szCs w:val="17"/>
                <w:color w:val="auto"/>
                <w:vertAlign w:val="superscript"/>
              </w:rPr>
              <w:t>(8)</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09/01/2018</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12.13%</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2,000,000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1,969,103</w:t>
            </w:r>
          </w:p>
        </w:tc>
        <w:tc>
          <w:tcPr>
            <w:tcW w:w="80" w:type="dxa"/>
            <w:vAlign w:val="bottom"/>
          </w:tcPr>
          <w:p>
            <w:pPr>
              <w:spacing w:after="0"/>
              <w:rPr>
                <w:sz w:val="12"/>
                <w:szCs w:val="12"/>
                <w:color w:val="auto"/>
              </w:rPr>
            </w:pPr>
          </w:p>
        </w:tc>
        <w:tc>
          <w:tcPr>
            <w:tcW w:w="960" w:type="dxa"/>
            <w:vAlign w:val="bottom"/>
            <w:gridSpan w:val="5"/>
          </w:tcPr>
          <w:p>
            <w:pPr>
              <w:jc w:val="right"/>
              <w:ind w:right="80"/>
              <w:spacing w:after="0" w:line="149" w:lineRule="exact"/>
              <w:rPr>
                <w:sz w:val="20"/>
                <w:szCs w:val="20"/>
                <w:color w:val="auto"/>
              </w:rPr>
            </w:pPr>
            <w:r>
              <w:rPr>
                <w:rFonts w:ascii="Arial" w:cs="Arial" w:eastAsia="Arial" w:hAnsi="Arial"/>
                <w:sz w:val="14"/>
                <w:szCs w:val="14"/>
                <w:color w:val="auto"/>
              </w:rPr>
              <w:t>2,320,000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1420" w:type="dxa"/>
            <w:vAlign w:val="bottom"/>
            <w:gridSpan w:val="3"/>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05/09/2018</w:t>
            </w:r>
          </w:p>
        </w:tc>
        <w:tc>
          <w:tcPr>
            <w:tcW w:w="268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93"/>
              </w:rPr>
              <w:t>Utilities: Water</w:t>
            </w:r>
          </w:p>
        </w:tc>
        <w:tc>
          <w:tcPr>
            <w:tcW w:w="8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8.50%</w:t>
            </w:r>
          </w:p>
        </w:tc>
        <w:tc>
          <w:tcPr>
            <w:tcW w:w="6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L+725</w:t>
            </w:r>
          </w:p>
        </w:tc>
        <w:tc>
          <w:tcPr>
            <w:tcW w:w="66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9"/>
              </w:rPr>
              <w:t>1,000,000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991,580</w:t>
            </w:r>
          </w:p>
        </w:tc>
        <w:tc>
          <w:tcPr>
            <w:tcW w:w="80" w:type="dxa"/>
            <w:vAlign w:val="bottom"/>
            <w:shd w:val="clear" w:color="auto" w:fill="CCEEFF"/>
          </w:tcPr>
          <w:p>
            <w:pPr>
              <w:spacing w:after="0"/>
              <w:rPr>
                <w:sz w:val="12"/>
                <w:szCs w:val="12"/>
                <w:color w:val="auto"/>
              </w:rPr>
            </w:pP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996,250</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200" w:type="dxa"/>
            <w:vAlign w:val="bottom"/>
            <w:gridSpan w:val="2"/>
          </w:tcPr>
          <w:p>
            <w:pPr>
              <w:spacing w:after="0" w:line="149" w:lineRule="exact"/>
              <w:rPr>
                <w:sz w:val="20"/>
                <w:szCs w:val="20"/>
                <w:color w:val="auto"/>
              </w:rPr>
            </w:pPr>
            <w:r>
              <w:rPr>
                <w:rFonts w:ascii="Arial" w:cs="Arial" w:eastAsia="Arial" w:hAnsi="Arial"/>
                <w:sz w:val="11"/>
                <w:szCs w:val="11"/>
                <w:color w:val="auto"/>
              </w:rPr>
              <w:t>Seven Seas Cruises</w:t>
            </w:r>
            <w:r>
              <w:rPr>
                <w:rFonts w:ascii="Arial" w:cs="Arial" w:eastAsia="Arial" w:hAnsi="Arial"/>
                <w:sz w:val="17"/>
                <w:szCs w:val="17"/>
                <w:color w:val="auto"/>
                <w:vertAlign w:val="superscript"/>
              </w:rPr>
              <w:t>(5), (6), (8)</w:t>
            </w:r>
          </w:p>
        </w:tc>
        <w:tc>
          <w:tcPr>
            <w:tcW w:w="1420" w:type="dxa"/>
            <w:vAlign w:val="bottom"/>
            <w:gridSpan w:val="3"/>
          </w:tcPr>
          <w:p>
            <w:pPr>
              <w:jc w:val="right"/>
              <w:ind w:right="140"/>
              <w:spacing w:after="0" w:line="149" w:lineRule="exact"/>
              <w:rPr>
                <w:sz w:val="20"/>
                <w:szCs w:val="20"/>
                <w:color w:val="auto"/>
              </w:rPr>
            </w:pPr>
            <w:r>
              <w:rPr>
                <w:rFonts w:ascii="Arial" w:cs="Arial" w:eastAsia="Arial" w:hAnsi="Arial"/>
                <w:sz w:val="14"/>
                <w:szCs w:val="14"/>
                <w:color w:val="auto"/>
              </w:rPr>
              <w:t>05/15/2019</w:t>
            </w:r>
          </w:p>
        </w:tc>
        <w:tc>
          <w:tcPr>
            <w:tcW w:w="268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8"/>
              </w:rPr>
              <w:t>Hotel, Gaming and Leisure</w:t>
            </w:r>
          </w:p>
        </w:tc>
        <w:tc>
          <w:tcPr>
            <w:tcW w:w="8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9.13%</w:t>
            </w:r>
          </w:p>
        </w:tc>
        <w:tc>
          <w:tcPr>
            <w:tcW w:w="66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9"/>
              </w:rPr>
              <w:t>1,500,000</w:t>
            </w:r>
          </w:p>
        </w:tc>
        <w:tc>
          <w:tcPr>
            <w:tcW w:w="10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1,500,000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1,560,000</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Second Lien Secured Debt</w:t>
            </w:r>
          </w:p>
        </w:tc>
        <w:tc>
          <w:tcPr>
            <w:tcW w:w="7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11,608,643</w:t>
            </w:r>
          </w:p>
        </w:tc>
        <w:tc>
          <w:tcPr>
            <w:tcW w:w="960" w:type="dxa"/>
            <w:vAlign w:val="bottom"/>
            <w:gridSpan w:val="5"/>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12,025,500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420"/>
          </w:cols>
          <w:pgMar w:left="240" w:top="459" w:right="2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SEPTEMBER 30, 2012</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3"/>
              </w:rPr>
              <w:t>Basis Point</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Spread</w:t>
            </w: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3"/>
            <w:vMerge w:val="restart"/>
          </w:tcPr>
          <w:p>
            <w:pPr>
              <w:jc w:val="right"/>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gridSpan w:val="2"/>
          </w:tcPr>
          <w:p>
            <w:pPr>
              <w:spacing w:after="0" w:line="135" w:lineRule="exact"/>
              <w:rPr>
                <w:sz w:val="20"/>
                <w:szCs w:val="20"/>
                <w:color w:val="auto"/>
              </w:rPr>
            </w:pPr>
            <w:r>
              <w:rPr>
                <w:rFonts w:ascii="Arial" w:cs="Arial" w:eastAsia="Arial" w:hAnsi="Arial"/>
                <w:sz w:val="14"/>
                <w:szCs w:val="14"/>
                <w:b w:val="1"/>
                <w:bCs w:val="1"/>
                <w:color w:val="auto"/>
              </w:rPr>
              <w:t>Current</w:t>
            </w:r>
          </w:p>
        </w:tc>
        <w:tc>
          <w:tcPr>
            <w:tcW w:w="660" w:type="dxa"/>
            <w:vAlign w:val="bottom"/>
            <w:gridSpan w:val="2"/>
          </w:tcPr>
          <w:p>
            <w:pPr>
              <w:ind w:left="40"/>
              <w:spacing w:after="0" w:line="135" w:lineRule="exact"/>
              <w:rPr>
                <w:sz w:val="20"/>
                <w:szCs w:val="20"/>
                <w:color w:val="auto"/>
              </w:rPr>
            </w:pPr>
            <w:r>
              <w:rPr>
                <w:rFonts w:ascii="Arial" w:cs="Arial" w:eastAsia="Arial" w:hAnsi="Arial"/>
                <w:sz w:val="14"/>
                <w:szCs w:val="14"/>
                <w:b w:val="1"/>
                <w:bCs w:val="1"/>
                <w:color w:val="auto"/>
              </w:rPr>
              <w:t>Above</w:t>
            </w:r>
          </w:p>
        </w:tc>
        <w:tc>
          <w:tcPr>
            <w:tcW w:w="60" w:type="dxa"/>
            <w:vAlign w:val="bottom"/>
          </w:tcPr>
          <w:p>
            <w:pPr>
              <w:spacing w:after="0"/>
              <w:rPr>
                <w:sz w:val="11"/>
                <w:szCs w:val="11"/>
                <w:color w:val="auto"/>
              </w:rPr>
            </w:pPr>
          </w:p>
        </w:tc>
        <w:tc>
          <w:tcPr>
            <w:tcW w:w="560" w:type="dxa"/>
            <w:vAlign w:val="bottom"/>
            <w:gridSpan w:val="2"/>
          </w:tcPr>
          <w:p>
            <w:pPr>
              <w:jc w:val="right"/>
              <w:ind w:right="240"/>
              <w:spacing w:after="0" w:line="135" w:lineRule="exact"/>
              <w:rPr>
                <w:sz w:val="20"/>
                <w:szCs w:val="20"/>
                <w:color w:val="auto"/>
              </w:rPr>
            </w:pPr>
            <w:r>
              <w:rPr>
                <w:rFonts w:ascii="Arial" w:cs="Arial" w:eastAsia="Arial" w:hAnsi="Arial"/>
                <w:sz w:val="14"/>
                <w:szCs w:val="14"/>
                <w:b w:val="1"/>
                <w:bCs w:val="1"/>
                <w:color w:val="auto"/>
                <w:w w:val="98"/>
              </w:rPr>
              <w:t>Par /</w:t>
            </w: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Issuer Name</w:t>
            </w:r>
          </w:p>
        </w:tc>
        <w:tc>
          <w:tcPr>
            <w:tcW w:w="9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Maturity</w:t>
            </w:r>
          </w:p>
        </w:tc>
        <w:tc>
          <w:tcPr>
            <w:tcW w:w="820" w:type="dxa"/>
            <w:vAlign w:val="bottom"/>
          </w:tcPr>
          <w:p>
            <w:pPr>
              <w:spacing w:after="0"/>
              <w:rPr>
                <w:sz w:val="14"/>
                <w:szCs w:val="14"/>
                <w:color w:val="auto"/>
              </w:rPr>
            </w:pPr>
          </w:p>
        </w:tc>
        <w:tc>
          <w:tcPr>
            <w:tcW w:w="132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0"/>
              </w:rPr>
              <w:t>Industry</w:t>
            </w:r>
          </w:p>
        </w:tc>
        <w:tc>
          <w:tcPr>
            <w:tcW w:w="26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rPr>
              <w:t>Coupon</w:t>
            </w:r>
          </w:p>
        </w:tc>
        <w:tc>
          <w:tcPr>
            <w:tcW w:w="660" w:type="dxa"/>
            <w:vAlign w:val="bottom"/>
            <w:gridSpan w:val="2"/>
          </w:tcPr>
          <w:p>
            <w:pPr>
              <w:spacing w:after="0" w:line="162" w:lineRule="exact"/>
              <w:rPr>
                <w:sz w:val="20"/>
                <w:szCs w:val="20"/>
                <w:color w:val="auto"/>
              </w:rPr>
            </w:pPr>
            <w:r>
              <w:rPr>
                <w:rFonts w:ascii="Arial" w:cs="Arial" w:eastAsia="Arial" w:hAnsi="Arial"/>
                <w:sz w:val="12"/>
                <w:szCs w:val="12"/>
                <w:b w:val="1"/>
                <w:bCs w:val="1"/>
                <w:color w:val="auto"/>
              </w:rPr>
              <w:t>Index</w:t>
            </w:r>
            <w:r>
              <w:rPr>
                <w:rFonts w:ascii="Arial" w:cs="Arial" w:eastAsia="Arial" w:hAnsi="Arial"/>
                <w:sz w:val="18"/>
                <w:szCs w:val="18"/>
                <w:b w:val="1"/>
                <w:bCs w:val="1"/>
                <w:color w:val="auto"/>
                <w:vertAlign w:val="superscript"/>
              </w:rPr>
              <w:t>(1)</w:t>
            </w:r>
          </w:p>
        </w:tc>
        <w:tc>
          <w:tcPr>
            <w:tcW w:w="6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4"/>
                <w:szCs w:val="14"/>
                <w:color w:val="auto"/>
              </w:rPr>
            </w:pPr>
          </w:p>
        </w:tc>
        <w:tc>
          <w:tcPr>
            <w:tcW w:w="9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3"/>
          </w:tcPr>
          <w:p>
            <w:pPr>
              <w:jc w:val="right"/>
              <w:ind w:right="240"/>
              <w:spacing w:after="0" w:line="162" w:lineRule="exact"/>
              <w:rPr>
                <w:sz w:val="20"/>
                <w:szCs w:val="20"/>
                <w:color w:val="auto"/>
              </w:rPr>
            </w:pPr>
            <w:r>
              <w:rPr>
                <w:rFonts w:ascii="Arial" w:cs="Arial" w:eastAsia="Arial" w:hAnsi="Arial"/>
                <w:sz w:val="12"/>
                <w:szCs w:val="12"/>
                <w:b w:val="1"/>
                <w:bCs w:val="1"/>
                <w:color w:val="auto"/>
                <w:w w:val="89"/>
              </w:rPr>
              <w:t>Value</w:t>
            </w:r>
            <w:r>
              <w:rPr>
                <w:rFonts w:ascii="Arial" w:cs="Arial" w:eastAsia="Arial" w:hAnsi="Arial"/>
                <w:sz w:val="18"/>
                <w:szCs w:val="18"/>
                <w:b w:val="1"/>
                <w:bCs w:val="1"/>
                <w:color w:val="auto"/>
                <w:w w:val="89"/>
                <w:vertAlign w:val="superscript"/>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1"/>
                <w:szCs w:val="11"/>
                <w:b w:val="1"/>
                <w:bCs w:val="1"/>
                <w:color w:val="auto"/>
              </w:rPr>
              <w:t xml:space="preserve">Subordinated Debt/Corporate Notes—8.7% </w:t>
            </w:r>
            <w:r>
              <w:rPr>
                <w:rFonts w:ascii="Arial" w:cs="Arial" w:eastAsia="Arial" w:hAnsi="Arial"/>
                <w:sz w:val="17"/>
                <w:szCs w:val="17"/>
                <w:b w:val="1"/>
                <w:bCs w:val="1"/>
                <w:color w:val="auto"/>
                <w:vertAlign w:val="superscript"/>
              </w:rPr>
              <w:t>(8)</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rPr>
              <w:t>Affinion Group Holdings, Inc.</w:t>
            </w:r>
          </w:p>
        </w:tc>
        <w:tc>
          <w:tcPr>
            <w:tcW w:w="98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11/15/2015</w:t>
            </w:r>
          </w:p>
        </w:tc>
        <w:tc>
          <w:tcPr>
            <w:tcW w:w="2140" w:type="dxa"/>
            <w:vAlign w:val="bottom"/>
            <w:gridSpan w:val="3"/>
          </w:tcPr>
          <w:p>
            <w:pPr>
              <w:jc w:val="center"/>
              <w:ind w:right="20"/>
              <w:spacing w:after="0" w:line="149" w:lineRule="exact"/>
              <w:rPr>
                <w:sz w:val="20"/>
                <w:szCs w:val="20"/>
                <w:color w:val="auto"/>
              </w:rPr>
            </w:pPr>
            <w:r>
              <w:rPr>
                <w:rFonts w:ascii="Arial" w:cs="Arial" w:eastAsia="Arial" w:hAnsi="Arial"/>
                <w:sz w:val="14"/>
                <w:szCs w:val="14"/>
                <w:color w:val="auto"/>
                <w:w w:val="87"/>
              </w:rPr>
              <w:t>Consumer Goods: Non-Durable</w:t>
            </w:r>
          </w:p>
        </w:tc>
        <w:tc>
          <w:tcPr>
            <w:tcW w:w="1060" w:type="dxa"/>
            <w:vAlign w:val="bottom"/>
            <w:gridSpan w:val="3"/>
          </w:tcPr>
          <w:p>
            <w:pPr>
              <w:jc w:val="right"/>
              <w:ind w:right="200"/>
              <w:spacing w:after="0" w:line="149" w:lineRule="exact"/>
              <w:rPr>
                <w:sz w:val="20"/>
                <w:szCs w:val="20"/>
                <w:color w:val="auto"/>
              </w:rPr>
            </w:pPr>
            <w:r>
              <w:rPr>
                <w:rFonts w:ascii="Arial" w:cs="Arial" w:eastAsia="Arial" w:hAnsi="Arial"/>
                <w:sz w:val="14"/>
                <w:szCs w:val="14"/>
                <w:color w:val="auto"/>
              </w:rPr>
              <w:t>11.63%</w:t>
            </w:r>
          </w:p>
        </w:tc>
        <w:tc>
          <w:tcPr>
            <w:tcW w:w="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3"/>
              </w:rPr>
              <w:t>4,100,000</w:t>
            </w:r>
          </w:p>
        </w:tc>
        <w:tc>
          <w:tcPr>
            <w:tcW w:w="8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3,782,015</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9" w:lineRule="exact"/>
              <w:rPr>
                <w:sz w:val="20"/>
                <w:szCs w:val="20"/>
                <w:color w:val="auto"/>
              </w:rPr>
            </w:pPr>
            <w:r>
              <w:rPr>
                <w:rFonts w:ascii="Arial" w:cs="Arial" w:eastAsia="Arial" w:hAnsi="Arial"/>
                <w:sz w:val="14"/>
                <w:szCs w:val="14"/>
                <w:color w:val="auto"/>
              </w:rPr>
              <w:t>2,788,000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Document Technologies, Inc.</w:t>
            </w:r>
          </w:p>
        </w:tc>
        <w:tc>
          <w:tcPr>
            <w:tcW w:w="98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12/01/2017</w:t>
            </w:r>
          </w:p>
        </w:tc>
        <w:tc>
          <w:tcPr>
            <w:tcW w:w="21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Business Services</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13.00%</w:t>
            </w:r>
          </w:p>
        </w:tc>
        <w:tc>
          <w:tcPr>
            <w:tcW w:w="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3"/>
              </w:rPr>
              <w:t>1,000,000</w:t>
            </w: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980,074</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gridSpan w:val="2"/>
          </w:tcPr>
          <w:p>
            <w:pPr>
              <w:spacing w:after="0" w:line="138" w:lineRule="exact"/>
              <w:rPr>
                <w:sz w:val="20"/>
                <w:szCs w:val="20"/>
                <w:color w:val="auto"/>
              </w:rPr>
            </w:pPr>
            <w:r>
              <w:rPr>
                <w:rFonts w:ascii="Arial" w:cs="Arial" w:eastAsia="Arial" w:hAnsi="Arial"/>
                <w:sz w:val="14"/>
                <w:szCs w:val="14"/>
                <w:color w:val="auto"/>
              </w:rPr>
              <w:t>TrustHouse Services Group, Inc.</w:t>
            </w:r>
          </w:p>
        </w:tc>
        <w:tc>
          <w:tcPr>
            <w:tcW w:w="98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06/03/2019</w:t>
            </w:r>
          </w:p>
        </w:tc>
        <w:tc>
          <w:tcPr>
            <w:tcW w:w="2140" w:type="dxa"/>
            <w:vAlign w:val="bottom"/>
            <w:gridSpan w:val="3"/>
          </w:tcPr>
          <w:p>
            <w:pPr>
              <w:jc w:val="center"/>
              <w:spacing w:after="0" w:line="138" w:lineRule="exact"/>
              <w:rPr>
                <w:sz w:val="20"/>
                <w:szCs w:val="20"/>
                <w:color w:val="auto"/>
              </w:rPr>
            </w:pPr>
            <w:r>
              <w:rPr>
                <w:rFonts w:ascii="Arial" w:cs="Arial" w:eastAsia="Arial" w:hAnsi="Arial"/>
                <w:sz w:val="14"/>
                <w:szCs w:val="14"/>
                <w:color w:val="auto"/>
                <w:w w:val="85"/>
              </w:rPr>
              <w:t>Beverage, Food and Tobacco</w:t>
            </w:r>
          </w:p>
        </w:tc>
        <w:tc>
          <w:tcPr>
            <w:tcW w:w="1060" w:type="dxa"/>
            <w:vAlign w:val="bottom"/>
            <w:gridSpan w:val="3"/>
          </w:tcPr>
          <w:p>
            <w:pPr>
              <w:jc w:val="right"/>
              <w:ind w:right="200"/>
              <w:spacing w:after="0" w:line="138" w:lineRule="exact"/>
              <w:rPr>
                <w:sz w:val="20"/>
                <w:szCs w:val="20"/>
                <w:color w:val="auto"/>
              </w:rPr>
            </w:pPr>
            <w:r>
              <w:rPr>
                <w:rFonts w:ascii="Arial" w:cs="Arial" w:eastAsia="Arial" w:hAnsi="Arial"/>
                <w:sz w:val="14"/>
                <w:szCs w:val="14"/>
                <w:color w:val="auto"/>
              </w:rPr>
              <w:t>14.25%</w:t>
            </w:r>
          </w:p>
        </w:tc>
        <w:tc>
          <w:tcPr>
            <w:tcW w:w="660" w:type="dxa"/>
            <w:vAlign w:val="bottom"/>
            <w:gridSpan w:val="2"/>
          </w:tcPr>
          <w:p>
            <w:pPr>
              <w:ind w:left="220"/>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38" w:lineRule="exact"/>
              <w:rPr>
                <w:sz w:val="20"/>
                <w:szCs w:val="20"/>
                <w:color w:val="auto"/>
              </w:rPr>
            </w:pPr>
            <w:r>
              <w:rPr>
                <w:rFonts w:ascii="Arial" w:cs="Arial" w:eastAsia="Arial" w:hAnsi="Arial"/>
                <w:sz w:val="14"/>
                <w:szCs w:val="14"/>
                <w:color w:val="auto"/>
                <w:w w:val="83"/>
              </w:rPr>
              <w:t>4,508,719</w:t>
            </w:r>
          </w:p>
        </w:tc>
        <w:tc>
          <w:tcPr>
            <w:tcW w:w="860" w:type="dxa"/>
            <w:vAlign w:val="bottom"/>
            <w:gridSpan w:val="4"/>
          </w:tcPr>
          <w:p>
            <w:pPr>
              <w:jc w:val="right"/>
              <w:spacing w:after="0" w:line="138" w:lineRule="exact"/>
              <w:rPr>
                <w:sz w:val="20"/>
                <w:szCs w:val="20"/>
                <w:color w:val="auto"/>
              </w:rPr>
            </w:pPr>
            <w:r>
              <w:rPr>
                <w:rFonts w:ascii="Arial" w:cs="Arial" w:eastAsia="Arial" w:hAnsi="Arial"/>
                <w:sz w:val="14"/>
                <w:szCs w:val="14"/>
                <w:color w:val="auto"/>
              </w:rPr>
              <w:t>4,432,092</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jc w:val="right"/>
              <w:spacing w:after="0" w:line="138" w:lineRule="exact"/>
              <w:rPr>
                <w:sz w:val="20"/>
                <w:szCs w:val="20"/>
                <w:color w:val="auto"/>
              </w:rPr>
            </w:pPr>
            <w:r>
              <w:rPr>
                <w:rFonts w:ascii="Arial" w:cs="Arial" w:eastAsia="Arial" w:hAnsi="Arial"/>
                <w:sz w:val="14"/>
                <w:szCs w:val="14"/>
                <w:color w:val="auto"/>
              </w:rPr>
              <w:t>4,508,719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60" w:type="dxa"/>
            <w:vAlign w:val="bottom"/>
            <w:gridSpan w:val="3"/>
          </w:tcPr>
          <w:p>
            <w:pPr>
              <w:jc w:val="right"/>
              <w:ind w:right="140"/>
              <w:spacing w:after="0"/>
              <w:rPr>
                <w:sz w:val="20"/>
                <w:szCs w:val="20"/>
                <w:color w:val="auto"/>
              </w:rPr>
            </w:pPr>
            <w:r>
              <w:rPr>
                <w:rFonts w:ascii="Arial" w:cs="Arial" w:eastAsia="Arial" w:hAnsi="Arial"/>
                <w:sz w:val="14"/>
                <w:szCs w:val="14"/>
                <w:color w:val="auto"/>
              </w:rPr>
              <w:t>(PIK 2.25%)</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Subordinated Debt/Corporate Notes</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gridSpan w:val="4"/>
            <w:shd w:val="clear" w:color="auto" w:fill="CCEEFF"/>
          </w:tcPr>
          <w:p>
            <w:pPr>
              <w:jc w:val="right"/>
              <w:spacing w:after="0" w:line="149" w:lineRule="exact"/>
              <w:rPr>
                <w:sz w:val="20"/>
                <w:szCs w:val="20"/>
                <w:color w:val="auto"/>
              </w:rPr>
            </w:pPr>
            <w:r>
              <w:rPr>
                <w:rFonts w:ascii="Arial" w:cs="Arial" w:eastAsia="Arial" w:hAnsi="Arial"/>
                <w:sz w:val="14"/>
                <w:szCs w:val="14"/>
                <w:color w:val="auto"/>
              </w:rPr>
              <w:t>9,194,181</w:t>
            </w: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8,296,719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Preferred Equity/Partnership Interests—0.2% </w:t>
            </w:r>
            <w:r>
              <w:rPr>
                <w:rFonts w:ascii="Arial" w:cs="Arial" w:eastAsia="Arial" w:hAnsi="Arial"/>
                <w:sz w:val="18"/>
                <w:szCs w:val="18"/>
                <w:b w:val="1"/>
                <w:bCs w:val="1"/>
                <w:color w:val="auto"/>
                <w:vertAlign w:val="superscript"/>
              </w:rPr>
              <w:t>(7), (8)</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1"/>
              </w:rPr>
              <w:t>TrustHouse Services Holdings, LLC (TrustHouse Services Group, Inc.)</w:t>
            </w:r>
          </w:p>
        </w:tc>
        <w:tc>
          <w:tcPr>
            <w:tcW w:w="24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3"/>
            <w:shd w:val="clear" w:color="auto" w:fill="CCEEFF"/>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1060" w:type="dxa"/>
            <w:vAlign w:val="bottom"/>
            <w:gridSpan w:val="3"/>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12.50%</w:t>
            </w:r>
          </w:p>
        </w:tc>
        <w:tc>
          <w:tcPr>
            <w:tcW w:w="6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w:t>
            </w:r>
          </w:p>
        </w:tc>
        <w:tc>
          <w:tcPr>
            <w:tcW w:w="1040" w:type="dxa"/>
            <w:vAlign w:val="bottom"/>
            <w:gridSpan w:val="5"/>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110,697</w:t>
            </w:r>
          </w:p>
        </w:tc>
        <w:tc>
          <w:tcPr>
            <w:tcW w:w="80" w:type="dxa"/>
            <w:vAlign w:val="bottom"/>
            <w:shd w:val="clear" w:color="auto" w:fill="CCEEFF"/>
          </w:tcPr>
          <w:p>
            <w:pPr>
              <w:spacing w:after="0"/>
              <w:rPr>
                <w:sz w:val="12"/>
                <w:szCs w:val="12"/>
                <w:color w:val="auto"/>
              </w:rPr>
            </w:pPr>
          </w:p>
        </w:tc>
        <w:tc>
          <w:tcPr>
            <w:tcW w:w="680" w:type="dxa"/>
            <w:vAlign w:val="bottom"/>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200,571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56" w:lineRule="exact"/>
              <w:rPr>
                <w:sz w:val="20"/>
                <w:szCs w:val="20"/>
                <w:color w:val="auto"/>
              </w:rPr>
            </w:pPr>
            <w:r>
              <w:rPr>
                <w:rFonts w:ascii="Arial" w:cs="Arial" w:eastAsia="Arial" w:hAnsi="Arial"/>
                <w:sz w:val="12"/>
                <w:szCs w:val="12"/>
                <w:b w:val="1"/>
                <w:bCs w:val="1"/>
                <w:color w:val="auto"/>
              </w:rPr>
              <w:t xml:space="preserve">Common Equity/Partnership Interests—1.1% </w:t>
            </w:r>
            <w:r>
              <w:rPr>
                <w:rFonts w:ascii="Arial" w:cs="Arial" w:eastAsia="Arial" w:hAnsi="Arial"/>
                <w:sz w:val="18"/>
                <w:szCs w:val="18"/>
                <w:b w:val="1"/>
                <w:bCs w:val="1"/>
                <w:color w:val="auto"/>
                <w:vertAlign w:val="superscript"/>
              </w:rPr>
              <w:t>(7), (8)</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40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Titan Private Holdings I, LLC</w:t>
            </w:r>
          </w:p>
        </w:tc>
        <w:tc>
          <w:tcPr>
            <w:tcW w:w="24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460"/>
              <w:spacing w:after="0" w:line="138" w:lineRule="exact"/>
              <w:rPr>
                <w:sz w:val="20"/>
                <w:szCs w:val="20"/>
                <w:color w:val="auto"/>
              </w:rPr>
            </w:pPr>
            <w:r>
              <w:rPr>
                <w:rFonts w:ascii="Arial" w:cs="Arial" w:eastAsia="Arial" w:hAnsi="Arial"/>
                <w:sz w:val="14"/>
                <w:szCs w:val="14"/>
                <w:color w:val="auto"/>
              </w:rPr>
              <w:t>—</w:t>
            </w:r>
          </w:p>
        </w:tc>
        <w:tc>
          <w:tcPr>
            <w:tcW w:w="2140" w:type="dxa"/>
            <w:vAlign w:val="bottom"/>
            <w:gridSpan w:val="3"/>
            <w:shd w:val="clear" w:color="auto" w:fill="CCEEFF"/>
          </w:tcPr>
          <w:p>
            <w:pPr>
              <w:jc w:val="center"/>
              <w:ind w:right="20"/>
              <w:spacing w:after="0" w:line="138" w:lineRule="exact"/>
              <w:rPr>
                <w:sz w:val="20"/>
                <w:szCs w:val="20"/>
                <w:color w:val="auto"/>
              </w:rPr>
            </w:pPr>
            <w:r>
              <w:rPr>
                <w:rFonts w:ascii="Arial" w:cs="Arial" w:eastAsia="Arial" w:hAnsi="Arial"/>
                <w:sz w:val="14"/>
                <w:szCs w:val="14"/>
                <w:color w:val="auto"/>
                <w:w w:val="87"/>
              </w:rPr>
              <w:t>Telecommunications</w:t>
            </w:r>
          </w:p>
        </w:tc>
        <w:tc>
          <w:tcPr>
            <w:tcW w:w="260" w:type="dxa"/>
            <w:vAlign w:val="bottom"/>
            <w:shd w:val="clear" w:color="auto" w:fill="CCEEFF"/>
          </w:tcPr>
          <w:p>
            <w:pPr>
              <w:spacing w:after="0"/>
              <w:rPr>
                <w:sz w:val="11"/>
                <w:szCs w:val="11"/>
                <w:color w:val="auto"/>
              </w:rPr>
            </w:pPr>
          </w:p>
        </w:tc>
        <w:tc>
          <w:tcPr>
            <w:tcW w:w="800" w:type="dxa"/>
            <w:vAlign w:val="bottom"/>
            <w:gridSpan w:val="2"/>
            <w:shd w:val="clear" w:color="auto" w:fill="CCEEFF"/>
          </w:tcPr>
          <w:p>
            <w:pPr>
              <w:jc w:val="right"/>
              <w:ind w:right="380"/>
              <w:spacing w:after="0" w:line="138"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ind w:left="220"/>
              <w:spacing w:after="0" w:line="138" w:lineRule="exact"/>
              <w:rPr>
                <w:sz w:val="20"/>
                <w:szCs w:val="20"/>
                <w:color w:val="auto"/>
              </w:rPr>
            </w:pPr>
            <w:r>
              <w:rPr>
                <w:rFonts w:ascii="Arial" w:cs="Arial" w:eastAsia="Arial" w:hAnsi="Arial"/>
                <w:sz w:val="14"/>
                <w:szCs w:val="14"/>
                <w:color w:val="auto"/>
              </w:rPr>
              <w:t>—</w:t>
            </w:r>
          </w:p>
        </w:tc>
        <w:tc>
          <w:tcPr>
            <w:tcW w:w="620" w:type="dxa"/>
            <w:vAlign w:val="bottom"/>
            <w:gridSpan w:val="3"/>
            <w:shd w:val="clear" w:color="auto" w:fill="CCEEFF"/>
          </w:tcPr>
          <w:p>
            <w:pPr>
              <w:jc w:val="right"/>
              <w:ind w:right="80"/>
              <w:spacing w:after="0" w:line="138" w:lineRule="exact"/>
              <w:rPr>
                <w:sz w:val="20"/>
                <w:szCs w:val="20"/>
                <w:color w:val="auto"/>
              </w:rPr>
            </w:pPr>
            <w:r>
              <w:rPr>
                <w:rFonts w:ascii="Arial" w:cs="Arial" w:eastAsia="Arial" w:hAnsi="Arial"/>
                <w:sz w:val="14"/>
                <w:szCs w:val="14"/>
                <w:color w:val="auto"/>
              </w:rPr>
              <w:t>401,797</w:t>
            </w:r>
          </w:p>
        </w:tc>
        <w:tc>
          <w:tcPr>
            <w:tcW w:w="860" w:type="dxa"/>
            <w:vAlign w:val="bottom"/>
            <w:gridSpan w:val="4"/>
            <w:shd w:val="clear" w:color="auto" w:fill="CCEEFF"/>
          </w:tcPr>
          <w:p>
            <w:pPr>
              <w:jc w:val="right"/>
              <w:spacing w:after="0" w:line="138" w:lineRule="exact"/>
              <w:rPr>
                <w:sz w:val="20"/>
                <w:szCs w:val="20"/>
                <w:color w:val="auto"/>
              </w:rPr>
            </w:pPr>
            <w:r>
              <w:rPr>
                <w:rFonts w:ascii="Arial" w:cs="Arial" w:eastAsia="Arial" w:hAnsi="Arial"/>
                <w:sz w:val="14"/>
                <w:szCs w:val="14"/>
                <w:color w:val="auto"/>
              </w:rPr>
              <w:t>401,450</w:t>
            </w:r>
          </w:p>
        </w:tc>
        <w:tc>
          <w:tcPr>
            <w:tcW w:w="1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gridSpan w:val="3"/>
            <w:shd w:val="clear" w:color="auto" w:fill="CCEEFF"/>
          </w:tcPr>
          <w:p>
            <w:pPr>
              <w:jc w:val="right"/>
              <w:spacing w:after="0" w:line="138" w:lineRule="exact"/>
              <w:rPr>
                <w:sz w:val="20"/>
                <w:szCs w:val="20"/>
                <w:color w:val="auto"/>
              </w:rPr>
            </w:pPr>
            <w:r>
              <w:rPr>
                <w:rFonts w:ascii="Arial" w:cs="Arial" w:eastAsia="Arial" w:hAnsi="Arial"/>
                <w:sz w:val="14"/>
                <w:szCs w:val="14"/>
                <w:color w:val="auto"/>
              </w:rPr>
              <w:t>1,091,018</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4040" w:type="dxa"/>
            <w:vAlign w:val="bottom"/>
            <w:gridSpan w:val="2"/>
            <w:shd w:val="clear" w:color="auto" w:fill="CCEEFF"/>
          </w:tcPr>
          <w:p>
            <w:pPr>
              <w:ind w:left="200"/>
              <w:spacing w:after="0" w:line="159" w:lineRule="exact"/>
              <w:rPr>
                <w:sz w:val="20"/>
                <w:szCs w:val="20"/>
                <w:color w:val="auto"/>
              </w:rPr>
            </w:pPr>
            <w:r>
              <w:rPr>
                <w:rFonts w:ascii="Arial" w:cs="Arial" w:eastAsia="Arial" w:hAnsi="Arial"/>
                <w:sz w:val="14"/>
                <w:szCs w:val="14"/>
                <w:color w:val="auto"/>
              </w:rPr>
              <w:t>(Tekelec Global, Inc.)</w:t>
            </w:r>
          </w:p>
        </w:tc>
        <w:tc>
          <w:tcPr>
            <w:tcW w:w="2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color w:val="auto"/>
                <w:w w:val="91"/>
              </w:rPr>
              <w:t>TrustHouse Services Holdings, LLC (TrustHouse Services Group, Inc.)</w:t>
            </w:r>
          </w:p>
        </w:tc>
        <w:tc>
          <w:tcPr>
            <w:tcW w:w="240" w:type="dxa"/>
            <w:vAlign w:val="bottom"/>
          </w:tcPr>
          <w:p>
            <w:pPr>
              <w:spacing w:after="0"/>
              <w:rPr>
                <w:sz w:val="13"/>
                <w:szCs w:val="13"/>
                <w:color w:val="auto"/>
              </w:rPr>
            </w:pPr>
          </w:p>
        </w:tc>
        <w:tc>
          <w:tcPr>
            <w:tcW w:w="740" w:type="dxa"/>
            <w:vAlign w:val="bottom"/>
            <w:gridSpan w:val="2"/>
          </w:tcPr>
          <w:p>
            <w:pPr>
              <w:jc w:val="right"/>
              <w:ind w:right="460"/>
              <w:spacing w:after="0" w:line="149" w:lineRule="exact"/>
              <w:rPr>
                <w:sz w:val="20"/>
                <w:szCs w:val="20"/>
                <w:color w:val="auto"/>
              </w:rPr>
            </w:pPr>
            <w:r>
              <w:rPr>
                <w:rFonts w:ascii="Arial" w:cs="Arial" w:eastAsia="Arial" w:hAnsi="Arial"/>
                <w:sz w:val="14"/>
                <w:szCs w:val="14"/>
                <w:color w:val="auto"/>
              </w:rPr>
              <w:t>—</w:t>
            </w:r>
          </w:p>
        </w:tc>
        <w:tc>
          <w:tcPr>
            <w:tcW w:w="2140" w:type="dxa"/>
            <w:vAlign w:val="bottom"/>
            <w:gridSpan w:val="3"/>
          </w:tcPr>
          <w:p>
            <w:pPr>
              <w:jc w:val="center"/>
              <w:spacing w:after="0" w:line="149" w:lineRule="exact"/>
              <w:rPr>
                <w:sz w:val="20"/>
                <w:szCs w:val="20"/>
                <w:color w:val="auto"/>
              </w:rPr>
            </w:pPr>
            <w:r>
              <w:rPr>
                <w:rFonts w:ascii="Arial" w:cs="Arial" w:eastAsia="Arial" w:hAnsi="Arial"/>
                <w:sz w:val="14"/>
                <w:szCs w:val="14"/>
                <w:color w:val="auto"/>
                <w:w w:val="85"/>
              </w:rPr>
              <w:t>Beverage, Food and Tobacco</w:t>
            </w:r>
          </w:p>
        </w:tc>
        <w:tc>
          <w:tcPr>
            <w:tcW w:w="260" w:type="dxa"/>
            <w:vAlign w:val="bottom"/>
          </w:tcPr>
          <w:p>
            <w:pPr>
              <w:spacing w:after="0"/>
              <w:rPr>
                <w:sz w:val="13"/>
                <w:szCs w:val="13"/>
                <w:color w:val="auto"/>
              </w:rPr>
            </w:pPr>
          </w:p>
        </w:tc>
        <w:tc>
          <w:tcPr>
            <w:tcW w:w="8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6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8</w:t>
            </w:r>
          </w:p>
        </w:tc>
        <w:tc>
          <w:tcPr>
            <w:tcW w:w="100" w:type="dxa"/>
            <w:vAlign w:val="bottom"/>
          </w:tcPr>
          <w:p>
            <w:pPr>
              <w:spacing w:after="0"/>
              <w:rPr>
                <w:sz w:val="13"/>
                <w:szCs w:val="13"/>
                <w:color w:val="auto"/>
              </w:rPr>
            </w:pPr>
          </w:p>
        </w:tc>
        <w:tc>
          <w:tcPr>
            <w:tcW w:w="76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5,000</w:t>
            </w:r>
          </w:p>
        </w:tc>
        <w:tc>
          <w:tcPr>
            <w:tcW w:w="18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rPr>
              <w:t>10,845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Common Equity</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406,450</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1,101,863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4060" w:type="dxa"/>
            <w:vAlign w:val="bottom"/>
            <w:gridSpan w:val="3"/>
          </w:tcPr>
          <w:p>
            <w:pPr>
              <w:spacing w:after="0" w:line="143" w:lineRule="exact"/>
              <w:rPr>
                <w:sz w:val="20"/>
                <w:szCs w:val="20"/>
                <w:color w:val="auto"/>
              </w:rPr>
            </w:pPr>
            <w:r>
              <w:rPr>
                <w:rFonts w:ascii="Arial" w:cs="Arial" w:eastAsia="Arial" w:hAnsi="Arial"/>
                <w:sz w:val="14"/>
                <w:szCs w:val="14"/>
                <w:b w:val="1"/>
                <w:bCs w:val="1"/>
                <w:color w:val="auto"/>
              </w:rPr>
              <w:t>Total Investments in Non-Controlled, Non-Affiliated Portfolio</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4"/>
          </w:tcPr>
          <w:p>
            <w:pPr>
              <w:jc w:val="right"/>
              <w:spacing w:after="0" w:line="143" w:lineRule="exact"/>
              <w:rPr>
                <w:sz w:val="20"/>
                <w:szCs w:val="20"/>
                <w:color w:val="auto"/>
              </w:rPr>
            </w:pPr>
            <w:r>
              <w:rPr>
                <w:rFonts w:ascii="Arial" w:cs="Arial" w:eastAsia="Arial" w:hAnsi="Arial"/>
                <w:sz w:val="14"/>
                <w:szCs w:val="14"/>
                <w:color w:val="auto"/>
              </w:rPr>
              <w:t>171,578,009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3"/>
          </w:tcPr>
          <w:p>
            <w:pPr>
              <w:jc w:val="right"/>
              <w:spacing w:after="0" w:line="143" w:lineRule="exact"/>
              <w:rPr>
                <w:sz w:val="20"/>
                <w:szCs w:val="20"/>
                <w:color w:val="auto"/>
              </w:rPr>
            </w:pPr>
            <w:r>
              <w:rPr>
                <w:rFonts w:ascii="Arial" w:cs="Arial" w:eastAsia="Arial" w:hAnsi="Arial"/>
                <w:sz w:val="14"/>
                <w:szCs w:val="14"/>
                <w:color w:val="auto"/>
                <w:w w:val="84"/>
              </w:rPr>
              <w:t>171,834,400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040" w:type="dxa"/>
            <w:vAlign w:val="bottom"/>
            <w:gridSpan w:val="2"/>
          </w:tcPr>
          <w:p>
            <w:pPr>
              <w:ind w:left="200"/>
              <w:spacing w:after="0"/>
              <w:rPr>
                <w:sz w:val="20"/>
                <w:szCs w:val="20"/>
                <w:color w:val="auto"/>
              </w:rPr>
            </w:pPr>
            <w:r>
              <w:rPr>
                <w:rFonts w:ascii="Arial" w:cs="Arial" w:eastAsia="Arial" w:hAnsi="Arial"/>
                <w:sz w:val="14"/>
                <w:szCs w:val="14"/>
                <w:b w:val="1"/>
                <w:bCs w:val="1"/>
                <w:color w:val="auto"/>
              </w:rPr>
              <w:t>Companies</w:t>
            </w: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Cash Equivalents—4.0%</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1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gridSpan w:val="3"/>
            <w:shd w:val="clear" w:color="auto" w:fill="CCEEFF"/>
          </w:tcPr>
          <w:p>
            <w:pPr>
              <w:jc w:val="right"/>
              <w:spacing w:after="0" w:line="149" w:lineRule="exact"/>
              <w:rPr>
                <w:sz w:val="20"/>
                <w:szCs w:val="20"/>
                <w:color w:val="auto"/>
              </w:rPr>
            </w:pPr>
            <w:r>
              <w:rPr>
                <w:rFonts w:ascii="Arial" w:cs="Arial" w:eastAsia="Arial" w:hAnsi="Arial"/>
                <w:sz w:val="14"/>
                <w:szCs w:val="14"/>
                <w:color w:val="auto"/>
              </w:rPr>
              <w:t>3,845,803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06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Total Investments and Cash Equivalents—183.5%</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gridSpan w:val="4"/>
          </w:tcPr>
          <w:p>
            <w:pPr>
              <w:jc w:val="right"/>
              <w:spacing w:after="0" w:line="155" w:lineRule="exact"/>
              <w:rPr>
                <w:sz w:val="20"/>
                <w:szCs w:val="20"/>
                <w:color w:val="auto"/>
              </w:rPr>
            </w:pPr>
            <w:r>
              <w:rPr>
                <w:rFonts w:ascii="Arial" w:cs="Arial" w:eastAsia="Arial" w:hAnsi="Arial"/>
                <w:sz w:val="14"/>
                <w:szCs w:val="14"/>
                <w:color w:val="auto"/>
                <w:w w:val="93"/>
              </w:rPr>
              <w:t>$ 175,423,812</w:t>
            </w:r>
          </w:p>
        </w:tc>
        <w:tc>
          <w:tcPr>
            <w:tcW w:w="1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gridSpan w:val="3"/>
          </w:tcPr>
          <w:p>
            <w:pPr>
              <w:jc w:val="right"/>
              <w:spacing w:after="0" w:line="155" w:lineRule="exact"/>
              <w:rPr>
                <w:sz w:val="20"/>
                <w:szCs w:val="20"/>
                <w:color w:val="auto"/>
              </w:rPr>
            </w:pPr>
            <w:r>
              <w:rPr>
                <w:rFonts w:ascii="Arial" w:cs="Arial" w:eastAsia="Arial" w:hAnsi="Arial"/>
                <w:sz w:val="14"/>
                <w:szCs w:val="14"/>
                <w:color w:val="auto"/>
                <w:w w:val="84"/>
              </w:rPr>
              <w:t>175,680,203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0" w:type="dxa"/>
            <w:vAlign w:val="bottom"/>
          </w:tcPr>
          <w:p>
            <w:pPr>
              <w:spacing w:after="0"/>
              <w:rPr>
                <w:sz w:val="12"/>
                <w:szCs w:val="12"/>
                <w:color w:val="auto"/>
              </w:rPr>
            </w:pPr>
          </w:p>
        </w:tc>
        <w:tc>
          <w:tcPr>
            <w:tcW w:w="4040" w:type="dxa"/>
            <w:vAlign w:val="bottom"/>
            <w:gridSpan w:val="2"/>
            <w:shd w:val="clear" w:color="auto" w:fill="CCEEFF"/>
          </w:tcPr>
          <w:p>
            <w:pPr>
              <w:spacing w:after="0" w:line="143" w:lineRule="exact"/>
              <w:rPr>
                <w:sz w:val="20"/>
                <w:szCs w:val="20"/>
                <w:color w:val="auto"/>
              </w:rPr>
            </w:pPr>
            <w:r>
              <w:rPr>
                <w:rFonts w:ascii="Arial" w:cs="Arial" w:eastAsia="Arial" w:hAnsi="Arial"/>
                <w:sz w:val="14"/>
                <w:szCs w:val="14"/>
                <w:b w:val="1"/>
                <w:bCs w:val="1"/>
                <w:color w:val="auto"/>
              </w:rPr>
              <w:t>Liabilities in Excess of Other Assets—(83.5)%</w:t>
            </w:r>
          </w:p>
        </w:tc>
        <w:tc>
          <w:tcPr>
            <w:tcW w:w="2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gridSpan w:val="4"/>
            <w:shd w:val="clear" w:color="auto" w:fill="CCEEFF"/>
          </w:tcPr>
          <w:p>
            <w:pPr>
              <w:jc w:val="right"/>
              <w:ind w:right="40"/>
              <w:spacing w:after="0" w:line="143" w:lineRule="exact"/>
              <w:rPr>
                <w:sz w:val="20"/>
                <w:szCs w:val="20"/>
                <w:color w:val="auto"/>
              </w:rPr>
            </w:pPr>
            <w:r>
              <w:rPr>
                <w:rFonts w:ascii="Arial" w:cs="Arial" w:eastAsia="Arial" w:hAnsi="Arial"/>
                <w:sz w:val="14"/>
                <w:szCs w:val="14"/>
                <w:color w:val="auto"/>
                <w:w w:val="90"/>
              </w:rPr>
              <w:t>(79,936,326)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Net Assets—100.0%</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gridSpan w:val="3"/>
          </w:tcPr>
          <w:p>
            <w:pPr>
              <w:jc w:val="right"/>
              <w:spacing w:after="0" w:line="149" w:lineRule="exact"/>
              <w:rPr>
                <w:sz w:val="20"/>
                <w:szCs w:val="20"/>
                <w:color w:val="auto"/>
              </w:rPr>
            </w:pPr>
            <w:r>
              <w:rPr>
                <w:rFonts w:ascii="Arial" w:cs="Arial" w:eastAsia="Arial" w:hAnsi="Arial"/>
                <w:sz w:val="14"/>
                <w:szCs w:val="14"/>
                <w:color w:val="auto"/>
                <w:w w:val="94"/>
              </w:rPr>
              <w:t>95,743,877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289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340" w:right="40" w:hanging="332"/>
        <w:spacing w:after="0" w:line="230"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w:t>
      </w:r>
    </w:p>
    <w:p>
      <w:pPr>
        <w:ind w:left="340" w:hanging="332"/>
        <w:spacing w:after="0" w:line="221"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Valued based on our accounting policy (see Note 2).</w:t>
      </w:r>
    </w:p>
    <w:p>
      <w:pPr>
        <w:ind w:left="340" w:right="100" w:hanging="332"/>
        <w:spacing w:after="0" w:line="258" w:lineRule="auto"/>
        <w:tabs>
          <w:tab w:leader="none" w:pos="3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deemed as “non-controlled” when we own less than 25% of a portfolio company’s voting securities and “controlled” when we own 25% or more of a portfolio company’s voting securities.</w:t>
      </w:r>
    </w:p>
    <w:p>
      <w:pPr>
        <w:ind w:left="340" w:right="140" w:hanging="332"/>
        <w:spacing w:after="0" w:line="258" w:lineRule="auto"/>
        <w:tabs>
          <w:tab w:leader="none" w:pos="340" w:val="left"/>
        </w:tabs>
        <w:numPr>
          <w:ilvl w:val="0"/>
          <w:numId w:val="11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deemed as “non-affiliated” when we own less than 5% of a portfolio company’s voting securities and “affiliated” when we own 5% or more of a portfolio company’s voting securities.</w:t>
      </w:r>
    </w:p>
    <w:p>
      <w:pPr>
        <w:ind w:left="340" w:right="60" w:hanging="332"/>
        <w:spacing w:after="0" w:line="221"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Security is exempt from registration under Rule 144A promulgated under the Securities Act. The security may be resold in transactions that are exempt from registration, normally to qualified institutional buyers.</w:t>
      </w:r>
    </w:p>
    <w:p>
      <w:pPr>
        <w:ind w:left="340" w:hanging="332"/>
        <w:spacing w:after="0" w:line="221"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Non-U.S. company or principal place of business outside the United States.</w:t>
      </w:r>
    </w:p>
    <w:p>
      <w:pPr>
        <w:ind w:left="340" w:hanging="332"/>
        <w:spacing w:after="0" w:line="221"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Non-income producing securities.</w:t>
      </w:r>
    </w:p>
    <w:p>
      <w:pPr>
        <w:ind w:left="340" w:hanging="332"/>
        <w:spacing w:after="0" w:line="221" w:lineRule="auto"/>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securities are not pledged as collateral under the Credit Facility. All other securities are pledged as collateral under the Credit Facility.</w:t>
      </w:r>
    </w:p>
    <w:p>
      <w:pPr>
        <w:ind w:left="340" w:hanging="332"/>
        <w:spacing w:after="0"/>
        <w:tabs>
          <w:tab w:leader="none" w:pos="3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Coupon is not subject to a LIBOR or Prime rate floor.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460" w:right="2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96"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PennantPark Floating Rate Capital Ltd. was organized as a Maryland corporation in October 2010. We are a closed-end, externally managed, non-diversified investment company that has elected to be treated as a BDC under the 1940 Act.</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Our investment objectives are to generate current income and capital appreciation. We seek to achieve our investment objective by investing primarily in Floating Rate Loans and other instruments made to U.S. middle-market private companies whose debt is rated below investment grade. Floating Rate Loans or variable-rate investments are loans that typically pay interest at variable rates, which are determined periodically, on the basis of a floating base lending rate such as LIBOR, plus a fixed spread. Under normal market conditions, we generally expect that at least 80% of the value of our “Managed Assets,” which means our net assets plus any borrowings for investment purposes, will be invested in Floating Rate Loans and other investments bearing a variable rate of interest, which may include, from time to time, variable rate derivative instruments. We generally expect that senior secured loans, or first lien loans, will represent at least 65% of our overall portfolio. We generally expect to invest up to 35% of our overall portfolio opportunistically in other types of investments, including second lien, high yield, mezzanine and distressed debt securities and, to a lesser extent, equity investments.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In April 2011, we closed our initial public offering and our common stock trades on the NASDAQ Global Select Market under the symbol “PFLT.” In connection with our April 2011 initial public offering, we issued 6,850,000 shares of common stock, for gross proceeds of $102.8 million, or $97.7 million after deducting the sales load and underwriting expenses. The underwriters agreed to reimburse, and have paid us, $0.4 million of the estimated $1.0 million of offering expenses. In March 2011, we sold 667 shares of common stock for $10,000 ($15.00 per share) to the Investment Adviser. See Note 3.</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March 26, 2013, we completed a follow-on public offering of 3,000,000 shares of common stock at a public offering price of $14.00 per share for gross proceeds of $42.0 million and net proceeds of $41.6 million after offering expenses. Our Investment Adviser paid the entire sales load of $1.3 million in connection with this offering. See Note 11.</w:t>
      </w:r>
    </w:p>
    <w:p>
      <w:pPr>
        <w:spacing w:after="0" w:line="14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entered into an investment management agreement, or the Investment Management Agreement, with the Investment Adviser, an external adviser that manages our day-to-day operations. We also entered into an administration agreement, or the Administration Agreement, with the Administrator, which provides the administrative services necessary for us to operate.</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Funding I, our wholly owned subsidiary and a special purpose entity, was organized in Delaware as a limited liability company in May 2011. We formed Funding I in order to establish our Credit Facility. The Investment Adviser serves as the collateral manager to Funding I and has irrevocably directed that all management fee owing with respect to such services are to be paid to us so long as the Investment Adviser remains the collateral manager. This arrangement does not increase our consolidated management fee. The five-year Credit Facility allows Funding I to borrow up to $125.0 million at LIBOR plus 200 basis points during the revolving period. The Credit Facility is secured by all of the assets held by Funding I. See Note 9.</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460" w:right="2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amounts of income and expenses during the reported periods. Actual results could differ from these estimates. We reclassified certain prior period amounts to conform to the current period presentation. We have eliminated all intercompany balances and transactions, if any. References to the Accounting Standards Codification, or ASC, serve as a single source of accounting literature. Subsequent events are evaluated and disclosed as appropriate for events occurring through the date the Consolidated Financial Statements are issued.</w:t>
      </w:r>
    </w:p>
    <w:p>
      <w:pPr>
        <w:spacing w:after="0" w:line="14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Consolidated Financial Statements are prepared in accordance with GAAP and pursuant to the requirements for reporting on Form 10-K/Q and Article 6 or 10 of Regulation S-X, as appropriate. In accordance with Article 6-09 of Regulation S-X, we have provided a Consolidated Statement of Changes in Net Assets in lieu of a Consolidated Statement of Changes in Stockholders’ Equity.</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significant accounting policies consistently applied are as follows:</w:t>
      </w:r>
    </w:p>
    <w:p>
      <w:pPr>
        <w:spacing w:after="0" w:line="90" w:lineRule="exact"/>
        <w:rPr>
          <w:sz w:val="20"/>
          <w:szCs w:val="20"/>
          <w:color w:val="auto"/>
        </w:rPr>
      </w:pPr>
    </w:p>
    <w:p>
      <w:pPr>
        <w:ind w:left="1300" w:hanging="387"/>
        <w:spacing w:after="0"/>
        <w:tabs>
          <w:tab w:leader="none" w:pos="1300" w:val="left"/>
        </w:tabs>
        <w:numPr>
          <w:ilvl w:val="0"/>
          <w:numId w:val="11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InvestmentValuations</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Our board of directors generally uses market quotations to assess the value of our investments for which market quotations are readily available. We obtain these market values from independent pricing services or at bid prices obtained from at least two brokers/dealers, if available, or otherwise from a principal market maker or a primary market dealer.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 Investments of sufficient credit quality purchased within 60 days of maturity are valued at cost plus accreted discount, or minus amortized premium, which approximates fair value.</w:t>
      </w:r>
    </w:p>
    <w:p>
      <w:pPr>
        <w:spacing w:after="0" w:line="144"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described in this Report, and a consistently applied valuation process.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51" w:lineRule="exact"/>
        <w:rPr>
          <w:sz w:val="20"/>
          <w:szCs w:val="20"/>
          <w:color w:val="auto"/>
        </w:rPr>
      </w:pPr>
    </w:p>
    <w:p>
      <w:pPr>
        <w:ind w:left="900" w:right="460" w:hanging="446"/>
        <w:spacing w:after="0" w:line="268"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quarterly valuation process begins with each portfolio company or investment being initially valued by the investment professionals of our Investment Adviser responsible for the portfolio investment;</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Preliminary valuation conclusions are then documented and discussed with the management of our Investment Adviser;</w:t>
      </w:r>
    </w:p>
    <w:p>
      <w:pPr>
        <w:spacing w:after="0" w:line="90" w:lineRule="exact"/>
        <w:rPr>
          <w:rFonts w:ascii="Arial" w:cs="Arial" w:eastAsia="Arial" w:hAnsi="Arial"/>
          <w:sz w:val="18"/>
          <w:szCs w:val="18"/>
          <w:color w:val="auto"/>
        </w:rPr>
      </w:pPr>
    </w:p>
    <w:p>
      <w:pPr>
        <w:ind w:left="900" w:right="200" w:hanging="446"/>
        <w:spacing w:after="0" w:line="268" w:lineRule="auto"/>
        <w:tabs>
          <w:tab w:leader="none" w:pos="90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Our board of directors also engages independent valuation firms to conduct independent appraisals of our investments for which market quotations are not readily available or are readily available but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20"/>
          </w:cols>
          <w:pgMar w:left="240" w:top="459" w:right="2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920" w:right="140"/>
        <w:spacing w:after="0" w:line="259" w:lineRule="auto"/>
        <w:rPr>
          <w:sz w:val="20"/>
          <w:szCs w:val="20"/>
          <w:color w:val="auto"/>
        </w:rPr>
      </w:pPr>
      <w:r>
        <w:rPr>
          <w:rFonts w:ascii="Arial" w:cs="Arial" w:eastAsia="Arial" w:hAnsi="Arial"/>
          <w:sz w:val="18"/>
          <w:szCs w:val="18"/>
          <w:color w:val="auto"/>
        </w:rPr>
        <w:t>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59" w:lineRule="exact"/>
        <w:rPr>
          <w:sz w:val="20"/>
          <w:szCs w:val="20"/>
          <w:color w:val="auto"/>
        </w:rPr>
      </w:pPr>
    </w:p>
    <w:p>
      <w:pPr>
        <w:ind w:left="900" w:right="180" w:hanging="446"/>
        <w:spacing w:after="0" w:line="332" w:lineRule="auto"/>
        <w:tabs>
          <w:tab w:leader="none" w:pos="90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the preliminary valuations of our Investment Adviser and those of the independent valuation firms and responds and supplements the valuation recommendations of the independent valuation firms to reflect any comments; and</w:t>
      </w:r>
    </w:p>
    <w:p>
      <w:pPr>
        <w:spacing w:after="0" w:line="4" w:lineRule="exact"/>
        <w:rPr>
          <w:rFonts w:ascii="Arial" w:cs="Arial" w:eastAsia="Arial" w:hAnsi="Arial"/>
          <w:sz w:val="16"/>
          <w:szCs w:val="16"/>
          <w:color w:val="auto"/>
        </w:rPr>
      </w:pPr>
    </w:p>
    <w:p>
      <w:pPr>
        <w:ind w:left="900" w:right="60" w:hanging="446"/>
        <w:spacing w:after="0" w:line="268" w:lineRule="auto"/>
        <w:tabs>
          <w:tab w:leader="none" w:pos="90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254" w:lineRule="exact"/>
        <w:rPr>
          <w:sz w:val="20"/>
          <w:szCs w:val="20"/>
          <w:color w:val="auto"/>
        </w:rPr>
      </w:pPr>
    </w:p>
    <w:p>
      <w:pPr>
        <w:ind w:left="1300" w:hanging="387"/>
        <w:spacing w:after="0"/>
        <w:tabs>
          <w:tab w:leader="none" w:pos="1300" w:val="left"/>
        </w:tabs>
        <w:numPr>
          <w:ilvl w:val="0"/>
          <w:numId w:val="11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SecurityTransactions, Revenue Recognition, and Realized/Unrealized Gains or Losses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and Credit Facility during the reporting period, including any reversal of previously recorded unrealized appreciation or depreciation, when gains or losses are realized.</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record interest income on an accrual basis to the extent that we expect to collect such amounts. For loans and debt investments with contractual payment-in-kind, or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market discount or premium are capitalized and then accreted or amortized using the effective interest method as interest income. We record prepayment penalties on loans and debt investments as income. Dividend income, if any, is recognized on an accrual basis on the ex-dividend date to the extent that we expect to collect such amounts.</w:t>
      </w:r>
    </w:p>
    <w:p>
      <w:pPr>
        <w:spacing w:after="0" w:line="120" w:lineRule="exact"/>
        <w:rPr>
          <w:sz w:val="20"/>
          <w:szCs w:val="20"/>
          <w:color w:val="auto"/>
        </w:rPr>
      </w:pPr>
    </w:p>
    <w:p>
      <w:pPr>
        <w:jc w:val="both"/>
        <w:ind w:firstLine="456"/>
        <w:spacing w:after="0" w:line="298" w:lineRule="auto"/>
        <w:rPr>
          <w:sz w:val="20"/>
          <w:szCs w:val="20"/>
          <w:color w:val="auto"/>
        </w:rPr>
      </w:pPr>
      <w:r>
        <w:rPr>
          <w:rFonts w:ascii="Arial" w:cs="Arial" w:eastAsia="Arial" w:hAnsi="Arial"/>
          <w:sz w:val="16"/>
          <w:szCs w:val="16"/>
          <w:color w:val="auto"/>
        </w:rPr>
        <w:t>Loans are placed on non-accrual status when principal or interest payments are past due 30 days or more and/or if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234" w:lineRule="exact"/>
        <w:rPr>
          <w:sz w:val="20"/>
          <w:szCs w:val="20"/>
          <w:color w:val="auto"/>
        </w:rPr>
      </w:pPr>
    </w:p>
    <w:p>
      <w:pPr>
        <w:ind w:left="1280" w:hanging="367"/>
        <w:spacing w:after="0"/>
        <w:tabs>
          <w:tab w:leader="none" w:pos="1280" w:val="left"/>
        </w:tabs>
        <w:numPr>
          <w:ilvl w:val="0"/>
          <w:numId w:val="1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IncomeTaxes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complied with the requirements of Subchapter M of the Code and expect to be subject to tax as a RIC. As a result, we account for income taxes using the asset liability method prescribed by ASC 740, Income Taxes. Under this method, income taxes are provided for amounts currently payable and for amounts deferred as tax assets and liabilities based on differences between the financial statement carrying amounts and the tax basis of existing assets and liabilities. Based upon PennantPark Floating Rate Capital Ltd.’s qualification and election to be subject to tax as a RIC, we do not anticipate paying any material level of federal income taxes in the future. Although we are not subject to tax as a RIC, we have elected to retain a portion of our calendar year income and accrue an excise tax of $0.1 million and less than $0.1 million for the six months ended March 31, 2013 and 2012, respectively.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460" w:right="2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PennantPark Floating Rate Capital Ltd. recognizes in its Consolidated Financial Statements the effect of a tax position when it is more likely than not, based on the technical merits, that the position will be sustained upon examination. We did not have any uncertain tax positions that met the recognition or measurement criteria of ASC 740-10-25 nor did we have any unrecognized tax benefits as of the periods presented herein. Although we file federal and state tax returns, our major tax jurisdiction is federal. Our tax return for our federal tax year 2011 remains subject to examination by the Internal Revenue Service and the state department of revenue.</w:t>
      </w:r>
    </w:p>
    <w:p>
      <w:pPr>
        <w:spacing w:after="0" w:line="14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Because federal income tax regulations differ from GAAP, distributions in accordance with tax regulations may differ from net investment income and realized gains recognized for financial reporting purposes. Differences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265" w:lineRule="exact"/>
        <w:rPr>
          <w:sz w:val="20"/>
          <w:szCs w:val="20"/>
          <w:color w:val="auto"/>
        </w:rPr>
      </w:pPr>
    </w:p>
    <w:p>
      <w:pPr>
        <w:ind w:left="1300" w:hanging="387"/>
        <w:spacing w:after="0"/>
        <w:tabs>
          <w:tab w:leader="none" w:pos="1300" w:val="left"/>
        </w:tabs>
        <w:numPr>
          <w:ilvl w:val="0"/>
          <w:numId w:val="12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Dividends,Distributions, and Capital Transactions</w:t>
      </w:r>
    </w:p>
    <w:p>
      <w:pPr>
        <w:spacing w:after="0" w:line="9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Dividends and distributions to common stockholders are recorded on the ex-dividend date. The amount, if any, to be paid as a dividend or distribution is ratified by the board of directors each quarter and is generally based upon the earnings estimated by management. Net realized capital gains, if any, are distributed at least annually.</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213" w:lineRule="exact"/>
        <w:rPr>
          <w:sz w:val="20"/>
          <w:szCs w:val="20"/>
          <w:color w:val="auto"/>
        </w:rPr>
      </w:pPr>
    </w:p>
    <w:p>
      <w:pPr>
        <w:ind w:left="1460" w:hanging="366"/>
        <w:spacing w:after="0"/>
        <w:tabs>
          <w:tab w:leader="none" w:pos="1460" w:val="left"/>
        </w:tabs>
        <w:numPr>
          <w:ilvl w:val="0"/>
          <w:numId w:val="12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Consolidation</w:t>
      </w:r>
    </w:p>
    <w:p>
      <w:pPr>
        <w:spacing w:after="0" w:line="90" w:lineRule="exact"/>
        <w:rPr>
          <w:sz w:val="20"/>
          <w:szCs w:val="20"/>
          <w:color w:val="auto"/>
        </w:rPr>
      </w:pPr>
    </w:p>
    <w:p>
      <w:pPr>
        <w:ind w:right="420" w:firstLine="456"/>
        <w:spacing w:after="0" w:line="256" w:lineRule="auto"/>
        <w:rPr>
          <w:sz w:val="20"/>
          <w:szCs w:val="20"/>
          <w:color w:val="auto"/>
        </w:rPr>
      </w:pPr>
      <w:r>
        <w:rPr>
          <w:rFonts w:ascii="Arial" w:cs="Arial" w:eastAsia="Arial" w:hAnsi="Arial"/>
          <w:sz w:val="18"/>
          <w:szCs w:val="18"/>
          <w:color w:val="auto"/>
        </w:rPr>
        <w:t>As permitted under Regulation S-X and as explained by ASC 946-810-45, Financial Services—Investment Companies—Consolidation, PennantPark Floating Rate Capital Ltd. will generally not consolidate its investment in a company other than an investment company subsidiary or a controlled operating company whose business consists of providing services to us. Accordingly, we have consolidated the results of Funding I in our Consolidated Financial Statements.</w:t>
      </w:r>
    </w:p>
    <w:p>
      <w:pPr>
        <w:spacing w:after="0" w:line="265" w:lineRule="exact"/>
        <w:rPr>
          <w:sz w:val="20"/>
          <w:szCs w:val="20"/>
          <w:color w:val="auto"/>
        </w:rPr>
      </w:pPr>
    </w:p>
    <w:p>
      <w:pPr>
        <w:ind w:left="920"/>
        <w:spacing w:after="0"/>
        <w:tabs>
          <w:tab w:leader="none" w:pos="1240" w:val="left"/>
        </w:tabs>
        <w:rPr>
          <w:sz w:val="20"/>
          <w:szCs w:val="20"/>
          <w:color w:val="auto"/>
        </w:rPr>
      </w:pPr>
      <w:r>
        <w:rPr>
          <w:rFonts w:ascii="Arial" w:cs="Arial" w:eastAsia="Arial" w:hAnsi="Arial"/>
          <w:sz w:val="18"/>
          <w:szCs w:val="18"/>
          <w:b w:val="1"/>
          <w:bCs w:val="1"/>
          <w:i w:val="1"/>
          <w:iCs w:val="1"/>
          <w:color w:val="auto"/>
        </w:rPr>
        <w:t>(f)</w:t>
      </w:r>
      <w:r>
        <w:rPr>
          <w:sz w:val="20"/>
          <w:szCs w:val="20"/>
          <w:color w:val="auto"/>
        </w:rPr>
        <w:tab/>
      </w:r>
      <w:r>
        <w:rPr>
          <w:rFonts w:ascii="Arial" w:cs="Arial" w:eastAsia="Arial" w:hAnsi="Arial"/>
          <w:sz w:val="15"/>
          <w:szCs w:val="15"/>
          <w:b w:val="1"/>
          <w:bCs w:val="1"/>
          <w:i w:val="1"/>
          <w:iCs w:val="1"/>
          <w:color w:val="auto"/>
        </w:rPr>
        <w:t>AssetTransfers and Servicing</w:t>
      </w:r>
    </w:p>
    <w:p>
      <w:pPr>
        <w:spacing w:after="0" w:line="9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Asset transfers that do not meet ASC 860, Transfers and Servicing, requirements for sale accounting treatment are reflected in the Consolidated Statement of Assets and Liabilities as investments. The creditors of Funding I have received a security interest in all its assets and are not intended to be available to the creditors of PennantPark Floating Rate Capital Ltd. or any affiliate of the Company.</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AGREEMENTS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Investment Management Agreement with the Investment Adviser was re-approved by our board of directors, including a majority of our independent directors, in February 2013. Under this agreement the Investment Adviser, subject to the overall supervision of our board of directors, manages the day-to-day operations of and provides investment advisory services to us. The Investment Adviser serves as the collateral manager to Funding I and has irrevocably directed that all management fee owing with respect to such services are to be paid to the Company so long as the Investment Adviser remains the collateral manager. This arrangement does not increase our consolidated management fee. For providing these services, the Investment Adviser receives a fee from us consisting of two components—a base management fee and an incentive fee.</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00"/>
          </w:cols>
          <w:pgMar w:left="240" w:top="459" w:right="25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base management fee is calculated at an annual rate of 1.00% of our gross assets (net of U.S. Treasury Bills, temporary draws under any Credit Facility, repurchase agreements or other balance sheet transactions undertaken at the end of a fiscal quarter for purposes of preserving investment flexibility for the next quarter, or “average adjusted gross assets,” if any) and is payable quarterly in arrears. The base management fee is calculated based on the average value of our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Base management fee for any partial month or quarter are appropriately pro-rated. For the three and six months ended March 31, 2013, the Investment Adviser earned base management fee of $0.5 million and $0.9 million, respectively, from us. For the three and six months ended March 31, 2012, the Investment Adviser earned base management fee of $0.4 million and $0.7 million, respectively, from us.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has two parts, as follows:</w:t>
      </w:r>
    </w:p>
    <w:p>
      <w:pPr>
        <w:spacing w:after="0" w:line="171" w:lineRule="exact"/>
        <w:rPr>
          <w:sz w:val="20"/>
          <w:szCs w:val="20"/>
          <w:color w:val="auto"/>
        </w:rPr>
      </w:pPr>
    </w:p>
    <w:p>
      <w:pPr>
        <w:ind w:firstLine="456"/>
        <w:spacing w:after="0" w:line="301" w:lineRule="auto"/>
        <w:rPr>
          <w:sz w:val="20"/>
          <w:szCs w:val="20"/>
          <w:color w:val="auto"/>
        </w:rPr>
      </w:pPr>
      <w:r>
        <w:rPr>
          <w:rFonts w:ascii="Arial" w:cs="Arial" w:eastAsia="Arial" w:hAnsi="Arial"/>
          <w:sz w:val="15"/>
          <w:szCs w:val="15"/>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and distribution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on the value of our net assets at the end of the immediately preceding calendar quarter, is compared to the hurdle rate of 1.75% per quarter (7.00% annualized). We pay the Investment Adviser an incentive fee with respect to our Pre-Incentive Fee Net Investment Income in each calendar quarter as follows:</w:t>
      </w:r>
    </w:p>
    <w:p>
      <w:pPr>
        <w:spacing w:after="0" w:line="4" w:lineRule="exact"/>
        <w:rPr>
          <w:sz w:val="20"/>
          <w:szCs w:val="20"/>
          <w:color w:val="auto"/>
        </w:rPr>
      </w:pPr>
    </w:p>
    <w:p>
      <w:pPr>
        <w:jc w:val="both"/>
        <w:ind w:right="80" w:firstLine="8"/>
        <w:spacing w:after="0" w:line="300" w:lineRule="auto"/>
        <w:tabs>
          <w:tab w:leader="none" w:pos="249" w:val="left"/>
        </w:tabs>
        <w:numPr>
          <w:ilvl w:val="0"/>
          <w:numId w:val="122"/>
        </w:numPr>
        <w:rPr>
          <w:rFonts w:ascii="Arial" w:cs="Arial" w:eastAsia="Arial" w:hAnsi="Arial"/>
          <w:sz w:val="15"/>
          <w:szCs w:val="15"/>
          <w:color w:val="auto"/>
        </w:rPr>
      </w:pPr>
      <w:r>
        <w:rPr>
          <w:rFonts w:ascii="Arial" w:cs="Arial" w:eastAsia="Arial" w:hAnsi="Arial"/>
          <w:sz w:val="15"/>
          <w:szCs w:val="15"/>
          <w:color w:val="auto"/>
        </w:rPr>
        <w:t>no incentive fee in any calendar quarter in which our Pre-Incentive Fee Net Investment Income does not exceed the hurdle rate of 1.75%, (2) 50% of our Pre-Incentive Fee Net Investment Income with respect to that portion of such Pre-Incentive Fee Net Investment Income, if any, that exceeds the hurdle rate but is less than 2.9167% in any calendar quarter (11.67% annualized), and (3) 20% of the amount of our Pre-Incentive Fee Net Investment Income, if any, that exceeds</w:t>
      </w:r>
    </w:p>
    <w:p>
      <w:pPr>
        <w:spacing w:after="0" w:line="1" w:lineRule="exact"/>
        <w:rPr>
          <w:rFonts w:ascii="Arial" w:cs="Arial" w:eastAsia="Arial" w:hAnsi="Arial"/>
          <w:sz w:val="15"/>
          <w:szCs w:val="15"/>
          <w:color w:val="auto"/>
        </w:rPr>
      </w:pPr>
    </w:p>
    <w:p>
      <w:pPr>
        <w:ind w:right="80"/>
        <w:spacing w:after="0" w:line="253" w:lineRule="auto"/>
        <w:rPr>
          <w:rFonts w:ascii="Arial" w:cs="Arial" w:eastAsia="Arial" w:hAnsi="Arial"/>
          <w:sz w:val="15"/>
          <w:szCs w:val="15"/>
          <w:color w:val="auto"/>
        </w:rPr>
      </w:pPr>
      <w:r>
        <w:rPr>
          <w:rFonts w:ascii="Arial" w:cs="Arial" w:eastAsia="Arial" w:hAnsi="Arial"/>
          <w:sz w:val="18"/>
          <w:szCs w:val="18"/>
          <w:color w:val="auto"/>
        </w:rPr>
        <w:t>2.9167% in any calendar quarter. These calculations are pro-rated for any share issuances or repurchases during the relevant quarter. For the three and six months ended March 31, 2013, the Investment Adviser earned a performance based incentive fee on net investment income as calculated under the Investment Management Agreement of $0.3 million and $0.7 million, respectively. For the three and six months ended March 31, 2012, the Investment Adviser earned a performance based incentive fee on net investment income as calculated under the Investment Management Agreement, which resulted in an accrual of less than $0.1 million.</w:t>
      </w:r>
    </w:p>
    <w:p>
      <w:pPr>
        <w:spacing w:after="0" w:line="14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second part of the incentive fee is determined and payable in arrears as of the end of each calendar year (or upon termination of the Investment Management Agreement, as of the termination date) and equals 20% of our realized capital gains, if any, on a cumulative basis from commencement of operations through the end of each calendar year, computed net of all realized capital losses and unrealized capital depreciation on a cumulative basis, less the aggregate amount of any previously paid capital gain incentive fees, from our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460" w:right="23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20" w:right="280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inception. For the three and six months ended March 31, 2013 and 2012, the Investment Adviser did not earn a performance based incentive fee on capital gains as calculated under the Investment Management Agreement.</w:t>
      </w:r>
    </w:p>
    <w:p>
      <w:pPr>
        <w:spacing w:after="0" w:line="132"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Under GAAP, we are required to accrue a capital gains incentive fee based upon net realized capital gains (losses)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 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20.0% of such amount, less the aggregate amount of actual capital gains related incentive fee paid in all prior years. If such amount is negative, then there is no accrual for such year. There can be no assurance that such unrealized capital appreciation will be realized in the future. For the three and six months ended March 31, 2013, the Investment Adviser earned a performance based incentive fee on unrealized and realized capital gains as calculated under GAAP of approximately $0.3 million. For the three and six months ended March 31, 2012, the Investment Adviser earned a performance based incentive fee on unrealized and realized capital gains as calculated under GAAP, which resulted in an accrual of less than $0.1 million.</w:t>
      </w:r>
    </w:p>
    <w:p>
      <w:pPr>
        <w:spacing w:after="0" w:line="127"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Administration Agreement with the Administrator was re-approved by our board of directors, including a majority of the independent directors, in February 2013. Under the Administration Agreement, the Administrator provides administration services and office facilities to us. For providing these services, facilities and personnel,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The Administrator also offers, on our behalf, managerial assistance to portfolio companies to which we are required to offer such assistance. Reimbursement for certain of these costs is included in administrative services expenses in the Consolidated Statement of Operations. For the three and six months ended March 31, 2013, the Investment Adviser was reimbursed approximately $0.1 million and $0.2 million, respectively, from us, including expenses it incurred on behalf of the Administrator, for services described above. For the three and six months ended March 31, 2012, the Investment Adviser was reimbursed approximately $0.1 million in total, from us, including expenses it incurred on behalf of the Administrator, for services described above.</w:t>
      </w:r>
    </w:p>
    <w:p>
      <w:pPr>
        <w:spacing w:after="0" w:line="12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In connection with our initial public offering, the Investment Adviser paid to the underwriters 2% of the sales load, or approximately $2.1 million in the aggregate, with respect to the offering of shares of our common stock. We (and indirectly our stockholders) agreed to repay this amount (a) if during any four consecutive calendar quarter-periods ending on or after April 13, 2012 our Pre-Incentive Fee Net Investment Income equals or exceeds 1.75% (7.0% annualized) of our net assets at the beginning of such period (as adjusted for any issuances or repurchases of shares of our common stock) or (b) upon our liquidation. Based on actual returns, we met the conditions for repayment to the Investment Adviser at the end of the quarter ended December 31, 2012 and repaid approximately $2.1 million to the Investment Adviser, which then purchased shares of our common stock in the secondary market.</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INVESTMENTS</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Purchases of long-term investments, including PIK, for the three and six months ended March 31, 2013 totaled $45.1 million and $84.1 million, respectively. For the same periods in the prior year, purchases of long-term investments, including PIK, totaled $32.9 million and $72.3 million, respectively. Sales and repayments of</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60"/>
          </w:cols>
          <w:pgMar w:left="240" w:top="460" w:right="29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60" w:right="276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long-term investments for the three and six months ended March 31, 2013 totaled $43.9 million and $74.2 million, respectively. For the same periods in the prior year, sales and repayments of long-term investments totaled $19.3 million and $41.6 million,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Investments and cash equivalents consisted of the following:</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20" w:type="dxa"/>
            <w:vAlign w:val="bottom"/>
          </w:tcPr>
          <w:p>
            <w:pPr>
              <w:spacing w:after="0"/>
              <w:rPr>
                <w:sz w:val="14"/>
                <w:szCs w:val="14"/>
                <w:color w:val="auto"/>
              </w:rPr>
            </w:pPr>
          </w:p>
        </w:tc>
        <w:tc>
          <w:tcPr>
            <w:tcW w:w="2280" w:type="dxa"/>
            <w:vAlign w:val="bottom"/>
            <w:gridSpan w:val="5"/>
          </w:tcPr>
          <w:p>
            <w:pPr>
              <w:jc w:val="right"/>
              <w:ind w:right="675"/>
              <w:spacing w:after="0"/>
              <w:rPr>
                <w:sz w:val="20"/>
                <w:szCs w:val="20"/>
                <w:color w:val="auto"/>
              </w:rPr>
            </w:pPr>
            <w:r>
              <w:rPr>
                <w:rFonts w:ascii="Arial" w:cs="Arial" w:eastAsia="Arial" w:hAnsi="Arial"/>
                <w:sz w:val="14"/>
                <w:szCs w:val="14"/>
                <w:b w:val="1"/>
                <w:bCs w:val="1"/>
                <w:color w:val="auto"/>
              </w:rPr>
              <w:t>March 31, 2013</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6"/>
          </w:tcPr>
          <w:p>
            <w:pPr>
              <w:ind w:left="520"/>
              <w:spacing w:after="0"/>
              <w:rPr>
                <w:sz w:val="20"/>
                <w:szCs w:val="20"/>
                <w:color w:val="auto"/>
              </w:rPr>
            </w:pPr>
            <w:r>
              <w:rPr>
                <w:rFonts w:ascii="Arial" w:cs="Arial" w:eastAsia="Arial" w:hAnsi="Arial"/>
                <w:sz w:val="14"/>
                <w:szCs w:val="14"/>
                <w:b w:val="1"/>
                <w:bCs w:val="1"/>
                <w:color w:val="auto"/>
              </w:rPr>
              <w:t>September 30, 2012</w:t>
            </w:r>
          </w:p>
        </w:tc>
        <w:tc>
          <w:tcPr>
            <w:tcW w:w="0" w:type="dxa"/>
            <w:vAlign w:val="bottom"/>
          </w:tcPr>
          <w:p>
            <w:pPr>
              <w:spacing w:after="0"/>
              <w:rPr>
                <w:sz w:val="1"/>
                <w:szCs w:val="1"/>
                <w:color w:val="auto"/>
              </w:rPr>
            </w:pPr>
          </w:p>
        </w:tc>
      </w:tr>
      <w:tr>
        <w:trPr>
          <w:trHeight w:val="149"/>
        </w:trPr>
        <w:tc>
          <w:tcPr>
            <w:tcW w:w="5240" w:type="dxa"/>
            <w:vAlign w:val="bottom"/>
            <w:gridSpan w:val="3"/>
            <w:vMerge w:val="continue"/>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540"/>
              <w:spacing w:after="0" w:line="129"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jc w:val="right"/>
              <w:ind w:right="135"/>
              <w:spacing w:after="0" w:line="129" w:lineRule="exact"/>
              <w:rPr>
                <w:sz w:val="20"/>
                <w:szCs w:val="20"/>
                <w:color w:val="auto"/>
              </w:rPr>
            </w:pPr>
            <w:r>
              <w:rPr>
                <w:rFonts w:ascii="Arial" w:cs="Arial" w:eastAsia="Arial" w:hAnsi="Arial"/>
                <w:sz w:val="14"/>
                <w:szCs w:val="14"/>
                <w:b w:val="1"/>
                <w:bCs w:val="1"/>
                <w:color w:val="auto"/>
              </w:rPr>
              <w:t>Fair Value</w:t>
            </w: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gridSpan w:val="2"/>
          </w:tcPr>
          <w:p>
            <w:pPr>
              <w:jc w:val="right"/>
              <w:ind w:right="560"/>
              <w:spacing w:after="0" w:line="129" w:lineRule="exact"/>
              <w:rPr>
                <w:sz w:val="20"/>
                <w:szCs w:val="20"/>
                <w:color w:val="auto"/>
              </w:rPr>
            </w:pPr>
            <w:r>
              <w:rPr>
                <w:rFonts w:ascii="Arial" w:cs="Arial" w:eastAsia="Arial" w:hAnsi="Arial"/>
                <w:sz w:val="14"/>
                <w:szCs w:val="14"/>
                <w:b w:val="1"/>
                <w:bCs w:val="1"/>
                <w:color w:val="auto"/>
              </w:rPr>
              <w:t>Cost</w:t>
            </w: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175"/>
              <w:spacing w:after="0" w:line="129" w:lineRule="exact"/>
              <w:rPr>
                <w:sz w:val="20"/>
                <w:szCs w:val="20"/>
                <w:color w:val="auto"/>
              </w:rPr>
            </w:pPr>
            <w:r>
              <w:rPr>
                <w:rFonts w:ascii="Arial" w:cs="Arial" w:eastAsia="Arial" w:hAnsi="Arial"/>
                <w:sz w:val="14"/>
                <w:szCs w:val="14"/>
                <w:b w:val="1"/>
                <w:bCs w:val="1"/>
                <w:color w:val="auto"/>
                <w:w w:val="98"/>
              </w:rPr>
              <w:t>Fair Value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5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36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159,997,444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159,682,263</w:t>
            </w: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150,258,038</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1"/>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9,997,477</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9"/>
              </w:rPr>
              <w:t>10,347,423</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11,608,643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12,025,500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 / corporate notes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12,858,238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11,904,164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9,194,181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8,296,719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20" w:type="dxa"/>
            <w:vAlign w:val="bottom"/>
          </w:tcPr>
          <w:p>
            <w:pPr>
              <w:spacing w:after="0"/>
              <w:rPr>
                <w:sz w:val="18"/>
                <w:szCs w:val="18"/>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683,814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1,935,912</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517,147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1,302,434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183,536,973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183,869,762</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171,578,009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171,834,400</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Cash equivalents</w:t>
            </w:r>
          </w:p>
        </w:tc>
        <w:tc>
          <w:tcPr>
            <w:tcW w:w="1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240" w:type="dxa"/>
            <w:vAlign w:val="bottom"/>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2,725,248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2,725,248</w:t>
            </w: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3,845,803</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3,845,803</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54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investments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186,262,221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186,595,010</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175,423,812</w:t>
            </w:r>
          </w:p>
        </w:tc>
        <w:tc>
          <w:tcPr>
            <w:tcW w:w="16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1"/>
              </w:rPr>
              <w:t>175,680,203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table below describes investments by industry classification and enumerates the percentage, by fair value, of the total portfolio assets (excluding cash equivalents) in such industries were as follows:</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1380" w:type="dxa"/>
            <w:vAlign w:val="bottom"/>
            <w:vMerge w:val="restart"/>
          </w:tcPr>
          <w:p>
            <w:pPr>
              <w:spacing w:after="0"/>
              <w:rPr>
                <w:sz w:val="20"/>
                <w:szCs w:val="20"/>
                <w:color w:val="auto"/>
              </w:rPr>
            </w:pPr>
            <w:r>
              <w:rPr>
                <w:rFonts w:ascii="Arial" w:cs="Arial" w:eastAsia="Arial" w:hAnsi="Arial"/>
                <w:sz w:val="14"/>
                <w:szCs w:val="14"/>
                <w:b w:val="1"/>
                <w:bCs w:val="1"/>
                <w:color w:val="auto"/>
                <w:w w:val="90"/>
              </w:rPr>
              <w:t>Industry Classification</w:t>
            </w:r>
          </w:p>
        </w:tc>
        <w:tc>
          <w:tcPr>
            <w:tcW w:w="2260" w:type="dxa"/>
            <w:vAlign w:val="bottom"/>
            <w:vMerge w:val="restart"/>
          </w:tcPr>
          <w:p>
            <w:pPr>
              <w:spacing w:after="0"/>
              <w:rPr>
                <w:sz w:val="14"/>
                <w:szCs w:val="14"/>
                <w:color w:val="auto"/>
              </w:rPr>
            </w:pPr>
          </w:p>
        </w:tc>
        <w:tc>
          <w:tcPr>
            <w:tcW w:w="1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100" w:type="dxa"/>
            <w:vAlign w:val="bottom"/>
            <w:gridSpan w:val="3"/>
          </w:tcPr>
          <w:p>
            <w:pPr>
              <w:jc w:val="right"/>
              <w:ind w:right="160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34"/>
        </w:trPr>
        <w:tc>
          <w:tcPr>
            <w:tcW w:w="1380" w:type="dxa"/>
            <w:vAlign w:val="bottom"/>
            <w:tcBorders>
              <w:bottom w:val="single" w:sz="8" w:color="auto"/>
            </w:tcBorders>
            <w:vMerge w:val="continue"/>
          </w:tcPr>
          <w:p>
            <w:pPr>
              <w:spacing w:after="0"/>
              <w:rPr>
                <w:sz w:val="11"/>
                <w:szCs w:val="11"/>
                <w:color w:val="auto"/>
              </w:rPr>
            </w:pPr>
          </w:p>
        </w:tc>
        <w:tc>
          <w:tcPr>
            <w:tcW w:w="2260" w:type="dxa"/>
            <w:vAlign w:val="bottom"/>
            <w:vMerge w:val="continue"/>
          </w:tcPr>
          <w:p>
            <w:pPr>
              <w:spacing w:after="0"/>
              <w:rPr>
                <w:sz w:val="11"/>
                <w:szCs w:val="11"/>
                <w:color w:val="auto"/>
              </w:rPr>
            </w:pPr>
          </w:p>
        </w:tc>
        <w:tc>
          <w:tcPr>
            <w:tcW w:w="1700" w:type="dxa"/>
            <w:vAlign w:val="bottom"/>
          </w:tcPr>
          <w:p>
            <w:pPr>
              <w:spacing w:after="0"/>
              <w:rPr>
                <w:sz w:val="11"/>
                <w:szCs w:val="11"/>
                <w:color w:val="auto"/>
              </w:rPr>
            </w:pPr>
          </w:p>
        </w:tc>
        <w:tc>
          <w:tcPr>
            <w:tcW w:w="1240" w:type="dxa"/>
            <w:vAlign w:val="bottom"/>
            <w:tcBorders>
              <w:top w:val="single" w:sz="8" w:color="auto"/>
            </w:tcBorders>
            <w:gridSpan w:val="2"/>
          </w:tcPr>
          <w:p>
            <w:pPr>
              <w:jc w:val="right"/>
              <w:ind w:right="340"/>
              <w:spacing w:after="0" w:line="129" w:lineRule="exact"/>
              <w:rPr>
                <w:sz w:val="20"/>
                <w:szCs w:val="20"/>
                <w:color w:val="auto"/>
              </w:rPr>
            </w:pPr>
            <w:r>
              <w:rPr>
                <w:rFonts w:ascii="Arial" w:cs="Arial" w:eastAsia="Arial" w:hAnsi="Arial"/>
                <w:sz w:val="14"/>
                <w:szCs w:val="14"/>
                <w:b w:val="1"/>
                <w:bCs w:val="1"/>
                <w:color w:val="auto"/>
                <w:w w:val="88"/>
              </w:rPr>
              <w:t>March 31, 2013</w:t>
            </w:r>
          </w:p>
        </w:tc>
        <w:tc>
          <w:tcPr>
            <w:tcW w:w="1940" w:type="dxa"/>
            <w:vAlign w:val="bottom"/>
            <w:tcBorders>
              <w:top w:val="single" w:sz="8" w:color="auto"/>
            </w:tcBorders>
            <w:gridSpan w:val="2"/>
          </w:tcPr>
          <w:p>
            <w:pPr>
              <w:jc w:val="right"/>
              <w:spacing w:after="0" w:line="129" w:lineRule="exact"/>
              <w:rPr>
                <w:sz w:val="20"/>
                <w:szCs w:val="20"/>
                <w:color w:val="auto"/>
              </w:rPr>
            </w:pPr>
            <w:r>
              <w:rPr>
                <w:rFonts w:ascii="Arial" w:cs="Arial" w:eastAsia="Arial" w:hAnsi="Arial"/>
                <w:sz w:val="14"/>
                <w:szCs w:val="14"/>
                <w:b w:val="1"/>
                <w:bCs w:val="1"/>
                <w:color w:val="auto"/>
              </w:rPr>
              <w:t>September 30, 2012</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364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1700" w:type="dxa"/>
            <w:vAlign w:val="bottom"/>
            <w:vMerge w:val="restart"/>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82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40" w:type="dxa"/>
            <w:vAlign w:val="bottom"/>
            <w:gridSpan w:val="2"/>
            <w:vMerge w:val="continue"/>
            <w:shd w:val="clear" w:color="auto" w:fill="CCEEFF"/>
          </w:tcPr>
          <w:p>
            <w:pPr>
              <w:spacing w:after="0"/>
              <w:rPr>
                <w:sz w:val="17"/>
                <w:szCs w:val="17"/>
                <w:color w:val="auto"/>
              </w:rPr>
            </w:pPr>
          </w:p>
        </w:tc>
        <w:tc>
          <w:tcPr>
            <w:tcW w:w="1700" w:type="dxa"/>
            <w:vAlign w:val="bottom"/>
            <w:vMerge w:val="continue"/>
            <w:shd w:val="clear" w:color="auto" w:fill="CCEEFF"/>
          </w:tcPr>
          <w:p>
            <w:pPr>
              <w:spacing w:after="0"/>
              <w:rPr>
                <w:sz w:val="17"/>
                <w:szCs w:val="17"/>
                <w:color w:val="auto"/>
              </w:rPr>
            </w:pPr>
          </w:p>
        </w:tc>
        <w:tc>
          <w:tcPr>
            <w:tcW w:w="1240" w:type="dxa"/>
            <w:vAlign w:val="bottom"/>
            <w:gridSpan w:val="2"/>
            <w:shd w:val="clear" w:color="auto" w:fill="CCEEFF"/>
          </w:tcPr>
          <w:p>
            <w:pPr>
              <w:jc w:val="right"/>
              <w:ind w:right="200"/>
              <w:spacing w:after="0" w:line="203" w:lineRule="exact"/>
              <w:rPr>
                <w:sz w:val="20"/>
                <w:szCs w:val="20"/>
                <w:color w:val="auto"/>
              </w:rPr>
            </w:pPr>
            <w:r>
              <w:rPr>
                <w:rFonts w:ascii="Arial" w:cs="Arial" w:eastAsia="Arial" w:hAnsi="Arial"/>
                <w:sz w:val="18"/>
                <w:szCs w:val="18"/>
                <w:color w:val="auto"/>
              </w:rPr>
              <w:t>13%</w:t>
            </w:r>
          </w:p>
        </w:tc>
        <w:tc>
          <w:tcPr>
            <w:tcW w:w="820" w:type="dxa"/>
            <w:vAlign w:val="bottom"/>
            <w:vMerge w:val="continue"/>
            <w:shd w:val="clear" w:color="auto" w:fill="CCEEFF"/>
          </w:tcPr>
          <w:p>
            <w:pPr>
              <w:spacing w:after="0"/>
              <w:rPr>
                <w:sz w:val="17"/>
                <w:szCs w:val="17"/>
                <w:color w:val="auto"/>
              </w:rPr>
            </w:pPr>
          </w:p>
        </w:tc>
        <w:tc>
          <w:tcPr>
            <w:tcW w:w="128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Healthcare and Pharmaceuticals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Business Services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 Tech Industries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Media: Advertising, Printing and Publishing</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Chemicals, Plastics and Rubber</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Diversified and Production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Containers, Packaging and Glass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Retail</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Telecommunications</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 and Building</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Consumer Goods: Durable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Metals and Mining</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Transportation: Consumer</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Aerospace and Defense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 Broadcasting and Subscription</w:t>
            </w:r>
          </w:p>
        </w:tc>
        <w:tc>
          <w:tcPr>
            <w:tcW w:w="2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0" w:type="dxa"/>
            <w:vAlign w:val="bottom"/>
            <w:shd w:val="clear" w:color="auto" w:fill="CCEEFF"/>
          </w:tcPr>
          <w:p>
            <w:pPr>
              <w:spacing w:after="0"/>
              <w:rPr>
                <w:sz w:val="18"/>
                <w:szCs w:val="18"/>
                <w:color w:val="auto"/>
              </w:rPr>
            </w:pP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tcPr>
          <w:p>
            <w:pPr>
              <w:spacing w:after="0"/>
              <w:rPr>
                <w:sz w:val="20"/>
                <w:szCs w:val="20"/>
                <w:color w:val="auto"/>
              </w:rPr>
            </w:pPr>
            <w:r>
              <w:rPr>
                <w:rFonts w:ascii="Arial" w:cs="Arial" w:eastAsia="Arial" w:hAnsi="Arial"/>
                <w:sz w:val="18"/>
                <w:szCs w:val="18"/>
                <w:color w:val="auto"/>
              </w:rPr>
              <w:t>Wholesale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194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Other</w:t>
            </w:r>
          </w:p>
        </w:tc>
        <w:tc>
          <w:tcPr>
            <w:tcW w:w="1700" w:type="dxa"/>
            <w:vAlign w:val="bottom"/>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3640" w:type="dxa"/>
            <w:vAlign w:val="bottom"/>
            <w:gridSpan w:val="2"/>
          </w:tcPr>
          <w:p>
            <w:pPr>
              <w:spacing w:after="0"/>
              <w:rPr>
                <w:sz w:val="20"/>
                <w:szCs w:val="20"/>
                <w:color w:val="auto"/>
              </w:rPr>
            </w:pPr>
            <w:r>
              <w:rPr>
                <w:rFonts w:ascii="Arial" w:cs="Arial" w:eastAsia="Arial" w:hAnsi="Arial"/>
                <w:sz w:val="18"/>
                <w:szCs w:val="18"/>
                <w:color w:val="auto"/>
              </w:rPr>
              <w:t>Total</w:t>
            </w:r>
          </w:p>
        </w:tc>
        <w:tc>
          <w:tcPr>
            <w:tcW w:w="170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100%</w:t>
            </w:r>
          </w:p>
        </w:tc>
        <w:tc>
          <w:tcPr>
            <w:tcW w:w="21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3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2940" w:type="dxa"/>
            <w:vAlign w:val="bottom"/>
            <w:gridSpan w:val="3"/>
          </w:tcPr>
          <w:p>
            <w:pPr>
              <w:jc w:val="right"/>
              <w:ind w:right="2080"/>
              <w:spacing w:after="0"/>
              <w:rPr>
                <w:sz w:val="20"/>
                <w:szCs w:val="20"/>
                <w:color w:val="auto"/>
              </w:rPr>
            </w:pPr>
            <w:r>
              <w:rPr>
                <w:rFonts w:ascii="Arial" w:cs="Arial" w:eastAsia="Arial" w:hAnsi="Arial"/>
                <w:sz w:val="18"/>
                <w:szCs w:val="18"/>
                <w:color w:val="auto"/>
              </w:rPr>
              <w:t>F-46</w:t>
            </w:r>
          </w:p>
        </w:tc>
        <w:tc>
          <w:tcPr>
            <w:tcW w:w="8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60" w:right="33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FAIR VALUE OF FINANCIAL INSTRUMENTS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ASC 820 classifies the inputs used to measure these fair values into the following hierarchies: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1: Inputs that are quoted prices (unadjusted) in active markets for identical assets or liabilities, accessible by us at the measurement date.</w:t>
      </w:r>
    </w:p>
    <w:p>
      <w:pPr>
        <w:spacing w:after="0" w:line="113" w:lineRule="exact"/>
        <w:rPr>
          <w:sz w:val="20"/>
          <w:szCs w:val="20"/>
          <w:color w:val="auto"/>
        </w:rPr>
      </w:pPr>
    </w:p>
    <w:p>
      <w:pPr>
        <w:jc w:val="both"/>
        <w:ind w:left="460"/>
        <w:spacing w:after="0" w:line="259" w:lineRule="auto"/>
        <w:rPr>
          <w:sz w:val="20"/>
          <w:szCs w:val="20"/>
          <w:color w:val="auto"/>
        </w:rPr>
      </w:pPr>
      <w:r>
        <w:rPr>
          <w:rFonts w:ascii="Arial" w:cs="Arial" w:eastAsia="Arial" w:hAnsi="Arial"/>
          <w:sz w:val="18"/>
          <w:szCs w:val="18"/>
          <w:color w:val="auto"/>
        </w:rPr>
        <w:t>Level 2: 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59" w:lineRule="exact"/>
        <w:rPr>
          <w:sz w:val="20"/>
          <w:szCs w:val="20"/>
          <w:color w:val="auto"/>
        </w:rPr>
      </w:pPr>
    </w:p>
    <w:p>
      <w:pPr>
        <w:jc w:val="both"/>
        <w:ind w:left="460"/>
        <w:spacing w:after="0" w:line="268" w:lineRule="auto"/>
        <w:rPr>
          <w:sz w:val="20"/>
          <w:szCs w:val="20"/>
          <w:color w:val="auto"/>
        </w:rPr>
      </w:pPr>
      <w:r>
        <w:rPr>
          <w:rFonts w:ascii="Arial" w:cs="Arial" w:eastAsia="Arial" w:hAnsi="Arial"/>
          <w:sz w:val="18"/>
          <w:szCs w:val="18"/>
          <w:color w:val="auto"/>
        </w:rPr>
        <w:t>Level 3: Inputs that are unobservable for an asset or liability because they are based on our own assumptions about how market participants would price the asset or liability.</w:t>
      </w:r>
    </w:p>
    <w:p>
      <w:pPr>
        <w:spacing w:after="0" w:line="13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A financial instrument’s categorization within the valuation hierarchy is based upon the lowest level of input that is significant to the fair value measurement. Generally, most of our investments and our Credit Facility are classified as Level 3.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43"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inputs into the determination of fair value may require significant management judgment or estimation. Even if observable market data is available,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was available. Corroborating evidence that would result in classifying these non-binding broker/dealer bids as a Level 2 asset includes observable market-based transactions for the same or similar assets or other relevant observable market based inputs that may be used in pricing an asset.</w:t>
      </w:r>
    </w:p>
    <w:p>
      <w:pPr>
        <w:spacing w:after="0" w:line="144"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Our investments are generally structured as Floating Rate Loans, mainly senior secured loans, but also may include second lien, high yield, mezzanine and distressed debt securities and equity investments. The transaction price, excluding transaction costs, is typically the best estimate of fair value at inception. When evidence supports a subsequent change to the carrying value from the original transaction price, adjustments are made to reflect the expected exit values.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using unobservable inputs are included in Level 3 of the fair value hierarchy.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20"/>
          </w:cols>
          <w:pgMar w:left="240" w:top="459" w:right="23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the six months ended March 31, 2013, our ability to observe valuation inputs resulted in reclassification of assets from Level 3 to 2 and we had no other transfers between levels. This compares to the six months ended March 31, 2012, which resulted in no reclassification of assets from Levels 1, 2 or 3.</w:t>
      </w:r>
    </w:p>
    <w:p>
      <w:pPr>
        <w:spacing w:after="0" w:line="143"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In addition to using the above inputs in cash equivalents, investments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Under Accounting Standards Update No. 2011-04, “Fair Value Measurement: Amendments to Achieve Common Fair Value Measurement and Disclosure Requirements in U.S. GAAP and IFRS” and as outlined in the table below, our Level 3 investments using a market approach valuation technique are valued using the average of the bids from brokers or dealers. The bids include a disclaimer, have no corroborating evidence and may be the result of consensus pricing. We do not adjust the bids.</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remainder of our portfolio, including our long-term Credit Facility, is classified and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These non-public investments using unobservable inputs are included in Level 3 of the fair value hierarchy.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80"/>
          </w:cols>
          <w:pgMar w:left="240" w:top="459" w:right="27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Level 3 valuation techniques, unobservable inputs and ranges were categorized as follows for ASC 820 purposes: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vMerge w:val="restart"/>
          </w:tcPr>
          <w:p>
            <w:pPr>
              <w:spacing w:after="0"/>
              <w:rPr>
                <w:sz w:val="20"/>
                <w:szCs w:val="20"/>
                <w:color w:val="auto"/>
              </w:rPr>
            </w:pPr>
            <w:r>
              <w:rPr>
                <w:rFonts w:ascii="Arial" w:cs="Arial" w:eastAsia="Arial" w:hAnsi="Arial"/>
                <w:sz w:val="14"/>
                <w:szCs w:val="14"/>
                <w:b w:val="1"/>
                <w:bCs w:val="1"/>
                <w:color w:val="auto"/>
                <w:w w:val="87"/>
              </w:rPr>
              <w:t>Asset Category</w:t>
            </w:r>
          </w:p>
        </w:tc>
        <w:tc>
          <w:tcPr>
            <w:tcW w:w="18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 as of</w:t>
            </w: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7"/>
              </w:rPr>
              <w:t>Range of Input</w:t>
            </w:r>
          </w:p>
        </w:tc>
        <w:tc>
          <w:tcPr>
            <w:tcW w:w="0" w:type="dxa"/>
            <w:vAlign w:val="bottom"/>
          </w:tcPr>
          <w:p>
            <w:pPr>
              <w:spacing w:after="0"/>
              <w:rPr>
                <w:sz w:val="1"/>
                <w:szCs w:val="1"/>
                <w:color w:val="auto"/>
              </w:rPr>
            </w:pPr>
          </w:p>
        </w:tc>
      </w:tr>
      <w:tr>
        <w:trPr>
          <w:trHeight w:val="168"/>
        </w:trPr>
        <w:tc>
          <w:tcPr>
            <w:tcW w:w="920" w:type="dxa"/>
            <w:vAlign w:val="bottom"/>
            <w:tcBorders>
              <w:bottom w:val="single" w:sz="8" w:color="auto"/>
            </w:tcBorders>
            <w:vMerge w:val="continue"/>
          </w:tcPr>
          <w:p>
            <w:pPr>
              <w:spacing w:after="0"/>
              <w:rPr>
                <w:sz w:val="14"/>
                <w:szCs w:val="14"/>
                <w:color w:val="auto"/>
              </w:rPr>
            </w:pPr>
          </w:p>
        </w:tc>
        <w:tc>
          <w:tcPr>
            <w:tcW w:w="18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March 31, 2013</w:t>
            </w:r>
          </w:p>
        </w:tc>
        <w:tc>
          <w:tcPr>
            <w:tcW w:w="23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6"/>
              </w:rPr>
              <w:t>Valuation Technique</w:t>
            </w:r>
          </w:p>
        </w:tc>
        <w:tc>
          <w:tcPr>
            <w:tcW w:w="2460" w:type="dxa"/>
            <w:vAlign w:val="bottom"/>
            <w:gridSpan w:val="2"/>
          </w:tcPr>
          <w:p>
            <w:pPr>
              <w:jc w:val="center"/>
              <w:ind w:right="100"/>
              <w:spacing w:after="0" w:line="148" w:lineRule="exact"/>
              <w:rPr>
                <w:sz w:val="20"/>
                <w:szCs w:val="20"/>
                <w:color w:val="auto"/>
              </w:rPr>
            </w:pPr>
            <w:r>
              <w:rPr>
                <w:rFonts w:ascii="Arial" w:cs="Arial" w:eastAsia="Arial" w:hAnsi="Arial"/>
                <w:sz w:val="14"/>
                <w:szCs w:val="14"/>
                <w:b w:val="1"/>
                <w:bCs w:val="1"/>
                <w:color w:val="auto"/>
                <w:w w:val="88"/>
              </w:rPr>
              <w:t>Unobservable Input</w:t>
            </w:r>
          </w:p>
        </w:tc>
        <w:tc>
          <w:tcPr>
            <w:tcW w:w="21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6"/>
              </w:rPr>
              <w:t>(Weighted Average)</w:t>
            </w:r>
          </w:p>
        </w:tc>
        <w:tc>
          <w:tcPr>
            <w:tcW w:w="0" w:type="dxa"/>
            <w:vAlign w:val="bottom"/>
          </w:tcPr>
          <w:p>
            <w:pPr>
              <w:spacing w:after="0"/>
              <w:rPr>
                <w:sz w:val="1"/>
                <w:szCs w:val="1"/>
                <w:color w:val="auto"/>
              </w:rPr>
            </w:pPr>
          </w:p>
        </w:tc>
      </w:tr>
      <w:tr>
        <w:trPr>
          <w:trHeight w:val="181"/>
        </w:trPr>
        <w:tc>
          <w:tcPr>
            <w:tcW w:w="274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6"/>
              </w:rPr>
              <w:t>First lien, second lien, subordinated</w:t>
            </w:r>
          </w:p>
        </w:tc>
        <w:tc>
          <w:tcPr>
            <w:tcW w:w="2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2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34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7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debt/corporate notes</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157,963,729</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Broker/Dealer bid quotes</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08"/>
        </w:trPr>
        <w:tc>
          <w:tcPr>
            <w:tcW w:w="2740" w:type="dxa"/>
            <w:vAlign w:val="bottom"/>
            <w:gridSpan w:val="2"/>
          </w:tcPr>
          <w:p>
            <w:pPr>
              <w:spacing w:after="0"/>
              <w:rPr>
                <w:sz w:val="20"/>
                <w:szCs w:val="20"/>
                <w:color w:val="auto"/>
              </w:rPr>
            </w:pPr>
            <w:r>
              <w:rPr>
                <w:rFonts w:ascii="Arial" w:cs="Arial" w:eastAsia="Arial" w:hAnsi="Arial"/>
                <w:sz w:val="18"/>
                <w:szCs w:val="18"/>
                <w:color w:val="auto"/>
                <w:w w:val="96"/>
              </w:rPr>
              <w:t>First lien, second lien, subordinated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740" w:type="dxa"/>
            <w:vAlign w:val="bottom"/>
            <w:gridSpan w:val="2"/>
          </w:tcPr>
          <w:p>
            <w:pPr>
              <w:ind w:left="220"/>
              <w:spacing w:after="0"/>
              <w:rPr>
                <w:sz w:val="20"/>
                <w:szCs w:val="20"/>
                <w:color w:val="auto"/>
              </w:rPr>
            </w:pPr>
            <w:r>
              <w:rPr>
                <w:rFonts w:ascii="Arial" w:cs="Arial" w:eastAsia="Arial" w:hAnsi="Arial"/>
                <w:sz w:val="18"/>
                <w:szCs w:val="18"/>
                <w:color w:val="auto"/>
              </w:rPr>
              <w:t>debt/corporate notes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19,742,871</w:t>
            </w:r>
          </w:p>
        </w:tc>
        <w:tc>
          <w:tcPr>
            <w:tcW w:w="23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color w:val="auto"/>
                <w:w w:val="91"/>
              </w:rPr>
              <w:t>Market Yield</w:t>
            </w:r>
          </w:p>
        </w:tc>
        <w:tc>
          <w:tcPr>
            <w:tcW w:w="2140" w:type="dxa"/>
            <w:vAlign w:val="bottom"/>
          </w:tcPr>
          <w:p>
            <w:pPr>
              <w:jc w:val="center"/>
              <w:spacing w:after="0"/>
              <w:rPr>
                <w:sz w:val="20"/>
                <w:szCs w:val="20"/>
                <w:color w:val="auto"/>
              </w:rPr>
            </w:pPr>
            <w:r>
              <w:rPr>
                <w:rFonts w:ascii="Arial" w:cs="Arial" w:eastAsia="Arial" w:hAnsi="Arial"/>
                <w:sz w:val="18"/>
                <w:szCs w:val="18"/>
                <w:color w:val="auto"/>
                <w:w w:val="92"/>
              </w:rPr>
              <w:t>7.3% – 14.9%(12.0%)</w:t>
            </w:r>
          </w:p>
        </w:tc>
        <w:tc>
          <w:tcPr>
            <w:tcW w:w="0" w:type="dxa"/>
            <w:vAlign w:val="bottom"/>
          </w:tcPr>
          <w:p>
            <w:pPr>
              <w:spacing w:after="0"/>
              <w:rPr>
                <w:sz w:val="1"/>
                <w:szCs w:val="1"/>
                <w:color w:val="auto"/>
              </w:rPr>
            </w:pPr>
          </w:p>
        </w:tc>
      </w:tr>
      <w:tr>
        <w:trPr>
          <w:trHeight w:val="218"/>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and common equity</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1,935,912</w:t>
            </w:r>
          </w:p>
        </w:tc>
        <w:tc>
          <w:tcPr>
            <w:tcW w:w="2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Enterprise Market Value</w:t>
            </w: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EBITDA multiple</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6.8x – 9.5x (8.2x)</w:t>
            </w:r>
          </w:p>
        </w:tc>
        <w:tc>
          <w:tcPr>
            <w:tcW w:w="0" w:type="dxa"/>
            <w:vAlign w:val="bottom"/>
          </w:tcPr>
          <w:p>
            <w:pPr>
              <w:spacing w:after="0"/>
              <w:rPr>
                <w:sz w:val="1"/>
                <w:szCs w:val="1"/>
                <w:color w:val="auto"/>
              </w:rPr>
            </w:pPr>
          </w:p>
        </w:tc>
      </w:tr>
      <w:tr>
        <w:trPr>
          <w:trHeight w:val="222"/>
        </w:trPr>
        <w:tc>
          <w:tcPr>
            <w:tcW w:w="2740" w:type="dxa"/>
            <w:vAlign w:val="bottom"/>
            <w:gridSpan w:val="2"/>
          </w:tcPr>
          <w:p>
            <w:pPr>
              <w:ind w:left="440"/>
              <w:spacing w:after="0"/>
              <w:rPr>
                <w:sz w:val="20"/>
                <w:szCs w:val="20"/>
                <w:color w:val="auto"/>
              </w:rPr>
            </w:pPr>
            <w:r>
              <w:rPr>
                <w:rFonts w:ascii="Arial" w:cs="Arial" w:eastAsia="Arial" w:hAnsi="Arial"/>
                <w:sz w:val="18"/>
                <w:szCs w:val="18"/>
                <w:color w:val="auto"/>
              </w:rPr>
              <w:t>Total Level 3 investments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179,642,512</w:t>
            </w:r>
          </w:p>
        </w:tc>
        <w:tc>
          <w:tcPr>
            <w:tcW w:w="2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Credit Facility</w:t>
            </w:r>
          </w:p>
        </w:tc>
        <w:tc>
          <w:tcPr>
            <w:tcW w:w="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34,200,000</w:t>
            </w:r>
          </w:p>
        </w:tc>
        <w:tc>
          <w:tcPr>
            <w:tcW w:w="23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9"/>
              </w:rPr>
              <w:t>Market Comparable</w:t>
            </w: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Market Yield</w:t>
            </w:r>
          </w:p>
        </w:tc>
        <w:tc>
          <w:tcPr>
            <w:tcW w:w="2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2.9%</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cash equivalents, investments and our long-term Credit Facility were categorized as follows in the fair value hierarchy for ASC 820 purposes: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020" w:type="dxa"/>
            <w:vAlign w:val="bottom"/>
            <w:vMerge w:val="restart"/>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88"/>
              </w:rPr>
              <w:t>Fair Value Measurements at March 31, 2013</w:t>
            </w: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159,682,263</w:t>
            </w: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159,682,263</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10,347,423</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84"/>
              </w:rPr>
              <w:t>1,623,750</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8,723,673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11,904,164</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2,603,500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9,300,664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1,935,912</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1,935,912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183,869,762</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4,227,250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179,642,512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2,725,248</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2,725,248</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186,595,010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2,725,248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4,227,250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179,642,512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34,200,000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34,200,000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800" w:type="dxa"/>
            <w:vAlign w:val="bottom"/>
            <w:tcBorders>
              <w:top w:val="single" w:sz="8" w:color="auto"/>
              <w:bottom w:val="single" w:sz="8" w:color="auto"/>
            </w:tcBorders>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700" w:type="dxa"/>
            <w:vAlign w:val="bottom"/>
            <w:vMerge w:val="restart"/>
          </w:tcPr>
          <w:p>
            <w:pPr>
              <w:spacing w:after="0"/>
              <w:rPr>
                <w:sz w:val="20"/>
                <w:szCs w:val="20"/>
                <w:color w:val="auto"/>
              </w:rPr>
            </w:pPr>
            <w:r>
              <w:rPr>
                <w:rFonts w:ascii="Arial" w:cs="Arial" w:eastAsia="Arial" w:hAnsi="Arial"/>
                <w:sz w:val="14"/>
                <w:szCs w:val="14"/>
                <w:b w:val="1"/>
                <w:bCs w:val="1"/>
                <w:color w:val="auto"/>
                <w:w w:val="88"/>
              </w:rPr>
              <w:t>Description</w:t>
            </w:r>
          </w:p>
        </w:tc>
        <w:tc>
          <w:tcPr>
            <w:tcW w:w="4020" w:type="dxa"/>
            <w:vAlign w:val="bottom"/>
            <w:vMerge w:val="restart"/>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gridSpan w:val="8"/>
          </w:tcPr>
          <w:p>
            <w:pPr>
              <w:jc w:val="center"/>
              <w:ind w:right="20"/>
              <w:spacing w:after="0"/>
              <w:rPr>
                <w:sz w:val="20"/>
                <w:szCs w:val="20"/>
                <w:color w:val="auto"/>
              </w:rPr>
            </w:pPr>
            <w:r>
              <w:rPr>
                <w:rFonts w:ascii="Arial" w:cs="Arial" w:eastAsia="Arial" w:hAnsi="Arial"/>
                <w:sz w:val="14"/>
                <w:szCs w:val="14"/>
                <w:b w:val="1"/>
                <w:bCs w:val="1"/>
                <w:color w:val="auto"/>
                <w:w w:val="87"/>
              </w:rPr>
              <w:t>Fair Value Measurements at September 30, 2012</w:t>
            </w: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700" w:type="dxa"/>
            <w:vAlign w:val="bottom"/>
            <w:tcBorders>
              <w:bottom w:val="single" w:sz="8" w:color="auto"/>
            </w:tcBorders>
            <w:vMerge w:val="continue"/>
          </w:tcPr>
          <w:p>
            <w:pPr>
              <w:spacing w:after="0"/>
              <w:rPr>
                <w:sz w:val="12"/>
                <w:szCs w:val="12"/>
                <w:color w:val="auto"/>
              </w:rPr>
            </w:pPr>
          </w:p>
        </w:tc>
        <w:tc>
          <w:tcPr>
            <w:tcW w:w="40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tcPr>
          <w:p>
            <w:pPr>
              <w:ind w:left="80"/>
              <w:spacing w:after="0" w:line="129" w:lineRule="exact"/>
              <w:rPr>
                <w:sz w:val="20"/>
                <w:szCs w:val="20"/>
                <w:color w:val="auto"/>
              </w:rPr>
            </w:pPr>
            <w:r>
              <w:rPr>
                <w:rFonts w:ascii="Arial" w:cs="Arial" w:eastAsia="Arial" w:hAnsi="Arial"/>
                <w:sz w:val="14"/>
                <w:szCs w:val="14"/>
                <w:b w:val="1"/>
                <w:bCs w:val="1"/>
                <w:color w:val="auto"/>
              </w:rPr>
              <w:t>Fair Value</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right"/>
              <w:ind w:right="194"/>
              <w:spacing w:after="0" w:line="129"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472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First lien</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2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4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Second lien</w:t>
            </w:r>
          </w:p>
        </w:tc>
        <w:tc>
          <w:tcPr>
            <w:tcW w:w="10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12,025,500</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12,025,500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debt/corporate notes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8,296,719</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5,508,719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20" w:type="dxa"/>
            <w:vAlign w:val="bottom"/>
            <w:gridSpan w:val="2"/>
          </w:tcPr>
          <w:p>
            <w:pPr>
              <w:spacing w:after="0"/>
              <w:rPr>
                <w:sz w:val="20"/>
                <w:szCs w:val="20"/>
                <w:color w:val="auto"/>
              </w:rPr>
            </w:pPr>
            <w:r>
              <w:rPr>
                <w:rFonts w:ascii="Arial" w:cs="Arial" w:eastAsia="Arial" w:hAnsi="Arial"/>
                <w:sz w:val="18"/>
                <w:szCs w:val="18"/>
                <w:color w:val="auto"/>
              </w:rPr>
              <w:t>Preferred and common equity</w:t>
            </w: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1,302,434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w:t>
            </w: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171,834,400</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Cash equivalents</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3,845,803</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spacing w:after="0"/>
              <w:rPr>
                <w:sz w:val="20"/>
                <w:szCs w:val="20"/>
                <w:color w:val="auto"/>
              </w:rPr>
            </w:pPr>
            <w:r>
              <w:rPr>
                <w:rFonts w:ascii="Arial" w:cs="Arial" w:eastAsia="Arial" w:hAnsi="Arial"/>
                <w:sz w:val="18"/>
                <w:szCs w:val="18"/>
                <w:color w:val="auto"/>
              </w:rPr>
              <w:t>3,845,803</w:t>
            </w: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8"/>
        </w:trPr>
        <w:tc>
          <w:tcPr>
            <w:tcW w:w="700" w:type="dxa"/>
            <w:vAlign w:val="bottom"/>
          </w:tcPr>
          <w:p>
            <w:pPr>
              <w:spacing w:after="0"/>
              <w:rPr>
                <w:sz w:val="2"/>
                <w:szCs w:val="2"/>
                <w:color w:val="auto"/>
              </w:rPr>
            </w:pPr>
          </w:p>
        </w:tc>
        <w:tc>
          <w:tcPr>
            <w:tcW w:w="40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investments and cash equivalents</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175,680,203</w:t>
            </w:r>
          </w:p>
        </w:tc>
        <w:tc>
          <w:tcPr>
            <w:tcW w:w="2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3,845,803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20"/>
                <w:szCs w:val="20"/>
                <w:color w:val="auto"/>
              </w:rPr>
            </w:pPr>
            <w:r>
              <w:rPr>
                <w:rFonts w:ascii="Arial" w:cs="Arial" w:eastAsia="Arial" w:hAnsi="Arial"/>
                <w:sz w:val="18"/>
                <w:szCs w:val="18"/>
                <w:color w:val="auto"/>
                <w:w w:val="84"/>
              </w:rPr>
              <w:t>2,788,000</w:t>
            </w: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20" w:type="dxa"/>
            <w:vAlign w:val="bottom"/>
            <w:gridSpan w:val="2"/>
            <w:vMerge w:val="restart"/>
          </w:tcPr>
          <w:p>
            <w:pPr>
              <w:spacing w:after="0"/>
              <w:rPr>
                <w:sz w:val="20"/>
                <w:szCs w:val="20"/>
                <w:color w:val="auto"/>
              </w:rPr>
            </w:pPr>
            <w:r>
              <w:rPr>
                <w:rFonts w:ascii="Arial" w:cs="Arial" w:eastAsia="Arial" w:hAnsi="Arial"/>
                <w:sz w:val="18"/>
                <w:szCs w:val="18"/>
                <w:color w:val="auto"/>
              </w:rPr>
              <w:t>Long-Term Credit Facility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2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8"/>
                <w:szCs w:val="18"/>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75,122,500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0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color w:val="auto"/>
              </w:rPr>
              <w:t>F-49</w:t>
            </w: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The following tables show a reconciliation of the beginning and ending balances for fair valued investments measured using significant unobservable inputs (Level 3):</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8"/>
              </w:rPr>
              <w:t>Six Months Ended March 31, 2013</w:t>
            </w: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First Lien</w:t>
            </w:r>
          </w:p>
        </w:tc>
        <w:tc>
          <w:tcPr>
            <w:tcW w:w="460" w:type="dxa"/>
            <w:vAlign w:val="bottom"/>
          </w:tcPr>
          <w:p>
            <w:pPr>
              <w:spacing w:after="0"/>
              <w:rPr>
                <w:sz w:val="12"/>
                <w:szCs w:val="12"/>
                <w:color w:val="auto"/>
              </w:rPr>
            </w:pPr>
          </w:p>
        </w:tc>
        <w:tc>
          <w:tcPr>
            <w:tcW w:w="20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and equity investments</w:t>
            </w:r>
          </w:p>
        </w:tc>
        <w:tc>
          <w:tcPr>
            <w:tcW w:w="10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2012</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150,209,747</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18,836,653</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169,046,400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1,132,985</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414,485</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1,547,470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(depreciation) appreciation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(266,886)</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539,275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272,389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75,103,378</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9,486,250</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84,589,628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 / exchanges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(66,496,961)</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(7,730,164)</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(74,227,125)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80" w:type="dxa"/>
            <w:vAlign w:val="bottom"/>
            <w:gridSpan w:val="2"/>
          </w:tcPr>
          <w:p>
            <w:pPr>
              <w:jc w:val="right"/>
              <w:ind w:right="600"/>
              <w:spacing w:after="0"/>
              <w:rPr>
                <w:sz w:val="20"/>
                <w:szCs w:val="20"/>
                <w:color w:val="auto"/>
              </w:rPr>
            </w:pPr>
            <w:r>
              <w:rPr>
                <w:rFonts w:ascii="Arial" w:cs="Arial" w:eastAsia="Arial" w:hAnsi="Arial"/>
                <w:sz w:val="18"/>
                <w:szCs w:val="18"/>
                <w:color w:val="auto"/>
              </w:rPr>
              <w:t>(1,586,250)</w:t>
            </w:r>
          </w:p>
        </w:tc>
        <w:tc>
          <w:tcPr>
            <w:tcW w:w="10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(1,586,250)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March 31, 2013</w:t>
            </w: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159,682,263</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19,960,249</w:t>
            </w: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179,642,512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8"/>
                <w:szCs w:val="18"/>
                <w:color w:val="auto"/>
                <w:w w:val="93"/>
              </w:rPr>
              <w:t>Net change in unrealized appreciation (depreciation) reported within the net change in</w:t>
            </w: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2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w w:val="91"/>
              </w:rPr>
              <w:t>unrealized appreciation on investments in our Consolidated Statement of Operations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2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580,762</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600"/>
              <w:spacing w:after="0"/>
              <w:rPr>
                <w:sz w:val="20"/>
                <w:szCs w:val="20"/>
                <w:color w:val="auto"/>
              </w:rPr>
            </w:pPr>
            <w:r>
              <w:rPr>
                <w:rFonts w:ascii="Arial" w:cs="Arial" w:eastAsia="Arial" w:hAnsi="Arial"/>
                <w:sz w:val="18"/>
                <w:szCs w:val="18"/>
                <w:color w:val="auto"/>
              </w:rPr>
              <w:t>(1,973,070)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(1,392,308)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6"/>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4"/>
                <w:szCs w:val="14"/>
                <w:b w:val="1"/>
                <w:bCs w:val="1"/>
                <w:color w:val="auto"/>
                <w:w w:val="88"/>
              </w:rPr>
              <w:t>Six Months Ended March 31, 2012</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8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4"/>
              </w:rPr>
              <w:t>Second lien,</w:t>
            </w: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6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subordinated debt</w:t>
            </w: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4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400"/>
              <w:spacing w:after="0" w:line="148" w:lineRule="exact"/>
              <w:rPr>
                <w:sz w:val="20"/>
                <w:szCs w:val="20"/>
                <w:color w:val="auto"/>
              </w:rPr>
            </w:pPr>
            <w:r>
              <w:rPr>
                <w:rFonts w:ascii="Arial" w:cs="Arial" w:eastAsia="Arial" w:hAnsi="Arial"/>
                <w:sz w:val="14"/>
                <w:szCs w:val="14"/>
                <w:b w:val="1"/>
                <w:bCs w:val="1"/>
                <w:color w:val="auto"/>
              </w:rPr>
              <w:t>First Lien</w:t>
            </w:r>
          </w:p>
        </w:tc>
        <w:tc>
          <w:tcPr>
            <w:tcW w:w="460" w:type="dxa"/>
            <w:vAlign w:val="bottom"/>
          </w:tcPr>
          <w:p>
            <w:pPr>
              <w:spacing w:after="0"/>
              <w:rPr>
                <w:sz w:val="12"/>
                <w:szCs w:val="12"/>
                <w:color w:val="auto"/>
              </w:rPr>
            </w:pPr>
          </w:p>
        </w:tc>
        <w:tc>
          <w:tcPr>
            <w:tcW w:w="2000" w:type="dxa"/>
            <w:vAlign w:val="bottom"/>
            <w:gridSpan w:val="3"/>
          </w:tcPr>
          <w:p>
            <w:pPr>
              <w:spacing w:after="0" w:line="148" w:lineRule="exact"/>
              <w:rPr>
                <w:sz w:val="20"/>
                <w:szCs w:val="20"/>
                <w:color w:val="auto"/>
              </w:rPr>
            </w:pPr>
            <w:r>
              <w:rPr>
                <w:rFonts w:ascii="Arial" w:cs="Arial" w:eastAsia="Arial" w:hAnsi="Arial"/>
                <w:sz w:val="14"/>
                <w:szCs w:val="14"/>
                <w:b w:val="1"/>
                <w:bCs w:val="1"/>
                <w:color w:val="auto"/>
              </w:rPr>
              <w:t>and equity investments</w:t>
            </w:r>
          </w:p>
        </w:tc>
        <w:tc>
          <w:tcPr>
            <w:tcW w:w="100" w:type="dxa"/>
            <w:vAlign w:val="bottom"/>
          </w:tcPr>
          <w:p>
            <w:pPr>
              <w:spacing w:after="0"/>
              <w:rPr>
                <w:sz w:val="12"/>
                <w:szCs w:val="12"/>
                <w:color w:val="auto"/>
              </w:rPr>
            </w:pPr>
          </w:p>
        </w:tc>
        <w:tc>
          <w:tcPr>
            <w:tcW w:w="980" w:type="dxa"/>
            <w:vAlign w:val="bottom"/>
            <w:gridSpan w:val="2"/>
          </w:tcPr>
          <w:p>
            <w:pPr>
              <w:jc w:val="right"/>
              <w:ind w:right="420"/>
              <w:spacing w:after="0" w:line="148" w:lineRule="exact"/>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Borders>
              <w:bottom w:val="single" w:sz="8" w:color="CCEEFF"/>
            </w:tcBorders>
            <w:shd w:val="clear" w:color="auto" w:fill="000000"/>
          </w:tcPr>
          <w:p>
            <w:pPr>
              <w:spacing w:after="0" w:line="20" w:lineRule="exact"/>
              <w:rPr>
                <w:sz w:val="1"/>
                <w:szCs w:val="1"/>
                <w:color w:val="auto"/>
              </w:rPr>
            </w:pPr>
          </w:p>
        </w:tc>
        <w:tc>
          <w:tcPr>
            <w:tcW w:w="5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6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Beginning Balance, September 30, 2011</w:t>
            </w: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89,329,379</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18,206,115</w:t>
            </w: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5"/>
              </w:rPr>
              <w:t>107,535,494</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Realized gains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315,366</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86,442</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401,808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Unrealized appreciation</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3,176,684</w:t>
            </w:r>
          </w:p>
        </w:tc>
        <w:tc>
          <w:tcPr>
            <w:tcW w:w="2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543,615</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3,720,299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Purchases, PIK and net discount accretion</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67,494,977</w:t>
            </w: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2,868,886</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70,363,863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Sales / repayments</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0"/>
              </w:rPr>
              <w:t>(34,010,082)</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(5,533,750)</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0"/>
              </w:rPr>
              <w:t>(39,543,832)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00" w:type="dxa"/>
            <w:vAlign w:val="bottom"/>
            <w:gridSpan w:val="2"/>
          </w:tcPr>
          <w:p>
            <w:pPr>
              <w:ind w:left="420"/>
              <w:spacing w:after="0"/>
              <w:rPr>
                <w:sz w:val="20"/>
                <w:szCs w:val="20"/>
                <w:color w:val="auto"/>
              </w:rPr>
            </w:pPr>
            <w:r>
              <w:rPr>
                <w:rFonts w:ascii="Arial" w:cs="Arial" w:eastAsia="Arial" w:hAnsi="Arial"/>
                <w:sz w:val="18"/>
                <w:szCs w:val="18"/>
                <w:color w:val="auto"/>
              </w:rPr>
              <w:t>Transfers in and/or out of Level 3</w:t>
            </w:r>
          </w:p>
        </w:tc>
        <w:tc>
          <w:tcPr>
            <w:tcW w:w="2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Ending Balance, March 31, 2012</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126,306,324</w:t>
            </w:r>
          </w:p>
        </w:tc>
        <w:tc>
          <w:tcPr>
            <w:tcW w:w="2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16,171,308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5"/>
              </w:rPr>
              <w:t>142,477,632</w:t>
            </w:r>
          </w:p>
        </w:tc>
        <w:tc>
          <w:tcPr>
            <w:tcW w:w="0" w:type="dxa"/>
            <w:vAlign w:val="bottom"/>
          </w:tcPr>
          <w:p>
            <w:pPr>
              <w:spacing w:after="0"/>
              <w:rPr>
                <w:sz w:val="1"/>
                <w:szCs w:val="1"/>
                <w:color w:val="auto"/>
              </w:rPr>
            </w:pPr>
          </w:p>
        </w:tc>
      </w:tr>
      <w:tr>
        <w:trPr>
          <w:trHeight w:val="20"/>
        </w:trPr>
        <w:tc>
          <w:tcPr>
            <w:tcW w:w="6420" w:type="dxa"/>
            <w:vAlign w:val="bottom"/>
            <w:gridSpan w:val="3"/>
            <w:vMerge w:val="restart"/>
          </w:tcPr>
          <w:p>
            <w:pPr>
              <w:spacing w:after="0"/>
              <w:rPr>
                <w:sz w:val="20"/>
                <w:szCs w:val="20"/>
                <w:color w:val="auto"/>
              </w:rPr>
            </w:pPr>
            <w:r>
              <w:rPr>
                <w:rFonts w:ascii="Arial" w:cs="Arial" w:eastAsia="Arial" w:hAnsi="Arial"/>
                <w:sz w:val="18"/>
                <w:szCs w:val="18"/>
                <w:color w:val="auto"/>
                <w:w w:val="97"/>
              </w:rPr>
              <w:t>Net change in unrealized appreciation reported within the net change in unrealized</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6420" w:type="dxa"/>
            <w:vAlign w:val="bottom"/>
            <w:gridSpan w:val="3"/>
            <w:vMerge w:val="continue"/>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appreciation on investments in our Consolidated Statement of Operations</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00" w:type="dxa"/>
            <w:vAlign w:val="bottom"/>
            <w:gridSpan w:val="2"/>
          </w:tcPr>
          <w:p>
            <w:pPr>
              <w:ind w:left="200"/>
              <w:spacing w:after="0"/>
              <w:rPr>
                <w:sz w:val="20"/>
                <w:szCs w:val="20"/>
                <w:color w:val="auto"/>
              </w:rPr>
            </w:pPr>
            <w:r>
              <w:rPr>
                <w:rFonts w:ascii="Arial" w:cs="Arial" w:eastAsia="Arial" w:hAnsi="Arial"/>
                <w:sz w:val="18"/>
                <w:szCs w:val="18"/>
                <w:color w:val="auto"/>
              </w:rPr>
              <w:t>attributable to our Level 3 assets still held at the reporting date.</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3,638,956</w:t>
            </w:r>
          </w:p>
        </w:tc>
        <w:tc>
          <w:tcPr>
            <w:tcW w:w="200" w:type="dxa"/>
            <w:vAlign w:val="bottom"/>
          </w:tcPr>
          <w:p>
            <w:pPr>
              <w:spacing w:after="0"/>
              <w:rPr>
                <w:sz w:val="19"/>
                <w:szCs w:val="19"/>
                <w:color w:val="auto"/>
              </w:rPr>
            </w:pPr>
          </w:p>
        </w:tc>
        <w:tc>
          <w:tcPr>
            <w:tcW w:w="580" w:type="dxa"/>
            <w:vAlign w:val="bottom"/>
            <w:gridSpan w:val="2"/>
          </w:tcPr>
          <w:p>
            <w:pPr>
              <w:ind w:left="460"/>
              <w:spacing w:after="0"/>
              <w:rPr>
                <w:sz w:val="20"/>
                <w:szCs w:val="20"/>
                <w:color w:val="auto"/>
              </w:rPr>
            </w:pPr>
            <w:r>
              <w:rPr>
                <w:rFonts w:ascii="Arial" w:cs="Arial" w:eastAsia="Arial" w:hAnsi="Arial"/>
                <w:sz w:val="18"/>
                <w:szCs w:val="18"/>
                <w:color w:val="auto"/>
                <w:w w:val="99"/>
              </w:rPr>
              <w:t>$</w:t>
            </w:r>
          </w:p>
        </w:tc>
        <w:tc>
          <w:tcPr>
            <w:tcW w:w="1880" w:type="dxa"/>
            <w:vAlign w:val="bottom"/>
            <w:gridSpan w:val="2"/>
          </w:tcPr>
          <w:p>
            <w:pPr>
              <w:jc w:val="right"/>
              <w:ind w:right="660"/>
              <w:spacing w:after="0"/>
              <w:rPr>
                <w:sz w:val="20"/>
                <w:szCs w:val="20"/>
                <w:color w:val="auto"/>
              </w:rPr>
            </w:pPr>
            <w:r>
              <w:rPr>
                <w:rFonts w:ascii="Arial" w:cs="Arial" w:eastAsia="Arial" w:hAnsi="Arial"/>
                <w:sz w:val="18"/>
                <w:szCs w:val="18"/>
                <w:color w:val="auto"/>
              </w:rPr>
              <w:t>546,020</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4,184,976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700" w:type="dxa"/>
            <w:vAlign w:val="bottom"/>
            <w:vMerge w:val="restart"/>
          </w:tcPr>
          <w:p>
            <w:pPr>
              <w:ind w:left="4820"/>
              <w:spacing w:after="0"/>
              <w:rPr>
                <w:sz w:val="20"/>
                <w:szCs w:val="20"/>
                <w:color w:val="auto"/>
              </w:rPr>
            </w:pPr>
            <w:r>
              <w:rPr>
                <w:rFonts w:ascii="Arial" w:cs="Arial" w:eastAsia="Arial" w:hAnsi="Arial"/>
                <w:sz w:val="18"/>
                <w:szCs w:val="18"/>
                <w:color w:val="auto"/>
              </w:rPr>
              <w:t>F-50</w:t>
            </w: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7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60" w:right="23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400" w:right="272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following table shows a reconciliation of the beginning and ending balances for fair valued liabilities measured using significant unobservable inputs (Level 3):</w:t>
      </w:r>
    </w:p>
    <w:p>
      <w:pPr>
        <w:spacing w:after="0" w:line="156"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270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Carrying/Fair Value</w:t>
            </w:r>
          </w:p>
        </w:tc>
        <w:tc>
          <w:tcPr>
            <w:tcW w:w="0" w:type="dxa"/>
            <w:vAlign w:val="bottom"/>
          </w:tcPr>
          <w:p>
            <w:pPr>
              <w:spacing w:after="0"/>
              <w:rPr>
                <w:sz w:val="1"/>
                <w:szCs w:val="1"/>
                <w:color w:val="auto"/>
              </w:rPr>
            </w:pPr>
          </w:p>
        </w:tc>
      </w:tr>
      <w:tr>
        <w:trPr>
          <w:trHeight w:val="161"/>
        </w:trPr>
        <w:tc>
          <w:tcPr>
            <w:tcW w:w="1640" w:type="dxa"/>
            <w:vAlign w:val="bottom"/>
            <w:vMerge w:val="restart"/>
          </w:tcPr>
          <w:p>
            <w:pPr>
              <w:spacing w:after="0"/>
              <w:rPr>
                <w:sz w:val="20"/>
                <w:szCs w:val="20"/>
                <w:color w:val="auto"/>
              </w:rPr>
            </w:pPr>
            <w:r>
              <w:rPr>
                <w:rFonts w:ascii="Arial" w:cs="Arial" w:eastAsia="Arial" w:hAnsi="Arial"/>
                <w:sz w:val="14"/>
                <w:szCs w:val="14"/>
                <w:b w:val="1"/>
                <w:bCs w:val="1"/>
                <w:color w:val="auto"/>
                <w:w w:val="95"/>
              </w:rPr>
              <w:t>Long-Term Credit Facility</w:t>
            </w:r>
          </w:p>
        </w:tc>
        <w:tc>
          <w:tcPr>
            <w:tcW w:w="5240" w:type="dxa"/>
            <w:vAlign w:val="bottom"/>
            <w:vMerge w:val="restart"/>
          </w:tcPr>
          <w:p>
            <w:pPr>
              <w:spacing w:after="0"/>
              <w:rPr>
                <w:sz w:val="14"/>
                <w:szCs w:val="14"/>
                <w:color w:val="auto"/>
              </w:rPr>
            </w:pPr>
          </w:p>
        </w:tc>
        <w:tc>
          <w:tcPr>
            <w:tcW w:w="27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9"/>
        </w:trPr>
        <w:tc>
          <w:tcPr>
            <w:tcW w:w="1640" w:type="dxa"/>
            <w:vAlign w:val="bottom"/>
            <w:tcBorders>
              <w:bottom w:val="single" w:sz="8" w:color="auto"/>
            </w:tcBorders>
            <w:vMerge w:val="continue"/>
          </w:tcPr>
          <w:p>
            <w:pPr>
              <w:spacing w:after="0"/>
              <w:rPr>
                <w:sz w:val="12"/>
                <w:szCs w:val="12"/>
                <w:color w:val="auto"/>
              </w:rPr>
            </w:pPr>
          </w:p>
        </w:tc>
        <w:tc>
          <w:tcPr>
            <w:tcW w:w="5240" w:type="dxa"/>
            <w:vAlign w:val="bottom"/>
            <w:vMerge w:val="continue"/>
          </w:tcPr>
          <w:p>
            <w:pPr>
              <w:spacing w:after="0"/>
              <w:rPr>
                <w:sz w:val="12"/>
                <w:szCs w:val="12"/>
                <w:color w:val="auto"/>
              </w:rPr>
            </w:pPr>
          </w:p>
        </w:tc>
        <w:tc>
          <w:tcPr>
            <w:tcW w:w="940" w:type="dxa"/>
            <w:vAlign w:val="bottom"/>
            <w:tcBorders>
              <w:top w:val="single" w:sz="8" w:color="auto"/>
            </w:tcBorders>
          </w:tcPr>
          <w:p>
            <w:pPr>
              <w:jc w:val="right"/>
              <w:ind w:right="259"/>
              <w:spacing w:after="0" w:line="129" w:lineRule="exact"/>
              <w:rPr>
                <w:sz w:val="20"/>
                <w:szCs w:val="20"/>
                <w:color w:val="auto"/>
              </w:rPr>
            </w:pPr>
            <w:r>
              <w:rPr>
                <w:rFonts w:ascii="Arial" w:cs="Arial" w:eastAsia="Arial" w:hAnsi="Arial"/>
                <w:sz w:val="14"/>
                <w:szCs w:val="14"/>
                <w:b w:val="1"/>
                <w:bCs w:val="1"/>
                <w:color w:val="auto"/>
              </w:rPr>
              <w:t>2013</w:t>
            </w:r>
          </w:p>
        </w:tc>
        <w:tc>
          <w:tcPr>
            <w:tcW w:w="6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255"/>
              <w:spacing w:after="0" w:line="129" w:lineRule="exact"/>
              <w:rPr>
                <w:sz w:val="20"/>
                <w:szCs w:val="20"/>
                <w:color w:val="auto"/>
              </w:rPr>
            </w:pPr>
            <w:r>
              <w:rPr>
                <w:rFonts w:ascii="Arial" w:cs="Arial" w:eastAsia="Arial" w:hAnsi="Arial"/>
                <w:sz w:val="14"/>
                <w:szCs w:val="14"/>
                <w:b w:val="1"/>
                <w:bCs w:val="1"/>
                <w:color w:val="auto"/>
              </w:rPr>
              <w:t>2012</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68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w w:val="96"/>
              </w:rPr>
              <w:t>Beginning Balance, September 30, 2012 and 2011, respectively (cost – $75,500,000 and</w:t>
            </w:r>
          </w:p>
        </w:tc>
        <w:tc>
          <w:tcPr>
            <w:tcW w:w="940" w:type="dxa"/>
            <w:vAlign w:val="bottom"/>
            <w:tcBorders>
              <w:top w:val="single" w:sz="8" w:color="auto"/>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68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$24,650,000, respectively)</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$ 75,122,500</w:t>
            </w: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24,650,000</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Total unrealized appreciation (depreciation) included in earnings</w:t>
            </w:r>
          </w:p>
        </w:tc>
        <w:tc>
          <w:tcPr>
            <w:tcW w:w="940" w:type="dxa"/>
            <w:vAlign w:val="bottom"/>
          </w:tcPr>
          <w:p>
            <w:pPr>
              <w:jc w:val="right"/>
              <w:spacing w:after="0"/>
              <w:rPr>
                <w:sz w:val="20"/>
                <w:szCs w:val="20"/>
                <w:color w:val="auto"/>
              </w:rPr>
            </w:pPr>
            <w:r>
              <w:rPr>
                <w:rFonts w:ascii="Arial" w:cs="Arial" w:eastAsia="Arial" w:hAnsi="Arial"/>
                <w:sz w:val="18"/>
                <w:szCs w:val="18"/>
                <w:color w:val="auto"/>
              </w:rPr>
              <w:t>377,500</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(239,000)</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Borrowings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45,250,000</w:t>
            </w: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54,050,000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gridSpan w:val="2"/>
          </w:tcPr>
          <w:p>
            <w:pPr>
              <w:ind w:left="440"/>
              <w:spacing w:after="0"/>
              <w:rPr>
                <w:sz w:val="20"/>
                <w:szCs w:val="20"/>
                <w:color w:val="auto"/>
              </w:rPr>
            </w:pPr>
            <w:r>
              <w:rPr>
                <w:rFonts w:ascii="Arial" w:cs="Arial" w:eastAsia="Arial" w:hAnsi="Arial"/>
                <w:sz w:val="18"/>
                <w:szCs w:val="18"/>
                <w:color w:val="auto"/>
              </w:rPr>
              <w:t>Repayments</w:t>
            </w:r>
          </w:p>
        </w:tc>
        <w:tc>
          <w:tcPr>
            <w:tcW w:w="1620" w:type="dxa"/>
            <w:vAlign w:val="bottom"/>
            <w:gridSpan w:val="2"/>
          </w:tcPr>
          <w:p>
            <w:pPr>
              <w:jc w:val="right"/>
              <w:ind w:right="620"/>
              <w:spacing w:after="0"/>
              <w:rPr>
                <w:sz w:val="20"/>
                <w:szCs w:val="20"/>
                <w:color w:val="auto"/>
              </w:rPr>
            </w:pPr>
            <w:r>
              <w:rPr>
                <w:rFonts w:ascii="Arial" w:cs="Arial" w:eastAsia="Arial" w:hAnsi="Arial"/>
                <w:sz w:val="18"/>
                <w:szCs w:val="18"/>
                <w:color w:val="auto"/>
                <w:w w:val="95"/>
              </w:rPr>
              <w:t>(86,550,000)</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w w:val="88"/>
              </w:rPr>
              <w:t>(30,900,000)</w:t>
            </w:r>
          </w:p>
        </w:tc>
        <w:tc>
          <w:tcPr>
            <w:tcW w:w="0" w:type="dxa"/>
            <w:vAlign w:val="bottom"/>
          </w:tcPr>
          <w:p>
            <w:pPr>
              <w:spacing w:after="0"/>
              <w:rPr>
                <w:sz w:val="1"/>
                <w:szCs w:val="1"/>
                <w:color w:val="auto"/>
              </w:rPr>
            </w:pPr>
          </w:p>
        </w:tc>
      </w:tr>
      <w:tr>
        <w:trPr>
          <w:trHeight w:val="216"/>
        </w:trPr>
        <w:tc>
          <w:tcPr>
            <w:tcW w:w="68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Transfers in and/or out of Level 3</w:t>
            </w:r>
          </w:p>
        </w:tc>
        <w:tc>
          <w:tcPr>
            <w:tcW w:w="162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6880" w:type="dxa"/>
            <w:vAlign w:val="bottom"/>
            <w:gridSpan w:val="2"/>
          </w:tcPr>
          <w:p>
            <w:pPr>
              <w:spacing w:after="0"/>
              <w:rPr>
                <w:sz w:val="20"/>
                <w:szCs w:val="20"/>
                <w:color w:val="auto"/>
              </w:rPr>
            </w:pPr>
            <w:r>
              <w:rPr>
                <w:rFonts w:ascii="Arial" w:cs="Arial" w:eastAsia="Arial" w:hAnsi="Arial"/>
                <w:sz w:val="18"/>
                <w:szCs w:val="18"/>
                <w:color w:val="auto"/>
              </w:rPr>
              <w:t>Ending Balance, March 31, 2013 and 2012, respectively</w:t>
            </w:r>
          </w:p>
        </w:tc>
        <w:tc>
          <w:tcPr>
            <w:tcW w:w="940" w:type="dxa"/>
            <w:vAlign w:val="bottom"/>
            <w:tcBorders>
              <w:top w:val="single" w:sz="8" w:color="auto"/>
            </w:tcBorders>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880" w:type="dxa"/>
            <w:vAlign w:val="bottom"/>
            <w:gridSpan w:val="2"/>
          </w:tcPr>
          <w:p>
            <w:pPr>
              <w:ind w:left="220"/>
              <w:spacing w:after="0"/>
              <w:rPr>
                <w:sz w:val="20"/>
                <w:szCs w:val="20"/>
                <w:color w:val="auto"/>
              </w:rPr>
            </w:pPr>
            <w:r>
              <w:rPr>
                <w:rFonts w:ascii="Arial" w:cs="Arial" w:eastAsia="Arial" w:hAnsi="Arial"/>
                <w:sz w:val="18"/>
                <w:szCs w:val="18"/>
                <w:color w:val="auto"/>
              </w:rPr>
              <w:t>(cost – $34,200,000 and $47,800,000, respectively)</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$ 34,200,000</w:t>
            </w:r>
          </w:p>
        </w:tc>
        <w:tc>
          <w:tcPr>
            <w:tcW w:w="6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47,561,000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4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We adopted ASC 825-10, which provides companies with an option to report selected financial assets and liabilities at fair value, and made an irrevocable election to apply ASC 825-10 to our long-term Credit Facility. We elected to use the fair value option for our Credit Facility to align the measurement attributes of both our assets and liabilities while mitigating volatility in earnings from using different measurement attributes. Due to that election and in accordance with GAAP, we incurred expenses of $0.5 million relating to amendment fees on the Credit Facility in the three months ended March 31, 2013.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 of Assets and Liabilities and changes in fair value of the Credit Facility are reported in our Consolidated Statement of Operations. For the three and six months ended March 31, 2013, we had a net change in unrealized appreciation of zero and $0.4 million, respectively. For the three and six months ended March 31, 2012, we had a net change in unrealized (appreciation) depreciation of $(0.1) million and $0.2 million, respectively. As of March 31, 2013 and September 30, 2012, the Credit Facility had unrealized depreciation of zero and $0.4 million, respectively. We use a nationally recognized independent valuation service to measure the fair value of the Credit Facility in a manner consistent with the valuation process that the board of directors uses to value our investments.</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280"/>
          </w:cols>
          <w:pgMar w:left="240" w:top="460" w:right="3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CHANGE IN NET ASSETS FROM OPERATIONS PER COMMON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information sets forth the computation of basic and diluted per share net increase in net assets resulting from operations.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4"/>
          </w:tcPr>
          <w:p>
            <w:pPr>
              <w:jc w:val="right"/>
              <w:ind w:right="316"/>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ind w:left="420"/>
              <w:spacing w:after="0"/>
              <w:rPr>
                <w:sz w:val="20"/>
                <w:szCs w:val="20"/>
                <w:color w:val="auto"/>
              </w:rPr>
            </w:pPr>
            <w:r>
              <w:rPr>
                <w:rFonts w:ascii="Arial" w:cs="Arial" w:eastAsia="Arial" w:hAnsi="Arial"/>
                <w:sz w:val="14"/>
                <w:szCs w:val="14"/>
                <w:b w:val="1"/>
                <w:bCs w:val="1"/>
                <w:color w:val="auto"/>
              </w:rPr>
              <w:t>Six Months Ended</w:t>
            </w:r>
          </w:p>
        </w:tc>
      </w:tr>
      <w:tr>
        <w:trPr>
          <w:trHeight w:val="161"/>
        </w:trPr>
        <w:tc>
          <w:tcPr>
            <w:tcW w:w="5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0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March 31,</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820" w:type="dxa"/>
            <w:vAlign w:val="bottom"/>
            <w:tcBorders>
              <w:bottom w:val="single" w:sz="8" w:color="CCEEFF"/>
            </w:tcBorders>
          </w:tcPr>
          <w:p>
            <w:pPr>
              <w:spacing w:after="0"/>
              <w:rPr>
                <w:sz w:val="12"/>
                <w:szCs w:val="12"/>
                <w:color w:val="auto"/>
              </w:rPr>
            </w:pPr>
          </w:p>
        </w:tc>
        <w:tc>
          <w:tcPr>
            <w:tcW w:w="9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rPr>
              <w:t>2012</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200"/>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216"/>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2"/>
                <w:szCs w:val="12"/>
                <w:color w:val="auto"/>
              </w:rPr>
            </w:pPr>
          </w:p>
        </w:tc>
      </w:tr>
      <w:tr>
        <w:trPr>
          <w:trHeight w:val="210"/>
        </w:trPr>
        <w:tc>
          <w:tcPr>
            <w:tcW w:w="5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Numerator for net increase in net assets resulting from operations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3,205,735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4,525,075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4,971,166</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7,630,240</w:t>
            </w:r>
          </w:p>
        </w:tc>
        <w:tc>
          <w:tcPr>
            <w:tcW w:w="100" w:type="dxa"/>
            <w:vAlign w:val="bottom"/>
            <w:shd w:val="clear" w:color="auto" w:fill="CCEEFF"/>
          </w:tcPr>
          <w:p>
            <w:pPr>
              <w:spacing w:after="0"/>
              <w:rPr>
                <w:sz w:val="18"/>
                <w:szCs w:val="18"/>
                <w:color w:val="auto"/>
              </w:rPr>
            </w:pP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Denominator for basic weighted average shares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w w:val="84"/>
              </w:rPr>
              <w:t>7,050,833</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6,850,667</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6,949,650</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6,850,667</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weighted average shares*</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4"/>
              </w:rPr>
              <w:t>7,080,833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6,850,667</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6,964,485</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6,850,667</w:t>
            </w:r>
          </w:p>
        </w:tc>
      </w:tr>
      <w:tr>
        <w:trPr>
          <w:trHeight w:val="216"/>
        </w:trPr>
        <w:tc>
          <w:tcPr>
            <w:tcW w:w="5820" w:type="dxa"/>
            <w:vAlign w:val="bottom"/>
          </w:tcPr>
          <w:p>
            <w:pPr>
              <w:spacing w:after="0"/>
              <w:rPr>
                <w:sz w:val="20"/>
                <w:szCs w:val="20"/>
                <w:color w:val="auto"/>
              </w:rPr>
            </w:pPr>
            <w:r>
              <w:rPr>
                <w:rFonts w:ascii="Arial" w:cs="Arial" w:eastAsia="Arial" w:hAnsi="Arial"/>
                <w:sz w:val="18"/>
                <w:szCs w:val="18"/>
                <w:color w:val="auto"/>
              </w:rPr>
              <w:t>Basic net increase in net assets per share resulting from operations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40"/>
              <w:spacing w:after="0"/>
              <w:rPr>
                <w:sz w:val="20"/>
                <w:szCs w:val="20"/>
                <w:color w:val="auto"/>
              </w:rPr>
            </w:pPr>
            <w:r>
              <w:rPr>
                <w:rFonts w:ascii="Arial" w:cs="Arial" w:eastAsia="Arial" w:hAnsi="Arial"/>
                <w:sz w:val="18"/>
                <w:szCs w:val="18"/>
                <w:color w:val="auto"/>
              </w:rPr>
              <w:t>0.45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0.66</w:t>
            </w: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0.72</w:t>
            </w:r>
          </w:p>
        </w:tc>
        <w:tc>
          <w:tcPr>
            <w:tcW w:w="4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1.12</w:t>
            </w:r>
          </w:p>
        </w:tc>
      </w:tr>
      <w:tr>
        <w:trPr>
          <w:trHeight w:val="216"/>
        </w:trPr>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increase in net assets per share resulting from operations*</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0.45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Includes shares issued in connection with the underwriters’ overallotment option.</w:t>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CASH EQUIVALENTS</w:t>
      </w:r>
    </w:p>
    <w:p>
      <w:pPr>
        <w:spacing w:after="0" w:line="96" w:lineRule="exact"/>
        <w:rPr>
          <w:sz w:val="20"/>
          <w:szCs w:val="20"/>
          <w:color w:val="auto"/>
        </w:rPr>
      </w:pPr>
    </w:p>
    <w:p>
      <w:pPr>
        <w:ind w:right="80" w:firstLine="456"/>
        <w:spacing w:after="0" w:line="309" w:lineRule="auto"/>
        <w:rPr>
          <w:sz w:val="20"/>
          <w:szCs w:val="20"/>
          <w:color w:val="auto"/>
        </w:rPr>
      </w:pPr>
      <w:r>
        <w:rPr>
          <w:rFonts w:ascii="Arial" w:cs="Arial" w:eastAsia="Arial" w:hAnsi="Arial"/>
          <w:sz w:val="15"/>
          <w:szCs w:val="15"/>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 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adjusted gross assets for purposes of computing the Investment Adviser’s management fee. U.S. Treasury Bills with maturities greater than 60 days from the time of purchase are valued consistent with our valuation policy. As of March 31, 2013 and September 30, 2012, cash equivalents consisted of money market funds in the amounts of $2.7 million and $3.8 million, respectively.</w:t>
      </w:r>
    </w:p>
    <w:p>
      <w:pPr>
        <w:spacing w:after="0" w:line="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459" w:right="23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left="340" w:right="2780"/>
        <w:spacing w:after="0" w:line="255" w:lineRule="auto"/>
        <w:rPr>
          <w:sz w:val="20"/>
          <w:szCs w:val="20"/>
          <w:color w:val="auto"/>
        </w:rPr>
      </w:pPr>
      <w:r>
        <w:rPr>
          <w:rFonts w:ascii="Arial" w:cs="Arial" w:eastAsia="Arial" w:hAnsi="Arial"/>
          <w:sz w:val="18"/>
          <w:szCs w:val="18"/>
          <w:b w:val="1"/>
          <w:bCs w:val="1"/>
          <w:color w:val="auto"/>
        </w:rPr>
        <w:t>PENNANTPARK FLOATING RATE CAPITAL LTD. AND SUBSIDIARY NOTES TO CONSOLIDATED FINANCIAL STATEMENTS—(Continued) MARCH 31, 2013</w:t>
      </w:r>
    </w:p>
    <w:p>
      <w:pPr>
        <w:spacing w:after="0" w:line="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FINANCIAL HIGHLIGHTS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Below are the financial highlights: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4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Six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2013</w:t>
            </w:r>
          </w:p>
        </w:tc>
        <w:tc>
          <w:tcPr>
            <w:tcW w:w="44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asset value, beginning of period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13.98</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13.44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0.54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Net change in realized and unrealized gain</w:t>
            </w:r>
            <w:r>
              <w:rPr>
                <w:rFonts w:ascii="Arial" w:cs="Arial" w:eastAsia="Arial" w:hAnsi="Arial"/>
                <w:sz w:val="11"/>
                <w:szCs w:val="11"/>
                <w:color w:val="auto"/>
              </w:rPr>
              <w:t>(1)</w:t>
            </w:r>
          </w:p>
        </w:tc>
        <w:tc>
          <w:tcPr>
            <w:tcW w:w="80" w:type="dxa"/>
            <w:vAlign w:val="bottom"/>
          </w:tcPr>
          <w:p>
            <w:pPr>
              <w:spacing w:after="0"/>
              <w:rPr>
                <w:sz w:val="18"/>
                <w:szCs w:val="18"/>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0.18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0.69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resulting from operations</w:t>
            </w:r>
            <w:r>
              <w:rPr>
                <w:rFonts w:ascii="Arial" w:cs="Arial" w:eastAsia="Arial" w:hAnsi="Arial"/>
                <w:sz w:val="11"/>
                <w:szCs w:val="11"/>
                <w:color w:val="auto"/>
              </w:rPr>
              <w:t>(1)</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0.72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Dividends to stockholders</w:t>
            </w:r>
            <w:r>
              <w:rPr>
                <w:rFonts w:ascii="Arial" w:cs="Arial" w:eastAsia="Arial" w:hAnsi="Arial"/>
                <w:sz w:val="11"/>
                <w:szCs w:val="11"/>
                <w:color w:val="auto"/>
              </w:rPr>
              <w:t>(1),(2)</w:t>
            </w:r>
          </w:p>
        </w:tc>
        <w:tc>
          <w:tcPr>
            <w:tcW w:w="80" w:type="dxa"/>
            <w:vAlign w:val="bottom"/>
          </w:tcPr>
          <w:p>
            <w:pPr>
              <w:spacing w:after="0"/>
              <w:rPr>
                <w:sz w:val="18"/>
                <w:szCs w:val="18"/>
                <w:color w:val="auto"/>
              </w:rPr>
            </w:pPr>
          </w:p>
        </w:tc>
        <w:tc>
          <w:tcPr>
            <w:tcW w:w="1320" w:type="dxa"/>
            <w:vAlign w:val="bottom"/>
            <w:gridSpan w:val="2"/>
          </w:tcPr>
          <w:p>
            <w:pPr>
              <w:jc w:val="right"/>
              <w:ind w:right="380"/>
              <w:spacing w:after="0"/>
              <w:rPr>
                <w:sz w:val="20"/>
                <w:szCs w:val="20"/>
                <w:color w:val="auto"/>
              </w:rPr>
            </w:pPr>
            <w:r>
              <w:rPr>
                <w:rFonts w:ascii="Arial" w:cs="Arial" w:eastAsia="Arial" w:hAnsi="Arial"/>
                <w:sz w:val="18"/>
                <w:szCs w:val="18"/>
                <w:color w:val="auto"/>
              </w:rPr>
              <w:t>(0.50)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80"/>
              <w:spacing w:after="0"/>
              <w:rPr>
                <w:sz w:val="20"/>
                <w:szCs w:val="20"/>
                <w:color w:val="auto"/>
              </w:rPr>
            </w:pPr>
            <w:r>
              <w:rPr>
                <w:rFonts w:ascii="Arial" w:cs="Arial" w:eastAsia="Arial" w:hAnsi="Arial"/>
                <w:sz w:val="18"/>
                <w:szCs w:val="18"/>
                <w:color w:val="auto"/>
              </w:rPr>
              <w:t>(0.44)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Effect of common stock issuance and offering costs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(0.10)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Net asset value, end of period</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rPr>
              <w:t>14.10</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14.12</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13.96</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Total return*</w:t>
            </w:r>
            <w:r>
              <w:rPr>
                <w:rFonts w:ascii="Arial" w:cs="Arial" w:eastAsia="Arial" w:hAnsi="Arial"/>
                <w:sz w:val="11"/>
                <w:szCs w:val="11"/>
                <w:color w:val="auto"/>
              </w:rPr>
              <w:t>(3)</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78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14.34%</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9,851,151</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6,850,667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7780" w:type="dxa"/>
            <w:vAlign w:val="bottom"/>
            <w:gridSpan w:val="2"/>
          </w:tcPr>
          <w:p>
            <w:pPr>
              <w:spacing w:after="0"/>
              <w:rPr>
                <w:sz w:val="20"/>
                <w:szCs w:val="20"/>
                <w:color w:val="auto"/>
              </w:rPr>
            </w:pPr>
            <w:r>
              <w:rPr>
                <w:rFonts w:ascii="Arial" w:cs="Arial" w:eastAsia="Arial" w:hAnsi="Arial"/>
                <w:sz w:val="18"/>
                <w:szCs w:val="18"/>
                <w:b w:val="1"/>
                <w:bCs w:val="1"/>
                <w:color w:val="auto"/>
              </w:rPr>
              <w:t>Ratios / Supplemental Data: **</w:t>
            </w: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w:t>
            </w:r>
            <w:r>
              <w:rPr>
                <w:rFonts w:ascii="Arial" w:cs="Arial" w:eastAsia="Arial" w:hAnsi="Arial"/>
                <w:sz w:val="11"/>
                <w:szCs w:val="11"/>
                <w:color w:val="auto"/>
              </w:rPr>
              <w:t>(4)</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5.68%</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Ratio of Credit Facility related expenses to average net assets</w:t>
            </w:r>
            <w:r>
              <w:rPr>
                <w:rFonts w:ascii="Arial" w:cs="Arial" w:eastAsia="Arial" w:hAnsi="Arial"/>
                <w:sz w:val="11"/>
                <w:szCs w:val="11"/>
                <w:color w:val="auto"/>
              </w:rPr>
              <w:t>(5)</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2.37%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Ratio of net investment income to average net assets</w:t>
            </w:r>
          </w:p>
        </w:tc>
        <w:tc>
          <w:tcPr>
            <w:tcW w:w="8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7.27%</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85"/>
              </w:rPr>
              <w:t>138,879,485</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96,722,305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color w:val="auto"/>
              </w:rPr>
              <w:t>Average debt outstanding</w:t>
            </w: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780" w:type="dxa"/>
            <w:vAlign w:val="bottom"/>
            <w:gridSpan w:val="2"/>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73,503,159</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86"/>
              </w:rPr>
              <w:t>34,512,568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77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Average debt per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10.58</w:t>
            </w:r>
          </w:p>
        </w:tc>
        <w:tc>
          <w:tcPr>
            <w:tcW w:w="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Portfolio turnover ratio</w:t>
            </w:r>
          </w:p>
        </w:tc>
        <w:tc>
          <w:tcPr>
            <w:tcW w:w="8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85.12%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right="7680" w:firstLine="8"/>
        <w:spacing w:after="0" w:line="286" w:lineRule="auto"/>
        <w:tabs>
          <w:tab w:leader="none" w:pos="446" w:val="left"/>
        </w:tabs>
        <w:numPr>
          <w:ilvl w:val="0"/>
          <w:numId w:val="124"/>
        </w:numPr>
        <w:rPr>
          <w:rFonts w:ascii="Arial" w:cs="Arial" w:eastAsia="Arial" w:hAnsi="Arial"/>
          <w:sz w:val="16"/>
          <w:szCs w:val="16"/>
          <w:color w:val="auto"/>
        </w:rPr>
      </w:pPr>
      <w:r>
        <w:rPr>
          <w:rFonts w:ascii="Arial" w:cs="Arial" w:eastAsia="Arial" w:hAnsi="Arial"/>
          <w:sz w:val="16"/>
          <w:szCs w:val="16"/>
          <w:color w:val="auto"/>
        </w:rPr>
        <w:t>Not annualized for periods less than one year. ** Annualized for periods less than one year.</w:t>
      </w: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Per share data are calculated based on the weighted average shares outstanding for the respective periods.</w:t>
      </w:r>
    </w:p>
    <w:p>
      <w:pPr>
        <w:spacing w:after="0" w:line="9"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Dividends and distributions are determined based on taxable income calculated in accordance with income tax regulations, which may differ from amounts determined under GAAP.</w:t>
      </w:r>
    </w:p>
    <w:p>
      <w:pPr>
        <w:ind w:left="460" w:right="380" w:hanging="452"/>
        <w:spacing w:after="0" w:line="250"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Total return is based on the change in market price per share during the period and takes into account dividends and distributions, if any, reinvested in accordance with our dividend reinvestment plan.</w:t>
      </w: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Operating expenses exclude Credit Facility amendment costs.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Ratio does not annualize Credit Facility amendment costs.</w:t>
      </w: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CREDIT FACILITY</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On March 29, 2013, we amended Funding I’s Credit Facility with SunTrust Bank, or the Lender, to expand the size of its Credit Facility from $100 million to $125 million, subject to satisfaction of certain conditions and the regulatory restrictions that the 1940 Act imposes on us as a BDC, to reduce the interest rate spread above LIBOR from 225 to 200 basis points, to reduce the undrawn commitment fee and to extend the maturity date to May 2018 and the revolving period (as defined below) to May 2016. As of March 31, 2013 and September 30,</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340"/>
          </w:cols>
          <w:pgMar w:left="240" w:top="460" w:right="31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PENNANTPARK FLOATING RATE CAPITAL LTD. AND SUBSIDIARY</w:t>
      </w:r>
    </w:p>
    <w:p>
      <w:pPr>
        <w:spacing w:after="0" w:line="21"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2012, Funding I had $34.2 million and $75.5 million of outstanding borrowings under the Credit Facility, respectively, and carried an interest rate of 2.21%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2.47%, respectively, excluding the 0.375% undrawn commitment fee.</w:t>
      </w:r>
    </w:p>
    <w:p>
      <w:pPr>
        <w:spacing w:after="0" w:line="165"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the period to and including May 14, 2016, or the revolving period, the Credit Facility bears interest at LIBOR plus 200 basis points and, after the revolving period, the rate sets to LIBOR plus 425 basis points for the remaining two years, maturing in May 2018. The Credit Facility is secured by all of the assets of Funding I. Both PennantPark Floating Rate Capital Ltd. and Funding I have made customary representations and warranties and are required to comply with various covenants, reporting requirements and other customary requirements for similar credit facilities.</w:t>
      </w:r>
    </w:p>
    <w:p>
      <w:pPr>
        <w:spacing w:after="0" w:line="11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Credit Facility, as amended, contains covenants including but not limited to restrictions of loan size, industry requirements, average life of loans, geographic and individual portfolio concentrations, minimum portfolio yield and loan payment frequency. Additionally, the Credit Facility requires the maintenance of a minimum equity investment in Funding I and income ratio as well as restrictions on certain payments and issuance of debt. For instance, we must maintain at least $25 million in equity and must maintain an interest coverage ratio of at least 125%. The Credit Facility compliance reporting is prepared on a basis of accounting other than GAAP.</w:t>
      </w:r>
    </w:p>
    <w:p>
      <w:pPr>
        <w:spacing w:after="0" w:line="143" w:lineRule="exact"/>
        <w:rPr>
          <w:sz w:val="20"/>
          <w:szCs w:val="20"/>
          <w:color w:val="auto"/>
        </w:rPr>
      </w:pPr>
    </w:p>
    <w:p>
      <w:pPr>
        <w:jc w:val="both"/>
        <w:ind w:right="260" w:firstLine="456"/>
        <w:spacing w:after="0" w:line="259" w:lineRule="auto"/>
        <w:rPr>
          <w:sz w:val="20"/>
          <w:szCs w:val="20"/>
          <w:color w:val="auto"/>
        </w:rPr>
      </w:pPr>
      <w:r>
        <w:rPr>
          <w:rFonts w:ascii="Arial" w:cs="Arial" w:eastAsia="Arial" w:hAnsi="Arial"/>
          <w:sz w:val="18"/>
          <w:szCs w:val="18"/>
          <w:color w:val="auto"/>
        </w:rPr>
        <w:t>We own 100% of the equity interest in Funding I and treat the indebtedness of Funding I as our leverage. In accordance with the 1940 Act, with certain limited exceptions, we are only allowed to borrow amounts such that we are in compliance with our asset coverage ratio after such borrowing. Our Investment Adviser serves as collateral manager to Funding I under the Credit Facility.</w:t>
      </w:r>
    </w:p>
    <w:p>
      <w:pPr>
        <w:spacing w:after="0" w:line="14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Our interest in Funding I (other than the management fee) is subordinate in priority of payment to every other obligation of Funding I and is subject to certain payment restrictions set forth in the Credit Facility. We may receive cash distributions on our equity interests in Funding I only after it has made (1) all required cash interest and, if applicable, principal payments to the Lender, (2) required administrative expenses and (3) claims of other unsecured creditors of Funding I. The Investment Adviser has irrevocably directed that all management fee owing with respect to such services are to be paid to the Company so long as the Investment Adviser remains the collateral manager.</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From time to time, we, the Investment Adviser or the Administrator may be a party to legal proceedings in the ordinary course of business,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investments described in the Consolidated Statement of Assets and Liabilities represent unfunded delayed draws on investments, if 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SUBSEQUENT EVENTS</w:t>
      </w:r>
    </w:p>
    <w:p>
      <w:pPr>
        <w:spacing w:after="0" w:line="9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8, 2013, we sold an additional 450,000 shares of common stock pursuant to the exercise of the underwriters’ overallotment option at a public offering price of $14.00 per share, generating gross proceeds of $6.3 million. Our Investment Adviser paid the entire sales load of $0.2 million in connection with the sale of these shares.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00"/>
          </w:cols>
          <w:pgMar w:left="240" w:top="460" w:right="259" w:bottom="1440" w:gutter="0" w:footer="0" w:header="0"/>
        </w:sectPr>
      </w:pPr>
    </w:p>
    <w:bookmarkStart w:id="218" w:name="page219"/>
    <w:bookmarkEnd w:id="21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288925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546100</wp:posOffset>
            </wp:positionV>
            <wp:extent cx="2461260" cy="53149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2461260" cy="53149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4580"/>
        <w:spacing w:after="0"/>
        <w:rPr>
          <w:sz w:val="20"/>
          <w:szCs w:val="20"/>
          <w:color w:val="auto"/>
        </w:rPr>
      </w:pPr>
      <w:r>
        <w:rPr>
          <w:rFonts w:ascii="Arial" w:cs="Arial" w:eastAsia="Arial" w:hAnsi="Arial"/>
          <w:sz w:val="32"/>
          <w:szCs w:val="32"/>
          <w:b w:val="1"/>
          <w:bCs w:val="1"/>
          <w:color w:val="auto"/>
        </w:rPr>
        <w:t>4,400,000 shares</w:t>
      </w:r>
    </w:p>
    <w:p>
      <w:pPr>
        <w:spacing w:after="0" w:line="335"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654050</wp:posOffset>
            </wp:positionV>
            <wp:extent cx="40563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191135</wp:posOffset>
            </wp:positionV>
            <wp:extent cx="405638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0563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Joint Bookrunners</w:t>
      </w:r>
    </w:p>
    <w:p>
      <w:pPr>
        <w:spacing w:after="0" w:line="70" w:lineRule="exact"/>
        <w:rPr>
          <w:sz w:val="20"/>
          <w:szCs w:val="20"/>
          <w:color w:val="auto"/>
        </w:rPr>
      </w:pPr>
    </w:p>
    <w:p>
      <w:pPr>
        <w:ind w:left="4880"/>
        <w:spacing w:after="0"/>
        <w:rPr>
          <w:sz w:val="20"/>
          <w:szCs w:val="20"/>
          <w:color w:val="auto"/>
        </w:rPr>
      </w:pPr>
      <w:r>
        <w:rPr>
          <w:rFonts w:ascii="Arial" w:cs="Arial" w:eastAsia="Arial" w:hAnsi="Arial"/>
          <w:sz w:val="24"/>
          <w:szCs w:val="24"/>
          <w:b w:val="1"/>
          <w:bCs w:val="1"/>
          <w:color w:val="auto"/>
        </w:rPr>
        <w:t>Morgan Stanley</w:t>
      </w:r>
    </w:p>
    <w:p>
      <w:pPr>
        <w:spacing w:after="0" w:line="89" w:lineRule="exact"/>
        <w:rPr>
          <w:sz w:val="20"/>
          <w:szCs w:val="20"/>
          <w:color w:val="auto"/>
        </w:rPr>
      </w:pPr>
    </w:p>
    <w:p>
      <w:pPr>
        <w:ind w:left="5080"/>
        <w:spacing w:after="0"/>
        <w:rPr>
          <w:sz w:val="20"/>
          <w:szCs w:val="20"/>
          <w:color w:val="auto"/>
        </w:rPr>
      </w:pPr>
      <w:r>
        <w:rPr>
          <w:rFonts w:ascii="Arial" w:cs="Arial" w:eastAsia="Arial" w:hAnsi="Arial"/>
          <w:sz w:val="24"/>
          <w:szCs w:val="24"/>
          <w:b w:val="1"/>
          <w:bCs w:val="1"/>
          <w:color w:val="auto"/>
        </w:rPr>
        <w:t>J.P. Morgan</w:t>
      </w:r>
    </w:p>
    <w:p>
      <w:pPr>
        <w:spacing w:after="0" w:line="89" w:lineRule="exact"/>
        <w:rPr>
          <w:sz w:val="20"/>
          <w:szCs w:val="20"/>
          <w:color w:val="auto"/>
        </w:rPr>
      </w:pPr>
    </w:p>
    <w:p>
      <w:pPr>
        <w:ind w:left="4460"/>
        <w:spacing w:after="0"/>
        <w:rPr>
          <w:sz w:val="20"/>
          <w:szCs w:val="20"/>
          <w:color w:val="auto"/>
        </w:rPr>
      </w:pPr>
      <w:r>
        <w:rPr>
          <w:rFonts w:ascii="Arial" w:cs="Arial" w:eastAsia="Arial" w:hAnsi="Arial"/>
          <w:sz w:val="24"/>
          <w:szCs w:val="24"/>
          <w:b w:val="1"/>
          <w:bCs w:val="1"/>
          <w:color w:val="auto"/>
        </w:rPr>
        <w:t>Keefe, Bruyette &amp; Woods</w:t>
      </w:r>
    </w:p>
    <w:p>
      <w:pPr>
        <w:spacing w:after="0" w:line="37" w:lineRule="exact"/>
        <w:rPr>
          <w:sz w:val="20"/>
          <w:szCs w:val="20"/>
          <w:color w:val="auto"/>
        </w:rPr>
      </w:pPr>
    </w:p>
    <w:p>
      <w:pPr>
        <w:jc w:val="right"/>
        <w:ind w:right="2559"/>
        <w:spacing w:after="0"/>
        <w:rPr>
          <w:sz w:val="20"/>
          <w:szCs w:val="20"/>
          <w:color w:val="auto"/>
        </w:rPr>
      </w:pPr>
      <w:r>
        <w:rPr>
          <w:rFonts w:ascii="Arial" w:cs="Arial" w:eastAsia="Arial" w:hAnsi="Arial"/>
          <w:sz w:val="14"/>
          <w:szCs w:val="14"/>
          <w:i w:val="1"/>
          <w:iCs w:val="1"/>
          <w:color w:val="auto"/>
        </w:rPr>
        <w:t>A Stifel Company</w:t>
      </w:r>
    </w:p>
    <w:p>
      <w:pPr>
        <w:spacing w:after="0" w:line="127"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Lead-Managers</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Janney Montgomery Scott</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JMP Securities</w:t>
      </w:r>
    </w:p>
    <w:p>
      <w:pPr>
        <w:spacing w:after="0" w:line="144"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Co-Managers</w:t>
      </w:r>
    </w:p>
    <w:p>
      <w:pPr>
        <w:spacing w:after="0" w:line="71" w:lineRule="exact"/>
        <w:rPr>
          <w:sz w:val="20"/>
          <w:szCs w:val="20"/>
          <w:color w:val="auto"/>
        </w:rPr>
      </w:pPr>
    </w:p>
    <w:p>
      <w:pPr>
        <w:jc w:val="center"/>
        <w:ind w:right="-1200"/>
        <w:spacing w:after="0"/>
        <w:rPr>
          <w:sz w:val="20"/>
          <w:szCs w:val="20"/>
          <w:color w:val="auto"/>
        </w:rPr>
      </w:pPr>
      <w:r>
        <w:rPr>
          <w:rFonts w:ascii="Arial" w:cs="Arial" w:eastAsia="Arial" w:hAnsi="Arial"/>
          <w:sz w:val="19"/>
          <w:szCs w:val="19"/>
          <w:b w:val="1"/>
          <w:bCs w:val="1"/>
          <w:color w:val="auto"/>
        </w:rPr>
        <w:t>Ladenburg Thalmann &amp; Co. Inc.</w:t>
      </w:r>
    </w:p>
    <w:p>
      <w:pPr>
        <w:spacing w:after="0" w:line="10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Maxim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July 16,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246380</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260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sectPr>
      <w:pgSz w:w="11900" w:h="16838" w:orient="portrait"/>
      <w:cols w:equalWidth="0" w:num="1">
        <w:col w:w="10219"/>
      </w:cols>
      <w:pgMar w:left="240" w:top="459"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AE35EB"/>
    <w:multiLevelType w:val="hybridMultilevel"/>
    <w:lvl w:ilvl="0">
      <w:lvlJc w:val="left"/>
      <w:lvlText w:val="(%1)"/>
      <w:numFmt w:val="decimal"/>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1"/>
      <w:numFmt w:val="lowerLetter"/>
      <w:start w:val="1"/>
    </w:lvl>
    <w:lvl w:ilvl="1">
      <w:lvlJc w:val="left"/>
      <w:lvlText w:val="•"/>
      <w:numFmt w:val="bullet"/>
      <w:start w:val="1"/>
    </w:lvl>
  </w:abstractNum>
  <w:abstractNum w:abstractNumId="4">
    <w:nsid w:val="2F305DEF"/>
    <w:multiLevelType w:val="hybridMultilevel"/>
    <w:lvl w:ilvl="0">
      <w:lvlJc w:val="left"/>
      <w:lvlText w:val="(%1)"/>
      <w:numFmt w:val="decimal"/>
      <w:start w:val="1"/>
    </w:lvl>
  </w:abstractNum>
  <w:abstractNum w:abstractNumId="5">
    <w:nsid w:val="25A70BF7"/>
    <w:multiLevelType w:val="hybridMultilevel"/>
    <w:lvl w:ilvl="0">
      <w:lvlJc w:val="left"/>
      <w:lvlText w:val="(%1)"/>
      <w:numFmt w:val="decimal"/>
      <w:start w:val="6"/>
    </w:lvl>
  </w:abstractNum>
  <w:abstractNum w:abstractNumId="6">
    <w:nsid w:val="1DBABF00"/>
    <w:multiLevelType w:val="hybridMultilevel"/>
    <w:lvl w:ilvl="0">
      <w:lvlJc w:val="left"/>
      <w:lvlText w:val="(%1)"/>
      <w:numFmt w:val="decimal"/>
      <w:start w:val="2"/>
    </w:lvl>
  </w:abstractNum>
  <w:abstractNum w:abstractNumId="7">
    <w:nsid w:val="4AD084E9"/>
    <w:multiLevelType w:val="hybridMultilevel"/>
    <w:lvl w:ilvl="0">
      <w:lvlJc w:val="left"/>
      <w:lvlText w:val="(%1)"/>
      <w:numFmt w:val="decimal"/>
      <w:start w:val="1"/>
    </w:lvl>
  </w:abstractNum>
  <w:abstractNum w:abstractNumId="8">
    <w:nsid w:val="1F48EAA1"/>
    <w:multiLevelType w:val="hybridMultilevel"/>
    <w:lvl w:ilvl="0">
      <w:lvlJc w:val="left"/>
      <w:lvlText w:val="•"/>
      <w:numFmt w:val="bullet"/>
      <w:start w:val="1"/>
    </w:lvl>
  </w:abstractNum>
  <w:abstractNum w:abstractNumId="9">
    <w:nsid w:val="1381823A"/>
    <w:multiLevelType w:val="hybridMultilevel"/>
    <w:lvl w:ilvl="0">
      <w:lvlJc w:val="left"/>
      <w:lvlText w:val="(%1)"/>
      <w:numFmt w:val="decimal"/>
      <w:start w:val="1"/>
    </w:lvl>
  </w:abstractNum>
  <w:abstractNum w:abstractNumId="10">
    <w:nsid w:val="5DB70AE5"/>
    <w:multiLevelType w:val="hybridMultilevel"/>
    <w:lvl w:ilvl="0">
      <w:lvlJc w:val="left"/>
      <w:lvlText w:val="(%1)"/>
      <w:numFmt w:val="decimal"/>
      <w:start w:val="1"/>
    </w:lvl>
  </w:abstractNum>
  <w:abstractNum w:abstractNumId="11">
    <w:nsid w:val="100F8FCA"/>
    <w:multiLevelType w:val="hybridMultilevel"/>
    <w:lvl w:ilvl="0">
      <w:lvlJc w:val="left"/>
      <w:lvlText w:val="*"/>
      <w:numFmt w:val="bullet"/>
      <w:start w:val="1"/>
    </w:lvl>
  </w:abstractNum>
  <w:abstractNum w:abstractNumId="12">
    <w:nsid w:val="6590700B"/>
    <w:multiLevelType w:val="hybridMultilevel"/>
    <w:lvl w:ilvl="0">
      <w:lvlJc w:val="left"/>
      <w:lvlText w:val="(%1)"/>
      <w:numFmt w:val="decimal"/>
      <w:start w:val="1"/>
    </w:lvl>
  </w:abstractNum>
  <w:abstractNum w:abstractNumId="13">
    <w:nsid w:val="15014ACB"/>
    <w:multiLevelType w:val="hybridMultilevel"/>
    <w:lvl w:ilvl="0">
      <w:lvlJc w:val="left"/>
      <w:lvlText w:val="(%1)"/>
      <w:numFmt w:val="decimal"/>
      <w:start w:val="1"/>
    </w:lvl>
  </w:abstractNum>
  <w:abstractNum w:abstractNumId="14">
    <w:nsid w:val="5F5E7FD0"/>
    <w:multiLevelType w:val="hybridMultilevel"/>
    <w:lvl w:ilvl="0">
      <w:lvlJc w:val="left"/>
      <w:lvlText w:val="•"/>
      <w:numFmt w:val="bullet"/>
      <w:start w:val="1"/>
    </w:lvl>
  </w:abstractNum>
  <w:abstractNum w:abstractNumId="15">
    <w:nsid w:val="98A3148"/>
    <w:multiLevelType w:val="hybridMultilevel"/>
    <w:lvl w:ilvl="0">
      <w:lvlJc w:val="left"/>
      <w:lvlText w:val="•"/>
      <w:numFmt w:val="bullet"/>
      <w:start w:val="1"/>
    </w:lvl>
  </w:abstractNum>
  <w:abstractNum w:abstractNumId="16">
    <w:nsid w:val="799D0247"/>
    <w:multiLevelType w:val="hybridMultilevel"/>
    <w:lvl w:ilvl="0">
      <w:lvlJc w:val="left"/>
      <w:lvlText w:val="(%1)"/>
      <w:numFmt w:val="lowerLetter"/>
      <w:start w:val="1"/>
    </w:lvl>
  </w:abstractNum>
  <w:abstractNum w:abstractNumId="17">
    <w:nsid w:val="6B94764"/>
    <w:multiLevelType w:val="hybridMultilevel"/>
    <w:lvl w:ilvl="0">
      <w:lvlJc w:val="left"/>
      <w:lvlText w:val="(%1)"/>
      <w:numFmt w:val="decimal"/>
      <w:start w:val="1"/>
    </w:lvl>
  </w:abstractNum>
  <w:abstractNum w:abstractNumId="18">
    <w:nsid w:val="42C296BD"/>
    <w:multiLevelType w:val="hybridMultilevel"/>
    <w:lvl w:ilvl="0">
      <w:lvlJc w:val="left"/>
      <w:lvlText w:val="(%1)"/>
      <w:numFmt w:val="decimal"/>
      <w:start w:val="1"/>
    </w:lvl>
  </w:abstractNum>
  <w:abstractNum w:abstractNumId="19">
    <w:nsid w:val="168E121F"/>
    <w:multiLevelType w:val="hybridMultilevel"/>
    <w:lvl w:ilvl="0">
      <w:lvlJc w:val="left"/>
      <w:lvlText w:val="(%1)"/>
      <w:numFmt w:val="decimal"/>
      <w:start w:val="7"/>
    </w:lvl>
  </w:abstractNum>
  <w:abstractNum w:abstractNumId="20">
    <w:nsid w:val="1EBA5D23"/>
    <w:multiLevelType w:val="hybridMultilevel"/>
    <w:lvl w:ilvl="0">
      <w:lvlJc w:val="left"/>
      <w:lvlText w:val="(%1)"/>
      <w:numFmt w:val="decimal"/>
      <w:start w:val="1"/>
    </w:lvl>
  </w:abstractNum>
  <w:abstractNum w:abstractNumId="21">
    <w:nsid w:val="661E3F1E"/>
    <w:multiLevelType w:val="hybridMultilevel"/>
    <w:lvl w:ilvl="0">
      <w:lvlJc w:val="left"/>
      <w:lvlText w:val="•"/>
      <w:numFmt w:val="bullet"/>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1)"/>
      <w:numFmt w:val="decimal"/>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
      <w:numFmt w:val="bullet"/>
      <w:start w:val="1"/>
    </w:lvl>
  </w:abstractNum>
  <w:abstractNum w:abstractNumId="31">
    <w:nsid w:val="8F2B15E"/>
    <w:multiLevelType w:val="hybridMultilevel"/>
    <w:lvl w:ilvl="0">
      <w:lvlJc w:val="left"/>
      <w:lvlText w:val="(%1)"/>
      <w:numFmt w:val="decimal"/>
      <w:start w:val="1"/>
    </w:lvl>
  </w:abstractNum>
  <w:abstractNum w:abstractNumId="32">
    <w:nsid w:val="1A32234B"/>
    <w:multiLevelType w:val="hybridMultilevel"/>
    <w:lvl w:ilvl="0">
      <w:lvlJc w:val="left"/>
      <w:lvlText w:val="(%1)"/>
      <w:numFmt w:val="decimal"/>
      <w:start w:val="2"/>
    </w:lvl>
  </w:abstractNum>
  <w:abstractNum w:abstractNumId="33">
    <w:nsid w:val="3B0FD379"/>
    <w:multiLevelType w:val="hybridMultilevel"/>
    <w:lvl w:ilvl="0">
      <w:lvlJc w:val="left"/>
      <w:lvlText w:val="*"/>
      <w:numFmt w:val="bullet"/>
      <w:start w:val="1"/>
    </w:lvl>
  </w:abstractNum>
  <w:abstractNum w:abstractNumId="34">
    <w:nsid w:val="68EB2F63"/>
    <w:multiLevelType w:val="hybridMultilevel"/>
    <w:lvl w:ilvl="0">
      <w:lvlJc w:val="left"/>
      <w:lvlText w:val="•"/>
      <w:numFmt w:val="bullet"/>
      <w:start w:val="1"/>
    </w:lvl>
  </w:abstractNum>
  <w:abstractNum w:abstractNumId="35">
    <w:nsid w:val="4962813B"/>
    <w:multiLevelType w:val="hybridMultilevel"/>
    <w:lvl w:ilvl="0">
      <w:lvlJc w:val="left"/>
      <w:lvlText w:val="•"/>
      <w:numFmt w:val="bullet"/>
      <w:start w:val="1"/>
    </w:lvl>
  </w:abstractNum>
  <w:abstractNum w:abstractNumId="36">
    <w:nsid w:val="60B6DF70"/>
    <w:multiLevelType w:val="hybridMultilevel"/>
    <w:lvl w:ilvl="0">
      <w:lvlJc w:val="left"/>
      <w:lvlText w:val="(%1)"/>
      <w:numFmt w:val="decimal"/>
      <w:start w:val="1"/>
    </w:lvl>
  </w:abstractNum>
  <w:abstractNum w:abstractNumId="37">
    <w:nsid w:val="6A5EE64"/>
    <w:multiLevelType w:val="hybridMultilevel"/>
    <w:lvl w:ilvl="0">
      <w:lvlJc w:val="left"/>
      <w:lvlText w:val="(%1)"/>
      <w:numFmt w:val="decimal"/>
      <w:start w:val="4"/>
    </w:lvl>
  </w:abstractNum>
  <w:abstractNum w:abstractNumId="38">
    <w:nsid w:val="14330624"/>
    <w:multiLevelType w:val="hybridMultilevel"/>
    <w:lvl w:ilvl="0">
      <w:lvlJc w:val="left"/>
      <w:lvlText w:val="(%1)"/>
      <w:numFmt w:val="decimal"/>
      <w:start w:val="1"/>
    </w:lvl>
  </w:abstractNum>
  <w:abstractNum w:abstractNumId="39">
    <w:nsid w:val="7FFFCA11"/>
    <w:multiLevelType w:val="hybridMultilevel"/>
    <w:lvl w:ilvl="0">
      <w:lvlJc w:val="left"/>
      <w:lvlText w:val="(%1)"/>
      <w:numFmt w:val="decimal"/>
      <w:start w:val="1"/>
    </w:lvl>
  </w:abstractNum>
  <w:abstractNum w:abstractNumId="40">
    <w:nsid w:val="1A27709E"/>
    <w:multiLevelType w:val="hybridMultilevel"/>
    <w:lvl w:ilvl="0">
      <w:lvlJc w:val="left"/>
      <w:lvlText w:val="(%1)"/>
      <w:numFmt w:val="decimal"/>
      <w:start w:val="1"/>
    </w:lvl>
  </w:abstractNum>
  <w:abstractNum w:abstractNumId="41">
    <w:nsid w:val="71EA1109"/>
    <w:multiLevelType w:val="hybridMultilevel"/>
    <w:lvl w:ilvl="0">
      <w:lvlJc w:val="left"/>
      <w:lvlText w:val="*"/>
      <w:numFmt w:val="bullet"/>
      <w:start w:val="1"/>
    </w:lvl>
  </w:abstractNum>
  <w:abstractNum w:abstractNumId="42">
    <w:nsid w:val="100F59DC"/>
    <w:multiLevelType w:val="hybridMultilevel"/>
    <w:lvl w:ilvl="0">
      <w:lvlJc w:val="left"/>
      <w:lvlText w:val="•"/>
      <w:numFmt w:val="bullet"/>
      <w:start w:val="1"/>
    </w:lvl>
  </w:abstractNum>
  <w:abstractNum w:abstractNumId="43">
    <w:nsid w:val="7FB7E0AA"/>
    <w:multiLevelType w:val="hybridMultilevel"/>
    <w:lvl w:ilvl="0">
      <w:lvlJc w:val="left"/>
      <w:lvlText w:val="•"/>
      <w:numFmt w:val="bullet"/>
      <w:start w:val="1"/>
    </w:lvl>
  </w:abstractNum>
  <w:abstractNum w:abstractNumId="44">
    <w:nsid w:val="6EB5BD4"/>
    <w:multiLevelType w:val="hybridMultilevel"/>
    <w:lvl w:ilvl="0">
      <w:lvlJc w:val="left"/>
      <w:lvlText w:val="•"/>
      <w:numFmt w:val="bullet"/>
      <w:start w:val="1"/>
    </w:lvl>
  </w:abstractNum>
  <w:abstractNum w:abstractNumId="45">
    <w:nsid w:val="6F6DD9AC"/>
    <w:multiLevelType w:val="hybridMultilevel"/>
    <w:lvl w:ilvl="0">
      <w:lvlJc w:val="left"/>
      <w:lvlText w:val="(%1)"/>
      <w:numFmt w:val="decimal"/>
      <w:start w:val="1"/>
    </w:lvl>
  </w:abstractNum>
  <w:abstractNum w:abstractNumId="46">
    <w:nsid w:val="94211F2"/>
    <w:multiLevelType w:val="hybridMultilevel"/>
    <w:lvl w:ilvl="0">
      <w:lvlJc w:val="left"/>
      <w:lvlText w:val="•"/>
      <w:numFmt w:val="bullet"/>
      <w:start w:val="1"/>
    </w:lvl>
  </w:abstractNum>
  <w:abstractNum w:abstractNumId="47">
    <w:nsid w:val="885E1B"/>
    <w:multiLevelType w:val="hybridMultilevel"/>
    <w:lvl w:ilvl="0">
      <w:lvlJc w:val="left"/>
      <w:lvlText w:val="%1)"/>
      <w:numFmt w:val="lowerLetter"/>
      <w:start w:val="2"/>
    </w:lvl>
    <w:lvl w:ilvl="1">
      <w:lvlJc w:val="left"/>
      <w:lvlText w:val="•"/>
      <w:numFmt w:val="bullet"/>
      <w:start w:val="1"/>
    </w:lvl>
  </w:abstractNum>
  <w:abstractNum w:abstractNumId="48">
    <w:nsid w:val="76272110"/>
    <w:multiLevelType w:val="hybridMultilevel"/>
    <w:lvl w:ilvl="0">
      <w:lvlJc w:val="left"/>
      <w:lvlText w:val="•"/>
      <w:numFmt w:val="bullet"/>
      <w:start w:val="1"/>
    </w:lvl>
  </w:abstractNum>
  <w:abstractNum w:abstractNumId="49">
    <w:nsid w:val="4C04A8AF"/>
    <w:multiLevelType w:val="hybridMultilevel"/>
    <w:lvl w:ilvl="0">
      <w:lvlJc w:val="left"/>
      <w:lvlText w:val="•"/>
      <w:numFmt w:val="bullet"/>
      <w:start w:val="1"/>
    </w:lvl>
  </w:abstractNum>
  <w:abstractNum w:abstractNumId="50">
    <w:nsid w:val="1716703B"/>
    <w:multiLevelType w:val="hybridMultilevel"/>
    <w:lvl w:ilvl="0">
      <w:lvlJc w:val="left"/>
      <w:lvlText w:val="•"/>
      <w:numFmt w:val="bullet"/>
      <w:start w:val="1"/>
    </w:lvl>
  </w:abstractNum>
  <w:abstractNum w:abstractNumId="51">
    <w:nsid w:val="14E17E33"/>
    <w:multiLevelType w:val="hybridMultilevel"/>
    <w:lvl w:ilvl="0">
      <w:lvlJc w:val="left"/>
      <w:lvlText w:val="•"/>
      <w:numFmt w:val="bullet"/>
      <w:start w:val="1"/>
    </w:lvl>
  </w:abstractNum>
  <w:abstractNum w:abstractNumId="52">
    <w:nsid w:val="3222E7CD"/>
    <w:multiLevelType w:val="hybridMultilevel"/>
    <w:lvl w:ilvl="0">
      <w:lvlJc w:val="left"/>
      <w:lvlText w:val="•"/>
      <w:numFmt w:val="bullet"/>
      <w:start w:val="1"/>
    </w:lvl>
  </w:abstractNum>
  <w:abstractNum w:abstractNumId="53">
    <w:nsid w:val="74DE0EE3"/>
    <w:multiLevelType w:val="hybridMultilevel"/>
    <w:lvl w:ilvl="0">
      <w:lvlJc w:val="left"/>
      <w:lvlText w:val="(%1)"/>
      <w:numFmt w:val="decimal"/>
      <w:start w:val="1"/>
    </w:lvl>
  </w:abstractNum>
  <w:abstractNum w:abstractNumId="54">
    <w:nsid w:val="68EBC550"/>
    <w:multiLevelType w:val="hybridMultilevel"/>
    <w:lvl w:ilvl="0">
      <w:lvlJc w:val="left"/>
      <w:lvlText w:val="(%1)"/>
      <w:numFmt w:val="decimal"/>
      <w:start w:val="1"/>
    </w:lvl>
  </w:abstractNum>
  <w:abstractNum w:abstractNumId="55">
    <w:nsid w:val="2DF6D648"/>
    <w:multiLevelType w:val="hybridMultilevel"/>
    <w:lvl w:ilvl="0">
      <w:lvlJc w:val="left"/>
      <w:lvlText w:val="(%1)"/>
      <w:numFmt w:val="decimal"/>
      <w:start w:val="1"/>
    </w:lvl>
  </w:abstractNum>
  <w:abstractNum w:abstractNumId="56">
    <w:nsid w:val="46B7D447"/>
    <w:multiLevelType w:val="hybridMultilevel"/>
    <w:lvl w:ilvl="0">
      <w:lvlJc w:val="left"/>
      <w:lvlText w:val="(%1)"/>
      <w:numFmt w:val="decimal"/>
      <w:start w:val="1"/>
    </w:lvl>
  </w:abstractNum>
  <w:abstractNum w:abstractNumId="57">
    <w:nsid w:val="4A2AC315"/>
    <w:multiLevelType w:val="hybridMultilevel"/>
    <w:lvl w:ilvl="0">
      <w:lvlJc w:val="left"/>
      <w:lvlText w:val="*"/>
      <w:numFmt w:val="bullet"/>
      <w:start w:val="1"/>
    </w:lvl>
  </w:abstractNum>
  <w:abstractNum w:abstractNumId="58">
    <w:nsid w:val="39EE015C"/>
    <w:multiLevelType w:val="hybridMultilevel"/>
    <w:lvl w:ilvl="0">
      <w:lvlJc w:val="left"/>
      <w:lvlText w:val="(%1)"/>
      <w:numFmt w:val="decimal"/>
      <w:start w:val="1"/>
    </w:lvl>
  </w:abstractNum>
  <w:abstractNum w:abstractNumId="59">
    <w:nsid w:val="57FC4FBB"/>
    <w:multiLevelType w:val="hybridMultilevel"/>
    <w:lvl w:ilvl="0">
      <w:lvlJc w:val="left"/>
      <w:lvlText w:val="•"/>
      <w:numFmt w:val="bullet"/>
      <w:start w:val="1"/>
    </w:lvl>
  </w:abstractNum>
  <w:abstractNum w:abstractNumId="60">
    <w:nsid w:val="CC1016F"/>
    <w:multiLevelType w:val="hybridMultilevel"/>
    <w:lvl w:ilvl="0">
      <w:lvlJc w:val="left"/>
      <w:lvlText w:val="(%1)"/>
      <w:numFmt w:val="decimal"/>
      <w:start w:val="2"/>
    </w:lvl>
  </w:abstractNum>
  <w:abstractNum w:abstractNumId="61">
    <w:nsid w:val="43F18422"/>
    <w:multiLevelType w:val="hybridMultilevel"/>
    <w:lvl w:ilvl="0">
      <w:lvlJc w:val="left"/>
      <w:lvlText w:val="="/>
      <w:numFmt w:val="bullet"/>
      <w:start w:val="1"/>
    </w:lvl>
  </w:abstractNum>
  <w:abstractNum w:abstractNumId="62">
    <w:nsid w:val="60EF0119"/>
    <w:multiLevelType w:val="hybridMultilevel"/>
    <w:lvl w:ilvl="0">
      <w:lvlJc w:val="left"/>
      <w:lvlText w:val="*"/>
      <w:numFmt w:val="bullet"/>
      <w:start w:val="1"/>
    </w:lvl>
  </w:abstractNum>
  <w:abstractNum w:abstractNumId="63">
    <w:nsid w:val="26F324BA"/>
    <w:multiLevelType w:val="hybridMultilevel"/>
    <w:lvl w:ilvl="0">
      <w:lvlJc w:val="left"/>
      <w:lvlText w:val="(%1)"/>
      <w:numFmt w:val="decimal"/>
      <w:start w:val="1"/>
    </w:lvl>
  </w:abstractNum>
  <w:abstractNum w:abstractNumId="64">
    <w:nsid w:val="7F01579B"/>
    <w:multiLevelType w:val="hybridMultilevel"/>
    <w:lvl w:ilvl="0">
      <w:lvlJc w:val="left"/>
      <w:lvlText w:val="(%1)"/>
      <w:numFmt w:val="decimal"/>
      <w:start w:val="1"/>
    </w:lvl>
  </w:abstractNum>
  <w:abstractNum w:abstractNumId="65">
    <w:nsid w:val="49DA307D"/>
    <w:multiLevelType w:val="hybridMultilevel"/>
    <w:lvl w:ilvl="0">
      <w:lvlJc w:val="left"/>
      <w:lvlText w:val="(%1)"/>
      <w:numFmt w:val="decimal"/>
      <w:start w:val="1"/>
    </w:lvl>
  </w:abstractNum>
  <w:abstractNum w:abstractNumId="66">
    <w:nsid w:val="7055A5F5"/>
    <w:multiLevelType w:val="hybridMultilevel"/>
    <w:lvl w:ilvl="0">
      <w:lvlJc w:val="left"/>
      <w:lvlText w:val="•"/>
      <w:numFmt w:val="bullet"/>
      <w:start w:val="1"/>
    </w:lvl>
  </w:abstractNum>
  <w:abstractNum w:abstractNumId="67">
    <w:nsid w:val="5FB8370B"/>
    <w:multiLevelType w:val="hybridMultilevel"/>
    <w:lvl w:ilvl="0">
      <w:lvlJc w:val="left"/>
      <w:lvlText w:val="•"/>
      <w:numFmt w:val="bullet"/>
      <w:start w:val="1"/>
    </w:lvl>
  </w:abstractNum>
  <w:abstractNum w:abstractNumId="68">
    <w:nsid w:val="50801EE1"/>
    <w:multiLevelType w:val="hybridMultilevel"/>
    <w:lvl w:ilvl="0">
      <w:lvlJc w:val="left"/>
      <w:lvlText w:val="•"/>
      <w:numFmt w:val="bullet"/>
      <w:start w:val="1"/>
    </w:lvl>
  </w:abstractNum>
  <w:abstractNum w:abstractNumId="69">
    <w:nsid w:val="488AC1A"/>
    <w:multiLevelType w:val="hybridMultilevel"/>
    <w:lvl w:ilvl="0">
      <w:lvlJc w:val="left"/>
      <w:lvlText w:val="•"/>
      <w:numFmt w:val="bullet"/>
      <w:start w:val="1"/>
    </w:lvl>
  </w:abstractNum>
  <w:abstractNum w:abstractNumId="70">
    <w:nsid w:val="5FB8011C"/>
    <w:multiLevelType w:val="hybridMultilevel"/>
    <w:lvl w:ilvl="0">
      <w:lvlJc w:val="left"/>
      <w:lvlText w:val="•"/>
      <w:numFmt w:val="bullet"/>
      <w:start w:val="1"/>
    </w:lvl>
  </w:abstractNum>
  <w:abstractNum w:abstractNumId="71">
    <w:nsid w:val="6AA78F7F"/>
    <w:multiLevelType w:val="hybridMultilevel"/>
    <w:lvl w:ilvl="0">
      <w:lvlJc w:val="left"/>
      <w:lvlText w:val="•"/>
      <w:numFmt w:val="bullet"/>
      <w:start w:val="1"/>
    </w:lvl>
  </w:abstractNum>
  <w:abstractNum w:abstractNumId="72">
    <w:nsid w:val="7672BD23"/>
    <w:multiLevelType w:val="hybridMultilevel"/>
    <w:lvl w:ilvl="0">
      <w:lvlJc w:val="left"/>
      <w:lvlText w:val="•"/>
      <w:numFmt w:val="bullet"/>
      <w:start w:val="1"/>
    </w:lvl>
  </w:abstractNum>
  <w:abstractNum w:abstractNumId="73">
    <w:nsid w:val="6FC75AF8"/>
    <w:multiLevelType w:val="hybridMultilevel"/>
    <w:lvl w:ilvl="0">
      <w:lvlJc w:val="left"/>
      <w:lvlText w:val="•"/>
      <w:numFmt w:val="bullet"/>
      <w:start w:val="1"/>
    </w:lvl>
  </w:abstractNum>
  <w:abstractNum w:abstractNumId="74">
    <w:nsid w:val="6A5F7029"/>
    <w:multiLevelType w:val="hybridMultilevel"/>
    <w:lvl w:ilvl="0">
      <w:lvlJc w:val="left"/>
      <w:lvlText w:val="•"/>
      <w:numFmt w:val="bullet"/>
      <w:start w:val="1"/>
    </w:lvl>
  </w:abstractNum>
  <w:abstractNum w:abstractNumId="75">
    <w:nsid w:val="7D5E18F8"/>
    <w:multiLevelType w:val="hybridMultilevel"/>
    <w:lvl w:ilvl="0">
      <w:lvlJc w:val="left"/>
      <w:lvlText w:val="•"/>
      <w:numFmt w:val="bullet"/>
      <w:start w:val="1"/>
    </w:lvl>
  </w:abstractNum>
  <w:abstractNum w:abstractNumId="76">
    <w:nsid w:val="5F3534A4"/>
    <w:multiLevelType w:val="hybridMultilevel"/>
    <w:lvl w:ilvl="0">
      <w:lvlJc w:val="left"/>
      <w:lvlText w:val="•"/>
      <w:numFmt w:val="bullet"/>
      <w:start w:val="1"/>
    </w:lvl>
  </w:abstractNum>
  <w:abstractNum w:abstractNumId="77">
    <w:nsid w:val="73A1821B"/>
    <w:multiLevelType w:val="hybridMultilevel"/>
    <w:lvl w:ilvl="0">
      <w:lvlJc w:val="left"/>
      <w:lvlText w:val="•"/>
      <w:numFmt w:val="bullet"/>
      <w:start w:val="1"/>
    </w:lvl>
  </w:abstractNum>
  <w:abstractNum w:abstractNumId="78">
    <w:nsid w:val="7DE67713"/>
    <w:multiLevelType w:val="hybridMultilevel"/>
    <w:lvl w:ilvl="0">
      <w:lvlJc w:val="left"/>
      <w:lvlText w:val="•"/>
      <w:numFmt w:val="bullet"/>
      <w:start w:val="1"/>
    </w:lvl>
  </w:abstractNum>
  <w:abstractNum w:abstractNumId="79">
    <w:nsid w:val="555C55B5"/>
    <w:multiLevelType w:val="hybridMultilevel"/>
    <w:lvl w:ilvl="0">
      <w:lvlJc w:val="left"/>
      <w:lvlText w:val="•"/>
      <w:numFmt w:val="bullet"/>
      <w:start w:val="1"/>
    </w:lvl>
  </w:abstractNum>
  <w:abstractNum w:abstractNumId="80">
    <w:nsid w:val="3FA62ACA"/>
    <w:multiLevelType w:val="hybridMultilevel"/>
    <w:lvl w:ilvl="0">
      <w:lvlJc w:val="left"/>
      <w:lvlText w:val="•"/>
      <w:numFmt w:val="bullet"/>
      <w:start w:val="1"/>
    </w:lvl>
  </w:abstractNum>
  <w:abstractNum w:abstractNumId="81">
    <w:nsid w:val="14FCE74E"/>
    <w:multiLevelType w:val="hybridMultilevel"/>
    <w:lvl w:ilvl="0">
      <w:lvlJc w:val="left"/>
      <w:lvlText w:val="•"/>
      <w:numFmt w:val="bullet"/>
      <w:start w:val="1"/>
    </w:lvl>
  </w:abstractNum>
  <w:abstractNum w:abstractNumId="82">
    <w:nsid w:val="6A3DD3E8"/>
    <w:multiLevelType w:val="hybridMultilevel"/>
    <w:lvl w:ilvl="0">
      <w:lvlJc w:val="left"/>
      <w:lvlText w:val="•"/>
      <w:numFmt w:val="bullet"/>
      <w:start w:val="1"/>
    </w:lvl>
  </w:abstractNum>
  <w:abstractNum w:abstractNumId="83">
    <w:nsid w:val="71C91298"/>
    <w:multiLevelType w:val="hybridMultilevel"/>
    <w:lvl w:ilvl="0">
      <w:lvlJc w:val="left"/>
      <w:lvlText w:val="•"/>
      <w:numFmt w:val="bullet"/>
      <w:start w:val="1"/>
    </w:lvl>
  </w:abstractNum>
  <w:abstractNum w:abstractNumId="84">
    <w:nsid w:val="9DAF632"/>
    <w:multiLevelType w:val="hybridMultilevel"/>
    <w:lvl w:ilvl="0">
      <w:lvlJc w:val="left"/>
      <w:lvlText w:val="•"/>
      <w:numFmt w:val="bullet"/>
      <w:start w:val="1"/>
    </w:lvl>
  </w:abstractNum>
  <w:abstractNum w:abstractNumId="85">
    <w:nsid w:val="53299938"/>
    <w:multiLevelType w:val="hybridMultilevel"/>
    <w:lvl w:ilvl="0">
      <w:lvlJc w:val="left"/>
      <w:lvlText w:val="•"/>
      <w:numFmt w:val="bullet"/>
      <w:start w:val="1"/>
    </w:lvl>
  </w:abstractNum>
  <w:abstractNum w:abstractNumId="86">
    <w:nsid w:val="1FBFE8E0"/>
    <w:multiLevelType w:val="hybridMultilevel"/>
    <w:lvl w:ilvl="0">
      <w:lvlJc w:val="left"/>
      <w:lvlText w:val="•"/>
      <w:numFmt w:val="bullet"/>
      <w:start w:val="1"/>
    </w:lvl>
  </w:abstractNum>
  <w:abstractNum w:abstractNumId="87">
    <w:nsid w:val="5092CA79"/>
    <w:multiLevelType w:val="hybridMultilevel"/>
    <w:lvl w:ilvl="0">
      <w:lvlJc w:val="left"/>
      <w:lvlText w:val="•"/>
      <w:numFmt w:val="bullet"/>
      <w:start w:val="1"/>
    </w:lvl>
  </w:abstractNum>
  <w:abstractNum w:abstractNumId="88">
    <w:nsid w:val="1D545C4D"/>
    <w:multiLevelType w:val="hybridMultilevel"/>
    <w:lvl w:ilvl="0">
      <w:lvlJc w:val="left"/>
      <w:lvlText w:val="•"/>
      <w:numFmt w:val="bullet"/>
      <w:start w:val="1"/>
    </w:lvl>
  </w:abstractNum>
  <w:abstractNum w:abstractNumId="89">
    <w:nsid w:val="59ADEA3D"/>
    <w:multiLevelType w:val="hybridMultilevel"/>
    <w:lvl w:ilvl="0">
      <w:lvlJc w:val="left"/>
      <w:lvlText w:val="•"/>
      <w:numFmt w:val="bullet"/>
      <w:start w:val="1"/>
    </w:lvl>
  </w:abstractNum>
  <w:abstractNum w:abstractNumId="90">
    <w:nsid w:val="288F1A34"/>
    <w:multiLevelType w:val="hybridMultilevel"/>
    <w:lvl w:ilvl="0">
      <w:lvlJc w:val="left"/>
      <w:lvlText w:val="•"/>
      <w:numFmt w:val="bullet"/>
      <w:start w:val="1"/>
    </w:lvl>
  </w:abstractNum>
  <w:abstractNum w:abstractNumId="91">
    <w:nsid w:val="2A155DBC"/>
    <w:multiLevelType w:val="hybridMultilevel"/>
    <w:lvl w:ilvl="0">
      <w:lvlJc w:val="left"/>
      <w:lvlText w:val="•"/>
      <w:numFmt w:val="bullet"/>
      <w:start w:val="1"/>
    </w:lvl>
  </w:abstractNum>
  <w:abstractNum w:abstractNumId="92">
    <w:nsid w:val="1D9F6E5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93">
    <w:nsid w:val="97E1B4E"/>
    <w:multiLevelType w:val="hybridMultilevel"/>
    <w:lvl w:ilvl="0">
      <w:lvlJc w:val="left"/>
      <w:lvlText w:val="(%1)"/>
      <w:numFmt w:val="decimal"/>
      <w:start w:val="3"/>
    </w:lvl>
  </w:abstractNum>
  <w:abstractNum w:abstractNumId="94">
    <w:nsid w:val="51088277"/>
    <w:multiLevelType w:val="hybridMultilevel"/>
    <w:lvl w:ilvl="0">
      <w:lvlJc w:val="left"/>
      <w:lvlText w:val="•"/>
      <w:numFmt w:val="bullet"/>
      <w:start w:val="1"/>
    </w:lvl>
  </w:abstractNum>
  <w:abstractNum w:abstractNumId="95">
    <w:nsid w:val="1CA0C5FA"/>
    <w:multiLevelType w:val="hybridMultilevel"/>
    <w:lvl w:ilvl="0">
      <w:lvlJc w:val="left"/>
      <w:lvlText w:val="•"/>
      <w:numFmt w:val="bullet"/>
      <w:start w:val="1"/>
    </w:lvl>
  </w:abstractNum>
  <w:abstractNum w:abstractNumId="96">
    <w:nsid w:val="53584BCB"/>
    <w:multiLevelType w:val="hybridMultilevel"/>
    <w:lvl w:ilvl="0">
      <w:lvlJc w:val="left"/>
      <w:lvlText w:val="•"/>
      <w:numFmt w:val="bullet"/>
      <w:start w:val="1"/>
    </w:lvl>
    <w:lvl w:ilvl="1">
      <w:lvlJc w:val="left"/>
      <w:lvlText w:val="%2)"/>
      <w:numFmt w:val="decimal"/>
      <w:start w:val="1"/>
    </w:lvl>
  </w:abstractNum>
  <w:abstractNum w:abstractNumId="97">
    <w:nsid w:val="415E286C"/>
    <w:multiLevelType w:val="hybridMultilevel"/>
    <w:lvl w:ilvl="0">
      <w:lvlJc w:val="left"/>
      <w:lvlText w:val="•"/>
      <w:numFmt w:val="bullet"/>
      <w:start w:val="1"/>
    </w:lvl>
  </w:abstractNum>
  <w:abstractNum w:abstractNumId="98">
    <w:nsid w:val="7C58FD05"/>
    <w:multiLevelType w:val="hybridMultilevel"/>
    <w:lvl w:ilvl="0">
      <w:lvlJc w:val="left"/>
      <w:lvlText w:val="(%1)"/>
      <w:numFmt w:val="decimal"/>
      <w:start w:val="1"/>
    </w:lvl>
  </w:abstractNum>
  <w:abstractNum w:abstractNumId="99">
    <w:nsid w:val="23D86AAC"/>
    <w:multiLevelType w:val="hybridMultilevel"/>
    <w:lvl w:ilvl="0">
      <w:lvlJc w:val="left"/>
      <w:lvlText w:val="(%1)"/>
      <w:numFmt w:val="decimal"/>
      <w:start w:val="1"/>
    </w:lvl>
  </w:abstractNum>
  <w:abstractNum w:abstractNumId="100">
    <w:nsid w:val="45E6D486"/>
    <w:multiLevelType w:val="hybridMultilevel"/>
    <w:lvl w:ilvl="0">
      <w:lvlJc w:val="left"/>
      <w:lvlText w:val="(%1)"/>
      <w:numFmt w:val="lowerLetter"/>
      <w:start w:val="1"/>
    </w:lvl>
  </w:abstractNum>
  <w:abstractNum w:abstractNumId="101">
    <w:nsid w:val="5C10FE21"/>
    <w:multiLevelType w:val="hybridMultilevel"/>
    <w:lvl w:ilvl="0">
      <w:lvlJc w:val="left"/>
      <w:lvlText w:val="(%1)"/>
      <w:numFmt w:val="decimal"/>
      <w:start w:val="1"/>
    </w:lvl>
  </w:abstractNum>
  <w:abstractNum w:abstractNumId="102">
    <w:nsid w:val="E7FFA2B"/>
    <w:multiLevelType w:val="hybridMultilevel"/>
    <w:lvl w:ilvl="0">
      <w:lvlJc w:val="left"/>
      <w:lvlText w:val="(%1)"/>
      <w:numFmt w:val="decimal"/>
      <w:start w:val="4"/>
    </w:lvl>
  </w:abstractNum>
  <w:abstractNum w:abstractNumId="103">
    <w:nsid w:val="3C5991AA"/>
    <w:multiLevelType w:val="hybridMultilevel"/>
    <w:lvl w:ilvl="0">
      <w:lvlJc w:val="left"/>
      <w:lvlText w:val="(%1)"/>
      <w:numFmt w:val="lowerLetter"/>
      <w:start w:val="2"/>
    </w:lvl>
  </w:abstractNum>
  <w:abstractNum w:abstractNumId="104">
    <w:nsid w:val="4BD8591A"/>
    <w:multiLevelType w:val="hybridMultilevel"/>
    <w:lvl w:ilvl="0">
      <w:lvlJc w:val="left"/>
      <w:lvlText w:val="(%1)"/>
      <w:numFmt w:val="lowerLetter"/>
      <w:start w:val="3"/>
    </w:lvl>
  </w:abstractNum>
  <w:abstractNum w:abstractNumId="105">
    <w:nsid w:val="78DF6A55"/>
    <w:multiLevelType w:val="hybridMultilevel"/>
    <w:lvl w:ilvl="0">
      <w:lvlJc w:val="left"/>
      <w:lvlText w:val="(%1)"/>
      <w:numFmt w:val="lowerLetter"/>
      <w:start w:val="4"/>
    </w:lvl>
  </w:abstractNum>
  <w:abstractNum w:abstractNumId="106">
    <w:nsid w:val="39B7AAA2"/>
    <w:multiLevelType w:val="hybridMultilevel"/>
    <w:lvl w:ilvl="0">
      <w:lvlJc w:val="left"/>
      <w:lvlText w:val="(%1)"/>
      <w:numFmt w:val="lowerLetter"/>
      <w:start w:val="5"/>
    </w:lvl>
  </w:abstractNum>
  <w:abstractNum w:abstractNumId="107">
    <w:nsid w:val="2B0D8DBE"/>
    <w:multiLevelType w:val="hybridMultilevel"/>
    <w:lvl w:ilvl="0">
      <w:lvlJc w:val="left"/>
      <w:lvlText w:val="(%1)"/>
      <w:numFmt w:val="lowerLetter"/>
      <w:start w:val="6"/>
    </w:lvl>
  </w:abstractNum>
  <w:abstractNum w:abstractNumId="108">
    <w:nsid w:val="6C80EC70"/>
    <w:multiLevelType w:val="hybridMultilevel"/>
    <w:lvl w:ilvl="0">
      <w:lvlJc w:val="left"/>
      <w:lvlText w:val="(%1)"/>
      <w:numFmt w:val="decimal"/>
      <w:start w:val="1"/>
    </w:lvl>
  </w:abstractNum>
  <w:abstractNum w:abstractNumId="109">
    <w:nsid w:val="379E21B5"/>
    <w:multiLevelType w:val="hybridMultilevel"/>
    <w:lvl w:ilvl="0">
      <w:lvlJc w:val="left"/>
      <w:lvlText w:val="*"/>
      <w:numFmt w:val="bullet"/>
      <w:start w:val="1"/>
    </w:lvl>
  </w:abstractNum>
  <w:abstractNum w:abstractNumId="110">
    <w:nsid w:val="69E373"/>
    <w:multiLevelType w:val="hybridMultilevel"/>
    <w:lvl w:ilvl="0">
      <w:lvlJc w:val="left"/>
      <w:lvlText w:val="*"/>
      <w:numFmt w:val="bullet"/>
      <w:start w:val="1"/>
    </w:lvl>
  </w:abstractNum>
  <w:abstractNum w:abstractNumId="111">
    <w:nsid w:val="2C27173B"/>
    <w:multiLevelType w:val="hybridMultilevel"/>
    <w:lvl w:ilvl="0">
      <w:lvlJc w:val="left"/>
      <w:lvlText w:val="(%1)"/>
      <w:numFmt w:val="decimal"/>
      <w:start w:val="1"/>
    </w:lvl>
  </w:abstractNum>
  <w:abstractNum w:abstractNumId="112">
    <w:nsid w:val="4C9B0904"/>
    <w:multiLevelType w:val="hybridMultilevel"/>
    <w:lvl w:ilvl="0">
      <w:lvlJc w:val="left"/>
      <w:lvlText w:val="(%1)"/>
      <w:numFmt w:val="decimal"/>
      <w:start w:val="1"/>
    </w:lvl>
  </w:abstractNum>
  <w:abstractNum w:abstractNumId="113">
    <w:nsid w:val="6AA7B75C"/>
    <w:multiLevelType w:val="hybridMultilevel"/>
    <w:lvl w:ilvl="0">
      <w:lvlJc w:val="left"/>
      <w:lvlText w:val="(%1)"/>
      <w:numFmt w:val="decimal"/>
      <w:start w:val="1"/>
    </w:lvl>
  </w:abstractNum>
  <w:abstractNum w:abstractNumId="114">
    <w:nsid w:val="1DF029D3"/>
    <w:multiLevelType w:val="hybridMultilevel"/>
    <w:lvl w:ilvl="0">
      <w:lvlJc w:val="left"/>
      <w:lvlText w:val="(%1)"/>
      <w:numFmt w:val="lowerLetter"/>
      <w:start w:val="1"/>
    </w:lvl>
  </w:abstractNum>
  <w:abstractNum w:abstractNumId="115">
    <w:nsid w:val="5675FF36"/>
    <w:multiLevelType w:val="hybridMultilevel"/>
    <w:lvl w:ilvl="0">
      <w:lvlJc w:val="left"/>
      <w:lvlText w:val="(%1)"/>
      <w:numFmt w:val="decimal"/>
      <w:start w:val="1"/>
    </w:lvl>
  </w:abstractNum>
  <w:abstractNum w:abstractNumId="116">
    <w:nsid w:val="3DD15094"/>
    <w:multiLevelType w:val="hybridMultilevel"/>
    <w:lvl w:ilvl="0">
      <w:lvlJc w:val="left"/>
      <w:lvlText w:val="(%1)"/>
      <w:numFmt w:val="decimal"/>
      <w:start w:val="4"/>
    </w:lvl>
  </w:abstractNum>
  <w:abstractNum w:abstractNumId="117">
    <w:nsid w:val="3DB012B3"/>
    <w:multiLevelType w:val="hybridMultilevel"/>
    <w:lvl w:ilvl="0">
      <w:lvlJc w:val="left"/>
      <w:lvlText w:val="(%1)"/>
      <w:numFmt w:val="lowerLetter"/>
      <w:start w:val="2"/>
    </w:lvl>
  </w:abstractNum>
  <w:abstractNum w:abstractNumId="118">
    <w:nsid w:val="2708C9AF"/>
    <w:multiLevelType w:val="hybridMultilevel"/>
    <w:lvl w:ilvl="0">
      <w:lvlJc w:val="left"/>
      <w:lvlText w:val="(%1)"/>
      <w:numFmt w:val="lowerLetter"/>
      <w:start w:val="3"/>
    </w:lvl>
  </w:abstractNum>
  <w:abstractNum w:abstractNumId="119">
    <w:nsid w:val="5B25ACE2"/>
    <w:multiLevelType w:val="hybridMultilevel"/>
    <w:lvl w:ilvl="0">
      <w:lvlJc w:val="left"/>
      <w:lvlText w:val="(%1)"/>
      <w:numFmt w:val="lowerLetter"/>
      <w:start w:val="4"/>
    </w:lvl>
  </w:abstractNum>
  <w:abstractNum w:abstractNumId="120">
    <w:nsid w:val="175DFCF0"/>
    <w:multiLevelType w:val="hybridMultilevel"/>
    <w:lvl w:ilvl="0">
      <w:lvlJc w:val="left"/>
      <w:lvlText w:val="(%1)"/>
      <w:numFmt w:val="lowerLetter"/>
      <w:start w:val="5"/>
    </w:lvl>
  </w:abstractNum>
  <w:abstractNum w:abstractNumId="121">
    <w:nsid w:val="4F97E3E4"/>
    <w:multiLevelType w:val="hybridMultilevel"/>
    <w:lvl w:ilvl="0">
      <w:lvlJc w:val="left"/>
      <w:lvlText w:val="(%1)"/>
      <w:numFmt w:val="decimal"/>
      <w:start w:val="1"/>
    </w:lvl>
  </w:abstractNum>
  <w:abstractNum w:abstractNumId="122">
    <w:nsid w:val="53B0A9E"/>
    <w:multiLevelType w:val="hybridMultilevel"/>
    <w:lvl w:ilvl="0">
      <w:lvlJc w:val="left"/>
      <w:lvlText w:val="*"/>
      <w:numFmt w:val="bullet"/>
      <w:start w:val="1"/>
    </w:lvl>
  </w:abstractNum>
  <w:abstractNum w:abstractNumId="123">
    <w:nsid w:val="34FD6B4F"/>
    <w:multiLevelType w:val="hybridMultilevel"/>
    <w:lvl w:ilvl="0">
      <w:lvlJc w:val="left"/>
      <w:lvlText w:val="*"/>
      <w:numFmt w:val="bullet"/>
      <w:start w:val="1"/>
    </w:lvl>
  </w:abstractNum>
  <w:abstractNum w:abstractNumId="124">
    <w:nsid w:val="5915FF3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jpe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2019-12-07T23:30:14Z</dcterms:created>
  <dcterms:modified xsi:type="dcterms:W3CDTF">2019-12-07T23:30:14Z</dcterms:modified>
</cp:coreProperties>
</file>