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May 4, 2022</w:t>
      </w:r>
    </w:p>
    <w:p>
      <w:pPr>
        <w:spacing w:after="0" w:line="2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100"/>
          </w:cols>
          <w:pgMar w:left="320" w:top="718" w:right="47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11" w:lineRule="exact"/>
        <w:rPr>
          <w:sz w:val="24"/>
          <w:szCs w:val="24"/>
          <w:color w:val="auto"/>
        </w:rPr>
      </w:pPr>
    </w:p>
    <w:p>
      <w:pPr>
        <w:sectPr>
          <w:pgSz w:w="11900" w:h="16838" w:orient="portrait"/>
          <w:cols w:equalWidth="0" w:num="3">
            <w:col w:w="3920" w:space="720"/>
            <w:col w:w="2560" w:space="720"/>
            <w:col w:w="3180"/>
          </w:cols>
          <w:pgMar w:left="320" w:top="718" w:right="479" w:bottom="1440" w:gutter="0" w:footer="0" w:header="0"/>
          <w:type w:val="continuous"/>
        </w:sectPr>
      </w:pPr>
    </w:p>
    <w:p>
      <w:pPr>
        <w:spacing w:after="0" w:line="200" w:lineRule="exact"/>
        <w:rPr>
          <w:sz w:val="24"/>
          <w:szCs w:val="24"/>
          <w:color w:val="auto"/>
        </w:rPr>
      </w:pPr>
    </w:p>
    <w:p>
      <w:pPr>
        <w:spacing w:after="0" w:line="2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1691 Michigan Avenue, Miami Beach, Florida 33139</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212-905-1000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Pre-commencement communications pursuant to Rule 14d-2(b) under the Exchange Act (17 CFR 240.14d-2(b))</w:t>
            </w:r>
          </w:p>
        </w:tc>
      </w:tr>
    </w:tbl>
    <w:p>
      <w:pPr>
        <w:ind w:right="2140" w:firstLine="291"/>
        <w:spacing w:after="0" w:line="487" w:lineRule="auto"/>
        <w:tabs>
          <w:tab w:leader="none" w:pos="4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18" w:right="479" w:bottom="1440" w:gutter="0" w:footer="0" w:header="0"/>
          <w:type w:val="continuous"/>
        </w:sectPr>
      </w:pPr>
    </w:p>
    <w:p>
      <w:pPr>
        <w:spacing w:after="0" w:line="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The New York Stock Exchange</w:t>
      </w:r>
    </w:p>
    <w:p>
      <w:pPr>
        <w:spacing w:after="0" w:line="200" w:lineRule="exact"/>
        <w:rPr>
          <w:sz w:val="24"/>
          <w:szCs w:val="24"/>
          <w:color w:val="auto"/>
        </w:rPr>
      </w:pPr>
    </w:p>
    <w:p>
      <w:pPr>
        <w:sectPr>
          <w:pgSz w:w="11900" w:h="16838" w:orient="portrait"/>
          <w:cols w:equalWidth="0" w:num="3">
            <w:col w:w="4200" w:space="720"/>
            <w:col w:w="1600" w:space="720"/>
            <w:col w:w="3860"/>
          </w:cols>
          <w:pgMar w:left="320" w:top="718" w:right="479" w:bottom="1440" w:gutter="0" w:footer="0" w:header="0"/>
          <w:type w:val="continuous"/>
        </w:sectPr>
      </w:pPr>
    </w:p>
    <w:p>
      <w:pPr>
        <w:spacing w:after="0" w:line="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18"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On May 4, 2022, PennantPark Floating Rate Capital Ltd., or the Company, issued a press release announcing its financial results for the second fiscal quarter ended March 31, 2022. A copy of the press release is furnished as Exhibit 99.1 to this report pursuant to Item 2.02 on Form 8-K and Regulation FD.</w:t>
      </w:r>
    </w:p>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 For information concerning the COVID-19 pandemic and its potential impact on the Company’s business and operating results, see the Company’s Quarterly Report on Form 10-Q for the quarter ended March 31, 2022, including “Item 2. Management's Discussion and Analysis of Financial Condition and Results of Operations – COVID-19 Developments”.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The Company undertakes no duty to update any forward-looking statement made herein. You should not place undue influence on such forward-looking statements as such statements speak only as of the date on which they are made.</w:t>
      </w:r>
    </w:p>
    <w:p>
      <w:pPr>
        <w:spacing w:after="0" w:line="19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460" w:right="9340" w:hanging="452"/>
        <w:spacing w:after="0" w:line="263"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left="460" w:right="8440" w:hanging="452"/>
        <w:spacing w:after="0" w:line="250" w:lineRule="auto"/>
        <w:tabs>
          <w:tab w:leader="none" w:pos="27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460" w:right="8820" w:hanging="452"/>
        <w:spacing w:after="0" w:line="250"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EE"/>
        </w:rPr>
        <w:t>Press Release of PennantPark Floating Rate Capital Ltd. dated May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07"/>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2022</w:t>
            </w:r>
          </w:p>
        </w:tc>
        <w:tc>
          <w:tcPr>
            <w:tcW w:w="516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Richard Cheung</w:t>
            </w:r>
          </w:p>
        </w:tc>
      </w:tr>
      <w:tr>
        <w:trPr>
          <w:trHeight w:val="218"/>
        </w:trPr>
        <w:tc>
          <w:tcPr>
            <w:tcW w:w="34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Cheung</w:t>
            </w:r>
          </w:p>
        </w:tc>
        <w:tc>
          <w:tcPr>
            <w:tcW w:w="1040" w:type="dxa"/>
            <w:vAlign w:val="bottom"/>
          </w:tcPr>
          <w:p>
            <w:pPr>
              <w:spacing w:after="0"/>
              <w:rPr>
                <w:sz w:val="18"/>
                <w:szCs w:val="18"/>
                <w:color w:val="auto"/>
              </w:rPr>
            </w:pPr>
          </w:p>
        </w:tc>
      </w:tr>
      <w:tr>
        <w:trPr>
          <w:trHeight w:val="234"/>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33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Financial Results for the Quarter Ended March 31, 2022</w:t>
      </w:r>
    </w:p>
    <w:p>
      <w:pPr>
        <w:spacing w:after="0" w:line="210" w:lineRule="exact"/>
        <w:rPr>
          <w:sz w:val="20"/>
          <w:szCs w:val="20"/>
          <w:color w:val="auto"/>
        </w:rPr>
      </w:pPr>
    </w:p>
    <w:p>
      <w:pPr>
        <w:ind w:right="760"/>
        <w:spacing w:after="0" w:line="258" w:lineRule="auto"/>
        <w:rPr>
          <w:sz w:val="20"/>
          <w:szCs w:val="20"/>
          <w:color w:val="auto"/>
        </w:rPr>
      </w:pPr>
      <w:r>
        <w:rPr>
          <w:rFonts w:ascii="Times New Roman" w:cs="Times New Roman" w:eastAsia="Times New Roman" w:hAnsi="Times New Roman"/>
          <w:sz w:val="22"/>
          <w:szCs w:val="22"/>
          <w:color w:val="auto"/>
        </w:rPr>
        <w:t>MIAMI, May 04, 2022 (GLOBE NEWSWIRE) -- PennantPark Floating Rate Capital Ltd. (NYSE: PFLT) (TASE: PFLT) announced today financial results for the second fiscal quarter ended March 31,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7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HIGHLIGHTS</w:t>
            </w:r>
          </w:p>
        </w:tc>
        <w:tc>
          <w:tcPr>
            <w:tcW w:w="3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Quarter ended March 31, 2022</w:t>
            </w:r>
          </w:p>
        </w:tc>
        <w:tc>
          <w:tcPr>
            <w:tcW w:w="3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 in millions, except per share amounts)</w:t>
            </w:r>
          </w:p>
        </w:tc>
        <w:tc>
          <w:tcPr>
            <w:tcW w:w="3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7"/>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Assets and Liabilities:</w:t>
            </w:r>
          </w:p>
        </w:tc>
        <w:tc>
          <w:tcPr>
            <w:tcW w:w="302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060" w:type="dxa"/>
            <w:vAlign w:val="bottom"/>
          </w:tcPr>
          <w:p>
            <w:pPr>
              <w:ind w:left="140"/>
              <w:spacing w:after="0" w:line="314" w:lineRule="exact"/>
              <w:rPr>
                <w:sz w:val="20"/>
                <w:szCs w:val="20"/>
                <w:color w:val="auto"/>
              </w:rPr>
            </w:pPr>
            <w:r>
              <w:rPr>
                <w:rFonts w:ascii="Times New Roman" w:cs="Times New Roman" w:eastAsia="Times New Roman" w:hAnsi="Times New Roman"/>
                <w:sz w:val="22"/>
                <w:szCs w:val="22"/>
                <w:color w:val="auto"/>
              </w:rPr>
              <w:t xml:space="preserve">Investment portfolio </w:t>
            </w:r>
            <w:r>
              <w:rPr>
                <w:rFonts w:ascii="Times New Roman" w:cs="Times New Roman" w:eastAsia="Times New Roman" w:hAnsi="Times New Roman"/>
                <w:sz w:val="35"/>
                <w:szCs w:val="35"/>
                <w:color w:val="auto"/>
                <w:vertAlign w:val="superscript"/>
              </w:rPr>
              <w:t>(1)</w:t>
            </w:r>
          </w:p>
        </w:tc>
        <w:tc>
          <w:tcPr>
            <w:tcW w:w="3020" w:type="dxa"/>
            <w:vAlign w:val="bottom"/>
            <w:vMerge w:val="continue"/>
          </w:tcPr>
          <w:p>
            <w:pPr>
              <w:spacing w:after="0"/>
              <w:rPr>
                <w:sz w:val="24"/>
                <w:szCs w:val="24"/>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1,192.6</w:t>
            </w:r>
          </w:p>
        </w:tc>
        <w:tc>
          <w:tcPr>
            <w:tcW w:w="0" w:type="dxa"/>
            <w:vAlign w:val="bottom"/>
          </w:tcPr>
          <w:p>
            <w:pPr>
              <w:spacing w:after="0"/>
              <w:rPr>
                <w:sz w:val="1"/>
                <w:szCs w:val="1"/>
                <w:color w:val="auto"/>
              </w:rPr>
            </w:pPr>
          </w:p>
        </w:tc>
      </w:tr>
      <w:tr>
        <w:trPr>
          <w:trHeight w:val="270"/>
        </w:trPr>
        <w:tc>
          <w:tcPr>
            <w:tcW w:w="70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PSSL investment portfolio</w:t>
            </w:r>
          </w:p>
        </w:tc>
        <w:tc>
          <w:tcPr>
            <w:tcW w:w="302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705.0</w:t>
            </w:r>
          </w:p>
        </w:tc>
        <w:tc>
          <w:tcPr>
            <w:tcW w:w="0" w:type="dxa"/>
            <w:vAlign w:val="bottom"/>
          </w:tcPr>
          <w:p>
            <w:pPr>
              <w:spacing w:after="0"/>
              <w:rPr>
                <w:sz w:val="1"/>
                <w:szCs w:val="1"/>
                <w:color w:val="auto"/>
              </w:rPr>
            </w:pPr>
          </w:p>
        </w:tc>
      </w:tr>
      <w:tr>
        <w:trPr>
          <w:trHeight w:val="270"/>
        </w:trPr>
        <w:tc>
          <w:tcPr>
            <w:tcW w:w="70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Net assets</w:t>
            </w:r>
          </w:p>
        </w:tc>
        <w:tc>
          <w:tcPr>
            <w:tcW w:w="302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520.0</w:t>
            </w:r>
          </w:p>
        </w:tc>
        <w:tc>
          <w:tcPr>
            <w:tcW w:w="0" w:type="dxa"/>
            <w:vAlign w:val="bottom"/>
          </w:tcPr>
          <w:p>
            <w:pPr>
              <w:spacing w:after="0"/>
              <w:rPr>
                <w:sz w:val="1"/>
                <w:szCs w:val="1"/>
                <w:color w:val="auto"/>
              </w:rPr>
            </w:pPr>
          </w:p>
        </w:tc>
      </w:tr>
      <w:tr>
        <w:trPr>
          <w:trHeight w:val="270"/>
        </w:trPr>
        <w:tc>
          <w:tcPr>
            <w:tcW w:w="70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GAAP net asset value per share</w:t>
            </w:r>
          </w:p>
        </w:tc>
        <w:tc>
          <w:tcPr>
            <w:tcW w:w="302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12.62</w:t>
            </w:r>
          </w:p>
        </w:tc>
        <w:tc>
          <w:tcPr>
            <w:tcW w:w="0" w:type="dxa"/>
            <w:vAlign w:val="bottom"/>
          </w:tcPr>
          <w:p>
            <w:pPr>
              <w:spacing w:after="0"/>
              <w:rPr>
                <w:sz w:val="1"/>
                <w:szCs w:val="1"/>
                <w:color w:val="auto"/>
              </w:rPr>
            </w:pPr>
          </w:p>
        </w:tc>
      </w:tr>
      <w:tr>
        <w:trPr>
          <w:trHeight w:val="279"/>
        </w:trPr>
        <w:tc>
          <w:tcPr>
            <w:tcW w:w="70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Quarterly decrease GAAP net asset value per share</w:t>
            </w:r>
          </w:p>
        </w:tc>
        <w:tc>
          <w:tcPr>
            <w:tcW w:w="302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w:t>
            </w:r>
          </w:p>
        </w:tc>
        <w:tc>
          <w:tcPr>
            <w:tcW w:w="0" w:type="dxa"/>
            <w:vAlign w:val="bottom"/>
          </w:tcPr>
          <w:p>
            <w:pPr>
              <w:spacing w:after="0"/>
              <w:rPr>
                <w:sz w:val="1"/>
                <w:szCs w:val="1"/>
                <w:color w:val="auto"/>
              </w:rPr>
            </w:pPr>
          </w:p>
        </w:tc>
      </w:tr>
      <w:tr>
        <w:trPr>
          <w:trHeight w:val="475"/>
        </w:trPr>
        <w:tc>
          <w:tcPr>
            <w:tcW w:w="70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 xml:space="preserve">Adjusted net asset value per share </w:t>
            </w:r>
            <w:r>
              <w:rPr>
                <w:rFonts w:ascii="Times New Roman" w:cs="Times New Roman" w:eastAsia="Times New Roman" w:hAnsi="Times New Roman"/>
                <w:sz w:val="35"/>
                <w:szCs w:val="35"/>
                <w:color w:val="auto"/>
                <w:vertAlign w:val="superscript"/>
              </w:rPr>
              <w:t>(2)</w:t>
            </w:r>
          </w:p>
        </w:tc>
        <w:tc>
          <w:tcPr>
            <w:tcW w:w="3020" w:type="dxa"/>
            <w:vAlign w:val="bottom"/>
            <w:vMerge w:val="continue"/>
          </w:tcPr>
          <w:p>
            <w:pPr>
              <w:spacing w:after="0"/>
              <w:rPr>
                <w:sz w:val="24"/>
                <w:szCs w:val="24"/>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12.41</w:t>
            </w:r>
          </w:p>
        </w:tc>
        <w:tc>
          <w:tcPr>
            <w:tcW w:w="0" w:type="dxa"/>
            <w:vAlign w:val="bottom"/>
          </w:tcPr>
          <w:p>
            <w:pPr>
              <w:spacing w:after="0"/>
              <w:rPr>
                <w:sz w:val="1"/>
                <w:szCs w:val="1"/>
                <w:color w:val="auto"/>
              </w:rPr>
            </w:pPr>
          </w:p>
        </w:tc>
      </w:tr>
      <w:tr>
        <w:trPr>
          <w:trHeight w:val="380"/>
        </w:trPr>
        <w:tc>
          <w:tcPr>
            <w:tcW w:w="70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Credit Facility</w:t>
            </w:r>
          </w:p>
        </w:tc>
        <w:tc>
          <w:tcPr>
            <w:tcW w:w="302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249.9</w:t>
            </w:r>
          </w:p>
        </w:tc>
        <w:tc>
          <w:tcPr>
            <w:tcW w:w="0" w:type="dxa"/>
            <w:vAlign w:val="bottom"/>
          </w:tcPr>
          <w:p>
            <w:pPr>
              <w:spacing w:after="0"/>
              <w:rPr>
                <w:sz w:val="1"/>
                <w:szCs w:val="1"/>
                <w:color w:val="auto"/>
              </w:rPr>
            </w:pPr>
          </w:p>
        </w:tc>
      </w:tr>
      <w:tr>
        <w:trPr>
          <w:trHeight w:val="270"/>
        </w:trPr>
        <w:tc>
          <w:tcPr>
            <w:tcW w:w="70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2023 Notes</w:t>
            </w:r>
          </w:p>
        </w:tc>
        <w:tc>
          <w:tcPr>
            <w:tcW w:w="302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88.3</w:t>
            </w:r>
          </w:p>
        </w:tc>
        <w:tc>
          <w:tcPr>
            <w:tcW w:w="0" w:type="dxa"/>
            <w:vAlign w:val="bottom"/>
          </w:tcPr>
          <w:p>
            <w:pPr>
              <w:spacing w:after="0"/>
              <w:rPr>
                <w:sz w:val="1"/>
                <w:szCs w:val="1"/>
                <w:color w:val="auto"/>
              </w:rPr>
            </w:pPr>
          </w:p>
        </w:tc>
      </w:tr>
      <w:tr>
        <w:trPr>
          <w:trHeight w:val="270"/>
        </w:trPr>
        <w:tc>
          <w:tcPr>
            <w:tcW w:w="70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2026 Notes</w:t>
            </w:r>
          </w:p>
        </w:tc>
        <w:tc>
          <w:tcPr>
            <w:tcW w:w="302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181.9</w:t>
            </w:r>
          </w:p>
        </w:tc>
        <w:tc>
          <w:tcPr>
            <w:tcW w:w="0" w:type="dxa"/>
            <w:vAlign w:val="bottom"/>
          </w:tcPr>
          <w:p>
            <w:pPr>
              <w:spacing w:after="0"/>
              <w:rPr>
                <w:sz w:val="1"/>
                <w:szCs w:val="1"/>
                <w:color w:val="auto"/>
              </w:rPr>
            </w:pPr>
          </w:p>
        </w:tc>
      </w:tr>
      <w:tr>
        <w:trPr>
          <w:trHeight w:val="270"/>
        </w:trPr>
        <w:tc>
          <w:tcPr>
            <w:tcW w:w="70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2031 Asset-Backed Debt</w:t>
            </w:r>
          </w:p>
        </w:tc>
        <w:tc>
          <w:tcPr>
            <w:tcW w:w="302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225.8</w:t>
            </w:r>
          </w:p>
        </w:tc>
        <w:tc>
          <w:tcPr>
            <w:tcW w:w="0" w:type="dxa"/>
            <w:vAlign w:val="bottom"/>
          </w:tcPr>
          <w:p>
            <w:pPr>
              <w:spacing w:after="0"/>
              <w:rPr>
                <w:sz w:val="1"/>
                <w:szCs w:val="1"/>
                <w:color w:val="auto"/>
              </w:rPr>
            </w:pPr>
          </w:p>
        </w:tc>
      </w:tr>
      <w:tr>
        <w:trPr>
          <w:trHeight w:val="279"/>
        </w:trPr>
        <w:tc>
          <w:tcPr>
            <w:tcW w:w="70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Regulatory Debt to Equity</w:t>
            </w:r>
          </w:p>
        </w:tc>
        <w:tc>
          <w:tcPr>
            <w:tcW w:w="3020" w:type="dxa"/>
            <w:vAlign w:val="bottom"/>
          </w:tcPr>
          <w:p>
            <w:pPr>
              <w:spacing w:after="0"/>
              <w:rPr>
                <w:sz w:val="24"/>
                <w:szCs w:val="24"/>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1.50x</w:t>
            </w:r>
          </w:p>
        </w:tc>
        <w:tc>
          <w:tcPr>
            <w:tcW w:w="0" w:type="dxa"/>
            <w:vAlign w:val="bottom"/>
          </w:tcPr>
          <w:p>
            <w:pPr>
              <w:spacing w:after="0"/>
              <w:rPr>
                <w:sz w:val="1"/>
                <w:szCs w:val="1"/>
                <w:color w:val="auto"/>
              </w:rPr>
            </w:pPr>
          </w:p>
        </w:tc>
      </w:tr>
      <w:tr>
        <w:trPr>
          <w:trHeight w:val="324"/>
        </w:trPr>
        <w:tc>
          <w:tcPr>
            <w:tcW w:w="7060" w:type="dxa"/>
            <w:vAlign w:val="bottom"/>
          </w:tcPr>
          <w:p>
            <w:pPr>
              <w:ind w:left="140"/>
              <w:spacing w:after="0" w:line="324" w:lineRule="exact"/>
              <w:rPr>
                <w:sz w:val="20"/>
                <w:szCs w:val="20"/>
                <w:color w:val="auto"/>
              </w:rPr>
            </w:pPr>
            <w:r>
              <w:rPr>
                <w:rFonts w:ascii="Times New Roman" w:cs="Times New Roman" w:eastAsia="Times New Roman" w:hAnsi="Times New Roman"/>
                <w:sz w:val="22"/>
                <w:szCs w:val="22"/>
                <w:color w:val="auto"/>
              </w:rPr>
              <w:t xml:space="preserve">Regulatory Net Debt to Equity </w:t>
            </w:r>
            <w:r>
              <w:rPr>
                <w:rFonts w:ascii="Times New Roman" w:cs="Times New Roman" w:eastAsia="Times New Roman" w:hAnsi="Times New Roman"/>
                <w:sz w:val="35"/>
                <w:szCs w:val="35"/>
                <w:color w:val="auto"/>
                <w:vertAlign w:val="superscript"/>
              </w:rPr>
              <w:t>(3)</w:t>
            </w:r>
          </w:p>
        </w:tc>
        <w:tc>
          <w:tcPr>
            <w:tcW w:w="3020" w:type="dxa"/>
            <w:vAlign w:val="bottom"/>
          </w:tcPr>
          <w:p>
            <w:pPr>
              <w:spacing w:after="0"/>
              <w:rPr>
                <w:sz w:val="24"/>
                <w:szCs w:val="24"/>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1.40x</w:t>
            </w:r>
          </w:p>
        </w:tc>
        <w:tc>
          <w:tcPr>
            <w:tcW w:w="0" w:type="dxa"/>
            <w:vAlign w:val="bottom"/>
          </w:tcPr>
          <w:p>
            <w:pPr>
              <w:spacing w:after="0"/>
              <w:rPr>
                <w:sz w:val="1"/>
                <w:szCs w:val="1"/>
                <w:color w:val="auto"/>
              </w:rPr>
            </w:pPr>
          </w:p>
        </w:tc>
      </w:tr>
      <w:tr>
        <w:trPr>
          <w:trHeight w:val="475"/>
        </w:trPr>
        <w:tc>
          <w:tcPr>
            <w:tcW w:w="70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 xml:space="preserve">GAAP Net Debt to Equity </w:t>
            </w:r>
            <w:r>
              <w:rPr>
                <w:rFonts w:ascii="Times New Roman" w:cs="Times New Roman" w:eastAsia="Times New Roman" w:hAnsi="Times New Roman"/>
                <w:sz w:val="35"/>
                <w:szCs w:val="35"/>
                <w:color w:val="auto"/>
                <w:vertAlign w:val="superscript"/>
              </w:rPr>
              <w:t>(4)</w:t>
            </w:r>
          </w:p>
        </w:tc>
        <w:tc>
          <w:tcPr>
            <w:tcW w:w="3020" w:type="dxa"/>
            <w:vAlign w:val="bottom"/>
          </w:tcPr>
          <w:p>
            <w:pPr>
              <w:spacing w:after="0"/>
              <w:rPr>
                <w:sz w:val="24"/>
                <w:szCs w:val="24"/>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1.34x</w:t>
            </w:r>
          </w:p>
        </w:tc>
        <w:tc>
          <w:tcPr>
            <w:tcW w:w="0" w:type="dxa"/>
            <w:vAlign w:val="bottom"/>
          </w:tcPr>
          <w:p>
            <w:pPr>
              <w:spacing w:after="0"/>
              <w:rPr>
                <w:sz w:val="1"/>
                <w:szCs w:val="1"/>
                <w:color w:val="auto"/>
              </w:rPr>
            </w:pPr>
          </w:p>
        </w:tc>
      </w:tr>
      <w:tr>
        <w:trPr>
          <w:trHeight w:val="392"/>
        </w:trPr>
        <w:tc>
          <w:tcPr>
            <w:tcW w:w="70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Yield on debt investments at quarter-end</w:t>
            </w:r>
          </w:p>
        </w:tc>
        <w:tc>
          <w:tcPr>
            <w:tcW w:w="30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c>
          <w:tcPr>
            <w:tcW w:w="0" w:type="dxa"/>
            <w:vAlign w:val="bottom"/>
          </w:tcPr>
          <w:p>
            <w:pPr>
              <w:spacing w:after="0"/>
              <w:rPr>
                <w:sz w:val="1"/>
                <w:szCs w:val="1"/>
                <w:color w:val="auto"/>
              </w:rPr>
            </w:pPr>
          </w:p>
        </w:tc>
      </w:tr>
      <w:tr>
        <w:trPr>
          <w:trHeight w:val="933"/>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Operating Results:</w:t>
            </w:r>
          </w:p>
        </w:tc>
        <w:tc>
          <w:tcPr>
            <w:tcW w:w="3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Net investment income</w:t>
            </w:r>
          </w:p>
        </w:tc>
        <w:tc>
          <w:tcPr>
            <w:tcW w:w="30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w:t>
            </w:r>
          </w:p>
        </w:tc>
        <w:tc>
          <w:tcPr>
            <w:tcW w:w="0" w:type="dxa"/>
            <w:vAlign w:val="bottom"/>
          </w:tcPr>
          <w:p>
            <w:pPr>
              <w:spacing w:after="0"/>
              <w:rPr>
                <w:sz w:val="1"/>
                <w:szCs w:val="1"/>
                <w:color w:val="auto"/>
              </w:rPr>
            </w:pPr>
          </w:p>
        </w:tc>
      </w:tr>
      <w:tr>
        <w:trPr>
          <w:trHeight w:val="270"/>
        </w:trPr>
        <w:tc>
          <w:tcPr>
            <w:tcW w:w="70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Net investment income per share</w:t>
            </w:r>
          </w:p>
        </w:tc>
        <w:tc>
          <w:tcPr>
            <w:tcW w:w="30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0.29</w:t>
            </w:r>
          </w:p>
        </w:tc>
        <w:tc>
          <w:tcPr>
            <w:tcW w:w="0" w:type="dxa"/>
            <w:vAlign w:val="bottom"/>
          </w:tcPr>
          <w:p>
            <w:pPr>
              <w:spacing w:after="0"/>
              <w:rPr>
                <w:sz w:val="1"/>
                <w:szCs w:val="1"/>
                <w:color w:val="auto"/>
              </w:rPr>
            </w:pPr>
          </w:p>
        </w:tc>
      </w:tr>
      <w:tr>
        <w:trPr>
          <w:trHeight w:val="282"/>
        </w:trPr>
        <w:tc>
          <w:tcPr>
            <w:tcW w:w="70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Distributions declared per share</w:t>
            </w:r>
          </w:p>
        </w:tc>
        <w:tc>
          <w:tcPr>
            <w:tcW w:w="30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0.285</w:t>
            </w:r>
          </w:p>
        </w:tc>
        <w:tc>
          <w:tcPr>
            <w:tcW w:w="0" w:type="dxa"/>
            <w:vAlign w:val="bottom"/>
          </w:tcPr>
          <w:p>
            <w:pPr>
              <w:spacing w:after="0"/>
              <w:rPr>
                <w:sz w:val="1"/>
                <w:szCs w:val="1"/>
                <w:color w:val="auto"/>
              </w:rPr>
            </w:pPr>
          </w:p>
        </w:tc>
      </w:tr>
      <w:tr>
        <w:trPr>
          <w:trHeight w:val="528"/>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PFLT Portfolio Activity:</w:t>
            </w:r>
          </w:p>
        </w:tc>
        <w:tc>
          <w:tcPr>
            <w:tcW w:w="3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Purchases of investments</w:t>
            </w:r>
          </w:p>
        </w:tc>
        <w:tc>
          <w:tcPr>
            <w:tcW w:w="30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113.2</w:t>
            </w:r>
          </w:p>
        </w:tc>
        <w:tc>
          <w:tcPr>
            <w:tcW w:w="0" w:type="dxa"/>
            <w:vAlign w:val="bottom"/>
          </w:tcPr>
          <w:p>
            <w:pPr>
              <w:spacing w:after="0"/>
              <w:rPr>
                <w:sz w:val="1"/>
                <w:szCs w:val="1"/>
                <w:color w:val="auto"/>
              </w:rPr>
            </w:pPr>
          </w:p>
        </w:tc>
      </w:tr>
      <w:tr>
        <w:trPr>
          <w:trHeight w:val="282"/>
        </w:trPr>
        <w:tc>
          <w:tcPr>
            <w:tcW w:w="70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Sales and repayments of investments</w:t>
            </w:r>
          </w:p>
        </w:tc>
        <w:tc>
          <w:tcPr>
            <w:tcW w:w="30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103.9</w:t>
            </w:r>
          </w:p>
        </w:tc>
        <w:tc>
          <w:tcPr>
            <w:tcW w:w="0" w:type="dxa"/>
            <w:vAlign w:val="bottom"/>
          </w:tcPr>
          <w:p>
            <w:pPr>
              <w:spacing w:after="0"/>
              <w:rPr>
                <w:sz w:val="1"/>
                <w:szCs w:val="1"/>
                <w:color w:val="auto"/>
              </w:rPr>
            </w:pPr>
          </w:p>
        </w:tc>
      </w:tr>
      <w:tr>
        <w:trPr>
          <w:trHeight w:val="528"/>
        </w:trPr>
        <w:tc>
          <w:tcPr>
            <w:tcW w:w="70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Number of new portfolio companies invested</w:t>
            </w:r>
          </w:p>
        </w:tc>
        <w:tc>
          <w:tcPr>
            <w:tcW w:w="30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70"/>
        </w:trPr>
        <w:tc>
          <w:tcPr>
            <w:tcW w:w="70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Number of existing portfolio companies invested</w:t>
            </w:r>
          </w:p>
        </w:tc>
        <w:tc>
          <w:tcPr>
            <w:tcW w:w="30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0" w:type="dxa"/>
            <w:vAlign w:val="bottom"/>
          </w:tcPr>
          <w:p>
            <w:pPr>
              <w:spacing w:after="0"/>
              <w:rPr>
                <w:sz w:val="1"/>
                <w:szCs w:val="1"/>
                <w:color w:val="auto"/>
              </w:rPr>
            </w:pPr>
          </w:p>
        </w:tc>
      </w:tr>
      <w:tr>
        <w:trPr>
          <w:trHeight w:val="282"/>
        </w:trPr>
        <w:tc>
          <w:tcPr>
            <w:tcW w:w="70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Number of ending portfolio companies</w:t>
            </w:r>
          </w:p>
        </w:tc>
        <w:tc>
          <w:tcPr>
            <w:tcW w:w="30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c>
          <w:tcPr>
            <w:tcW w:w="0" w:type="dxa"/>
            <w:vAlign w:val="bottom"/>
          </w:tcPr>
          <w:p>
            <w:pPr>
              <w:spacing w:after="0"/>
              <w:rPr>
                <w:sz w:val="1"/>
                <w:szCs w:val="1"/>
                <w:color w:val="auto"/>
              </w:rPr>
            </w:pPr>
          </w:p>
        </w:tc>
      </w:tr>
      <w:tr>
        <w:trPr>
          <w:trHeight w:val="528"/>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PSSL Portfolio Activity:</w:t>
            </w:r>
          </w:p>
        </w:tc>
        <w:tc>
          <w:tcPr>
            <w:tcW w:w="3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Purchases of investments</w:t>
            </w:r>
          </w:p>
        </w:tc>
        <w:tc>
          <w:tcPr>
            <w:tcW w:w="30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67.5</w:t>
            </w:r>
          </w:p>
        </w:tc>
        <w:tc>
          <w:tcPr>
            <w:tcW w:w="0" w:type="dxa"/>
            <w:vAlign w:val="bottom"/>
          </w:tcPr>
          <w:p>
            <w:pPr>
              <w:spacing w:after="0"/>
              <w:rPr>
                <w:sz w:val="1"/>
                <w:szCs w:val="1"/>
                <w:color w:val="auto"/>
              </w:rPr>
            </w:pPr>
          </w:p>
        </w:tc>
      </w:tr>
      <w:tr>
        <w:trPr>
          <w:trHeight w:val="282"/>
        </w:trPr>
        <w:tc>
          <w:tcPr>
            <w:tcW w:w="70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Sales and repayments of investments</w:t>
            </w:r>
          </w:p>
        </w:tc>
        <w:tc>
          <w:tcPr>
            <w:tcW w:w="30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right="20" w:firstLine="8"/>
        <w:spacing w:after="0" w:line="195" w:lineRule="auto"/>
        <w:tabs>
          <w:tab w:leader="none" w:pos="287" w:val="left"/>
        </w:tabs>
        <w:numPr>
          <w:ilvl w:val="0"/>
          <w:numId w:val="3"/>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Includes investments in PennantPark Senior Secured Loan Fund I LLC, or PSSL, an unconsolidated joint venture, totaling $225.7 million, at fair value.</w:t>
      </w:r>
    </w:p>
    <w:p>
      <w:pPr>
        <w:spacing w:after="0" w:line="16" w:lineRule="exact"/>
        <w:rPr>
          <w:rFonts w:ascii="Times New Roman" w:cs="Times New Roman" w:eastAsia="Times New Roman" w:hAnsi="Times New Roman"/>
          <w:sz w:val="35"/>
          <w:szCs w:val="35"/>
          <w:color w:val="auto"/>
          <w:vertAlign w:val="superscript"/>
        </w:rPr>
      </w:pPr>
    </w:p>
    <w:p>
      <w:pPr>
        <w:jc w:val="both"/>
        <w:ind w:firstLine="8"/>
        <w:spacing w:after="0" w:line="276" w:lineRule="auto"/>
        <w:tabs>
          <w:tab w:leader="none" w:pos="270" w:val="left"/>
        </w:tabs>
        <w:numPr>
          <w:ilvl w:val="0"/>
          <w:numId w:val="3"/>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20"/>
          <w:szCs w:val="20"/>
          <w:color w:val="auto"/>
        </w:rPr>
        <w:t>This is a non-GAAP financial measure. The Company believes that this number provides useful information to investors and management because it reflects the Company’s financial performance excluding the impact of the $8.5 million unrealized loss on our multi-currency senior secured revolving credit facility, as amended and restated, with Truist Bank (formerly SunTrust Bank) and other lenders, or the Credit Facility, and our 4.3% Series A notes due 2023, or the 2023 Notes. The presentation of this additional information is not meant to be considered in isolation or as a substitute for financial results prepared in accordance with GAAP.</w:t>
      </w:r>
    </w:p>
    <w:p>
      <w:pPr>
        <w:spacing w:after="0" w:line="17" w:lineRule="exact"/>
        <w:rPr>
          <w:rFonts w:ascii="Times New Roman" w:cs="Times New Roman" w:eastAsia="Times New Roman" w:hAnsi="Times New Roman"/>
          <w:sz w:val="33"/>
          <w:szCs w:val="33"/>
          <w:color w:val="auto"/>
          <w:vertAlign w:val="superscript"/>
        </w:rPr>
      </w:pPr>
    </w:p>
    <w:p>
      <w:pPr>
        <w:jc w:val="both"/>
        <w:ind w:firstLine="8"/>
        <w:spacing w:after="0" w:line="219" w:lineRule="auto"/>
        <w:tabs>
          <w:tab w:leader="none" w:pos="270" w:val="left"/>
        </w:tabs>
        <w:numPr>
          <w:ilvl w:val="0"/>
          <w:numId w:val="3"/>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20"/>
          <w:szCs w:val="20"/>
          <w:color w:val="auto"/>
        </w:rPr>
        <w:t>This is a non-GAAP financial measure. The Company believes that this number provides useful information to investors and management because it reflects the Company’s financial performance net of $50.1 million of cash and cash equivalents. The presentation of this additional information is not meant to be considered in isolation or as a substitute for financial results</w:t>
      </w:r>
    </w:p>
    <w:p>
      <w:pPr>
        <w:sectPr>
          <w:pgSz w:w="11900" w:h="16838" w:orient="portrait"/>
          <w:cols w:equalWidth="0" w:num="1">
            <w:col w:w="11240"/>
          </w:cols>
          <w:pgMar w:left="320" w:top="108"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prepared in accordance with GAAP.</w:t>
      </w:r>
    </w:p>
    <w:p>
      <w:pPr>
        <w:spacing w:after="0" w:line="45" w:lineRule="exact"/>
        <w:rPr>
          <w:sz w:val="20"/>
          <w:szCs w:val="20"/>
          <w:color w:val="auto"/>
        </w:rPr>
      </w:pPr>
    </w:p>
    <w:p>
      <w:pPr>
        <w:jc w:val="both"/>
        <w:ind w:firstLine="8"/>
        <w:spacing w:after="0" w:line="226" w:lineRule="auto"/>
        <w:tabs>
          <w:tab w:leader="none" w:pos="270" w:val="left"/>
        </w:tabs>
        <w:numPr>
          <w:ilvl w:val="0"/>
          <w:numId w:val="4"/>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20"/>
          <w:szCs w:val="20"/>
          <w:color w:val="auto"/>
        </w:rPr>
        <w:t>This is a non-GAAP financial measure. The Company believes that this number provides useful information to investors and management because it reflects the Company’s financial performance including the impact of the $8.5 million unrealized loss on the Credit Facility and the 2023 Notes net of $50.1 million of cash and cash equivalents. The presentation of this additional information is not meant to be considered in isolation or as a substitute for financial results prepared in accordance with GAAP.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AT 9:00 A.M. ET ON MAY 5, 2022</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PennantPark Floating Rate Capital Ltd. (“we,” “our,” “us” or the “Company”) will also host a conference call at 9:00 a.m. (Eastern Time) on Thursday May 5, 2022 to discuss its financial results. All interested parties are welcome to participate. You can access the conference call by dialing toll-free (866) 548-4713 approximately 5-10 minutes prior to the call. International callers should dial (323) 794-2093. All callers should reference conference ID #5639720 or PennantPark Floating Rate Capital Ltd. An archived replay of the call will be available through May 19, 2022, by calling toll-free (888) 203-1112. International callers please dial (719) 457-0820. For all phone replays, please reference conference ID #5639720.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PORTFOLIO AND INVESTMENT ACTIVITY</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“In this market environment we are pleased to be focused on lower risk, first lien senior secured floating rate loans to U.S. companies, which are positioned to preserve capital and protect against rising inflation and interest rates. We believe that we are an important strategic capital partner who can fuel growth for companies in the core middle market,” said Art Penn, Chairman and CEO. “Our substantially upsized PSSL joint venture is positioned to generate growing Net Investment Income for PFLT.”</w:t>
      </w:r>
    </w:p>
    <w:p>
      <w:pPr>
        <w:spacing w:after="0" w:line="16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As of March 31, 2022, our portfolio totaled $1,192.6 million, and consisted of $1,031.9 million of first lien secured debt (including $170.3 million in PSSL), $1.0 million of second lien secured debt and $159.6 million of preferred and common equity (including $55.4 million in PSSL). Our debt portfolio consisted of 100% variable-rate investments. As of March 31, 2022, we had two portfolio companies on non-accrual, representing 2.5% and 2.3% of our overall portfolio on a cost and fair value basis, respectively. Overall, the portfolio had net unrealized appreciation of $25.4 million. Our overall portfolio consisted of 119 companies with an average investment size of $10.0 million, had a weighted average yield on debt investments of 7.5%, and was invested 87% in first lien secured debt (including 14% in PSSL), less than 1% in second lien secured debt and 13% in preferred and common equity (including 5% in PSSL). As of March 31, 2022, 99.5% of the investments held by PSSL were first lien secured debt.</w:t>
      </w:r>
    </w:p>
    <w:p>
      <w:pPr>
        <w:spacing w:after="0" w:line="183"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As of September 30, 2021, our portfolio totaled $1,081.6 million, and consisted of $934.4 million of first lien secured debt (including $140.9 million in PSSL), $8.9 million of second lien secured debt and $138.3 million of preferred and common equity (including $44.9 million in PSSL). Our debt portfolio consisted of 99% variable-rate investments. As of September 30, 2021, we had two portfolio companies on non-accrual, representing 2.7% and 2.6% of our overall portfolio on a cost and fair value basis, respectively. Overall, the portfolio had net unrealized depreciation of $11.0 million. Our overall portfolio consisted of 110 companies with an average investment size of $9.8 million, had a weighted average yield on debt investments of 7.4%, and was invested 86% in first lien secured debt (including 13% in PSSL), 1% in second lien secured debt and 13% in preferred and common equity (including 4% in PSSL). As of September 30, 2021, 99% of the investments held by PSSL were first lien secured debt.</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the three months ended March 31, 2022, we invested $113.2 million in seven new and 29 existing portfolio companies with a weighted average yield on debt investments of 7.2%. Sales and repayments of investments for the three months ended March 31, 2022 totaled $103.9 million. For the six months ended March 31, 2022, we invested $448.4 million in 23 new and 65 existing portfolio companies with a weighted average yield on debt investments of 7.7%. Sales and repayments of investments for the totaled $342.2 million.</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the three months ended March 31, 2021, we invested $160.2 million in four new and 17 existing portfolio companies with a weighted average yield on debt investments of 7.4%. Sales and repayments of investments for the three months ended March 31, 2021 totaled $172.1 million. For the six months ended March 31, 2021, we invested $227.2 million in nine new and 34 existing portfolio companies with a weighted average yield on debt investments of 7.4%. Sales and repayments of investments for the totaled $281.7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PennantPark Senior Secured Loan Fund I LLC</w:t>
      </w:r>
    </w:p>
    <w:p>
      <w:pPr>
        <w:spacing w:after="0" w:line="210" w:lineRule="exact"/>
        <w:rPr>
          <w:sz w:val="20"/>
          <w:szCs w:val="20"/>
          <w:color w:val="auto"/>
        </w:rPr>
      </w:pPr>
    </w:p>
    <w:p>
      <w:pPr>
        <w:jc w:val="both"/>
        <w:ind w:right="80"/>
        <w:spacing w:after="0" w:line="239" w:lineRule="auto"/>
        <w:rPr>
          <w:sz w:val="20"/>
          <w:szCs w:val="20"/>
          <w:color w:val="auto"/>
        </w:rPr>
      </w:pPr>
      <w:r>
        <w:rPr>
          <w:rFonts w:ascii="Times New Roman" w:cs="Times New Roman" w:eastAsia="Times New Roman" w:hAnsi="Times New Roman"/>
          <w:sz w:val="22"/>
          <w:szCs w:val="22"/>
          <w:color w:val="auto"/>
        </w:rPr>
        <w:t>As of March 31, 2022, PSSL’s portfolio totaled $705.0 million and consisted of 87 companies with an average investment size of $8.1 million and had a weighted average yield on debt investments of 7.4%. As of September 30, 2021, PSSL’s portfolio totaled $564.8 million and consisted of 74 companies with an average investment size of $7.6 million and had a weighted average yield on debt investments of 7.1%.</w:t>
      </w:r>
    </w:p>
    <w:p>
      <w:pPr>
        <w:spacing w:after="0" w:line="18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For the three months ended March 31, 2022, PSSL invested $67.5 million (including $57.7 million purchased from the Company) in nine new and two existing portfolio companies with a weighted average yield on debt investments of 7.2%. Sales and repayments of investments for the three months ended March 31, 2022 totaled $5.3 million. For the six months ended March 31, 2022, PSSL invested $197.1 million (including $180.4 million purchased from the Company) in 21 new and eight existing portfolio companies with a weighted average yield on debt investments of 7.8%. Sales and repayments of investments for the six months ended March 31, 2022 totaled $55.7 million.</w:t>
      </w:r>
    </w:p>
    <w:p>
      <w:pPr>
        <w:sectPr>
          <w:pgSz w:w="11900" w:h="16838" w:orient="portrait"/>
          <w:cols w:equalWidth="0" w:num="1">
            <w:col w:w="11240"/>
          </w:cols>
          <w:pgMar w:left="320" w:top="112" w:right="339" w:bottom="89" w:gutter="0" w:footer="0" w:header="0"/>
        </w:sectPr>
      </w:pPr>
    </w:p>
    <w:bookmarkStart w:id="5" w:name="page6"/>
    <w:bookmarkEnd w:id="5"/>
    <w:p>
      <w:pPr>
        <w:spacing w:after="0" w:line="236" w:lineRule="auto"/>
        <w:rPr>
          <w:sz w:val="20"/>
          <w:szCs w:val="20"/>
          <w:color w:val="auto"/>
        </w:rPr>
      </w:pPr>
      <w:r>
        <w:rPr>
          <w:rFonts w:ascii="Times New Roman" w:cs="Times New Roman" w:eastAsia="Times New Roman" w:hAnsi="Times New Roman"/>
          <w:sz w:val="22"/>
          <w:szCs w:val="22"/>
          <w:color w:val="auto"/>
        </w:rPr>
        <w:t>For the three months ended March 31, 2021, PSSL invested $128.7 million (including $125.2 million purchased from the Company) in 24 new and six existing portfolio companies with a weighted average yield on debt investments of 7.3%. Sales and repayments of investments for the three months ended March 31, 2021 totaled $29.6 million. For the six months ended March 31, 2021, PSSL invested $144.1 million (including $125.2 million purchased from the Company) in 24 new and 11 existing portfolio companies with a weighted average yield on debt investments of 7.4%. Sales and repayments of investments for the six months ended March 31, 2021 totaled $60.2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 forth below are the results of operations for the three and six months ended March 31, 2022 and 2021.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 Income</w:t>
      </w:r>
    </w:p>
    <w:p>
      <w:pPr>
        <w:spacing w:after="0" w:line="21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Investment income for the three and six months ended March 31, 2022 was $24.6 million and $51.0 million, respectively, which was attributable to $19.9 million and $42.9 million from first lien secured debt and $4.7 million and $8.1 million from other investments, respectively. This compares to investment income for the three and six months ended March 31, 2021 was $19.4 million and $40.2 million, respectively, which was attributable to $16.6 million and $35.3 million from first lien secured debt and $2.9 million and $4.9 million from other investments, respectively. The increase in investment income compared to the same periods in the prior year was primarily due to an increase the size of our portfolio.</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Expenses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Expenses for the three and six months ended March 31, 2022 totaled $13.3 million and $26.9 million, respectively. Base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management fee for the same periods totaled $2.9 million and $5.8 million, incentive fee totaled $2.7 million and $5.9 million,</w:t>
      </w:r>
    </w:p>
    <w:p>
      <w:pPr>
        <w:spacing w:after="0" w:line="230" w:lineRule="auto"/>
        <w:rPr>
          <w:sz w:val="20"/>
          <w:szCs w:val="20"/>
          <w:color w:val="auto"/>
        </w:rPr>
      </w:pPr>
      <w:r>
        <w:rPr>
          <w:rFonts w:ascii="Times New Roman" w:cs="Times New Roman" w:eastAsia="Times New Roman" w:hAnsi="Times New Roman"/>
          <w:sz w:val="22"/>
          <w:szCs w:val="22"/>
          <w:color w:val="auto"/>
        </w:rPr>
        <w:t>debt related interest and expenses totaled $6.7 million and $13.3 million and general and administrative expenses totaled $0.8</w:t>
      </w:r>
    </w:p>
    <w:p>
      <w:pPr>
        <w:spacing w:after="0" w:line="231" w:lineRule="auto"/>
        <w:rPr>
          <w:sz w:val="20"/>
          <w:szCs w:val="20"/>
          <w:color w:val="auto"/>
        </w:rPr>
      </w:pPr>
      <w:r>
        <w:rPr>
          <w:rFonts w:ascii="Times New Roman" w:cs="Times New Roman" w:eastAsia="Times New Roman" w:hAnsi="Times New Roman"/>
          <w:sz w:val="22"/>
          <w:szCs w:val="22"/>
          <w:color w:val="auto"/>
        </w:rPr>
        <w:t>million and $1.6 million, respectively. Expenses for the three and six months ended March 31, 2021 totaled $9.5 million and</w:t>
      </w:r>
    </w:p>
    <w:p>
      <w:pPr>
        <w:spacing w:after="0"/>
        <w:rPr>
          <w:sz w:val="20"/>
          <w:szCs w:val="20"/>
          <w:color w:val="auto"/>
        </w:rPr>
      </w:pPr>
      <w:r>
        <w:rPr>
          <w:rFonts w:ascii="Times New Roman" w:cs="Times New Roman" w:eastAsia="Times New Roman" w:hAnsi="Times New Roman"/>
          <w:sz w:val="21"/>
          <w:szCs w:val="21"/>
          <w:color w:val="auto"/>
        </w:rPr>
        <w:t>$20.1 million, respectively. Base management fee for the same periods totaled $2.6 million and $5.3 million, incentive fee totaled</w:t>
      </w:r>
    </w:p>
    <w:p>
      <w:pPr>
        <w:spacing w:after="0" w:line="231" w:lineRule="auto"/>
        <w:rPr>
          <w:sz w:val="20"/>
          <w:szCs w:val="20"/>
          <w:color w:val="auto"/>
        </w:rPr>
      </w:pPr>
      <w:r>
        <w:rPr>
          <w:rFonts w:ascii="Times New Roman" w:cs="Times New Roman" w:eastAsia="Times New Roman" w:hAnsi="Times New Roman"/>
          <w:sz w:val="22"/>
          <w:szCs w:val="22"/>
          <w:color w:val="auto"/>
        </w:rPr>
        <w:t>$1.3 million and $3.1 million, debt related interest and expenses totaled $4.8 million and $10.1 million and general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administrative expenses totaled $0.7 million and $1.4 million, respectively. The increase in expenses for the three and six months</w:t>
      </w:r>
    </w:p>
    <w:p>
      <w:pPr>
        <w:spacing w:after="0" w:line="231" w:lineRule="auto"/>
        <w:rPr>
          <w:sz w:val="20"/>
          <w:szCs w:val="20"/>
          <w:color w:val="auto"/>
        </w:rPr>
      </w:pPr>
      <w:r>
        <w:rPr>
          <w:rFonts w:ascii="Times New Roman" w:cs="Times New Roman" w:eastAsia="Times New Roman" w:hAnsi="Times New Roman"/>
          <w:sz w:val="22"/>
          <w:szCs w:val="22"/>
          <w:color w:val="auto"/>
        </w:rPr>
        <w:t>ended March 31, 2022 compared to the same period in the prior year was primarily due to an increase in performance-based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incentive fees and debt-related interest and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Investment Income</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Net investment income totaled $11.4 million and $24.1 million, or $0.29 and $0.61 per share, for the three and six months ended March 31, 2022, respectively. Net investment income totaled $9.9 million and $20.0 million, or $0.26 and $0.52 per share, for the three and six months ended March 31, 2021,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Realized Gains or Losses</w:t>
      </w:r>
    </w:p>
    <w:p>
      <w:pPr>
        <w:spacing w:after="0" w:line="21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Sales and repayments of investments for the three and six months ended March 31, 2022 totaled $103.9 million and $342.2 million, respectively, and net realized losses totaled $15.5 million and $12.3 million, respectively. Sales and repayments of investments for the three and six months ended March 31, 2021 totaled $172.1 million and $281.7 million, respectively, and net realized gains (losses) totaled $0.5 million and ($2.3) million, respectively. The change in realized gains/losses was primarily due to changes in the market conditions of our investments and the values at which they were realized.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Unrealized Appreciation or Depreciation on Investments, the Credit Facility and the 2023 Notes</w:t>
      </w:r>
    </w:p>
    <w:p>
      <w:pPr>
        <w:spacing w:after="0" w:line="21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For the three and six months ended March 31, 2022, we reported net change in unrealized appreciation on investments of $17.5 million and $14.0 million, respectively. For the three and six months ended March 31, 2021, we reported net change in unrealized appreciation on investments of $11.8 million and $34.6 million, respectively. As of March 31, 2022 and September 30, 2021, our net unrealized appreciation on investments totaled $25.4 million and $11.0 million, respectively. The net change in unrealized appreciation on our investments compared to the same period in the prior year was primarily due to changes in the market conditions of our investments and the values at which they were held.</w:t>
      </w:r>
    </w:p>
    <w:p>
      <w:pPr>
        <w:spacing w:after="0" w:line="181"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2"/>
          <w:szCs w:val="22"/>
          <w:color w:val="auto"/>
        </w:rPr>
        <w:t>For the three and six months ended March 31, 2022, the Credit Facility and the 2023 Notes had a net change in unrealized (appreciation) depreciation of $(2.4) million and $1.2 million, respectively. For the three and six months ended March 31, 2021, the Credit Facility and the 2023 Notes had a net change in unrealized (appreciation) of $(10.5) million and $(14.5) million, respectively. As of March 31, 2022 and September 30, 2021, the net unrealized depreciation on the Credit Facility and the 2023 Notes totaled $8.5 million and $7.2 million, respectively. The net change in net unrealized depreciation compared to the same period in the prior year was primarily due to changes in the capital markets.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Change in Net Assets Resulting from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 increase in net assets resulting from operations totaled $7.2 million and $21.7 million, or $0.18 and $0.55 per share,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respectively, for the three and six months ended March 31, 2022. Net increase in net assets resulting from operations totaled</w:t>
      </w:r>
    </w:p>
    <w:p>
      <w:pPr>
        <w:spacing w:after="0"/>
        <w:rPr>
          <w:sz w:val="20"/>
          <w:szCs w:val="20"/>
          <w:color w:val="auto"/>
        </w:rPr>
      </w:pPr>
      <w:r>
        <w:rPr>
          <w:rFonts w:ascii="Times New Roman" w:cs="Times New Roman" w:eastAsia="Times New Roman" w:hAnsi="Times New Roman"/>
          <w:sz w:val="21"/>
          <w:szCs w:val="21"/>
          <w:color w:val="auto"/>
        </w:rPr>
        <w:t>$11.7 million and $37.8 million, or $0.30 and $0.98 per share, respectively, for the three and six months ended March 31, 2021.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decrease in the net change in net assets from operations for the three and six months ended March 31, 2022 compared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same period in the prior year was primarily due to a lower realized and unrealized change in our investment and debt.</w:t>
      </w:r>
    </w:p>
    <w:p>
      <w:pPr>
        <w:sectPr>
          <w:pgSz w:w="11900" w:h="16838" w:orient="portrait"/>
          <w:cols w:equalWidth="0" w:num="1">
            <w:col w:w="11220"/>
          </w:cols>
          <w:pgMar w:left="320" w:top="111" w:right="35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1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For more information on how the COVID-19 pandemic may impact our ability to comply with the covenants of the Credit Facility, see our Quarterly Report on Form 10-Q for the quarter ended March 31, 2022, including “Item 2. Management's Discussion and Analysis of Financial Condition and Results of Operations – COVID-19 Developments”.</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annualized weighted average cost of debt for the six months ended March 31, 2022 and 2021, inclusive of the fee on the undrawn commitment on the Credit Facility, amendment costs and debt issuance costs, was 3.2% and 3.4%, respectively. As of March 31, 2022 and September 30, 2021, we had $50.3 million and $80.6 million of unused borrowing capacity under the Credit Facility or our Prior Credit Facility, as applicable, respectively, subject to leverage and borrowing base restrictions.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of March 31, 2022 and September 30, 2021, our wholly owned subsidiary, PennantPark Floating Rate Funding I, LLC, borrowed $249.7 million and $219.4 million under the Credit Facility, respectively. The Credit Facility had a weighted average interest rate of 2.5% and 2.3%, exclusive of the fee on undrawn commitments as of March 31, 2022 and September 30, 2021, respectively.</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of March 31, 2022 and September 30, 2021, we had cash equivalents of $50.1 million and $49.8 million, respectively, available for investing and general corporate purposes. We believe our liquidity and capital resources are sufficient to take advantage of market opportunities.</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Our operating activities used cash of $102.0 million for the six months ended March 31, 2022, and our financing activities provided cash of $101.6 million for the same period. Our operating activities used cash primarily for our investment activities and our financing activities provided cash primarily due to the issuance of $85 million of our 2026 Add-on Notes, borrowings under our Credit Facility and proceeds from the ATM.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Our operating activities provided cash of $117.8 million for the six months ended March 31, 2021, and our financing activities used cash of $107.7 million for the same period. Our operating activities provided cash primarily from our investment activities and our financing activities used cash primarily to pay down our Credit Facility, partially offset by the 2026 Notes issuance.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May 2, 2022, the PSSL Credit Facility was amended to, among other things, to allow PSSL Subsidiary II to borrow up to</w:t>
      </w:r>
    </w:p>
    <w:p>
      <w:pPr>
        <w:spacing w:after="0" w:line="14" w:lineRule="exact"/>
        <w:rPr>
          <w:sz w:val="20"/>
          <w:szCs w:val="20"/>
          <w:color w:val="auto"/>
        </w:rPr>
      </w:pPr>
    </w:p>
    <w:p>
      <w:pPr>
        <w:ind w:right="160"/>
        <w:spacing w:after="0" w:line="424" w:lineRule="auto"/>
        <w:rPr>
          <w:sz w:val="20"/>
          <w:szCs w:val="20"/>
          <w:color w:val="auto"/>
        </w:rPr>
      </w:pPr>
      <w:r>
        <w:rPr>
          <w:rFonts w:ascii="Times New Roman" w:cs="Times New Roman" w:eastAsia="Times New Roman" w:hAnsi="Times New Roman"/>
          <w:sz w:val="22"/>
          <w:szCs w:val="22"/>
          <w:color w:val="auto"/>
        </w:rPr>
        <w:t xml:space="preserve">$325.0 million (increased from $225.0 million) at any one time outstanding, subject to leverage and borrowing base restrictions. </w:t>
      </w:r>
      <w:r>
        <w:rPr>
          <w:rFonts w:ascii="Times New Roman" w:cs="Times New Roman" w:eastAsia="Times New Roman" w:hAnsi="Times New Roman"/>
          <w:sz w:val="22"/>
          <w:szCs w:val="22"/>
          <w:b w:val="1"/>
          <w:bCs w:val="1"/>
          <w:color w:val="auto"/>
        </w:rPr>
        <w:t>DISTRIBUTIONS</w:t>
      </w:r>
    </w:p>
    <w:p>
      <w:pPr>
        <w:ind w:right="60"/>
        <w:spacing w:after="0" w:line="235" w:lineRule="auto"/>
        <w:rPr>
          <w:sz w:val="20"/>
          <w:szCs w:val="20"/>
          <w:color w:val="auto"/>
        </w:rPr>
      </w:pPr>
      <w:r>
        <w:rPr>
          <w:rFonts w:ascii="Times New Roman" w:cs="Times New Roman" w:eastAsia="Times New Roman" w:hAnsi="Times New Roman"/>
          <w:sz w:val="22"/>
          <w:szCs w:val="22"/>
          <w:color w:val="auto"/>
        </w:rPr>
        <w:t>During the three and six months ended March 31, 2022, we declared distributions of $0.285 and $0.57 per share, respectively, for total distributions of $11.3 and $22.4 million, respectively. During the three and six months ended March 31, 2021, we declared distributions of $0.285 and $0.57 per share, respectively, for total distributions of $11.1 and $22.1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AVAILABLE INFORMATION</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 xml:space="preserve">The Company makes available on its website its Quarterly Report on Form 10-Q filed with the SEC, and stockholders may find such report on its website at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PENNANTPARK FLOATING RATE CAPITAL LTD. AND SUBSIDIARIES CONSOLIDATED STATEMENTS OF ASSETS AND LIABILITIES (in thousands, except per share data)</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8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7"/>
              </w:rPr>
              <w:t>March 31,</w:t>
            </w: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w w:val="98"/>
              </w:rPr>
              <w:t>September 30,</w:t>
            </w:r>
          </w:p>
        </w:tc>
        <w:tc>
          <w:tcPr>
            <w:tcW w:w="0" w:type="dxa"/>
            <w:vAlign w:val="bottom"/>
          </w:tcPr>
          <w:p>
            <w:pPr>
              <w:spacing w:after="0"/>
              <w:rPr>
                <w:sz w:val="1"/>
                <w:szCs w:val="1"/>
                <w:color w:val="auto"/>
              </w:rPr>
            </w:pPr>
          </w:p>
        </w:tc>
      </w:tr>
      <w:tr>
        <w:trPr>
          <w:trHeight w:val="286"/>
        </w:trPr>
        <w:tc>
          <w:tcPr>
            <w:tcW w:w="8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5"/>
              </w:rPr>
              <w:t>2022</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2021</w:t>
            </w:r>
          </w:p>
        </w:tc>
        <w:tc>
          <w:tcPr>
            <w:tcW w:w="0" w:type="dxa"/>
            <w:vAlign w:val="bottom"/>
          </w:tcPr>
          <w:p>
            <w:pPr>
              <w:spacing w:after="0"/>
              <w:rPr>
                <w:sz w:val="1"/>
                <w:szCs w:val="1"/>
                <w:color w:val="auto"/>
              </w:rPr>
            </w:pPr>
          </w:p>
        </w:tc>
      </w:tr>
      <w:tr>
        <w:trPr>
          <w:trHeight w:val="265"/>
        </w:trPr>
        <w:tc>
          <w:tcPr>
            <w:tcW w:w="81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(unaudited)</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81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Investments at fair value</w:t>
            </w: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Non-controlled, non-affiliated investments (cost— $901,437 and $824,542, respectively</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933,041</w:t>
            </w:r>
          </w:p>
        </w:tc>
        <w:tc>
          <w:tcPr>
            <w:tcW w:w="200" w:type="dxa"/>
            <w:vAlign w:val="bottom"/>
          </w:tcPr>
          <w:p>
            <w:pPr>
              <w:spacing w:after="0"/>
              <w:rPr>
                <w:sz w:val="23"/>
                <w:szCs w:val="23"/>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856,806</w:t>
            </w: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Non-controlled, affiliated investments (cost— $ — and $22,380, respectively</w:t>
            </w:r>
          </w:p>
        </w:tc>
        <w:tc>
          <w:tcPr>
            <w:tcW w:w="14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7,433</w:t>
            </w:r>
          </w:p>
        </w:tc>
        <w:tc>
          <w:tcPr>
            <w:tcW w:w="0" w:type="dxa"/>
            <w:vAlign w:val="bottom"/>
          </w:tcPr>
          <w:p>
            <w:pPr>
              <w:spacing w:after="0"/>
              <w:rPr>
                <w:sz w:val="1"/>
                <w:szCs w:val="1"/>
                <w:color w:val="auto"/>
              </w:rPr>
            </w:pPr>
          </w:p>
        </w:tc>
      </w:tr>
      <w:tr>
        <w:trPr>
          <w:trHeight w:val="282"/>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Controlled, affiliated investments (cost— $265,824 and $223,714, respectively</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259,571</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217,380</w:t>
            </w:r>
          </w:p>
        </w:tc>
        <w:tc>
          <w:tcPr>
            <w:tcW w:w="0" w:type="dxa"/>
            <w:vAlign w:val="bottom"/>
          </w:tcPr>
          <w:p>
            <w:pPr>
              <w:spacing w:after="0"/>
              <w:rPr>
                <w:sz w:val="1"/>
                <w:szCs w:val="1"/>
                <w:color w:val="auto"/>
              </w:rPr>
            </w:pPr>
          </w:p>
        </w:tc>
      </w:tr>
      <w:tr>
        <w:trPr>
          <w:trHeight w:val="277"/>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Total investments (cost— $1,167,262 and $1,070,636, respectively</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1,192,613</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1,081,619</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(cost—$50,053 and $49,825, respectively)</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50,064</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49,826</w:t>
            </w:r>
          </w:p>
        </w:tc>
        <w:tc>
          <w:tcPr>
            <w:tcW w:w="80" w:type="dxa"/>
            <w:vAlign w:val="bottom"/>
          </w:tcPr>
          <w:p>
            <w:pPr>
              <w:spacing w:after="0"/>
              <w:rPr>
                <w:sz w:val="23"/>
                <w:szCs w:val="23"/>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Interest receivable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5,316</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5,446</w:t>
            </w:r>
          </w:p>
        </w:tc>
        <w:tc>
          <w:tcPr>
            <w:tcW w:w="80" w:type="dxa"/>
            <w:vAlign w:val="bottom"/>
          </w:tcPr>
          <w:p>
            <w:pPr>
              <w:spacing w:after="0"/>
              <w:rPr>
                <w:sz w:val="23"/>
                <w:szCs w:val="23"/>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Receivable for investments sold</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38,542</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33,966</w:t>
            </w:r>
          </w:p>
        </w:tc>
        <w:tc>
          <w:tcPr>
            <w:tcW w:w="80" w:type="dxa"/>
            <w:vAlign w:val="bottom"/>
          </w:tcPr>
          <w:p>
            <w:pPr>
              <w:spacing w:after="0"/>
              <w:rPr>
                <w:sz w:val="23"/>
                <w:szCs w:val="23"/>
                <w:color w:val="auto"/>
              </w:rPr>
            </w:pPr>
          </w:p>
        </w:tc>
      </w:tr>
      <w:tr>
        <w:trPr>
          <w:trHeight w:val="282"/>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Prepaid expenses and other assets</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1,356</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r>
      <w:tr>
        <w:trPr>
          <w:trHeight w:val="265"/>
        </w:trPr>
        <w:tc>
          <w:tcPr>
            <w:tcW w:w="8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32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1,287,891</w:t>
            </w:r>
          </w:p>
        </w:tc>
        <w:tc>
          <w:tcPr>
            <w:tcW w:w="20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1,170,856</w:t>
            </w:r>
          </w:p>
        </w:tc>
        <w:tc>
          <w:tcPr>
            <w:tcW w:w="80" w:type="dxa"/>
            <w:vAlign w:val="bottom"/>
          </w:tcPr>
          <w:p>
            <w:pPr>
              <w:spacing w:after="0"/>
              <w:rPr>
                <w:sz w:val="23"/>
                <w:szCs w:val="23"/>
                <w:color w:val="auto"/>
              </w:rPr>
            </w:pPr>
          </w:p>
        </w:tc>
      </w:tr>
      <w:tr>
        <w:trPr>
          <w:trHeight w:val="250"/>
        </w:trPr>
        <w:tc>
          <w:tcPr>
            <w:tcW w:w="816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Liabilities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Distributions payable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3,814</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3,690</w:t>
            </w:r>
          </w:p>
        </w:tc>
        <w:tc>
          <w:tcPr>
            <w:tcW w:w="80" w:type="dxa"/>
            <w:vAlign w:val="bottom"/>
          </w:tcPr>
          <w:p>
            <w:pPr>
              <w:spacing w:after="0"/>
              <w:rPr>
                <w:sz w:val="23"/>
                <w:szCs w:val="23"/>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Payable for investments purchased</w:t>
            </w:r>
          </w:p>
        </w:tc>
        <w:tc>
          <w:tcPr>
            <w:tcW w:w="3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13,546</w:t>
            </w:r>
          </w:p>
        </w:tc>
        <w:tc>
          <w:tcPr>
            <w:tcW w:w="80" w:type="dxa"/>
            <w:vAlign w:val="bottom"/>
          </w:tcPr>
          <w:p>
            <w:pPr>
              <w:spacing w:after="0"/>
              <w:rPr>
                <w:sz w:val="23"/>
                <w:szCs w:val="23"/>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Credit Facility payable, at fair value (cost—$249,654 and $219,400, respectively)</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249,910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218,852</w:t>
            </w:r>
          </w:p>
        </w:tc>
        <w:tc>
          <w:tcPr>
            <w:tcW w:w="80" w:type="dxa"/>
            <w:vAlign w:val="bottom"/>
          </w:tcPr>
          <w:p>
            <w:pPr>
              <w:spacing w:after="0"/>
              <w:rPr>
                <w:sz w:val="23"/>
                <w:szCs w:val="23"/>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2023 Notes payable, at fair value (par—$97,006 and $117,793, respectively)</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88,275</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111,114</w:t>
            </w:r>
          </w:p>
        </w:tc>
        <w:tc>
          <w:tcPr>
            <w:tcW w:w="80" w:type="dxa"/>
            <w:vAlign w:val="bottom"/>
          </w:tcPr>
          <w:p>
            <w:pPr>
              <w:spacing w:after="0"/>
              <w:rPr>
                <w:sz w:val="23"/>
                <w:szCs w:val="23"/>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2026 Notes payable, net (par—$185,000 and $100,000, respectively)</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181,888</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97,171</w:t>
            </w:r>
          </w:p>
        </w:tc>
        <w:tc>
          <w:tcPr>
            <w:tcW w:w="80" w:type="dxa"/>
            <w:vAlign w:val="bottom"/>
          </w:tcPr>
          <w:p>
            <w:pPr>
              <w:spacing w:after="0"/>
              <w:rPr>
                <w:sz w:val="23"/>
                <w:szCs w:val="23"/>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2031 Asset-Backed Debt, net (par—$228,000)</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225,813</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225,497</w:t>
            </w:r>
          </w:p>
        </w:tc>
        <w:tc>
          <w:tcPr>
            <w:tcW w:w="80" w:type="dxa"/>
            <w:vAlign w:val="bottom"/>
          </w:tcPr>
          <w:p>
            <w:pPr>
              <w:spacing w:after="0"/>
              <w:rPr>
                <w:sz w:val="23"/>
                <w:szCs w:val="23"/>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Interest payable on debt</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6,975</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5,455</w:t>
            </w:r>
          </w:p>
        </w:tc>
        <w:tc>
          <w:tcPr>
            <w:tcW w:w="80" w:type="dxa"/>
            <w:vAlign w:val="bottom"/>
          </w:tcPr>
          <w:p>
            <w:pPr>
              <w:spacing w:after="0"/>
              <w:rPr>
                <w:sz w:val="23"/>
                <w:szCs w:val="23"/>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Base management fee payable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2,945</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2,707</w:t>
            </w:r>
          </w:p>
        </w:tc>
        <w:tc>
          <w:tcPr>
            <w:tcW w:w="80" w:type="dxa"/>
            <w:vAlign w:val="bottom"/>
          </w:tcPr>
          <w:p>
            <w:pPr>
              <w:spacing w:after="0"/>
              <w:rPr>
                <w:sz w:val="23"/>
                <w:szCs w:val="23"/>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Performance-based incentive fee payable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2,704</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624</w:t>
            </w:r>
          </w:p>
        </w:tc>
        <w:tc>
          <w:tcPr>
            <w:tcW w:w="80" w:type="dxa"/>
            <w:vAlign w:val="bottom"/>
          </w:tcPr>
          <w:p>
            <w:pPr>
              <w:spacing w:after="0"/>
              <w:rPr>
                <w:sz w:val="23"/>
                <w:szCs w:val="23"/>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Deferred tax liability</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5,340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r>
      <w:tr>
        <w:trPr>
          <w:trHeight w:val="282"/>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Accrued other expenses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241</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1,591</w:t>
            </w:r>
          </w:p>
        </w:tc>
        <w:tc>
          <w:tcPr>
            <w:tcW w:w="80" w:type="dxa"/>
            <w:vAlign w:val="bottom"/>
          </w:tcPr>
          <w:p>
            <w:pPr>
              <w:spacing w:after="0"/>
              <w:rPr>
                <w:sz w:val="24"/>
                <w:szCs w:val="24"/>
                <w:color w:val="auto"/>
              </w:rPr>
            </w:pPr>
          </w:p>
        </w:tc>
      </w:tr>
      <w:tr>
        <w:trPr>
          <w:trHeight w:val="265"/>
        </w:trPr>
        <w:tc>
          <w:tcPr>
            <w:tcW w:w="8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liabilities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767,904</w:t>
            </w:r>
          </w:p>
        </w:tc>
        <w:tc>
          <w:tcPr>
            <w:tcW w:w="2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680,245</w:t>
            </w:r>
          </w:p>
        </w:tc>
        <w:tc>
          <w:tcPr>
            <w:tcW w:w="80" w:type="dxa"/>
            <w:vAlign w:val="bottom"/>
          </w:tcPr>
          <w:p>
            <w:pPr>
              <w:spacing w:after="0"/>
              <w:rPr>
                <w:sz w:val="23"/>
                <w:szCs w:val="23"/>
                <w:color w:val="auto"/>
              </w:rPr>
            </w:pPr>
          </w:p>
        </w:tc>
      </w:tr>
      <w:tr>
        <w:trPr>
          <w:trHeight w:val="246"/>
        </w:trPr>
        <w:tc>
          <w:tcPr>
            <w:tcW w:w="8160" w:type="dxa"/>
            <w:vAlign w:val="bottom"/>
          </w:tcPr>
          <w:p>
            <w:pPr>
              <w:spacing w:after="0" w:line="245" w:lineRule="exact"/>
              <w:rPr>
                <w:sz w:val="20"/>
                <w:szCs w:val="20"/>
                <w:color w:val="auto"/>
              </w:rPr>
            </w:pPr>
            <w:r>
              <w:rPr>
                <w:rFonts w:ascii="Times New Roman" w:cs="Times New Roman" w:eastAsia="Times New Roman" w:hAnsi="Times New Roman"/>
                <w:sz w:val="22"/>
                <w:szCs w:val="22"/>
                <w:color w:val="auto"/>
              </w:rPr>
              <w:t>Commitments and contingencies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4"/>
        </w:trPr>
        <w:tc>
          <w:tcPr>
            <w:tcW w:w="8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assets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43"/>
        </w:trPr>
        <w:tc>
          <w:tcPr>
            <w:tcW w:w="8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41,209,566 and 38,880,728 shares issued and outstanding, respectively</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Par value $0.001 per share and 100,000,000 shares authorized</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c>
          <w:tcPr>
            <w:tcW w:w="80" w:type="dxa"/>
            <w:vAlign w:val="bottom"/>
          </w:tcPr>
          <w:p>
            <w:pPr>
              <w:spacing w:after="0"/>
              <w:rPr>
                <w:sz w:val="23"/>
                <w:szCs w:val="23"/>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Paid-in capital in excess of par value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568,869</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538,815</w:t>
            </w:r>
          </w:p>
        </w:tc>
        <w:tc>
          <w:tcPr>
            <w:tcW w:w="80" w:type="dxa"/>
            <w:vAlign w:val="bottom"/>
          </w:tcPr>
          <w:p>
            <w:pPr>
              <w:spacing w:after="0"/>
              <w:rPr>
                <w:sz w:val="23"/>
                <w:szCs w:val="23"/>
                <w:color w:val="auto"/>
              </w:rPr>
            </w:pPr>
          </w:p>
        </w:tc>
      </w:tr>
      <w:tr>
        <w:trPr>
          <w:trHeight w:val="282"/>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Accumulated deficit</w:t>
            </w:r>
          </w:p>
        </w:tc>
        <w:tc>
          <w:tcPr>
            <w:tcW w:w="32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(48,924)</w:t>
            </w:r>
          </w:p>
        </w:tc>
        <w:tc>
          <w:tcPr>
            <w:tcW w:w="3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(48,242)</w:t>
            </w:r>
          </w:p>
        </w:tc>
      </w:tr>
      <w:tr>
        <w:trPr>
          <w:trHeight w:val="265"/>
        </w:trPr>
        <w:tc>
          <w:tcPr>
            <w:tcW w:w="8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net assets</w:t>
            </w:r>
          </w:p>
        </w:tc>
        <w:tc>
          <w:tcPr>
            <w:tcW w:w="3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519,986</w:t>
            </w:r>
          </w:p>
        </w:tc>
        <w:tc>
          <w:tcPr>
            <w:tcW w:w="20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490,611</w:t>
            </w:r>
          </w:p>
        </w:tc>
        <w:tc>
          <w:tcPr>
            <w:tcW w:w="80" w:type="dxa"/>
            <w:vAlign w:val="bottom"/>
          </w:tcPr>
          <w:p>
            <w:pPr>
              <w:spacing w:after="0"/>
              <w:rPr>
                <w:sz w:val="23"/>
                <w:szCs w:val="23"/>
                <w:color w:val="auto"/>
              </w:rPr>
            </w:pPr>
          </w:p>
        </w:tc>
      </w:tr>
      <w:tr>
        <w:trPr>
          <w:trHeight w:val="263"/>
        </w:trPr>
        <w:tc>
          <w:tcPr>
            <w:tcW w:w="8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liabilities and net assets</w:t>
            </w: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1,287,891</w:t>
            </w:r>
          </w:p>
        </w:tc>
        <w:tc>
          <w:tcPr>
            <w:tcW w:w="200" w:type="dxa"/>
            <w:vAlign w:val="bottom"/>
          </w:tcPr>
          <w:p>
            <w:pPr>
              <w:spacing w:after="0"/>
              <w:rPr>
                <w:sz w:val="22"/>
                <w:szCs w:val="22"/>
                <w:color w:val="auto"/>
              </w:rPr>
            </w:pP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1,170,856</w:t>
            </w:r>
          </w:p>
        </w:tc>
        <w:tc>
          <w:tcPr>
            <w:tcW w:w="80" w:type="dxa"/>
            <w:vAlign w:val="bottom"/>
          </w:tcPr>
          <w:p>
            <w:pPr>
              <w:spacing w:after="0"/>
              <w:rPr>
                <w:sz w:val="22"/>
                <w:szCs w:val="22"/>
                <w:color w:val="auto"/>
              </w:rPr>
            </w:pPr>
          </w:p>
        </w:tc>
      </w:tr>
      <w:tr>
        <w:trPr>
          <w:trHeight w:val="20"/>
        </w:trPr>
        <w:tc>
          <w:tcPr>
            <w:tcW w:w="8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8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asset value per share</w:t>
            </w: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12.62</w:t>
            </w:r>
          </w:p>
        </w:tc>
        <w:tc>
          <w:tcPr>
            <w:tcW w:w="200" w:type="dxa"/>
            <w:vAlign w:val="bottom"/>
          </w:tcPr>
          <w:p>
            <w:pPr>
              <w:spacing w:after="0"/>
              <w:rPr>
                <w:sz w:val="22"/>
                <w:szCs w:val="22"/>
                <w:color w:val="auto"/>
              </w:rPr>
            </w:pP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12.62</w:t>
            </w:r>
          </w:p>
        </w:tc>
        <w:tc>
          <w:tcPr>
            <w:tcW w:w="80" w:type="dxa"/>
            <w:vAlign w:val="bottom"/>
          </w:tcPr>
          <w:p>
            <w:pPr>
              <w:spacing w:after="0"/>
              <w:rPr>
                <w:sz w:val="22"/>
                <w:szCs w:val="22"/>
                <w:color w:val="auto"/>
              </w:rPr>
            </w:pPr>
          </w:p>
        </w:tc>
      </w:tr>
      <w:tr>
        <w:trPr>
          <w:trHeight w:val="21"/>
        </w:trPr>
        <w:tc>
          <w:tcPr>
            <w:tcW w:w="8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20" w:type="dxa"/>
            <w:vAlign w:val="bottom"/>
            <w:gridSpan w:val="5"/>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7"/>
              </w:rPr>
              <w:t>Three Months Ended March</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5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31,</w:t>
            </w:r>
          </w:p>
        </w:tc>
        <w:tc>
          <w:tcPr>
            <w:tcW w:w="10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w w:val="97"/>
              </w:rPr>
              <w:t>Six Months Ended March 31,</w:t>
            </w:r>
          </w:p>
        </w:tc>
        <w:tc>
          <w:tcPr>
            <w:tcW w:w="0" w:type="dxa"/>
            <w:vAlign w:val="bottom"/>
          </w:tcPr>
          <w:p>
            <w:pPr>
              <w:spacing w:after="0"/>
              <w:rPr>
                <w:sz w:val="1"/>
                <w:szCs w:val="1"/>
                <w:color w:val="auto"/>
              </w:rPr>
            </w:pPr>
          </w:p>
        </w:tc>
      </w:tr>
      <w:tr>
        <w:trPr>
          <w:trHeight w:val="264"/>
        </w:trPr>
        <w:tc>
          <w:tcPr>
            <w:tcW w:w="50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Investment income:</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2022</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2021</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2022</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2021</w:t>
            </w:r>
          </w:p>
        </w:tc>
        <w:tc>
          <w:tcPr>
            <w:tcW w:w="0" w:type="dxa"/>
            <w:vAlign w:val="bottom"/>
          </w:tcPr>
          <w:p>
            <w:pPr>
              <w:spacing w:after="0"/>
              <w:rPr>
                <w:sz w:val="1"/>
                <w:szCs w:val="1"/>
                <w:color w:val="auto"/>
              </w:rPr>
            </w:pPr>
          </w:p>
        </w:tc>
      </w:tr>
      <w:tr>
        <w:trPr>
          <w:trHeight w:val="248"/>
        </w:trPr>
        <w:tc>
          <w:tcPr>
            <w:tcW w:w="50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5000" w:type="dxa"/>
            <w:vAlign w:val="bottom"/>
          </w:tcPr>
          <w:p>
            <w:pPr>
              <w:spacing w:after="0"/>
              <w:rPr>
                <w:sz w:val="20"/>
                <w:szCs w:val="20"/>
                <w:color w:val="auto"/>
              </w:rPr>
            </w:pPr>
            <w:r>
              <w:rPr>
                <w:rFonts w:ascii="Times New Roman" w:cs="Times New Roman" w:eastAsia="Times New Roman" w:hAnsi="Times New Roman"/>
                <w:sz w:val="22"/>
                <w:szCs w:val="22"/>
                <w:color w:val="auto"/>
              </w:rPr>
              <w:t>From non-controlled, non-affiliated investments:</w:t>
            </w: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16,195</w:t>
            </w:r>
          </w:p>
        </w:tc>
        <w:tc>
          <w:tcPr>
            <w:tcW w:w="200" w:type="dxa"/>
            <w:vAlign w:val="bottom"/>
          </w:tcPr>
          <w:p>
            <w:pPr>
              <w:spacing w:after="0"/>
              <w:rPr>
                <w:sz w:val="23"/>
                <w:szCs w:val="23"/>
                <w:color w:val="auto"/>
              </w:rPr>
            </w:pP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13,725</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33,052</w:t>
            </w:r>
          </w:p>
        </w:tc>
        <w:tc>
          <w:tcPr>
            <w:tcW w:w="200" w:type="dxa"/>
            <w:vAlign w:val="bottom"/>
          </w:tcPr>
          <w:p>
            <w:pPr>
              <w:spacing w:after="0"/>
              <w:rPr>
                <w:sz w:val="23"/>
                <w:szCs w:val="23"/>
                <w:color w:val="auto"/>
              </w:rPr>
            </w:pP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29,026</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Dividend</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577</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1,154</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income</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686</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3,510</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1,373</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Times New Roman" w:cs="Times New Roman" w:eastAsia="Times New Roman" w:hAnsi="Times New Roman"/>
                <w:sz w:val="22"/>
                <w:szCs w:val="22"/>
                <w:color w:val="auto"/>
              </w:rPr>
              <w:t>From non-controlled, affiliated investments:</w:t>
            </w: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w:t>
            </w:r>
          </w:p>
        </w:tc>
        <w:tc>
          <w:tcPr>
            <w:tcW w:w="14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183</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280</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income</w:t>
            </w:r>
          </w:p>
        </w:tc>
        <w:tc>
          <w:tcPr>
            <w:tcW w:w="14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Times New Roman" w:cs="Times New Roman" w:eastAsia="Times New Roman" w:hAnsi="Times New Roman"/>
                <w:sz w:val="22"/>
                <w:szCs w:val="22"/>
                <w:color w:val="auto"/>
              </w:rPr>
              <w:t>From controlled, affiliated investments:</w:t>
            </w: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3,240</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2,659</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6,405</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5,322</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Dividend</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3,938</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2,275</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6,738</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3,850</w:t>
            </w:r>
          </w:p>
        </w:tc>
        <w:tc>
          <w:tcPr>
            <w:tcW w:w="0" w:type="dxa"/>
            <w:vAlign w:val="bottom"/>
          </w:tcPr>
          <w:p>
            <w:pPr>
              <w:spacing w:after="0"/>
              <w:rPr>
                <w:sz w:val="1"/>
                <w:szCs w:val="1"/>
                <w:color w:val="auto"/>
              </w:rPr>
            </w:pPr>
          </w:p>
        </w:tc>
      </w:tr>
      <w:tr>
        <w:trPr>
          <w:trHeight w:val="282"/>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Income</w:t>
            </w:r>
          </w:p>
        </w:tc>
        <w:tc>
          <w:tcPr>
            <w:tcW w:w="14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4"/>
                <w:szCs w:val="2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196</w:t>
            </w:r>
          </w:p>
        </w:tc>
        <w:tc>
          <w:tcPr>
            <w:tcW w:w="0" w:type="dxa"/>
            <w:vAlign w:val="bottom"/>
          </w:tcPr>
          <w:p>
            <w:pPr>
              <w:spacing w:after="0"/>
              <w:rPr>
                <w:sz w:val="1"/>
                <w:szCs w:val="1"/>
                <w:color w:val="auto"/>
              </w:rPr>
            </w:pPr>
          </w:p>
        </w:tc>
      </w:tr>
      <w:tr>
        <w:trPr>
          <w:trHeight w:val="265"/>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Total investment income</w:t>
            </w:r>
          </w:p>
        </w:tc>
        <w:tc>
          <w:tcPr>
            <w:tcW w:w="14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24,635</w:t>
            </w:r>
          </w:p>
        </w:tc>
        <w:tc>
          <w:tcPr>
            <w:tcW w:w="20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19,435</w:t>
            </w:r>
          </w:p>
        </w:tc>
        <w:tc>
          <w:tcPr>
            <w:tcW w:w="20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50,971</w:t>
            </w:r>
          </w:p>
        </w:tc>
        <w:tc>
          <w:tcPr>
            <w:tcW w:w="20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40,169</w:t>
            </w:r>
          </w:p>
        </w:tc>
        <w:tc>
          <w:tcPr>
            <w:tcW w:w="0" w:type="dxa"/>
            <w:vAlign w:val="bottom"/>
          </w:tcPr>
          <w:p>
            <w:pPr>
              <w:spacing w:after="0"/>
              <w:rPr>
                <w:sz w:val="1"/>
                <w:szCs w:val="1"/>
                <w:color w:val="auto"/>
              </w:rPr>
            </w:pPr>
          </w:p>
        </w:tc>
      </w:tr>
      <w:tr>
        <w:trPr>
          <w:trHeight w:val="250"/>
        </w:trPr>
        <w:tc>
          <w:tcPr>
            <w:tcW w:w="500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Expenses: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Base management fee</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2,945</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2,634</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5,841</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5,350</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Performance-based incentive fee</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2,704</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1,302</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5,885</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3,064</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 and expenses on debt</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6,705</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4,781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13,344</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10,122</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Administrative services expenses</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287</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600</w:t>
            </w:r>
          </w:p>
        </w:tc>
        <w:tc>
          <w:tcPr>
            <w:tcW w:w="0" w:type="dxa"/>
            <w:vAlign w:val="bottom"/>
          </w:tcPr>
          <w:p>
            <w:pPr>
              <w:spacing w:after="0"/>
              <w:rPr>
                <w:sz w:val="1"/>
                <w:szCs w:val="1"/>
                <w:color w:val="auto"/>
              </w:rPr>
            </w:pPr>
          </w:p>
        </w:tc>
      </w:tr>
      <w:tr>
        <w:trPr>
          <w:trHeight w:val="282"/>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general and administrative expenses</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655</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400</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1,309</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800</w:t>
            </w:r>
          </w:p>
        </w:tc>
        <w:tc>
          <w:tcPr>
            <w:tcW w:w="0" w:type="dxa"/>
            <w:vAlign w:val="bottom"/>
          </w:tcPr>
          <w:p>
            <w:pPr>
              <w:spacing w:after="0"/>
              <w:rPr>
                <w:sz w:val="1"/>
                <w:szCs w:val="1"/>
                <w:color w:val="auto"/>
              </w:rPr>
            </w:pPr>
          </w:p>
        </w:tc>
      </w:tr>
      <w:tr>
        <w:trPr>
          <w:trHeight w:val="251"/>
        </w:trPr>
        <w:tc>
          <w:tcPr>
            <w:tcW w:w="5000" w:type="dxa"/>
            <w:vAlign w:val="bottom"/>
          </w:tcPr>
          <w:p>
            <w:pPr>
              <w:ind w:left="200"/>
              <w:spacing w:after="0" w:line="251" w:lineRule="exact"/>
              <w:rPr>
                <w:sz w:val="20"/>
                <w:szCs w:val="20"/>
                <w:color w:val="auto"/>
              </w:rPr>
            </w:pPr>
            <w:r>
              <w:rPr>
                <w:rFonts w:ascii="Times New Roman" w:cs="Times New Roman" w:eastAsia="Times New Roman" w:hAnsi="Times New Roman"/>
                <w:sz w:val="22"/>
                <w:szCs w:val="22"/>
                <w:b w:val="1"/>
                <w:bCs w:val="1"/>
                <w:color w:val="auto"/>
              </w:rPr>
              <w:t>Expenses before provision for taxes</w:t>
            </w:r>
          </w:p>
        </w:tc>
        <w:tc>
          <w:tcPr>
            <w:tcW w:w="140" w:type="dxa"/>
            <w:vAlign w:val="bottom"/>
          </w:tcPr>
          <w:p>
            <w:pPr>
              <w:spacing w:after="0"/>
              <w:rPr>
                <w:sz w:val="21"/>
                <w:szCs w:val="21"/>
                <w:color w:val="auto"/>
              </w:rPr>
            </w:pPr>
          </w:p>
        </w:tc>
        <w:tc>
          <w:tcPr>
            <w:tcW w:w="12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13,153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9,417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26,667</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19,936</w:t>
            </w:r>
          </w:p>
        </w:tc>
        <w:tc>
          <w:tcPr>
            <w:tcW w:w="0" w:type="dxa"/>
            <w:vAlign w:val="bottom"/>
          </w:tcPr>
          <w:p>
            <w:pPr>
              <w:spacing w:after="0"/>
              <w:rPr>
                <w:sz w:val="1"/>
                <w:szCs w:val="1"/>
                <w:color w:val="auto"/>
              </w:rPr>
            </w:pPr>
          </w:p>
        </w:tc>
      </w:tr>
      <w:tr>
        <w:trPr>
          <w:trHeight w:val="282"/>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Provision for taxes on net investment income</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200</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200</w:t>
            </w:r>
          </w:p>
        </w:tc>
        <w:tc>
          <w:tcPr>
            <w:tcW w:w="0" w:type="dxa"/>
            <w:vAlign w:val="bottom"/>
          </w:tcPr>
          <w:p>
            <w:pPr>
              <w:spacing w:after="0"/>
              <w:rPr>
                <w:sz w:val="1"/>
                <w:szCs w:val="1"/>
                <w:color w:val="auto"/>
              </w:rPr>
            </w:pPr>
          </w:p>
        </w:tc>
      </w:tr>
      <w:tr>
        <w:trPr>
          <w:trHeight w:val="265"/>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Total expenses</w:t>
            </w: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13,253</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9,517</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26,867</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20,136</w:t>
            </w:r>
          </w:p>
        </w:tc>
        <w:tc>
          <w:tcPr>
            <w:tcW w:w="0" w:type="dxa"/>
            <w:vAlign w:val="bottom"/>
          </w:tcPr>
          <w:p>
            <w:pPr>
              <w:spacing w:after="0"/>
              <w:rPr>
                <w:sz w:val="1"/>
                <w:szCs w:val="1"/>
                <w:color w:val="auto"/>
              </w:rPr>
            </w:pPr>
          </w:p>
        </w:tc>
      </w:tr>
      <w:tr>
        <w:trPr>
          <w:trHeight w:val="264"/>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Net investment income</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11,382</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9,918</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24,104</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20,032</w:t>
            </w:r>
          </w:p>
        </w:tc>
        <w:tc>
          <w:tcPr>
            <w:tcW w:w="0" w:type="dxa"/>
            <w:vAlign w:val="bottom"/>
          </w:tcPr>
          <w:p>
            <w:pPr>
              <w:spacing w:after="0"/>
              <w:rPr>
                <w:sz w:val="1"/>
                <w:szCs w:val="1"/>
                <w:color w:val="auto"/>
              </w:rPr>
            </w:pPr>
          </w:p>
        </w:tc>
      </w:tr>
      <w:tr>
        <w:trPr>
          <w:trHeight w:val="205"/>
        </w:trPr>
        <w:tc>
          <w:tcPr>
            <w:tcW w:w="5000" w:type="dxa"/>
            <w:vAlign w:val="bottom"/>
          </w:tcPr>
          <w:p>
            <w:pPr>
              <w:spacing w:after="0" w:line="205" w:lineRule="exact"/>
              <w:rPr>
                <w:sz w:val="20"/>
                <w:szCs w:val="20"/>
                <w:color w:val="auto"/>
              </w:rPr>
            </w:pPr>
            <w:r>
              <w:rPr>
                <w:rFonts w:ascii="Times New Roman" w:cs="Times New Roman" w:eastAsia="Times New Roman" w:hAnsi="Times New Roman"/>
                <w:sz w:val="22"/>
                <w:szCs w:val="22"/>
                <w:b w:val="1"/>
                <w:bCs w:val="1"/>
                <w:color w:val="auto"/>
              </w:rPr>
              <w:t>Realized and unrealized (loss) gain on investments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50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and debt:</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111" w:right="35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5000" w:type="dxa"/>
            <w:vAlign w:val="bottom"/>
          </w:tcPr>
          <w:p>
            <w:pPr>
              <w:spacing w:after="0"/>
              <w:rPr>
                <w:sz w:val="20"/>
                <w:szCs w:val="20"/>
                <w:color w:val="auto"/>
              </w:rPr>
            </w:pPr>
            <w:r>
              <w:rPr>
                <w:rFonts w:ascii="Times New Roman" w:cs="Times New Roman" w:eastAsia="Times New Roman" w:hAnsi="Times New Roman"/>
                <w:sz w:val="22"/>
                <w:szCs w:val="22"/>
                <w:color w:val="auto"/>
              </w:rPr>
              <w:t>Net realized gain (loss) on:</w:t>
            </w: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non-affiliated investments</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6,920</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474</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9,993</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(1,234)</w:t>
            </w:r>
          </w:p>
        </w:tc>
        <w:tc>
          <w:tcPr>
            <w:tcW w:w="0" w:type="dxa"/>
            <w:vAlign w:val="bottom"/>
          </w:tcPr>
          <w:p>
            <w:pPr>
              <w:spacing w:after="0"/>
              <w:rPr>
                <w:sz w:val="1"/>
                <w:szCs w:val="1"/>
                <w:color w:val="auto"/>
              </w:rPr>
            </w:pPr>
          </w:p>
        </w:tc>
      </w:tr>
      <w:tr>
        <w:trPr>
          <w:trHeight w:val="282"/>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and controlled, affiliated investments</w:t>
            </w:r>
          </w:p>
        </w:tc>
        <w:tc>
          <w:tcPr>
            <w:tcW w:w="4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(22,380)</w:t>
            </w:r>
          </w:p>
        </w:tc>
        <w:tc>
          <w:tcPr>
            <w:tcW w:w="42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(22,315)</w:t>
            </w:r>
          </w:p>
        </w:tc>
        <w:tc>
          <w:tcPr>
            <w:tcW w:w="4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(1,052)</w:t>
            </w:r>
          </w:p>
        </w:tc>
        <w:tc>
          <w:tcPr>
            <w:tcW w:w="0" w:type="dxa"/>
            <w:vAlign w:val="bottom"/>
          </w:tcPr>
          <w:p>
            <w:pPr>
              <w:spacing w:after="0"/>
              <w:rPr>
                <w:sz w:val="1"/>
                <w:szCs w:val="1"/>
                <w:color w:val="auto"/>
              </w:rPr>
            </w:pPr>
          </w:p>
        </w:tc>
      </w:tr>
      <w:tr>
        <w:trPr>
          <w:trHeight w:val="251"/>
        </w:trPr>
        <w:tc>
          <w:tcPr>
            <w:tcW w:w="5000" w:type="dxa"/>
            <w:vAlign w:val="bottom"/>
          </w:tcPr>
          <w:p>
            <w:pPr>
              <w:ind w:left="200"/>
              <w:spacing w:after="0" w:line="251" w:lineRule="exact"/>
              <w:rPr>
                <w:sz w:val="20"/>
                <w:szCs w:val="20"/>
                <w:color w:val="auto"/>
              </w:rPr>
            </w:pPr>
            <w:r>
              <w:rPr>
                <w:rFonts w:ascii="Times New Roman" w:cs="Times New Roman" w:eastAsia="Times New Roman" w:hAnsi="Times New Roman"/>
                <w:sz w:val="22"/>
                <w:szCs w:val="22"/>
                <w:b w:val="1"/>
                <w:bCs w:val="1"/>
                <w:color w:val="auto"/>
              </w:rPr>
              <w:t>Net realized gain (loss) on investments</w:t>
            </w:r>
          </w:p>
        </w:tc>
        <w:tc>
          <w:tcPr>
            <w:tcW w:w="4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(15,460)</w:t>
            </w:r>
          </w:p>
        </w:tc>
        <w:tc>
          <w:tcPr>
            <w:tcW w:w="2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474</w:t>
            </w:r>
          </w:p>
        </w:tc>
        <w:tc>
          <w:tcPr>
            <w:tcW w:w="2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(12,322)</w:t>
            </w:r>
          </w:p>
        </w:tc>
        <w:tc>
          <w:tcPr>
            <w:tcW w:w="2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(2,286)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Times New Roman" w:cs="Times New Roman" w:eastAsia="Times New Roman" w:hAnsi="Times New Roman"/>
                <w:sz w:val="22"/>
                <w:szCs w:val="22"/>
                <w:color w:val="auto"/>
              </w:rPr>
              <w:t>Net change in unrealized (depreciation) appreciation on:</w:t>
            </w: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non-affiliated investments</w:t>
            </w:r>
          </w:p>
        </w:tc>
        <w:tc>
          <w:tcPr>
            <w:tcW w:w="420" w:type="dxa"/>
            <w:vAlign w:val="bottom"/>
          </w:tcPr>
          <w:p>
            <w:pPr>
              <w:spacing w:after="0"/>
              <w:rPr>
                <w:sz w:val="23"/>
                <w:szCs w:val="2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(5,425)</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12,151</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(1,038)</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34,688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Controlled and non-controlled, affiliated investments</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22,913</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(334)</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15,029</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(81)</w:t>
            </w:r>
          </w:p>
        </w:tc>
        <w:tc>
          <w:tcPr>
            <w:tcW w:w="0" w:type="dxa"/>
            <w:vAlign w:val="bottom"/>
          </w:tcPr>
          <w:p>
            <w:pPr>
              <w:spacing w:after="0"/>
              <w:rPr>
                <w:sz w:val="1"/>
                <w:szCs w:val="1"/>
                <w:color w:val="auto"/>
              </w:rPr>
            </w:pPr>
          </w:p>
        </w:tc>
      </w:tr>
      <w:tr>
        <w:trPr>
          <w:trHeight w:val="243"/>
        </w:trPr>
        <w:tc>
          <w:tcPr>
            <w:tcW w:w="50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Provision for taxes on unrealized appreciation on</w:t>
            </w: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investments</w:t>
            </w:r>
          </w:p>
        </w:tc>
        <w:tc>
          <w:tcPr>
            <w:tcW w:w="420" w:type="dxa"/>
            <w:vAlign w:val="bottom"/>
          </w:tcPr>
          <w:p>
            <w:pPr>
              <w:spacing w:after="0"/>
              <w:rPr>
                <w:sz w:val="23"/>
                <w:szCs w:val="2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(3,800)</w:t>
            </w:r>
          </w:p>
        </w:tc>
        <w:tc>
          <w:tcPr>
            <w:tcW w:w="4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3"/>
                <w:szCs w:val="2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(5,340)</w:t>
            </w:r>
          </w:p>
        </w:tc>
        <w:tc>
          <w:tcPr>
            <w:tcW w:w="42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Debt depreciation (appreciation)</w:t>
            </w:r>
          </w:p>
        </w:tc>
        <w:tc>
          <w:tcPr>
            <w:tcW w:w="4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(2,363)</w:t>
            </w:r>
          </w:p>
        </w:tc>
        <w:tc>
          <w:tcPr>
            <w:tcW w:w="4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(10,535)</w:t>
            </w: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1,247</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(14,549)</w:t>
            </w:r>
          </w:p>
        </w:tc>
        <w:tc>
          <w:tcPr>
            <w:tcW w:w="0" w:type="dxa"/>
            <w:vAlign w:val="bottom"/>
          </w:tcPr>
          <w:p>
            <w:pPr>
              <w:spacing w:after="0"/>
              <w:rPr>
                <w:sz w:val="1"/>
                <w:szCs w:val="1"/>
                <w:color w:val="auto"/>
              </w:rPr>
            </w:pPr>
          </w:p>
        </w:tc>
      </w:tr>
      <w:tr>
        <w:trPr>
          <w:trHeight w:val="207"/>
        </w:trPr>
        <w:tc>
          <w:tcPr>
            <w:tcW w:w="5000" w:type="dxa"/>
            <w:vAlign w:val="bottom"/>
          </w:tcPr>
          <w:p>
            <w:pPr>
              <w:ind w:left="200"/>
              <w:spacing w:after="0" w:line="206" w:lineRule="exact"/>
              <w:rPr>
                <w:sz w:val="20"/>
                <w:szCs w:val="20"/>
                <w:color w:val="auto"/>
              </w:rPr>
            </w:pPr>
            <w:r>
              <w:rPr>
                <w:rFonts w:ascii="Times New Roman" w:cs="Times New Roman" w:eastAsia="Times New Roman" w:hAnsi="Times New Roman"/>
                <w:sz w:val="22"/>
                <w:szCs w:val="22"/>
                <w:b w:val="1"/>
                <w:bCs w:val="1"/>
                <w:color w:val="auto"/>
              </w:rPr>
              <w:t>Net change in unrealized (depreciation)</w:t>
            </w:r>
          </w:p>
        </w:tc>
        <w:tc>
          <w:tcPr>
            <w:tcW w:w="4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appreciation on investments and debt</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11,324</w:t>
            </w:r>
          </w:p>
        </w:tc>
        <w:tc>
          <w:tcPr>
            <w:tcW w:w="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1,282</w:t>
            </w:r>
          </w:p>
        </w:tc>
        <w:tc>
          <w:tcPr>
            <w:tcW w:w="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9,897</w:t>
            </w:r>
          </w:p>
        </w:tc>
        <w:tc>
          <w:tcPr>
            <w:tcW w:w="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20,058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000" w:type="dxa"/>
            <w:vAlign w:val="bottom"/>
          </w:tcPr>
          <w:p>
            <w:pPr>
              <w:spacing w:after="0" w:line="206" w:lineRule="exact"/>
              <w:rPr>
                <w:sz w:val="20"/>
                <w:szCs w:val="20"/>
                <w:color w:val="auto"/>
              </w:rPr>
            </w:pPr>
            <w:r>
              <w:rPr>
                <w:rFonts w:ascii="Times New Roman" w:cs="Times New Roman" w:eastAsia="Times New Roman" w:hAnsi="Times New Roman"/>
                <w:sz w:val="22"/>
                <w:szCs w:val="22"/>
                <w:b w:val="1"/>
                <w:bCs w:val="1"/>
                <w:color w:val="auto"/>
              </w:rPr>
              <w:t>Net realized and unrealized (loss) gain from</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50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investments and debt</w:t>
            </w:r>
          </w:p>
        </w:tc>
        <w:tc>
          <w:tcPr>
            <w:tcW w:w="4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(4,136)</w:t>
            </w: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1,755</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(2,424)</w:t>
            </w: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17,772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0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increase in net assets resulting from operations</w:t>
            </w:r>
          </w:p>
        </w:tc>
        <w:tc>
          <w:tcPr>
            <w:tcW w:w="4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7,246</w:t>
            </w:r>
          </w:p>
        </w:tc>
        <w:tc>
          <w:tcPr>
            <w:tcW w:w="200" w:type="dxa"/>
            <w:vAlign w:val="bottom"/>
          </w:tcPr>
          <w:p>
            <w:pPr>
              <w:spacing w:after="0"/>
              <w:rPr>
                <w:sz w:val="23"/>
                <w:szCs w:val="23"/>
                <w:color w:val="auto"/>
              </w:rPr>
            </w:pPr>
          </w:p>
        </w:tc>
        <w:tc>
          <w:tcPr>
            <w:tcW w:w="4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11,673</w:t>
            </w:r>
          </w:p>
        </w:tc>
        <w:tc>
          <w:tcPr>
            <w:tcW w:w="200" w:type="dxa"/>
            <w:vAlign w:val="bottom"/>
          </w:tcPr>
          <w:p>
            <w:pPr>
              <w:spacing w:after="0"/>
              <w:rPr>
                <w:sz w:val="23"/>
                <w:szCs w:val="23"/>
                <w:color w:val="auto"/>
              </w:rPr>
            </w:pPr>
          </w:p>
        </w:tc>
        <w:tc>
          <w:tcPr>
            <w:tcW w:w="4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21,679</w:t>
            </w:r>
          </w:p>
        </w:tc>
        <w:tc>
          <w:tcPr>
            <w:tcW w:w="200" w:type="dxa"/>
            <w:vAlign w:val="bottom"/>
          </w:tcPr>
          <w:p>
            <w:pPr>
              <w:spacing w:after="0"/>
              <w:rPr>
                <w:sz w:val="23"/>
                <w:szCs w:val="23"/>
                <w:color w:val="auto"/>
              </w:rPr>
            </w:pPr>
          </w:p>
        </w:tc>
        <w:tc>
          <w:tcPr>
            <w:tcW w:w="4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37,804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5000" w:type="dxa"/>
            <w:vAlign w:val="bottom"/>
            <w:vMerge w:val="restart"/>
          </w:tcPr>
          <w:p>
            <w:pPr>
              <w:spacing w:after="0" w:line="236" w:lineRule="exact"/>
              <w:rPr>
                <w:sz w:val="20"/>
                <w:szCs w:val="20"/>
                <w:color w:val="auto"/>
              </w:rPr>
            </w:pPr>
            <w:r>
              <w:rPr>
                <w:rFonts w:ascii="Times New Roman" w:cs="Times New Roman" w:eastAsia="Times New Roman" w:hAnsi="Times New Roman"/>
                <w:sz w:val="22"/>
                <w:szCs w:val="22"/>
                <w:color w:val="auto"/>
              </w:rPr>
              <w:t>Net increase in net assets resulting from operations per</w:t>
            </w: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000" w:type="dxa"/>
            <w:vAlign w:val="bottom"/>
            <w:vMerge w:val="continue"/>
          </w:tcPr>
          <w:p>
            <w:pPr>
              <w:spacing w:after="0"/>
              <w:rPr>
                <w:sz w:val="17"/>
                <w:szCs w:val="17"/>
                <w:color w:val="auto"/>
              </w:rPr>
            </w:pPr>
          </w:p>
        </w:tc>
        <w:tc>
          <w:tcPr>
            <w:tcW w:w="420" w:type="dxa"/>
            <w:vAlign w:val="bottom"/>
            <w:vMerge w:val="restart"/>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0.18</w:t>
            </w:r>
          </w:p>
        </w:tc>
        <w:tc>
          <w:tcPr>
            <w:tcW w:w="200" w:type="dxa"/>
            <w:vAlign w:val="bottom"/>
          </w:tcPr>
          <w:p>
            <w:pPr>
              <w:spacing w:after="0"/>
              <w:rPr>
                <w:sz w:val="17"/>
                <w:szCs w:val="17"/>
                <w:color w:val="auto"/>
              </w:rPr>
            </w:pPr>
          </w:p>
        </w:tc>
        <w:tc>
          <w:tcPr>
            <w:tcW w:w="420" w:type="dxa"/>
            <w:vAlign w:val="bottom"/>
            <w:vMerge w:val="restart"/>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w:t>
            </w:r>
          </w:p>
        </w:tc>
        <w:tc>
          <w:tcPr>
            <w:tcW w:w="200" w:type="dxa"/>
            <w:vAlign w:val="bottom"/>
          </w:tcPr>
          <w:p>
            <w:pPr>
              <w:spacing w:after="0"/>
              <w:rPr>
                <w:sz w:val="17"/>
                <w:szCs w:val="17"/>
                <w:color w:val="auto"/>
              </w:rPr>
            </w:pPr>
          </w:p>
        </w:tc>
        <w:tc>
          <w:tcPr>
            <w:tcW w:w="420" w:type="dxa"/>
            <w:vAlign w:val="bottom"/>
            <w:vMerge w:val="restart"/>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0.55</w:t>
            </w:r>
          </w:p>
        </w:tc>
        <w:tc>
          <w:tcPr>
            <w:tcW w:w="200" w:type="dxa"/>
            <w:vAlign w:val="bottom"/>
          </w:tcPr>
          <w:p>
            <w:pPr>
              <w:spacing w:after="0"/>
              <w:rPr>
                <w:sz w:val="17"/>
                <w:szCs w:val="17"/>
                <w:color w:val="auto"/>
              </w:rPr>
            </w:pPr>
          </w:p>
        </w:tc>
        <w:tc>
          <w:tcPr>
            <w:tcW w:w="420" w:type="dxa"/>
            <w:vAlign w:val="bottom"/>
            <w:vMerge w:val="restart"/>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5000" w:type="dxa"/>
            <w:vAlign w:val="bottom"/>
          </w:tcPr>
          <w:p>
            <w:pPr>
              <w:spacing w:after="0"/>
              <w:rPr>
                <w:sz w:val="20"/>
                <w:szCs w:val="20"/>
                <w:color w:val="auto"/>
              </w:rPr>
            </w:pPr>
            <w:r>
              <w:rPr>
                <w:rFonts w:ascii="Times New Roman" w:cs="Times New Roman" w:eastAsia="Times New Roman" w:hAnsi="Times New Roman"/>
                <w:sz w:val="22"/>
                <w:szCs w:val="22"/>
                <w:color w:val="auto"/>
              </w:rPr>
              <w:t>common share</w:t>
            </w:r>
          </w:p>
        </w:tc>
        <w:tc>
          <w:tcPr>
            <w:tcW w:w="42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Net investment income per common share</w:t>
            </w: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000" w:type="dxa"/>
            <w:vAlign w:val="bottom"/>
            <w:vMerge w:val="continue"/>
          </w:tcPr>
          <w:p>
            <w:pPr>
              <w:spacing w:after="0"/>
              <w:rPr>
                <w:sz w:val="22"/>
                <w:szCs w:val="22"/>
                <w:color w:val="auto"/>
              </w:rPr>
            </w:pPr>
          </w:p>
        </w:tc>
        <w:tc>
          <w:tcPr>
            <w:tcW w:w="4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0.29</w:t>
            </w:r>
          </w:p>
        </w:tc>
        <w:tc>
          <w:tcPr>
            <w:tcW w:w="200" w:type="dxa"/>
            <w:vAlign w:val="bottom"/>
          </w:tcPr>
          <w:p>
            <w:pPr>
              <w:spacing w:after="0"/>
              <w:rPr>
                <w:sz w:val="22"/>
                <w:szCs w:val="22"/>
                <w:color w:val="auto"/>
              </w:rPr>
            </w:pPr>
          </w:p>
        </w:tc>
        <w:tc>
          <w:tcPr>
            <w:tcW w:w="4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0.26</w:t>
            </w:r>
          </w:p>
        </w:tc>
        <w:tc>
          <w:tcPr>
            <w:tcW w:w="200" w:type="dxa"/>
            <w:vAlign w:val="bottom"/>
          </w:tcPr>
          <w:p>
            <w:pPr>
              <w:spacing w:after="0"/>
              <w:rPr>
                <w:sz w:val="22"/>
                <w:szCs w:val="22"/>
                <w:color w:val="auto"/>
              </w:rPr>
            </w:pPr>
          </w:p>
        </w:tc>
        <w:tc>
          <w:tcPr>
            <w:tcW w:w="4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0.61</w:t>
            </w:r>
          </w:p>
        </w:tc>
        <w:tc>
          <w:tcPr>
            <w:tcW w:w="200" w:type="dxa"/>
            <w:vAlign w:val="bottom"/>
          </w:tcPr>
          <w:p>
            <w:pPr>
              <w:spacing w:after="0"/>
              <w:rPr>
                <w:sz w:val="22"/>
                <w:szCs w:val="22"/>
                <w:color w:val="auto"/>
              </w:rPr>
            </w:pPr>
          </w:p>
        </w:tc>
        <w:tc>
          <w:tcPr>
            <w:tcW w:w="4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0.52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PENNANTPARK FLOATING RATE CAPITAL LTD.</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PENNANTPARK INVESTMENT ADVISERS, LLC</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middle-market credit platform, managing $6.0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CONTACT:</w:t>
      </w:r>
    </w:p>
    <w:p>
      <w:pPr>
        <w:spacing w:after="0" w:line="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Richard Cheung</w:t>
      </w:r>
    </w:p>
    <w:p>
      <w:pPr>
        <w:spacing w:after="0" w:line="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7" w:lineRule="exact"/>
        <w:rPr>
          <w:sz w:val="20"/>
          <w:szCs w:val="20"/>
          <w:color w:val="auto"/>
        </w:rPr>
      </w:pPr>
    </w:p>
    <w:p>
      <w:pPr>
        <w:ind w:left="1160" w:right="8080" w:hanging="5"/>
        <w:spacing w:after="0" w:line="296" w:lineRule="auto"/>
        <w:tabs>
          <w:tab w:leader="none" w:pos="168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905-1000 </w:t>
      </w:r>
      <w:r>
        <w:rPr>
          <w:rFonts w:ascii="Times New Roman" w:cs="Times New Roman" w:eastAsia="Times New Roman" w:hAnsi="Times New Roman"/>
          <w:sz w:val="21"/>
          <w:szCs w:val="21"/>
          <w:u w:val="single" w:color="auto"/>
          <w:color w:val="auto"/>
        </w:rPr>
        <w:t>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2022-05-04T15:50:47Z</dcterms:created>
  <dcterms:modified xsi:type="dcterms:W3CDTF">2022-05-04T15:50:47Z</dcterms:modified>
</cp:coreProperties>
</file>