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6"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280"/>
        <w:spacing w:after="0"/>
        <w:tabs>
          <w:tab w:leader="none" w:pos="7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6"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00" w:type="dxa"/>
            <w:vAlign w:val="bottom"/>
          </w:tcPr>
          <w:p>
            <w:pPr>
              <w:jc w:val="right"/>
              <w:ind w:right="24"/>
              <w:spacing w:after="0"/>
              <w:rPr>
                <w:sz w:val="20"/>
                <w:szCs w:val="20"/>
                <w:color w:val="auto"/>
              </w:rPr>
            </w:pPr>
            <w:r>
              <w:rPr>
                <w:rFonts w:ascii="Arial" w:cs="Arial" w:eastAsia="Arial" w:hAnsi="Arial"/>
                <w:sz w:val="18"/>
                <w:szCs w:val="18"/>
                <w:b w:val="1"/>
                <w:bCs w:val="1"/>
                <w:color w:val="auto"/>
              </w:rPr>
              <w:t>27-3794690</w:t>
            </w:r>
          </w:p>
        </w:tc>
      </w:tr>
      <w:tr>
        <w:trPr>
          <w:trHeight w:val="148"/>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00" w:type="dxa"/>
            <w:vAlign w:val="bottom"/>
          </w:tcPr>
          <w:p>
            <w:pPr>
              <w:jc w:val="center"/>
              <w:ind w:left="386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00" w:type="dxa"/>
            <w:vAlign w:val="bottom"/>
          </w:tcPr>
          <w:p>
            <w:pPr>
              <w:jc w:val="center"/>
              <w:ind w:left="386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00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00" w:type="dxa"/>
            <w:vAlign w:val="bottom"/>
          </w:tcPr>
          <w:p>
            <w:pPr>
              <w:jc w:val="right"/>
              <w:ind w:right="224"/>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00" w:type="dxa"/>
            <w:vAlign w:val="bottom"/>
          </w:tcPr>
          <w:p>
            <w:pPr>
              <w:jc w:val="center"/>
              <w:ind w:left="386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5000" w:type="dxa"/>
            <w:vAlign w:val="bottom"/>
          </w:tcPr>
          <w:p>
            <w:pPr>
              <w:jc w:val="right"/>
              <w:ind w:right="278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380" w:type="dxa"/>
            <w:vAlign w:val="bottom"/>
          </w:tcPr>
          <w:p>
            <w:pPr>
              <w:spacing w:after="0"/>
              <w:rPr>
                <w:sz w:val="15"/>
                <w:szCs w:val="15"/>
                <w:color w:val="auto"/>
              </w:rPr>
            </w:pPr>
          </w:p>
        </w:tc>
        <w:tc>
          <w:tcPr>
            <w:tcW w:w="5000" w:type="dxa"/>
            <w:vAlign w:val="bottom"/>
          </w:tcPr>
          <w:p>
            <w:pPr>
              <w:jc w:val="center"/>
              <w:ind w:right="174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94615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15" w:lineRule="exact"/>
        <w:rPr>
          <w:sz w:val="24"/>
          <w:szCs w:val="24"/>
          <w:color w:val="auto"/>
        </w:rPr>
      </w:pPr>
    </w:p>
    <w:p>
      <w:pPr>
        <w:ind w:right="12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spacing w:after="0" w:line="32" w:lineRule="exact"/>
        <w:rPr>
          <w:sz w:val="24"/>
          <w:szCs w:val="24"/>
          <w:color w:val="auto"/>
        </w:rPr>
      </w:pPr>
    </w:p>
    <w:p>
      <w:pPr>
        <w:ind w:left="460"/>
        <w:spacing w:after="0"/>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3">
            <w:col w:w="8860" w:space="80"/>
            <w:col w:w="160" w:space="180"/>
            <w:col w:w="1960"/>
          </w:cols>
          <w:pgMar w:left="320" w:top="230" w:right="3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August 9, 2012 was 6,850,667.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2012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360" w:type="dxa"/>
            <w:vAlign w:val="bottom"/>
            <w:gridSpan w:val="5"/>
          </w:tcPr>
          <w:p>
            <w:pPr>
              <w:jc w:val="center"/>
              <w:ind w:right="1560"/>
              <w:spacing w:after="0"/>
              <w:rPr>
                <w:rFonts w:ascii="Arial" w:cs="Arial" w:eastAsia="Arial" w:hAnsi="Arial"/>
                <w:sz w:val="18"/>
                <w:szCs w:val="18"/>
                <w:b w:val="1"/>
                <w:bCs w:val="1"/>
                <w:u w:val="single" w:color="auto"/>
                <w:color w:val="0000EE"/>
                <w:w w:val="99"/>
              </w:rPr>
            </w:pPr>
            <w:hyperlink w:anchor="page3">
              <w:r>
                <w:rPr>
                  <w:rFonts w:ascii="Arial" w:cs="Arial" w:eastAsia="Arial" w:hAnsi="Arial"/>
                  <w:sz w:val="18"/>
                  <w:szCs w:val="18"/>
                  <w:b w:val="1"/>
                  <w:bCs w:val="1"/>
                  <w:u w:val="single" w:color="auto"/>
                  <w:color w:val="0000EE"/>
                  <w:w w:val="99"/>
                </w:rPr>
                <w:t>PART I. CONSOLIDATED FINANCIAL INFORMATION</w:t>
              </w:r>
            </w:hyperlink>
          </w:p>
        </w:tc>
        <w:tc>
          <w:tcPr>
            <w:tcW w:w="320" w:type="dxa"/>
            <w:vAlign w:val="bottom"/>
          </w:tcPr>
          <w:p>
            <w:pPr>
              <w:spacing w:after="0"/>
              <w:rPr>
                <w:sz w:val="19"/>
                <w:szCs w:val="19"/>
                <w:color w:val="auto"/>
              </w:rPr>
            </w:pPr>
          </w:p>
        </w:tc>
      </w:tr>
      <w:tr>
        <w:trPr>
          <w:trHeight w:val="324"/>
        </w:trPr>
        <w:tc>
          <w:tcPr>
            <w:tcW w:w="10820" w:type="dxa"/>
            <w:vAlign w:val="bottom"/>
            <w:gridSpan w:val="8"/>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Consolidated Financial Statements</w:t>
              </w:r>
            </w:hyperlink>
          </w:p>
        </w:tc>
        <w:tc>
          <w:tcPr>
            <w:tcW w:w="32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as of June 30, 2012 (unaudited) and September 30, 2011</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6"/>
        </w:trPr>
        <w:tc>
          <w:tcPr>
            <w:tcW w:w="44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Operations for the three and nine months ended June 30, 2012 (unaudited) and the three months ended June 30, 2011</w:t>
              </w:r>
            </w:hyperlink>
          </w:p>
        </w:tc>
        <w:tc>
          <w:tcPr>
            <w:tcW w:w="3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1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8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Changes in Net Assets for the nine months ended June 30, 2012 (unaudited) and the period from March 4, 2011</w:t>
              </w:r>
            </w:hyperlink>
          </w:p>
        </w:tc>
        <w:tc>
          <w:tcPr>
            <w:tcW w:w="52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(Commencement of Operations) to June 30, 2011 (unaudited)</w:t>
              </w:r>
            </w:hyperlink>
          </w:p>
        </w:tc>
        <w:tc>
          <w:tcPr>
            <w:tcW w:w="58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91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Statements of Cash Flows for the nine months ended June 30, 2012 (unaudited) and the period from March 4, 2011</w:t>
              </w:r>
            </w:hyperlink>
          </w:p>
        </w:tc>
        <w:tc>
          <w:tcPr>
            <w:tcW w:w="128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(Commencement of Operations) to June 30, 2011 (unaudited)</w:t>
              </w:r>
            </w:hyperlink>
          </w:p>
        </w:tc>
        <w:tc>
          <w:tcPr>
            <w:tcW w:w="58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42"/>
        </w:trPr>
        <w:tc>
          <w:tcPr>
            <w:tcW w:w="44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as of June 30, 2012 (unaudited) and September 30, 2011</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4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Notes to Consolidated Financial Statements (unaudited)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4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Report of Independent Registered Public Accounting Firm</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20" w:type="dxa"/>
            <w:vAlign w:val="bottom"/>
            <w:gridSpan w:val="8"/>
          </w:tcPr>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20" w:type="dxa"/>
            <w:vAlign w:val="bottom"/>
            <w:gridSpan w:val="8"/>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3. 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0820" w:type="dxa"/>
            <w:vAlign w:val="bottom"/>
            <w:gridSpan w:val="8"/>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4. 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360" w:type="dxa"/>
            <w:vAlign w:val="bottom"/>
            <w:gridSpan w:val="5"/>
          </w:tcPr>
          <w:p>
            <w:pPr>
              <w:jc w:val="center"/>
              <w:ind w:right="1580"/>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PART II. OTHER INFORMATION</w:t>
              </w:r>
            </w:hyperlink>
          </w:p>
        </w:tc>
        <w:tc>
          <w:tcPr>
            <w:tcW w:w="320" w:type="dxa"/>
            <w:vAlign w:val="bottom"/>
          </w:tcPr>
          <w:p>
            <w:pPr>
              <w:spacing w:after="0"/>
              <w:rPr>
                <w:sz w:val="24"/>
                <w:szCs w:val="24"/>
                <w:color w:val="auto"/>
              </w:rPr>
            </w:pPr>
          </w:p>
        </w:tc>
      </w:tr>
      <w:tr>
        <w:trPr>
          <w:trHeight w:val="324"/>
        </w:trPr>
        <w:tc>
          <w:tcPr>
            <w:tcW w:w="10820" w:type="dxa"/>
            <w:vAlign w:val="bottom"/>
            <w:gridSpan w:val="8"/>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1. 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820" w:type="dxa"/>
            <w:vAlign w:val="bottom"/>
            <w:gridSpan w:val="8"/>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1A. Risk Factors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820" w:type="dxa"/>
            <w:vAlign w:val="bottom"/>
            <w:gridSpan w:val="8"/>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2. Unregistered Sales of Equity Securities and Use of Proceeds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820" w:type="dxa"/>
            <w:vAlign w:val="bottom"/>
            <w:gridSpan w:val="8"/>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3. Defaults Upon Senior Securities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820" w:type="dxa"/>
            <w:vAlign w:val="bottom"/>
            <w:gridSpan w:val="8"/>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4. Reserved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820" w:type="dxa"/>
            <w:vAlign w:val="bottom"/>
            <w:gridSpan w:val="8"/>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5. 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820" w:type="dxa"/>
            <w:vAlign w:val="bottom"/>
            <w:gridSpan w:val="8"/>
          </w:tcPr>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Item 6. Exhibits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820" w:type="dxa"/>
            <w:vAlign w:val="bottom"/>
            <w:gridSpan w:val="8"/>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SIGNATURES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filing this Form 10-Q, or the Report, in compliance with Rule 13a-13 promulgated by the Securities and Exchange Commission, or the SEC. In this Report, “Company,” “we,” “our” or “us” refer to PennantPark Floating Rate Capital Ltd. and its consolidated subsidiary. “PennantPark Investment Advisers” or “Investment Adviser” refers to PennantPark Investment Advisers, LLC. “PennantPark Investment Administration” or “Administrator” refers to PennantPark Investment Administration, LLC. References to our portfolio, our investments, our senior secured revolving credit facility, or the Credit Facility, and our business include investments we make through our subsidiary, PennantPark Floating Rate Funding I, LLC, or Funding I.</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Consolidated Financial Statements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0" w:type="dxa"/>
            <w:vAlign w:val="bottom"/>
          </w:tcPr>
          <w:p>
            <w:pPr>
              <w:spacing w:after="0"/>
              <w:rPr>
                <w:sz w:val="24"/>
                <w:szCs w:val="24"/>
                <w:color w:val="auto"/>
              </w:rPr>
            </w:pPr>
          </w:p>
        </w:tc>
        <w:tc>
          <w:tcPr>
            <w:tcW w:w="7680" w:type="dxa"/>
            <w:vAlign w:val="bottom"/>
            <w:gridSpan w:val="5"/>
          </w:tcPr>
          <w:p>
            <w:pPr>
              <w:jc w:val="center"/>
              <w:ind w:left="1852"/>
              <w:spacing w:after="0"/>
              <w:rPr>
                <w:sz w:val="20"/>
                <w:szCs w:val="20"/>
                <w:color w:val="auto"/>
              </w:rPr>
            </w:pPr>
            <w:r>
              <w:rPr>
                <w:rFonts w:ascii="Arial" w:cs="Arial" w:eastAsia="Arial" w:hAnsi="Arial"/>
                <w:sz w:val="18"/>
                <w:szCs w:val="18"/>
                <w:b w:val="1"/>
                <w:bCs w:val="1"/>
                <w:color w:val="auto"/>
                <w:w w:val="97"/>
              </w:rPr>
              <w:t>PENNANTPARK FLOATING RATE CAPITAL LTD. AND SUBSIDIARY</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7500" w:type="dxa"/>
            <w:vAlign w:val="bottom"/>
            <w:gridSpan w:val="4"/>
          </w:tcPr>
          <w:p>
            <w:pPr>
              <w:jc w:val="center"/>
              <w:ind w:left="2012"/>
              <w:spacing w:after="0"/>
              <w:rPr>
                <w:sz w:val="20"/>
                <w:szCs w:val="20"/>
                <w:color w:val="auto"/>
              </w:rPr>
            </w:pPr>
            <w:r>
              <w:rPr>
                <w:rFonts w:ascii="Arial" w:cs="Arial" w:eastAsia="Arial" w:hAnsi="Arial"/>
                <w:sz w:val="18"/>
                <w:szCs w:val="18"/>
                <w:b w:val="1"/>
                <w:bCs w:val="1"/>
                <w:color w:val="auto"/>
                <w:w w:val="97"/>
              </w:rPr>
              <w:t>CONSOLIDATED STATEMENTS OF ASSETS AND LIABILITIES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June 30, 2012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(unaudited)</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September 30, 2011</w:t>
            </w:r>
          </w:p>
        </w:tc>
        <w:tc>
          <w:tcPr>
            <w:tcW w:w="0" w:type="dxa"/>
            <w:vAlign w:val="bottom"/>
          </w:tcPr>
          <w:p>
            <w:pPr>
              <w:spacing w:after="0"/>
              <w:rPr>
                <w:sz w:val="1"/>
                <w:szCs w:val="1"/>
                <w:color w:val="auto"/>
              </w:rPr>
            </w:pPr>
          </w:p>
        </w:tc>
      </w:tr>
      <w:tr>
        <w:trPr>
          <w:trHeight w:val="196"/>
        </w:trPr>
        <w:tc>
          <w:tcPr>
            <w:tcW w:w="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(cost—$156,728,980 and $114,829,621,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154,979,350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110,724,241</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Cash equivalents (See Note 7)</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3,328,639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6,987,450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1,022,489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Receivable for investments sold</w:t>
            </w: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282,061</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20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159,612,539</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121,075,260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Liabilities</w:t>
            </w:r>
          </w:p>
        </w:tc>
        <w:tc>
          <w:tcPr>
            <w:tcW w:w="6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548,053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8,230,000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2,323,250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(cost—$54,400,000 and $24,650,000, respectively,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See Notes 5 and 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54,128,000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406,862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383,673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Performance-based incentive fees payable (See Note 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18,074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398,070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20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64,112,732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29,003,155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Net Assets</w:t>
            </w:r>
          </w:p>
        </w:tc>
        <w:tc>
          <w:tcPr>
            <w:tcW w:w="6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20" w:type="dxa"/>
            <w:vAlign w:val="bottom"/>
            <w:gridSpan w:val="2"/>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20" w:type="dxa"/>
            <w:vAlign w:val="bottom"/>
            <w:gridSpan w:val="2"/>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97,251,174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97,251,174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Distributions in excess of net investment income</w:t>
            </w:r>
          </w:p>
        </w:tc>
        <w:tc>
          <w:tcPr>
            <w:tcW w:w="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(1,216,181)</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gain on investments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935,593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311,988</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(1,749,630)</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on Credit Facility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200" w:type="dxa"/>
            <w:vAlign w:val="bottom"/>
          </w:tcPr>
          <w:p>
            <w:pPr>
              <w:ind w:left="6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95,499,807</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92,072,105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6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159,612,539</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121,075,260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6"/>
              </w:rPr>
              <w:t>June 30, 2012</w:t>
            </w:r>
          </w:p>
        </w:tc>
        <w:tc>
          <w:tcPr>
            <w:tcW w:w="14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9"/>
              </w:rPr>
              <w:t>June 30, 2011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9"/>
              </w:rPr>
              <w:t>June 30, 2012</w:t>
            </w:r>
          </w:p>
        </w:tc>
        <w:tc>
          <w:tcPr>
            <w:tcW w:w="0" w:type="dxa"/>
            <w:vAlign w:val="bottom"/>
          </w:tcPr>
          <w:p>
            <w:pPr>
              <w:spacing w:after="0"/>
              <w:rPr>
                <w:sz w:val="1"/>
                <w:szCs w:val="1"/>
                <w:color w:val="auto"/>
              </w:rPr>
            </w:pPr>
          </w:p>
        </w:tc>
      </w:tr>
      <w:tr>
        <w:trPr>
          <w:trHeight w:val="196"/>
        </w:trPr>
        <w:tc>
          <w:tcPr>
            <w:tcW w:w="6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3,120,180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898,719</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80,522</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3,200,702</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8,611,460</w:t>
            </w:r>
          </w:p>
        </w:tc>
        <w:tc>
          <w:tcPr>
            <w:tcW w:w="0" w:type="dxa"/>
            <w:vAlign w:val="bottom"/>
          </w:tcPr>
          <w:p>
            <w:pPr>
              <w:spacing w:after="0"/>
              <w:rPr>
                <w:sz w:val="1"/>
                <w:szCs w:val="1"/>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(See Note 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383,673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Performance-based incentive fees (Note 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(117,536)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expenses on the Credit Facility (See Note 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409,732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147,097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84,749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254,743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Expenses before Credit Facility issuance and amendment costs</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1,077,709</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446,290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3,568,668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Facility issuance and amendment costs (See Note 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276,500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1,335,735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1,354,209</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1,782,025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3,845,168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investment income (loss)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1,846,493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(883,306)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20"/>
                <w:szCs w:val="20"/>
                <w:color w:val="auto"/>
              </w:rPr>
            </w:pPr>
            <w:r>
              <w:rPr>
                <w:rFonts w:ascii="Arial" w:cs="Arial" w:eastAsia="Arial" w:hAnsi="Arial"/>
                <w:sz w:val="18"/>
                <w:szCs w:val="18"/>
                <w:b w:val="1"/>
                <w:bCs w:val="1"/>
                <w:color w:val="auto"/>
              </w:rPr>
              <w:t>Realized and unrealized gain (loss) on investments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20"/>
              <w:spacing w:after="0"/>
              <w:rPr>
                <w:sz w:val="20"/>
                <w:szCs w:val="20"/>
                <w:color w:val="auto"/>
              </w:rPr>
            </w:pPr>
            <w:r>
              <w:rPr>
                <w:rFonts w:ascii="Arial" w:cs="Arial" w:eastAsia="Arial" w:hAnsi="Arial"/>
                <w:sz w:val="18"/>
                <w:szCs w:val="18"/>
                <w:b w:val="1"/>
                <w:bCs w:val="1"/>
                <w:color w:val="auto"/>
              </w:rPr>
              <w:t>and Credit Facility:</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217,718</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Net change in unrealized depreciation 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(1,709,804)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440"/>
              <w:spacing w:after="0"/>
              <w:rPr>
                <w:sz w:val="20"/>
                <w:szCs w:val="20"/>
                <w:color w:val="auto"/>
              </w:rPr>
            </w:pPr>
            <w:r>
              <w:rPr>
                <w:rFonts w:ascii="Arial" w:cs="Arial" w:eastAsia="Arial" w:hAnsi="Arial"/>
                <w:sz w:val="18"/>
                <w:szCs w:val="18"/>
                <w:color w:val="auto"/>
              </w:rPr>
              <w:t>Credit Facility depreciation (See Note 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33,000</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b w:val="1"/>
                <w:bCs w:val="1"/>
                <w:color w:val="auto"/>
                <w:w w:val="92"/>
              </w:rPr>
              <w:t>Net change in unrealized (appreciation) depreciation on investments and Credit</w:t>
            </w: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Facility</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(1,676,804)</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2,627,750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20"/>
                <w:szCs w:val="20"/>
                <w:color w:val="auto"/>
              </w:rPr>
            </w:pPr>
            <w:r>
              <w:rPr>
                <w:rFonts w:ascii="Arial" w:cs="Arial" w:eastAsia="Arial" w:hAnsi="Arial"/>
                <w:sz w:val="18"/>
                <w:szCs w:val="18"/>
                <w:b w:val="1"/>
                <w:bCs w:val="1"/>
                <w:color w:val="auto"/>
              </w:rPr>
              <w:t>Net realized and unrealized (loss) gain from investments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20"/>
              <w:spacing w:after="0"/>
              <w:rPr>
                <w:sz w:val="20"/>
                <w:szCs w:val="20"/>
                <w:color w:val="auto"/>
              </w:rPr>
            </w:pPr>
            <w:r>
              <w:rPr>
                <w:rFonts w:ascii="Arial" w:cs="Arial" w:eastAsia="Arial" w:hAnsi="Arial"/>
                <w:sz w:val="18"/>
                <w:szCs w:val="18"/>
                <w:b w:val="1"/>
                <w:bCs w:val="1"/>
                <w:color w:val="auto"/>
              </w:rPr>
              <w:t>and Credit Facility</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(1,459,086)</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219,325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3,251,355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387,407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(663,981)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w w:val="88"/>
              </w:rPr>
              <w:t>Net increase (decrease) in net assets resulting from operations per common share (See Note 6)</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vMerge w:val="continue"/>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 per common share</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180" w:type="dxa"/>
            <w:vAlign w:val="bottom"/>
            <w:gridSpan w:val="3"/>
          </w:tcPr>
          <w:p>
            <w:pPr>
              <w:spacing w:after="0"/>
              <w:rPr>
                <w:sz w:val="20"/>
                <w:szCs w:val="20"/>
                <w:color w:val="auto"/>
              </w:rPr>
            </w:pPr>
            <w:r>
              <w:rPr>
                <w:rFonts w:ascii="Arial" w:cs="Arial" w:eastAsia="Arial" w:hAnsi="Arial"/>
                <w:sz w:val="13"/>
                <w:szCs w:val="13"/>
                <w:b w:val="1"/>
                <w:bCs w:val="1"/>
                <w:color w:val="auto"/>
                <w:w w:val="99"/>
              </w:rPr>
              <w:t>For the period from March 04, 2011</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0" w:type="dxa"/>
            <w:vAlign w:val="bottom"/>
            <w:gridSpan w:val="3"/>
          </w:tcPr>
          <w:p>
            <w:pPr>
              <w:ind w:left="20"/>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2"/>
                <w:szCs w:val="12"/>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2"/>
              </w:rPr>
              <w:t>(Commencement of Operations)</w:t>
            </w:r>
          </w:p>
        </w:tc>
        <w:tc>
          <w:tcPr>
            <w:tcW w:w="0" w:type="dxa"/>
            <w:vAlign w:val="bottom"/>
          </w:tcPr>
          <w:p>
            <w:pPr>
              <w:spacing w:after="0"/>
              <w:rPr>
                <w:sz w:val="1"/>
                <w:szCs w:val="1"/>
                <w:color w:val="auto"/>
              </w:rPr>
            </w:pPr>
          </w:p>
        </w:tc>
      </w:tr>
      <w:tr>
        <w:trPr>
          <w:trHeight w:val="161"/>
        </w:trPr>
        <w:tc>
          <w:tcPr>
            <w:tcW w:w="6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2012</w:t>
            </w:r>
          </w:p>
        </w:tc>
        <w:tc>
          <w:tcPr>
            <w:tcW w:w="100" w:type="dxa"/>
            <w:vAlign w:val="bottom"/>
          </w:tcPr>
          <w:p>
            <w:pPr>
              <w:spacing w:after="0"/>
              <w:rPr>
                <w:sz w:val="14"/>
                <w:szCs w:val="14"/>
                <w:color w:val="auto"/>
              </w:rPr>
            </w:pPr>
          </w:p>
        </w:tc>
        <w:tc>
          <w:tcPr>
            <w:tcW w:w="20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to June 30, 2011</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Net investment income (loss)</w:t>
            </w:r>
          </w:p>
        </w:tc>
        <w:tc>
          <w:tcPr>
            <w:tcW w:w="11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4,766,292</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(883,306)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gain on investments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623,605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291,669</w:t>
            </w: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Net change in unrealized depreciation on investments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2,355,750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(72,344)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depreciation on Credit Facility</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272,000</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4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8,017,647</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(663,981)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440"/>
              <w:spacing w:after="0"/>
              <w:rPr>
                <w:sz w:val="20"/>
                <w:szCs w:val="20"/>
                <w:color w:val="auto"/>
              </w:rPr>
            </w:pPr>
            <w:r>
              <w:rPr>
                <w:rFonts w:ascii="Arial" w:cs="Arial" w:eastAsia="Arial" w:hAnsi="Arial"/>
                <w:sz w:val="18"/>
                <w:szCs w:val="18"/>
                <w:color w:val="auto"/>
              </w:rPr>
              <w:t>Distributions from net investment income</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(4,589,945)</w:t>
            </w:r>
          </w:p>
        </w:tc>
        <w:tc>
          <w:tcPr>
            <w:tcW w:w="100" w:type="dxa"/>
            <w:vAlign w:val="bottom"/>
          </w:tcPr>
          <w:p>
            <w:pPr>
              <w:spacing w:after="0"/>
              <w:rPr>
                <w:sz w:val="19"/>
                <w:szCs w:val="19"/>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(342,533)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Proceeds from offerings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102,760,000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Offering costs (See Note 1)</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(5,449,947)</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b w:val="1"/>
                <w:bCs w:val="1"/>
                <w:color w:val="auto"/>
              </w:rPr>
              <w:t>Total increase in net assets</w:t>
            </w:r>
          </w:p>
        </w:tc>
        <w:tc>
          <w:tcPr>
            <w:tcW w:w="10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3,427,702</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96,303,539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Beginning of period</w:t>
            </w:r>
          </w:p>
        </w:tc>
        <w:tc>
          <w:tcPr>
            <w:tcW w:w="11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92,072,105</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period</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95,499,807</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96,303,539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40"/>
              <w:spacing w:after="0"/>
              <w:rPr>
                <w:sz w:val="20"/>
                <w:szCs w:val="20"/>
                <w:color w:val="auto"/>
              </w:rPr>
            </w:pPr>
            <w:r>
              <w:rPr>
                <w:rFonts w:ascii="Arial" w:cs="Arial" w:eastAsia="Arial" w:hAnsi="Arial"/>
                <w:sz w:val="18"/>
                <w:szCs w:val="18"/>
                <w:color w:val="auto"/>
              </w:rPr>
              <w:t>Distributions in excess of net investment income, end of period</w:t>
            </w: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1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(1,216,181)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(1,225,839)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Issuance of shares from offerings (Note 1)</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6,850,667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3"/>
          </w:tcPr>
          <w:p>
            <w:pPr>
              <w:spacing w:after="0"/>
              <w:rPr>
                <w:sz w:val="20"/>
                <w:szCs w:val="20"/>
                <w:color w:val="auto"/>
              </w:rPr>
            </w:pPr>
            <w:r>
              <w:rPr>
                <w:rFonts w:ascii="Arial" w:cs="Arial" w:eastAsia="Arial" w:hAnsi="Arial"/>
                <w:sz w:val="13"/>
                <w:szCs w:val="13"/>
                <w:b w:val="1"/>
                <w:bCs w:val="1"/>
                <w:color w:val="auto"/>
                <w:w w:val="99"/>
              </w:rPr>
              <w:t>For the period from March 04, 2011</w:t>
            </w:r>
          </w:p>
        </w:tc>
      </w:tr>
      <w:tr>
        <w:trPr>
          <w:trHeight w:val="148"/>
        </w:trPr>
        <w:tc>
          <w:tcPr>
            <w:tcW w:w="7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2"/>
                <w:szCs w:val="12"/>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2"/>
              </w:rPr>
              <w:t>(Commencement of Operations)</w:t>
            </w:r>
          </w:p>
        </w:tc>
      </w:tr>
      <w:tr>
        <w:trPr>
          <w:trHeight w:val="161"/>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9"/>
              </w:rPr>
              <w:t>June 30, 2012</w:t>
            </w:r>
          </w:p>
        </w:tc>
        <w:tc>
          <w:tcPr>
            <w:tcW w:w="100" w:type="dxa"/>
            <w:vAlign w:val="bottom"/>
          </w:tcPr>
          <w:p>
            <w:pPr>
              <w:spacing w:after="0"/>
              <w:rPr>
                <w:sz w:val="14"/>
                <w:szCs w:val="14"/>
                <w:color w:val="auto"/>
              </w:rPr>
            </w:pPr>
          </w:p>
        </w:tc>
        <w:tc>
          <w:tcPr>
            <w:tcW w:w="20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to June 30, 2011</w:t>
            </w:r>
          </w:p>
        </w:tc>
      </w:tr>
      <w:tr>
        <w:trPr>
          <w:trHeight w:val="196"/>
        </w:trPr>
        <w:tc>
          <w:tcPr>
            <w:tcW w:w="7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Net increase (decrease) in net assets resulting from operations</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8,017,647</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(663,981)</w:t>
            </w:r>
          </w:p>
        </w:tc>
      </w:tr>
      <w:tr>
        <w:trPr>
          <w:trHeight w:val="208"/>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Adjustments to reconcile net increase (decrease) in net assets resulting from operations to net cash</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used by operating activities: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(2,355,750)</w:t>
            </w:r>
          </w:p>
        </w:tc>
        <w:tc>
          <w:tcPr>
            <w:tcW w:w="10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72,344</w:t>
            </w: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depreciation on Credit Facility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(272,000)</w:t>
            </w: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Net realized gain on investments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(623,605)</w:t>
            </w:r>
          </w:p>
        </w:tc>
        <w:tc>
          <w:tcPr>
            <w:tcW w:w="10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(291,669)</w:t>
            </w: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(502,435)</w:t>
            </w: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(28,253)</w:t>
            </w: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(99,875,195)</w:t>
            </w:r>
          </w:p>
        </w:tc>
        <w:tc>
          <w:tcPr>
            <w:tcW w:w="10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(114,843,476)</w:t>
            </w: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(93,404)</w:t>
            </w: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(12,503)</w:t>
            </w: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57,033,401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27,829,940</w:t>
            </w: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receivable for investments sold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(4,509,438)</w:t>
            </w: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(Increase) in interest receivable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(289,794)</w:t>
            </w:r>
          </w:p>
        </w:tc>
        <w:tc>
          <w:tcPr>
            <w:tcW w:w="10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(646,069)</w:t>
            </w: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prepaid expenses and other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(118,687)</w:t>
            </w: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(226,703)</w:t>
            </w: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Increase in payable for investments purchased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5,773,125</w:t>
            </w: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unfunded investments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(161,370)</w:t>
            </w: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Increase in interest payable on Credit Facility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256,616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 payable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117,241</w:t>
            </w: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99,001</w:t>
            </w: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Increase in performance-based incentive fees payable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43,865</w:t>
            </w: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accrued expenses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254,390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544,933</w:t>
            </w:r>
          </w:p>
        </w:tc>
        <w:tc>
          <w:tcPr>
            <w:tcW w:w="100" w:type="dxa"/>
            <w:vAlign w:val="bottom"/>
            <w:shd w:val="clear" w:color="auto" w:fill="CCEEFF"/>
          </w:tcPr>
          <w:p>
            <w:pPr>
              <w:spacing w:after="0"/>
              <w:rPr>
                <w:sz w:val="18"/>
                <w:szCs w:val="18"/>
                <w:color w:val="auto"/>
              </w:rPr>
            </w:pPr>
          </w:p>
        </w:tc>
      </w:tr>
      <w:tr>
        <w:trPr>
          <w:trHeight w:val="230"/>
        </w:trPr>
        <w:tc>
          <w:tcPr>
            <w:tcW w:w="7520" w:type="dxa"/>
            <w:vAlign w:val="bottom"/>
          </w:tcPr>
          <w:p>
            <w:pPr>
              <w:ind w:left="1300"/>
              <w:spacing w:after="0"/>
              <w:rPr>
                <w:sz w:val="20"/>
                <w:szCs w:val="20"/>
                <w:color w:val="auto"/>
              </w:rPr>
            </w:pPr>
            <w:r>
              <w:rPr>
                <w:rFonts w:ascii="Arial" w:cs="Arial" w:eastAsia="Arial" w:hAnsi="Arial"/>
                <w:sz w:val="18"/>
                <w:szCs w:val="18"/>
                <w:color w:val="auto"/>
              </w:rPr>
              <w:t>Net cash used by operating activities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(28,887,371)</w:t>
            </w:r>
          </w:p>
        </w:tc>
        <w:tc>
          <w:tcPr>
            <w:tcW w:w="100" w:type="dxa"/>
            <w:vAlign w:val="bottom"/>
          </w:tcPr>
          <w:p>
            <w:pPr>
              <w:spacing w:after="0"/>
              <w:rPr>
                <w:sz w:val="20"/>
                <w:szCs w:val="20"/>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(86,858,884)</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Proceeds from offerings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102,760,000</w:t>
            </w: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(5,449,947)</w:t>
            </w: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Distributions paid to stockholders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(4,521,440)</w:t>
            </w:r>
          </w:p>
        </w:tc>
        <w:tc>
          <w:tcPr>
            <w:tcW w:w="100" w:type="dxa"/>
            <w:vAlign w:val="bottom"/>
          </w:tcPr>
          <w:p>
            <w:pPr>
              <w:spacing w:after="0"/>
              <w:rPr>
                <w:sz w:val="18"/>
                <w:szCs w:val="18"/>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 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52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 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(41,700,000)</w:t>
            </w:r>
          </w:p>
        </w:tc>
        <w:tc>
          <w:tcPr>
            <w:tcW w:w="100" w:type="dxa"/>
            <w:vAlign w:val="bottom"/>
          </w:tcPr>
          <w:p>
            <w:pPr>
              <w:spacing w:after="0"/>
              <w:rPr>
                <w:sz w:val="19"/>
                <w:szCs w:val="19"/>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25,228,560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97,310,053</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(3,658,811)</w:t>
            </w:r>
          </w:p>
        </w:tc>
        <w:tc>
          <w:tcPr>
            <w:tcW w:w="100" w:type="dxa"/>
            <w:vAlign w:val="bottom"/>
          </w:tcPr>
          <w:p>
            <w:pPr>
              <w:spacing w:after="0"/>
              <w:rPr>
                <w:sz w:val="19"/>
                <w:szCs w:val="19"/>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10,451,169</w:t>
            </w:r>
          </w:p>
        </w:tc>
      </w:tr>
      <w:tr>
        <w:trPr>
          <w:trHeight w:val="217"/>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3,328,639</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10,451,169</w:t>
            </w:r>
          </w:p>
        </w:tc>
      </w:tr>
      <w:tr>
        <w:trPr>
          <w:trHeight w:val="20"/>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Supplemental disclosure of cash flow information and non-cash financing activity (See Note 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774,591</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paid</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520" w:type="dxa"/>
            <w:vAlign w:val="bottom"/>
            <w:vMerge w:val="restart"/>
          </w:tcPr>
          <w:p>
            <w:pPr>
              <w:jc w:val="center"/>
              <w:ind w:left="593"/>
              <w:spacing w:after="0"/>
              <w:rPr>
                <w:sz w:val="20"/>
                <w:szCs w:val="20"/>
                <w:color w:val="auto"/>
              </w:rPr>
            </w:pPr>
            <w:r>
              <w:rPr>
                <w:rFonts w:ascii="Arial" w:cs="Arial" w:eastAsia="Arial" w:hAnsi="Arial"/>
                <w:sz w:val="13"/>
                <w:szCs w:val="13"/>
                <w:b w:val="1"/>
                <w:bCs w:val="1"/>
                <w:color w:val="auto"/>
              </w:rPr>
              <w:t>Maturity</w:t>
            </w:r>
          </w:p>
        </w:tc>
        <w:tc>
          <w:tcPr>
            <w:tcW w:w="2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60" w:type="dxa"/>
            <w:vAlign w:val="bottom"/>
          </w:tcPr>
          <w:p>
            <w:pPr>
              <w:ind w:left="160"/>
              <w:spacing w:after="0"/>
              <w:rPr>
                <w:sz w:val="20"/>
                <w:szCs w:val="20"/>
                <w:color w:val="auto"/>
              </w:rPr>
            </w:pPr>
            <w:r>
              <w:rPr>
                <w:rFonts w:ascii="Arial" w:cs="Arial" w:eastAsia="Arial" w:hAnsi="Arial"/>
                <w:sz w:val="13"/>
                <w:szCs w:val="13"/>
                <w:b w:val="1"/>
                <w:bCs w:val="1"/>
                <w:color w:val="auto"/>
              </w:rPr>
              <w:t>Current</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820" w:type="dxa"/>
            <w:vAlign w:val="bottom"/>
          </w:tcPr>
          <w:p>
            <w:pPr>
              <w:jc w:val="right"/>
              <w:ind w:right="233"/>
              <w:spacing w:after="0"/>
              <w:rPr>
                <w:sz w:val="20"/>
                <w:szCs w:val="20"/>
                <w:color w:val="auto"/>
              </w:rPr>
            </w:pPr>
            <w:r>
              <w:rPr>
                <w:rFonts w:ascii="Arial" w:cs="Arial" w:eastAsia="Arial" w:hAnsi="Arial"/>
                <w:sz w:val="13"/>
                <w:szCs w:val="13"/>
                <w:b w:val="1"/>
                <w:bCs w:val="1"/>
                <w:color w:val="auto"/>
              </w:rPr>
              <w:t>Par/</w:t>
            </w:r>
          </w:p>
        </w:tc>
        <w:tc>
          <w:tcPr>
            <w:tcW w:w="88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Cost</w:t>
            </w:r>
          </w:p>
        </w:tc>
        <w:tc>
          <w:tcPr>
            <w:tcW w:w="1000" w:type="dxa"/>
            <w:vAlign w:val="bottom"/>
          </w:tcPr>
          <w:p>
            <w:pPr>
              <w:jc w:val="right"/>
              <w:ind w:right="193"/>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2980" w:type="dxa"/>
            <w:vAlign w:val="bottom"/>
            <w:tcBorders>
              <w:bottom w:val="single" w:sz="8" w:color="auto"/>
            </w:tcBorders>
            <w:vMerge w:val="continue"/>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Coupon</w:t>
            </w:r>
          </w:p>
        </w:tc>
        <w:tc>
          <w:tcPr>
            <w:tcW w:w="9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Shares</w:t>
            </w:r>
          </w:p>
        </w:tc>
        <w:tc>
          <w:tcPr>
            <w:tcW w:w="88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48"/>
        </w:trPr>
        <w:tc>
          <w:tcPr>
            <w:tcW w:w="29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6560" w:type="dxa"/>
            <w:vAlign w:val="bottom"/>
            <w:gridSpan w:val="3"/>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Investments in Non-Controlled, Non-Affiliated Portfolio Companies—162.3%</w:t>
            </w:r>
            <w:r>
              <w:rPr>
                <w:rFonts w:ascii="Arial" w:cs="Arial" w:eastAsia="Arial" w:hAnsi="Arial"/>
                <w:sz w:val="15"/>
                <w:szCs w:val="15"/>
                <w:b w:val="1"/>
                <w:bCs w:val="1"/>
                <w:color w:val="auto"/>
                <w:vertAlign w:val="superscript"/>
              </w:rPr>
              <w:t>(3),(4)</w:t>
            </w:r>
          </w:p>
        </w:tc>
        <w:tc>
          <w:tcPr>
            <w:tcW w:w="10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Debt—143.2%</w:t>
            </w:r>
          </w:p>
        </w:tc>
        <w:tc>
          <w:tcPr>
            <w:tcW w:w="15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3"/>
                <w:szCs w:val="13"/>
                <w:color w:val="auto"/>
              </w:rPr>
              <w:t>Airvana Network Solutions Inc.</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03/25/2015</w:t>
            </w:r>
          </w:p>
        </w:tc>
        <w:tc>
          <w:tcPr>
            <w:tcW w:w="206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10.00%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L+800</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428,571</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  429,682</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  412,500</w:t>
            </w:r>
          </w:p>
        </w:tc>
        <w:tc>
          <w:tcPr>
            <w:tcW w:w="0" w:type="dxa"/>
            <w:vAlign w:val="bottom"/>
          </w:tcPr>
          <w:p>
            <w:pPr>
              <w:spacing w:after="0"/>
              <w:rPr>
                <w:sz w:val="1"/>
                <w:szCs w:val="1"/>
                <w:color w:val="auto"/>
              </w:rPr>
            </w:pPr>
          </w:p>
        </w:tc>
      </w:tr>
      <w:tr>
        <w:trPr>
          <w:trHeight w:val="138"/>
        </w:trPr>
        <w:tc>
          <w:tcPr>
            <w:tcW w:w="2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Archipelago Learning, Inc.</w:t>
            </w:r>
          </w:p>
        </w:tc>
        <w:tc>
          <w:tcPr>
            <w:tcW w:w="1520" w:type="dxa"/>
            <w:vAlign w:val="bottom"/>
            <w:shd w:val="clear" w:color="auto" w:fill="CCEEFF"/>
          </w:tcPr>
          <w:p>
            <w:pPr>
              <w:jc w:val="center"/>
              <w:ind w:left="593"/>
              <w:spacing w:after="0" w:line="138" w:lineRule="exact"/>
              <w:rPr>
                <w:sz w:val="20"/>
                <w:szCs w:val="20"/>
                <w:color w:val="auto"/>
              </w:rPr>
            </w:pPr>
            <w:r>
              <w:rPr>
                <w:rFonts w:ascii="Arial" w:cs="Arial" w:eastAsia="Arial" w:hAnsi="Arial"/>
                <w:sz w:val="13"/>
                <w:szCs w:val="13"/>
                <w:color w:val="auto"/>
                <w:w w:val="95"/>
              </w:rPr>
              <w:t>05/17/2018</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6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3"/>
                <w:szCs w:val="13"/>
                <w:color w:val="auto"/>
              </w:rPr>
              <w:t>7.50%</w:t>
            </w:r>
          </w:p>
        </w:tc>
        <w:tc>
          <w:tcPr>
            <w:tcW w:w="92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L+600</w:t>
            </w: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1,000,000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970,549</w:t>
            </w:r>
          </w:p>
        </w:tc>
        <w:tc>
          <w:tcPr>
            <w:tcW w:w="10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993,750</w:t>
            </w:r>
          </w:p>
        </w:tc>
        <w:tc>
          <w:tcPr>
            <w:tcW w:w="0" w:type="dxa"/>
            <w:vAlign w:val="bottom"/>
          </w:tcPr>
          <w:p>
            <w:pPr>
              <w:spacing w:after="0"/>
              <w:rPr>
                <w:sz w:val="1"/>
                <w:szCs w:val="1"/>
                <w:color w:val="auto"/>
              </w:rPr>
            </w:pPr>
          </w:p>
        </w:tc>
      </w:tr>
      <w:tr>
        <w:trPr>
          <w:trHeight w:val="159"/>
        </w:trPr>
        <w:tc>
          <w:tcPr>
            <w:tcW w:w="29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Subscription</w:t>
            </w:r>
          </w:p>
        </w:tc>
        <w:tc>
          <w:tcPr>
            <w:tcW w:w="10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3"/>
                <w:szCs w:val="13"/>
                <w:color w:val="auto"/>
              </w:rPr>
              <w:t>Aspen Dental Management, Inc.</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10/06/2016</w:t>
            </w:r>
          </w:p>
        </w:tc>
        <w:tc>
          <w:tcPr>
            <w:tcW w:w="206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7.00%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L+550</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2,985,000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2,942,191</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2,962,613</w:t>
            </w: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Attachmate Corporation</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11/22/2017</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7.25%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3,000,000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2,941,003</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2,956,500</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3"/>
                <w:szCs w:val="13"/>
                <w:color w:val="auto"/>
              </w:rPr>
              <w:t>Autoparts Holdings Limited</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07/29/2017</w:t>
            </w:r>
          </w:p>
        </w:tc>
        <w:tc>
          <w:tcPr>
            <w:tcW w:w="206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6.50%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L+500</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992,500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988,528</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954,661</w:t>
            </w: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Blue Coat Systems, Inc.</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02/15/2018</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7.50%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L+600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4,000,000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3,924,210</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3,980,000</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3"/>
                <w:szCs w:val="13"/>
                <w:color w:val="auto"/>
              </w:rPr>
              <w:t>C.H.I. Overhead Doors, Inc.</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08/17/2017</w:t>
            </w:r>
          </w:p>
        </w:tc>
        <w:tc>
          <w:tcPr>
            <w:tcW w:w="2060" w:type="dxa"/>
            <w:vAlign w:val="bottom"/>
          </w:tcPr>
          <w:p>
            <w:pPr>
              <w:jc w:val="center"/>
              <w:spacing w:after="0"/>
              <w:rPr>
                <w:sz w:val="20"/>
                <w:szCs w:val="20"/>
                <w:color w:val="auto"/>
              </w:rPr>
            </w:pPr>
            <w:r>
              <w:rPr>
                <w:rFonts w:ascii="Arial" w:cs="Arial" w:eastAsia="Arial" w:hAnsi="Arial"/>
                <w:sz w:val="13"/>
                <w:szCs w:val="13"/>
                <w:color w:val="auto"/>
                <w:w w:val="93"/>
              </w:rPr>
              <w:t>Consumer Goods: Durable</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7.25%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L+575</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3,875,882</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3,809,110</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3,837,124</w:t>
            </w: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DCS Business Services, Inc.</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03/19/2018</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7.25%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2,992,500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2,948,114</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2,947,613</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3"/>
                <w:szCs w:val="13"/>
                <w:color w:val="auto"/>
              </w:rPr>
              <w:t>Document Technologies, Inc.</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12/01/2016</w:t>
            </w:r>
          </w:p>
        </w:tc>
        <w:tc>
          <w:tcPr>
            <w:tcW w:w="206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6.50%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L+500</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995,000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986,187</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975,100</w:t>
            </w: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DS Waters of America, Inc.</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08/29/2017</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Beverage, Food and Tobacco</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10.50%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L+900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3,990,000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3,914,063</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3,920,175</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3"/>
                <w:szCs w:val="13"/>
                <w:color w:val="auto"/>
              </w:rPr>
              <w:t>EAG, Inc.</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07/28/2017</w:t>
            </w:r>
          </w:p>
        </w:tc>
        <w:tc>
          <w:tcPr>
            <w:tcW w:w="206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6.75%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P+350</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962,500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958,205</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952,875</w:t>
            </w: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EIG Investors Corp.</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04/20/2018</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7.75%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L+625</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3,000,000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2,971,176</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2,970,000</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3"/>
                <w:szCs w:val="13"/>
                <w:color w:val="auto"/>
              </w:rPr>
              <w:t>ELO Touch Solutions, Inc.</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06/01/2018</w:t>
            </w:r>
          </w:p>
        </w:tc>
        <w:tc>
          <w:tcPr>
            <w:tcW w:w="206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8.00%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L+650</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2,000,000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1,920,000</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1,920,000</w:t>
            </w: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Emerald Performance Materials LLC</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05/18/2018</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6.75%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L+550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2,000,000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1,980,305</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1,985,000</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3"/>
                <w:szCs w:val="13"/>
                <w:color w:val="auto"/>
              </w:rPr>
              <w:t>eResearchtechnology, Inc.</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05/02/2018</w:t>
            </w:r>
          </w:p>
        </w:tc>
        <w:tc>
          <w:tcPr>
            <w:tcW w:w="206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8.00%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L+650</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3,000,000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2,880,000</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2,880,000</w:t>
            </w: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Fundtech (US FT HOLDCO, INC.)</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11/30/2017</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7.50%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L+600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2,985,000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2,902,471</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2,981,269</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3"/>
                <w:szCs w:val="13"/>
                <w:color w:val="auto"/>
              </w:rPr>
              <w:t>GFA Brands, Inc.</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07/02/2018</w:t>
            </w:r>
          </w:p>
        </w:tc>
        <w:tc>
          <w:tcPr>
            <w:tcW w:w="2060" w:type="dxa"/>
            <w:vAlign w:val="bottom"/>
          </w:tcPr>
          <w:p>
            <w:pPr>
              <w:jc w:val="center"/>
              <w:spacing w:after="0"/>
              <w:rPr>
                <w:sz w:val="20"/>
                <w:szCs w:val="20"/>
                <w:color w:val="auto"/>
              </w:rPr>
            </w:pPr>
            <w:r>
              <w:rPr>
                <w:rFonts w:ascii="Arial" w:cs="Arial" w:eastAsia="Arial" w:hAnsi="Arial"/>
                <w:sz w:val="13"/>
                <w:szCs w:val="13"/>
                <w:color w:val="auto"/>
                <w:w w:val="91"/>
              </w:rPr>
              <w:t>Beverage, Food and Tobacco</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7.00%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L+575</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2,000,000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1,960,000</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1,960,000</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Gundle/SLT Environmental, Inc.</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05/27/2016</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Industries</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L+550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2,971,800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2,947,243</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2,927,223</w:t>
            </w: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(5), (8)</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05/01/2016</w:t>
            </w:r>
          </w:p>
        </w:tc>
        <w:tc>
          <w:tcPr>
            <w:tcW w:w="2060" w:type="dxa"/>
            <w:vAlign w:val="bottom"/>
          </w:tcPr>
          <w:p>
            <w:pPr>
              <w:jc w:val="center"/>
              <w:spacing w:after="0"/>
              <w:rPr>
                <w:sz w:val="20"/>
                <w:szCs w:val="20"/>
                <w:color w:val="auto"/>
              </w:rPr>
            </w:pPr>
            <w:r>
              <w:rPr>
                <w:rFonts w:ascii="Arial" w:cs="Arial" w:eastAsia="Arial" w:hAnsi="Arial"/>
                <w:sz w:val="13"/>
                <w:szCs w:val="13"/>
                <w:color w:val="auto"/>
                <w:w w:val="91"/>
              </w:rPr>
              <w:t>Beverage, Food and Tobacco</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10.00%</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2,000,000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2,000,000</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2,075,000</w:t>
            </w: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HMK Intermediate Holdings LLC</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04/01/2019</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7.25%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L+600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2,992,500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2,934,485</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2,932,650</w:t>
            </w: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04/01/2017</w:t>
            </w:r>
          </w:p>
        </w:tc>
        <w:tc>
          <w:tcPr>
            <w:tcW w:w="206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11.50%</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2,000,000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1,961,630</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2,080,000</w:t>
            </w: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Insight Global, Inc.</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08/16/2017</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6.50%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986,278</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981,810</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969,018</w:t>
            </w:r>
          </w:p>
        </w:tc>
        <w:tc>
          <w:tcPr>
            <w:tcW w:w="0" w:type="dxa"/>
            <w:vAlign w:val="bottom"/>
          </w:tcPr>
          <w:p>
            <w:pPr>
              <w:spacing w:after="0"/>
              <w:rPr>
                <w:sz w:val="1"/>
                <w:szCs w:val="1"/>
                <w:color w:val="auto"/>
              </w:rPr>
            </w:pPr>
          </w:p>
        </w:tc>
      </w:tr>
      <w:tr>
        <w:trPr>
          <w:trHeight w:val="138"/>
        </w:trPr>
        <w:tc>
          <w:tcPr>
            <w:tcW w:w="2980" w:type="dxa"/>
            <w:vAlign w:val="bottom"/>
          </w:tcPr>
          <w:p>
            <w:pPr>
              <w:spacing w:after="0" w:line="138" w:lineRule="exact"/>
              <w:rPr>
                <w:sz w:val="20"/>
                <w:szCs w:val="20"/>
                <w:color w:val="auto"/>
              </w:rPr>
            </w:pPr>
            <w:r>
              <w:rPr>
                <w:rFonts w:ascii="Arial" w:cs="Arial" w:eastAsia="Arial" w:hAnsi="Arial"/>
                <w:sz w:val="13"/>
                <w:szCs w:val="13"/>
                <w:color w:val="auto"/>
              </w:rPr>
              <w:t>Instant Web, Inc.</w:t>
            </w:r>
          </w:p>
        </w:tc>
        <w:tc>
          <w:tcPr>
            <w:tcW w:w="1520" w:type="dxa"/>
            <w:vAlign w:val="bottom"/>
          </w:tcPr>
          <w:p>
            <w:pPr>
              <w:jc w:val="center"/>
              <w:ind w:left="593"/>
              <w:spacing w:after="0" w:line="138" w:lineRule="exact"/>
              <w:rPr>
                <w:sz w:val="20"/>
                <w:szCs w:val="20"/>
                <w:color w:val="auto"/>
              </w:rPr>
            </w:pPr>
            <w:r>
              <w:rPr>
                <w:rFonts w:ascii="Arial" w:cs="Arial" w:eastAsia="Arial" w:hAnsi="Arial"/>
                <w:sz w:val="13"/>
                <w:szCs w:val="13"/>
                <w:color w:val="auto"/>
                <w:w w:val="95"/>
              </w:rPr>
              <w:t>08/07/2014</w:t>
            </w:r>
          </w:p>
        </w:tc>
        <w:tc>
          <w:tcPr>
            <w:tcW w:w="206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60" w:type="dxa"/>
            <w:vAlign w:val="bottom"/>
          </w:tcPr>
          <w:p>
            <w:pPr>
              <w:jc w:val="right"/>
              <w:ind w:right="73"/>
              <w:spacing w:after="0" w:line="138" w:lineRule="exact"/>
              <w:rPr>
                <w:sz w:val="20"/>
                <w:szCs w:val="20"/>
                <w:color w:val="auto"/>
              </w:rPr>
            </w:pPr>
            <w:r>
              <w:rPr>
                <w:rFonts w:ascii="Arial" w:cs="Arial" w:eastAsia="Arial" w:hAnsi="Arial"/>
                <w:sz w:val="10"/>
                <w:szCs w:val="10"/>
                <w:color w:val="auto"/>
              </w:rPr>
              <w:t>3.62%</w:t>
            </w:r>
            <w:r>
              <w:rPr>
                <w:rFonts w:ascii="Arial" w:cs="Arial" w:eastAsia="Arial" w:hAnsi="Arial"/>
                <w:sz w:val="15"/>
                <w:szCs w:val="15"/>
                <w:color w:val="auto"/>
                <w:vertAlign w:val="superscript"/>
              </w:rPr>
              <w:t>(9)</w:t>
            </w:r>
          </w:p>
        </w:tc>
        <w:tc>
          <w:tcPr>
            <w:tcW w:w="92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L+338</w:t>
            </w:r>
          </w:p>
        </w:tc>
        <w:tc>
          <w:tcPr>
            <w:tcW w:w="8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6,836,508</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6,500,603</w:t>
            </w:r>
          </w:p>
        </w:tc>
        <w:tc>
          <w:tcPr>
            <w:tcW w:w="10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5,264,111</w:t>
            </w:r>
          </w:p>
        </w:tc>
        <w:tc>
          <w:tcPr>
            <w:tcW w:w="0" w:type="dxa"/>
            <w:vAlign w:val="bottom"/>
          </w:tcPr>
          <w:p>
            <w:pPr>
              <w:spacing w:after="0"/>
              <w:rPr>
                <w:sz w:val="1"/>
                <w:szCs w:val="1"/>
                <w:color w:val="auto"/>
              </w:rPr>
            </w:pPr>
          </w:p>
        </w:tc>
      </w:tr>
      <w:tr>
        <w:trPr>
          <w:trHeight w:val="159"/>
        </w:trPr>
        <w:tc>
          <w:tcPr>
            <w:tcW w:w="29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K2 Pure Solutions NoCal, L.P.</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09/10/2015</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10.00%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P+675</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5,476,250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5,517,720</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5,435,178</w:t>
            </w: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05/31/2014</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Consumer Goods: Non-Durable</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8.50%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L+700</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4,950,000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4,845,897</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4,826,250</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Medpace Intermediateco, Inc.</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06/17/2017</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6.50%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1,985,000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1,958,777</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1,895,675</w:t>
            </w:r>
          </w:p>
        </w:tc>
        <w:tc>
          <w:tcPr>
            <w:tcW w:w="0" w:type="dxa"/>
            <w:vAlign w:val="bottom"/>
          </w:tcPr>
          <w:p>
            <w:pPr>
              <w:spacing w:after="0"/>
              <w:rPr>
                <w:sz w:val="1"/>
                <w:szCs w:val="1"/>
                <w:color w:val="auto"/>
              </w:rPr>
            </w:pPr>
          </w:p>
        </w:tc>
      </w:tr>
      <w:tr>
        <w:trPr>
          <w:trHeight w:val="138"/>
        </w:trPr>
        <w:tc>
          <w:tcPr>
            <w:tcW w:w="2980" w:type="dxa"/>
            <w:vAlign w:val="bottom"/>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(6)</w:t>
            </w:r>
          </w:p>
        </w:tc>
        <w:tc>
          <w:tcPr>
            <w:tcW w:w="1520" w:type="dxa"/>
            <w:vAlign w:val="bottom"/>
          </w:tcPr>
          <w:p>
            <w:pPr>
              <w:jc w:val="center"/>
              <w:ind w:left="593"/>
              <w:spacing w:after="0" w:line="138" w:lineRule="exact"/>
              <w:rPr>
                <w:sz w:val="20"/>
                <w:szCs w:val="20"/>
                <w:color w:val="auto"/>
              </w:rPr>
            </w:pPr>
            <w:r>
              <w:rPr>
                <w:rFonts w:ascii="Arial" w:cs="Arial" w:eastAsia="Arial" w:hAnsi="Arial"/>
                <w:sz w:val="13"/>
                <w:szCs w:val="13"/>
                <w:color w:val="auto"/>
                <w:w w:val="95"/>
              </w:rPr>
              <w:t>05/06/2018</w:t>
            </w:r>
          </w:p>
        </w:tc>
        <w:tc>
          <w:tcPr>
            <w:tcW w:w="206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Diversified and</w:t>
            </w:r>
          </w:p>
        </w:tc>
        <w:tc>
          <w:tcPr>
            <w:tcW w:w="106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7.00%</w:t>
            </w:r>
          </w:p>
        </w:tc>
        <w:tc>
          <w:tcPr>
            <w:tcW w:w="92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8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3,960,000</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3,924,693</w:t>
            </w:r>
          </w:p>
        </w:tc>
        <w:tc>
          <w:tcPr>
            <w:tcW w:w="10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3,851,100</w:t>
            </w:r>
          </w:p>
        </w:tc>
        <w:tc>
          <w:tcPr>
            <w:tcW w:w="0" w:type="dxa"/>
            <w:vAlign w:val="bottom"/>
          </w:tcPr>
          <w:p>
            <w:pPr>
              <w:spacing w:after="0"/>
              <w:rPr>
                <w:sz w:val="1"/>
                <w:szCs w:val="1"/>
                <w:color w:val="auto"/>
              </w:rPr>
            </w:pPr>
          </w:p>
        </w:tc>
      </w:tr>
      <w:tr>
        <w:trPr>
          <w:trHeight w:val="159"/>
        </w:trPr>
        <w:tc>
          <w:tcPr>
            <w:tcW w:w="29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color w:val="auto"/>
                <w:w w:val="96"/>
              </w:rPr>
              <w:t>Production</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12/23/2016</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8.50%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L+700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2,943,750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2,877,361</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2,914,313</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3"/>
                <w:szCs w:val="13"/>
                <w:color w:val="auto"/>
              </w:rPr>
              <w:t>MX USA, INC and KAN-DI-KI, LLC</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05/01/2017</w:t>
            </w:r>
          </w:p>
        </w:tc>
        <w:tc>
          <w:tcPr>
            <w:tcW w:w="206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6.50%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L+525</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2,992,500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2,948,621</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2,962,575</w:t>
            </w:r>
          </w:p>
        </w:tc>
        <w:tc>
          <w:tcPr>
            <w:tcW w:w="0" w:type="dxa"/>
            <w:vAlign w:val="bottom"/>
          </w:tcPr>
          <w:p>
            <w:pPr>
              <w:spacing w:after="0"/>
              <w:rPr>
                <w:sz w:val="1"/>
                <w:szCs w:val="1"/>
                <w:color w:val="auto"/>
              </w:rPr>
            </w:pPr>
          </w:p>
        </w:tc>
      </w:tr>
      <w:tr>
        <w:trPr>
          <w:trHeight w:val="138"/>
        </w:trPr>
        <w:tc>
          <w:tcPr>
            <w:tcW w:w="2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NAB Holdings, LLC</w:t>
            </w:r>
          </w:p>
        </w:tc>
        <w:tc>
          <w:tcPr>
            <w:tcW w:w="1520" w:type="dxa"/>
            <w:vAlign w:val="bottom"/>
            <w:shd w:val="clear" w:color="auto" w:fill="CCEEFF"/>
          </w:tcPr>
          <w:p>
            <w:pPr>
              <w:jc w:val="center"/>
              <w:ind w:left="593"/>
              <w:spacing w:after="0" w:line="138" w:lineRule="exact"/>
              <w:rPr>
                <w:sz w:val="20"/>
                <w:szCs w:val="20"/>
                <w:color w:val="auto"/>
              </w:rPr>
            </w:pPr>
            <w:r>
              <w:rPr>
                <w:rFonts w:ascii="Arial" w:cs="Arial" w:eastAsia="Arial" w:hAnsi="Arial"/>
                <w:sz w:val="13"/>
                <w:szCs w:val="13"/>
                <w:color w:val="auto"/>
                <w:w w:val="95"/>
              </w:rPr>
              <w:t>04/24/2018</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Banking, Finance, Insurance and</w:t>
            </w:r>
          </w:p>
        </w:tc>
        <w:tc>
          <w:tcPr>
            <w:tcW w:w="106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1,000,000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985,481</w:t>
            </w:r>
          </w:p>
        </w:tc>
        <w:tc>
          <w:tcPr>
            <w:tcW w:w="10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997,500</w:t>
            </w:r>
          </w:p>
        </w:tc>
        <w:tc>
          <w:tcPr>
            <w:tcW w:w="0" w:type="dxa"/>
            <w:vAlign w:val="bottom"/>
          </w:tcPr>
          <w:p>
            <w:pPr>
              <w:spacing w:after="0"/>
              <w:rPr>
                <w:sz w:val="1"/>
                <w:szCs w:val="1"/>
                <w:color w:val="auto"/>
              </w:rPr>
            </w:pPr>
          </w:p>
        </w:tc>
      </w:tr>
      <w:tr>
        <w:trPr>
          <w:trHeight w:val="159"/>
        </w:trPr>
        <w:tc>
          <w:tcPr>
            <w:tcW w:w="29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Real Estate</w:t>
            </w:r>
          </w:p>
        </w:tc>
        <w:tc>
          <w:tcPr>
            <w:tcW w:w="10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3"/>
                <w:szCs w:val="13"/>
                <w:color w:val="auto"/>
              </w:rPr>
              <w:t>National Healing Corporation</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11/30/2017</w:t>
            </w:r>
          </w:p>
        </w:tc>
        <w:tc>
          <w:tcPr>
            <w:tcW w:w="206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8.25%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L+675</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4,975,000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4,744,187</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4,800,874</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Pelican Products, Inc.</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06/15/2018</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L+550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1,500,000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1,470,000</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1,470,000</w:t>
            </w:r>
          </w:p>
        </w:tc>
        <w:tc>
          <w:tcPr>
            <w:tcW w:w="0" w:type="dxa"/>
            <w:vAlign w:val="bottom"/>
          </w:tcPr>
          <w:p>
            <w:pPr>
              <w:spacing w:after="0"/>
              <w:rPr>
                <w:sz w:val="1"/>
                <w:szCs w:val="1"/>
                <w:color w:val="auto"/>
              </w:rPr>
            </w:pPr>
          </w:p>
        </w:tc>
      </w:tr>
      <w:tr>
        <w:trPr>
          <w:trHeight w:val="138"/>
        </w:trPr>
        <w:tc>
          <w:tcPr>
            <w:tcW w:w="2980" w:type="dxa"/>
            <w:vAlign w:val="bottom"/>
          </w:tcPr>
          <w:p>
            <w:pPr>
              <w:spacing w:after="0" w:line="138" w:lineRule="exact"/>
              <w:rPr>
                <w:sz w:val="20"/>
                <w:szCs w:val="20"/>
                <w:color w:val="auto"/>
              </w:rPr>
            </w:pPr>
            <w:r>
              <w:rPr>
                <w:rFonts w:ascii="Arial" w:cs="Arial" w:eastAsia="Arial" w:hAnsi="Arial"/>
                <w:sz w:val="10"/>
                <w:szCs w:val="10"/>
                <w:color w:val="auto"/>
              </w:rPr>
              <w:t xml:space="preserve">Penton Media, Inc. </w:t>
            </w:r>
            <w:r>
              <w:rPr>
                <w:rFonts w:ascii="Arial" w:cs="Arial" w:eastAsia="Arial" w:hAnsi="Arial"/>
                <w:sz w:val="15"/>
                <w:szCs w:val="15"/>
                <w:color w:val="auto"/>
                <w:vertAlign w:val="superscript"/>
              </w:rPr>
              <w:t>(8)</w:t>
            </w:r>
          </w:p>
        </w:tc>
        <w:tc>
          <w:tcPr>
            <w:tcW w:w="1520" w:type="dxa"/>
            <w:vAlign w:val="bottom"/>
          </w:tcPr>
          <w:p>
            <w:pPr>
              <w:jc w:val="center"/>
              <w:ind w:left="593"/>
              <w:spacing w:after="0" w:line="138" w:lineRule="exact"/>
              <w:rPr>
                <w:sz w:val="20"/>
                <w:szCs w:val="20"/>
                <w:color w:val="auto"/>
              </w:rPr>
            </w:pPr>
            <w:r>
              <w:rPr>
                <w:rFonts w:ascii="Arial" w:cs="Arial" w:eastAsia="Arial" w:hAnsi="Arial"/>
                <w:sz w:val="13"/>
                <w:szCs w:val="13"/>
                <w:color w:val="auto"/>
                <w:w w:val="95"/>
              </w:rPr>
              <w:t>08/01/2014</w:t>
            </w:r>
          </w:p>
        </w:tc>
        <w:tc>
          <w:tcPr>
            <w:tcW w:w="206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Diversified and</w:t>
            </w:r>
          </w:p>
        </w:tc>
        <w:tc>
          <w:tcPr>
            <w:tcW w:w="106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5.00%</w:t>
            </w:r>
          </w:p>
        </w:tc>
        <w:tc>
          <w:tcPr>
            <w:tcW w:w="92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L+400</w:t>
            </w:r>
          </w:p>
        </w:tc>
        <w:tc>
          <w:tcPr>
            <w:tcW w:w="8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5,497,687</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4,866,090</w:t>
            </w:r>
          </w:p>
        </w:tc>
        <w:tc>
          <w:tcPr>
            <w:tcW w:w="10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4,161,749</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3"/>
                <w:szCs w:val="13"/>
                <w:color w:val="auto"/>
                <w:w w:val="96"/>
              </w:rPr>
              <w:t>Production</w:t>
            </w:r>
          </w:p>
        </w:tc>
        <w:tc>
          <w:tcPr>
            <w:tcW w:w="1060" w:type="dxa"/>
            <w:vAlign w:val="bottom"/>
          </w:tcPr>
          <w:p>
            <w:pPr>
              <w:ind w:left="160"/>
              <w:spacing w:after="0"/>
              <w:rPr>
                <w:sz w:val="20"/>
                <w:szCs w:val="20"/>
                <w:color w:val="auto"/>
              </w:rPr>
            </w:pPr>
            <w:r>
              <w:rPr>
                <w:rFonts w:ascii="Arial" w:cs="Arial" w:eastAsia="Arial" w:hAnsi="Arial"/>
                <w:sz w:val="13"/>
                <w:szCs w:val="13"/>
                <w:color w:val="auto"/>
              </w:rPr>
              <w:t>(PIK 1.00%)</w:t>
            </w: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Potter’s Holdings II, L.P.</w:t>
            </w:r>
          </w:p>
        </w:tc>
        <w:tc>
          <w:tcPr>
            <w:tcW w:w="1520" w:type="dxa"/>
            <w:vAlign w:val="bottom"/>
            <w:shd w:val="clear" w:color="auto" w:fill="CCEEFF"/>
          </w:tcPr>
          <w:p>
            <w:pPr>
              <w:jc w:val="center"/>
              <w:ind w:left="593"/>
              <w:spacing w:after="0"/>
              <w:rPr>
                <w:sz w:val="20"/>
                <w:szCs w:val="20"/>
                <w:color w:val="auto"/>
              </w:rPr>
            </w:pPr>
            <w:r>
              <w:rPr>
                <w:rFonts w:ascii="Arial" w:cs="Arial" w:eastAsia="Arial" w:hAnsi="Arial"/>
                <w:sz w:val="13"/>
                <w:szCs w:val="13"/>
                <w:color w:val="auto"/>
                <w:w w:val="95"/>
              </w:rPr>
              <w:t>05/08/2017</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6.00%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L+450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1,980,000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1,962,768</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1,963,501</w:t>
            </w:r>
          </w:p>
        </w:tc>
        <w:tc>
          <w:tcPr>
            <w:tcW w:w="0" w:type="dxa"/>
            <w:vAlign w:val="bottom"/>
          </w:tcPr>
          <w:p>
            <w:pPr>
              <w:spacing w:after="0"/>
              <w:rPr>
                <w:sz w:val="1"/>
                <w:szCs w:val="1"/>
                <w:color w:val="auto"/>
              </w:rPr>
            </w:pPr>
          </w:p>
        </w:tc>
      </w:tr>
      <w:tr>
        <w:trPr>
          <w:trHeight w:val="172"/>
        </w:trPr>
        <w:tc>
          <w:tcPr>
            <w:tcW w:w="2980" w:type="dxa"/>
            <w:vAlign w:val="bottom"/>
          </w:tcPr>
          <w:p>
            <w:pPr>
              <w:spacing w:after="0"/>
              <w:rPr>
                <w:sz w:val="20"/>
                <w:szCs w:val="20"/>
                <w:color w:val="auto"/>
              </w:rPr>
            </w:pPr>
            <w:r>
              <w:rPr>
                <w:rFonts w:ascii="Arial" w:cs="Arial" w:eastAsia="Arial" w:hAnsi="Arial"/>
                <w:sz w:val="13"/>
                <w:szCs w:val="13"/>
                <w:color w:val="auto"/>
              </w:rPr>
              <w:t>Pro Mach, Inc.</w:t>
            </w:r>
          </w:p>
        </w:tc>
        <w:tc>
          <w:tcPr>
            <w:tcW w:w="1520" w:type="dxa"/>
            <w:vAlign w:val="bottom"/>
          </w:tcPr>
          <w:p>
            <w:pPr>
              <w:jc w:val="center"/>
              <w:ind w:left="593"/>
              <w:spacing w:after="0"/>
              <w:rPr>
                <w:sz w:val="20"/>
                <w:szCs w:val="20"/>
                <w:color w:val="auto"/>
              </w:rPr>
            </w:pPr>
            <w:r>
              <w:rPr>
                <w:rFonts w:ascii="Arial" w:cs="Arial" w:eastAsia="Arial" w:hAnsi="Arial"/>
                <w:sz w:val="13"/>
                <w:szCs w:val="13"/>
                <w:color w:val="auto"/>
                <w:w w:val="95"/>
              </w:rPr>
              <w:t>07/06/2017</w:t>
            </w:r>
          </w:p>
        </w:tc>
        <w:tc>
          <w:tcPr>
            <w:tcW w:w="2060" w:type="dxa"/>
            <w:vAlign w:val="bottom"/>
          </w:tcPr>
          <w:p>
            <w:pPr>
              <w:jc w:val="center"/>
              <w:spacing w:after="0"/>
              <w:rPr>
                <w:sz w:val="20"/>
                <w:szCs w:val="20"/>
                <w:color w:val="auto"/>
              </w:rPr>
            </w:pPr>
            <w:r>
              <w:rPr>
                <w:rFonts w:ascii="Arial" w:cs="Arial" w:eastAsia="Arial" w:hAnsi="Arial"/>
                <w:sz w:val="13"/>
                <w:szCs w:val="13"/>
                <w:color w:val="auto"/>
                <w:w w:val="95"/>
              </w:rPr>
              <w:t>Capital Equipment</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6.25%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L+475</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978,077</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970,162</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962,184</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Basis Point</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Maturity</w:t>
            </w:r>
          </w:p>
        </w:tc>
        <w:tc>
          <w:tcPr>
            <w:tcW w:w="31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Industry</w:t>
            </w: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Current</w:t>
            </w: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Above</w:t>
            </w: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Par/</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1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3120" w:type="dxa"/>
            <w:vAlign w:val="bottom"/>
            <w:gridSpan w:val="2"/>
            <w:vMerge w:val="continue"/>
          </w:tcPr>
          <w:p>
            <w:pPr>
              <w:spacing w:after="0"/>
              <w:rPr>
                <w:sz w:val="12"/>
                <w:szCs w:val="12"/>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Coupon</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Shares</w:t>
            </w:r>
          </w:p>
        </w:tc>
        <w:tc>
          <w:tcPr>
            <w:tcW w:w="90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4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Renaissance Learning, Inc.</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5"/>
              </w:rPr>
              <w:t>10/19/2017</w:t>
            </w:r>
          </w:p>
        </w:tc>
        <w:tc>
          <w:tcPr>
            <w:tcW w:w="100" w:type="dxa"/>
            <w:vAlign w:val="bottom"/>
            <w:tcBorders>
              <w:top w:val="single" w:sz="8" w:color="CCEEFF"/>
            </w:tcBorders>
            <w:shd w:val="clear" w:color="auto" w:fill="CCEEFF"/>
          </w:tcPr>
          <w:p>
            <w:pPr>
              <w:spacing w:after="0"/>
              <w:rPr>
                <w:sz w:val="11"/>
                <w:szCs w:val="11"/>
                <w:color w:val="auto"/>
              </w:rPr>
            </w:pPr>
          </w:p>
        </w:tc>
        <w:tc>
          <w:tcPr>
            <w:tcW w:w="30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4"/>
              </w:rPr>
              <w:t>Media: Broadcasting and</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7.75</w:t>
            </w:r>
          </w:p>
        </w:tc>
        <w:tc>
          <w:tcPr>
            <w:tcW w:w="320" w:type="dxa"/>
            <w:vAlign w:val="bottom"/>
            <w:tcBorders>
              <w:top w:val="single" w:sz="8" w:color="CCEEFF"/>
            </w:tcBorders>
            <w:shd w:val="clear" w:color="auto" w:fill="CCEEFF"/>
          </w:tcPr>
          <w:p>
            <w:pPr>
              <w:jc w:val="right"/>
              <w:ind w:right="133"/>
              <w:spacing w:after="0" w:line="131" w:lineRule="exact"/>
              <w:rPr>
                <w:sz w:val="20"/>
                <w:szCs w:val="20"/>
                <w:color w:val="auto"/>
              </w:rPr>
            </w:pPr>
            <w:r>
              <w:rPr>
                <w:rFonts w:ascii="Arial" w:cs="Arial" w:eastAsia="Arial" w:hAnsi="Arial"/>
                <w:sz w:val="13"/>
                <w:szCs w:val="13"/>
                <w:color w:val="auto"/>
                <w:w w:val="86"/>
              </w:rPr>
              <w:t>%</w:t>
            </w:r>
          </w:p>
        </w:tc>
        <w:tc>
          <w:tcPr>
            <w:tcW w:w="6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L+625</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6"/>
              </w:rPr>
              <w:t>1,985,000</w:t>
            </w:r>
          </w:p>
        </w:tc>
        <w:tc>
          <w:tcPr>
            <w:tcW w:w="1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9"/>
              </w:rPr>
              <w:t>$  1,911,857</w:t>
            </w: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  1,982,519</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Subscription</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3"/>
                <w:szCs w:val="13"/>
                <w:color w:val="auto"/>
              </w:rPr>
              <w:t>Rocket Software,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02/08/2018</w:t>
            </w:r>
          </w:p>
        </w:tc>
        <w:tc>
          <w:tcPr>
            <w:tcW w:w="100" w:type="dxa"/>
            <w:vAlign w:val="bottom"/>
          </w:tcPr>
          <w:p>
            <w:pPr>
              <w:spacing w:after="0"/>
              <w:rPr>
                <w:sz w:val="12"/>
                <w:szCs w:val="12"/>
                <w:color w:val="auto"/>
              </w:rPr>
            </w:pPr>
          </w:p>
        </w:tc>
        <w:tc>
          <w:tcPr>
            <w:tcW w:w="312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High Tech Industries</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7.00%</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L+550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3,980,000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3,904,553</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3,960,100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Securus Technologies,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05/31/2017</w:t>
            </w:r>
          </w:p>
        </w:tc>
        <w:tc>
          <w:tcPr>
            <w:tcW w:w="10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Telecommunications</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6.50%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2,970,000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2,944,408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2,947,725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3"/>
                <w:szCs w:val="13"/>
                <w:color w:val="auto"/>
              </w:rPr>
              <w:t>Sotera Defense Solutions,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04/22/2017</w:t>
            </w:r>
          </w:p>
        </w:tc>
        <w:tc>
          <w:tcPr>
            <w:tcW w:w="100" w:type="dxa"/>
            <w:vAlign w:val="bottom"/>
          </w:tcPr>
          <w:p>
            <w:pPr>
              <w:spacing w:after="0"/>
              <w:rPr>
                <w:sz w:val="12"/>
                <w:szCs w:val="12"/>
                <w:color w:val="auto"/>
              </w:rPr>
            </w:pPr>
          </w:p>
        </w:tc>
        <w:tc>
          <w:tcPr>
            <w:tcW w:w="312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Aerospace and Defense</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7.00%</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L+550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2,970,006</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2,944,913</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2,940,306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Tank Intermediate Holding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04/15/2016</w:t>
            </w:r>
          </w:p>
        </w:tc>
        <w:tc>
          <w:tcPr>
            <w:tcW w:w="100" w:type="dxa"/>
            <w:vAlign w:val="bottom"/>
            <w:shd w:val="clear" w:color="auto" w:fill="CCEEFF"/>
          </w:tcPr>
          <w:p>
            <w:pPr>
              <w:spacing w:after="0"/>
              <w:rPr>
                <w:sz w:val="11"/>
                <w:szCs w:val="11"/>
                <w:color w:val="auto"/>
              </w:rPr>
            </w:pPr>
          </w:p>
        </w:tc>
        <w:tc>
          <w:tcPr>
            <w:tcW w:w="31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2"/>
              </w:rPr>
              <w:t>Containers, Packaging and</w:t>
            </w:r>
          </w:p>
        </w:tc>
        <w:tc>
          <w:tcPr>
            <w:tcW w:w="900" w:type="dxa"/>
            <w:vAlign w:val="bottom"/>
            <w:gridSpan w:val="2"/>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4.84%</w:t>
            </w:r>
          </w:p>
        </w:tc>
        <w:tc>
          <w:tcPr>
            <w:tcW w:w="86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L+350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1,622,642</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1,619,255</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1,614,528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Glass</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3"/>
                <w:szCs w:val="13"/>
                <w:color w:val="auto"/>
              </w:rPr>
              <w:t>Tekelec Global, Inc. (First Out)</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01/29/2018</w:t>
            </w:r>
          </w:p>
        </w:tc>
        <w:tc>
          <w:tcPr>
            <w:tcW w:w="100" w:type="dxa"/>
            <w:vAlign w:val="bottom"/>
          </w:tcPr>
          <w:p>
            <w:pPr>
              <w:spacing w:after="0"/>
              <w:rPr>
                <w:sz w:val="12"/>
                <w:szCs w:val="12"/>
                <w:color w:val="auto"/>
              </w:rPr>
            </w:pPr>
          </w:p>
        </w:tc>
        <w:tc>
          <w:tcPr>
            <w:tcW w:w="312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Telecommunications</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9.00%</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L+750</w:t>
            </w:r>
          </w:p>
        </w:tc>
        <w:tc>
          <w:tcPr>
            <w:tcW w:w="580" w:type="dxa"/>
            <w:vAlign w:val="bottom"/>
          </w:tcPr>
          <w:p>
            <w:pPr>
              <w:jc w:val="right"/>
              <w:spacing w:after="0"/>
              <w:rPr>
                <w:sz w:val="20"/>
                <w:szCs w:val="20"/>
                <w:color w:val="auto"/>
              </w:rPr>
            </w:pPr>
            <w:r>
              <w:rPr>
                <w:rFonts w:ascii="Arial" w:cs="Arial" w:eastAsia="Arial" w:hAnsi="Arial"/>
                <w:sz w:val="13"/>
                <w:szCs w:val="13"/>
                <w:color w:val="auto"/>
              </w:rPr>
              <w:t>510,000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502,723</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Tekelec Global, Inc. (Second Out)</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01/29/2018</w:t>
            </w:r>
          </w:p>
        </w:tc>
        <w:tc>
          <w:tcPr>
            <w:tcW w:w="10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Telecommunications</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13.50%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L+1,200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1,875,000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1,822,252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3"/>
                <w:szCs w:val="13"/>
                <w:color w:val="auto"/>
              </w:rPr>
              <w:t>Triple Point Technology,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10/30/2017</w:t>
            </w:r>
          </w:p>
        </w:tc>
        <w:tc>
          <w:tcPr>
            <w:tcW w:w="100" w:type="dxa"/>
            <w:vAlign w:val="bottom"/>
          </w:tcPr>
          <w:p>
            <w:pPr>
              <w:spacing w:after="0"/>
              <w:rPr>
                <w:sz w:val="12"/>
                <w:szCs w:val="12"/>
                <w:color w:val="auto"/>
              </w:rPr>
            </w:pPr>
          </w:p>
        </w:tc>
        <w:tc>
          <w:tcPr>
            <w:tcW w:w="312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High Tech Industries</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8.00%</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L+650</w:t>
            </w:r>
          </w:p>
        </w:tc>
        <w:tc>
          <w:tcPr>
            <w:tcW w:w="580" w:type="dxa"/>
            <w:vAlign w:val="bottom"/>
          </w:tcPr>
          <w:p>
            <w:pPr>
              <w:jc w:val="right"/>
              <w:spacing w:after="0"/>
              <w:rPr>
                <w:sz w:val="20"/>
                <w:szCs w:val="20"/>
                <w:color w:val="auto"/>
              </w:rPr>
            </w:pPr>
            <w:r>
              <w:rPr>
                <w:rFonts w:ascii="Arial" w:cs="Arial" w:eastAsia="Arial" w:hAnsi="Arial"/>
                <w:sz w:val="13"/>
                <w:szCs w:val="13"/>
                <w:color w:val="auto"/>
              </w:rPr>
              <w:t>995,000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958,688</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993,756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Univita Health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06/19/2017</w:t>
            </w:r>
          </w:p>
        </w:tc>
        <w:tc>
          <w:tcPr>
            <w:tcW w:w="10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Consumer Services</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6.25%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L+475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2,970,000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2,944,235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2,836,350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rPr>
                <w:sz w:val="20"/>
                <w:szCs w:val="20"/>
                <w:color w:val="auto"/>
              </w:rPr>
            </w:pPr>
            <w:r>
              <w:rPr>
                <w:rFonts w:ascii="Arial" w:cs="Arial" w:eastAsia="Arial" w:hAnsi="Arial"/>
                <w:sz w:val="13"/>
                <w:szCs w:val="13"/>
                <w:color w:val="auto"/>
              </w:rPr>
              <w:t>U.S. Healthworks Holding Company,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06/15/2016</w:t>
            </w:r>
          </w:p>
        </w:tc>
        <w:tc>
          <w:tcPr>
            <w:tcW w:w="100" w:type="dxa"/>
            <w:vAlign w:val="bottom"/>
          </w:tcPr>
          <w:p>
            <w:pPr>
              <w:spacing w:after="0"/>
              <w:rPr>
                <w:sz w:val="12"/>
                <w:szCs w:val="12"/>
                <w:color w:val="auto"/>
              </w:rPr>
            </w:pPr>
          </w:p>
        </w:tc>
        <w:tc>
          <w:tcPr>
            <w:tcW w:w="312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Healthcare and Pharmaceuticals</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6.25%</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L+475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2,977,500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2,952,710</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2,917,950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Valitas Health Services,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06/02/2017</w:t>
            </w:r>
          </w:p>
        </w:tc>
        <w:tc>
          <w:tcPr>
            <w:tcW w:w="10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Healthcare and Pharmaceuticals</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5.75%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L+450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1,485,000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1,478,259</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1,440,450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3"/>
                <w:szCs w:val="13"/>
                <w:color w:val="auto"/>
              </w:rPr>
              <w:t>Vantage Specialties,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02/09/2018</w:t>
            </w:r>
          </w:p>
        </w:tc>
        <w:tc>
          <w:tcPr>
            <w:tcW w:w="100" w:type="dxa"/>
            <w:vAlign w:val="bottom"/>
          </w:tcPr>
          <w:p>
            <w:pPr>
              <w:spacing w:after="0"/>
              <w:rPr>
                <w:sz w:val="12"/>
                <w:szCs w:val="12"/>
                <w:color w:val="auto"/>
              </w:rPr>
            </w:pPr>
          </w:p>
        </w:tc>
        <w:tc>
          <w:tcPr>
            <w:tcW w:w="312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Chemicals, Plastics and Rubber</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7.00%</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L+550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2,992,500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2,935,679</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Viamedia Services Corp.</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04/19/2016</w:t>
            </w:r>
          </w:p>
        </w:tc>
        <w:tc>
          <w:tcPr>
            <w:tcW w:w="10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Media: Advertising, Printing and Publishing</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4,343,778</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4,298,908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4,326,403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3"/>
                <w:szCs w:val="13"/>
                <w:color w:val="auto"/>
              </w:rPr>
              <w:t>Virtual Radiologic Corporation</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12/22/2016</w:t>
            </w:r>
          </w:p>
        </w:tc>
        <w:tc>
          <w:tcPr>
            <w:tcW w:w="100" w:type="dxa"/>
            <w:vAlign w:val="bottom"/>
          </w:tcPr>
          <w:p>
            <w:pPr>
              <w:spacing w:after="0"/>
              <w:rPr>
                <w:sz w:val="12"/>
                <w:szCs w:val="12"/>
                <w:color w:val="auto"/>
              </w:rPr>
            </w:pPr>
          </w:p>
        </w:tc>
        <w:tc>
          <w:tcPr>
            <w:tcW w:w="312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7.75%</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P+450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2,977,500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2,947,800</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2,620,200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W3 CO.</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10/31/2017</w:t>
            </w:r>
          </w:p>
        </w:tc>
        <w:tc>
          <w:tcPr>
            <w:tcW w:w="10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Energy: Oil and Gas</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7.50%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L+625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1,990,000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1,917,688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rPr>
                <w:sz w:val="20"/>
                <w:szCs w:val="20"/>
                <w:color w:val="auto"/>
              </w:rPr>
            </w:pPr>
            <w:r>
              <w:rPr>
                <w:rFonts w:ascii="Arial" w:cs="Arial" w:eastAsia="Arial" w:hAnsi="Arial"/>
                <w:sz w:val="13"/>
                <w:szCs w:val="13"/>
                <w:color w:val="auto"/>
              </w:rPr>
              <w:t>Water Pik,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08/10/2017</w:t>
            </w:r>
          </w:p>
        </w:tc>
        <w:tc>
          <w:tcPr>
            <w:tcW w:w="100" w:type="dxa"/>
            <w:vAlign w:val="bottom"/>
          </w:tcPr>
          <w:p>
            <w:pPr>
              <w:spacing w:after="0"/>
              <w:rPr>
                <w:sz w:val="12"/>
                <w:szCs w:val="12"/>
                <w:color w:val="auto"/>
              </w:rPr>
            </w:pPr>
          </w:p>
        </w:tc>
        <w:tc>
          <w:tcPr>
            <w:tcW w:w="312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Consumer Goods: Durable</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6.75%</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L+525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3,473,750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3,443,764</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3,456,381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WCA Waste Corporation</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03/23/2017</w:t>
            </w:r>
          </w:p>
        </w:tc>
        <w:tc>
          <w:tcPr>
            <w:tcW w:w="10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Environmental Industries</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5.50%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L+425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997,500</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988,117</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989,394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07/15/2016</w:t>
            </w:r>
          </w:p>
        </w:tc>
        <w:tc>
          <w:tcPr>
            <w:tcW w:w="100" w:type="dxa"/>
            <w:vAlign w:val="bottom"/>
          </w:tcPr>
          <w:p>
            <w:pPr>
              <w:spacing w:after="0"/>
              <w:rPr>
                <w:sz w:val="13"/>
                <w:szCs w:val="13"/>
                <w:color w:val="auto"/>
              </w:rPr>
            </w:pPr>
          </w:p>
        </w:tc>
        <w:tc>
          <w:tcPr>
            <w:tcW w:w="312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11.38%</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4,000,000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4,305,762</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138,644,893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136,741,118</w:t>
            </w:r>
          </w:p>
        </w:tc>
        <w:tc>
          <w:tcPr>
            <w:tcW w:w="0" w:type="dxa"/>
            <w:vAlign w:val="bottom"/>
          </w:tcPr>
          <w:p>
            <w:pPr>
              <w:spacing w:after="0"/>
              <w:rPr>
                <w:sz w:val="1"/>
                <w:szCs w:val="1"/>
                <w:color w:val="auto"/>
              </w:rPr>
            </w:pPr>
          </w:p>
        </w:tc>
      </w:tr>
      <w:tr>
        <w:trPr>
          <w:trHeight w:val="155"/>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Debt—7.4%</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Autoparts Holdings Limited</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01/29/2018</w:t>
            </w:r>
          </w:p>
        </w:tc>
        <w:tc>
          <w:tcPr>
            <w:tcW w:w="10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Automotive</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10.50%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L+900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995,000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11/06/2018</w:t>
            </w:r>
          </w:p>
        </w:tc>
        <w:tc>
          <w:tcPr>
            <w:tcW w:w="100" w:type="dxa"/>
            <w:vAlign w:val="bottom"/>
          </w:tcPr>
          <w:p>
            <w:pPr>
              <w:spacing w:after="0"/>
              <w:rPr>
                <w:sz w:val="12"/>
                <w:szCs w:val="12"/>
                <w:color w:val="auto"/>
              </w:rPr>
            </w:pPr>
          </w:p>
        </w:tc>
        <w:tc>
          <w:tcPr>
            <w:tcW w:w="312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Media: Diversified and Production</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10.25%</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L+875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1,500,000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1,486,146</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09/01/2018</w:t>
            </w:r>
          </w:p>
        </w:tc>
        <w:tc>
          <w:tcPr>
            <w:tcW w:w="10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12.13%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2,000,000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1,968,243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3"/>
                <w:szCs w:val="13"/>
                <w:color w:val="auto"/>
              </w:rPr>
              <w:t>Sensus USA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05/09/2018</w:t>
            </w:r>
          </w:p>
        </w:tc>
        <w:tc>
          <w:tcPr>
            <w:tcW w:w="100" w:type="dxa"/>
            <w:vAlign w:val="bottom"/>
          </w:tcPr>
          <w:p>
            <w:pPr>
              <w:spacing w:after="0"/>
              <w:rPr>
                <w:sz w:val="12"/>
                <w:szCs w:val="12"/>
                <w:color w:val="auto"/>
              </w:rPr>
            </w:pPr>
          </w:p>
        </w:tc>
        <w:tc>
          <w:tcPr>
            <w:tcW w:w="312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Utilities: Water</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8.50%</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L+725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1,000,000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991,414</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993,750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05/15/2019</w:t>
            </w:r>
          </w:p>
        </w:tc>
        <w:tc>
          <w:tcPr>
            <w:tcW w:w="10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9.13%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1,500,000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1,548,750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6,940,803</w:t>
            </w:r>
          </w:p>
        </w:tc>
        <w:tc>
          <w:tcPr>
            <w:tcW w:w="1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7,112,500</w:t>
            </w: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Subordinated Debt/Corporate Notes—10.8% </w:t>
            </w:r>
            <w:r>
              <w:rPr>
                <w:rFonts w:ascii="Arial" w:cs="Arial" w:eastAsia="Arial" w:hAnsi="Arial"/>
                <w:sz w:val="17"/>
                <w:szCs w:val="17"/>
                <w:b w:val="1"/>
                <w:bCs w:val="1"/>
                <w:color w:val="auto"/>
                <w:vertAlign w:val="superscript"/>
              </w:rPr>
              <w:t>(8)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3"/>
                <w:szCs w:val="13"/>
                <w:color w:val="auto"/>
              </w:rPr>
              <w:t>Affinion Group Holdings,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11/15/2015</w:t>
            </w:r>
          </w:p>
        </w:tc>
        <w:tc>
          <w:tcPr>
            <w:tcW w:w="100" w:type="dxa"/>
            <w:vAlign w:val="bottom"/>
          </w:tcPr>
          <w:p>
            <w:pPr>
              <w:spacing w:after="0"/>
              <w:rPr>
                <w:sz w:val="12"/>
                <w:szCs w:val="12"/>
                <w:color w:val="auto"/>
              </w:rPr>
            </w:pPr>
          </w:p>
        </w:tc>
        <w:tc>
          <w:tcPr>
            <w:tcW w:w="312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Consumer Goods: Non-Durable</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11.63%</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4,100,000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3,766,379</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3,239,000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Document Technologies,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12/01/2017</w:t>
            </w:r>
          </w:p>
        </w:tc>
        <w:tc>
          <w:tcPr>
            <w:tcW w:w="10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13.00%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980,106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rPr>
                <w:sz w:val="20"/>
                <w:szCs w:val="20"/>
                <w:color w:val="auto"/>
              </w:rPr>
            </w:pPr>
            <w:r>
              <w:rPr>
                <w:rFonts w:ascii="Arial" w:cs="Arial" w:eastAsia="Arial" w:hAnsi="Arial"/>
                <w:sz w:val="13"/>
                <w:szCs w:val="13"/>
                <w:color w:val="auto"/>
              </w:rPr>
              <w:t>Lonestar Intermediate Super Holdings,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09/02/2019</w:t>
            </w:r>
          </w:p>
        </w:tc>
        <w:tc>
          <w:tcPr>
            <w:tcW w:w="100" w:type="dxa"/>
            <w:vAlign w:val="bottom"/>
          </w:tcPr>
          <w:p>
            <w:pPr>
              <w:spacing w:after="0"/>
              <w:rPr>
                <w:sz w:val="12"/>
                <w:szCs w:val="12"/>
                <w:color w:val="auto"/>
              </w:rPr>
            </w:pPr>
          </w:p>
        </w:tc>
        <w:tc>
          <w:tcPr>
            <w:tcW w:w="312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Consumer Services</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11.00%</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L+950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1,500,000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1,456,279</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1,535,250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06/01/2019</w:t>
            </w:r>
          </w:p>
        </w:tc>
        <w:tc>
          <w:tcPr>
            <w:tcW w:w="100" w:type="dxa"/>
            <w:vAlign w:val="bottom"/>
            <w:shd w:val="clear" w:color="auto" w:fill="CCEEFF"/>
          </w:tcPr>
          <w:p>
            <w:pPr>
              <w:spacing w:after="0"/>
              <w:rPr>
                <w:sz w:val="11"/>
                <w:szCs w:val="11"/>
                <w:color w:val="auto"/>
              </w:rPr>
            </w:pPr>
          </w:p>
        </w:tc>
        <w:tc>
          <w:tcPr>
            <w:tcW w:w="31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Beverage, Food and Tobacco</w:t>
            </w:r>
          </w:p>
        </w:tc>
        <w:tc>
          <w:tcPr>
            <w:tcW w:w="900" w:type="dxa"/>
            <w:vAlign w:val="bottom"/>
            <w:gridSpan w:val="2"/>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14.25%</w:t>
            </w:r>
          </w:p>
        </w:tc>
        <w:tc>
          <w:tcPr>
            <w:tcW w:w="8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4,500,000</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4,423,373</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(PIK 2.25%)</w:t>
            </w: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10,626,137</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10,274,250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Basis Point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Spread</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90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Maturity</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Industry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Current</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Above</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Par/</w:t>
            </w:r>
          </w:p>
        </w:tc>
        <w:tc>
          <w:tcPr>
            <w:tcW w:w="60" w:type="dxa"/>
            <w:vAlign w:val="bottom"/>
          </w:tcPr>
          <w:p>
            <w:pPr>
              <w:spacing w:after="0"/>
              <w:rPr>
                <w:sz w:val="14"/>
                <w:szCs w:val="14"/>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48"/>
        </w:trPr>
        <w:tc>
          <w:tcPr>
            <w:tcW w:w="45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Coupon</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6"/>
              </w:rPr>
              <w:t>Shares</w:t>
            </w: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34"/>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Preferred Equity/Partnership Interests —0.2% </w:t>
            </w:r>
            <w:r>
              <w:rPr>
                <w:rFonts w:ascii="Arial" w:cs="Arial" w:eastAsia="Arial" w:hAnsi="Arial"/>
                <w:sz w:val="16"/>
                <w:szCs w:val="16"/>
                <w:b w:val="1"/>
                <w:bCs w:val="1"/>
                <w:color w:val="auto"/>
                <w:vertAlign w:val="superscript"/>
              </w:rPr>
              <w:t>(7), (8)</w:t>
            </w:r>
          </w:p>
        </w:tc>
        <w:tc>
          <w:tcPr>
            <w:tcW w:w="900" w:type="dxa"/>
            <w:vAlign w:val="bottom"/>
            <w:tcBorders>
              <w:top w:val="single" w:sz="8" w:color="auto"/>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20" w:type="dxa"/>
            <w:vAlign w:val="bottom"/>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900" w:type="dxa"/>
            <w:vAlign w:val="bottom"/>
          </w:tcPr>
          <w:p>
            <w:pPr>
              <w:ind w:left="420"/>
              <w:spacing w:after="0" w:line="138" w:lineRule="exact"/>
              <w:rPr>
                <w:sz w:val="20"/>
                <w:szCs w:val="20"/>
                <w:color w:val="auto"/>
              </w:rPr>
            </w:pPr>
            <w:r>
              <w:rPr>
                <w:rFonts w:ascii="Arial" w:cs="Arial" w:eastAsia="Arial" w:hAnsi="Arial"/>
                <w:sz w:val="13"/>
                <w:szCs w:val="13"/>
                <w:color w:val="auto"/>
              </w:rPr>
              <w:t>—</w:t>
            </w:r>
          </w:p>
        </w:tc>
        <w:tc>
          <w:tcPr>
            <w:tcW w:w="192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2"/>
              </w:rPr>
              <w:t>Beverage, Food and Tobacco</w:t>
            </w:r>
          </w:p>
        </w:tc>
        <w:tc>
          <w:tcPr>
            <w:tcW w:w="720" w:type="dxa"/>
            <w:vAlign w:val="bottom"/>
            <w:gridSpan w:val="2"/>
          </w:tcPr>
          <w:p>
            <w:pPr>
              <w:ind w:left="160"/>
              <w:spacing w:after="0" w:line="138" w:lineRule="exact"/>
              <w:rPr>
                <w:sz w:val="20"/>
                <w:szCs w:val="20"/>
                <w:color w:val="auto"/>
              </w:rPr>
            </w:pPr>
            <w:r>
              <w:rPr>
                <w:rFonts w:ascii="Arial" w:cs="Arial" w:eastAsia="Arial" w:hAnsi="Arial"/>
                <w:sz w:val="13"/>
                <w:szCs w:val="13"/>
                <w:color w:val="auto"/>
              </w:rPr>
              <w:t>12.50%</w:t>
            </w:r>
          </w:p>
        </w:tc>
        <w:tc>
          <w:tcPr>
            <w:tcW w:w="8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176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110,697</w:t>
            </w:r>
          </w:p>
        </w:tc>
        <w:tc>
          <w:tcPr>
            <w:tcW w:w="1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173,222</w:t>
            </w:r>
          </w:p>
        </w:tc>
        <w:tc>
          <w:tcPr>
            <w:tcW w:w="0" w:type="dxa"/>
            <w:vAlign w:val="bottom"/>
          </w:tcPr>
          <w:p>
            <w:pPr>
              <w:spacing w:after="0"/>
              <w:rPr>
                <w:sz w:val="1"/>
                <w:szCs w:val="1"/>
                <w:color w:val="auto"/>
              </w:rPr>
            </w:pPr>
          </w:p>
        </w:tc>
      </w:tr>
      <w:tr>
        <w:trPr>
          <w:trHeight w:val="166"/>
        </w:trPr>
        <w:tc>
          <w:tcPr>
            <w:tcW w:w="4520" w:type="dxa"/>
            <w:vAlign w:val="bottom"/>
          </w:tcPr>
          <w:p>
            <w:pPr>
              <w:ind w:left="220"/>
              <w:spacing w:after="0"/>
              <w:rPr>
                <w:sz w:val="20"/>
                <w:szCs w:val="20"/>
                <w:color w:val="auto"/>
              </w:rPr>
            </w:pPr>
            <w:r>
              <w:rPr>
                <w:rFonts w:ascii="Arial" w:cs="Arial" w:eastAsia="Arial" w:hAnsi="Arial"/>
                <w:sz w:val="13"/>
                <w:szCs w:val="13"/>
                <w:color w:val="auto"/>
              </w:rPr>
              <w:t>(Trusthouse Services Group, Inc.)</w:t>
            </w: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Equity—0.7% </w:t>
            </w:r>
            <w:r>
              <w:rPr>
                <w:rFonts w:ascii="Arial" w:cs="Arial" w:eastAsia="Arial" w:hAnsi="Arial"/>
                <w:sz w:val="17"/>
                <w:szCs w:val="17"/>
                <w:b w:val="1"/>
                <w:bCs w:val="1"/>
                <w:color w:val="auto"/>
                <w:vertAlign w:val="superscript"/>
              </w:rPr>
              <w:t>(7), (8)</w:t>
            </w:r>
          </w:p>
        </w:tc>
        <w:tc>
          <w:tcPr>
            <w:tcW w:w="9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Titan Private Holdings I, LLC (Tekelec Global, Inc.)</w:t>
            </w:r>
          </w:p>
        </w:tc>
        <w:tc>
          <w:tcPr>
            <w:tcW w:w="900" w:type="dxa"/>
            <w:vAlign w:val="bottom"/>
          </w:tcPr>
          <w:p>
            <w:pPr>
              <w:ind w:left="420"/>
              <w:spacing w:after="0"/>
              <w:rPr>
                <w:sz w:val="20"/>
                <w:szCs w:val="20"/>
                <w:color w:val="auto"/>
              </w:rPr>
            </w:pPr>
            <w:r>
              <w:rPr>
                <w:rFonts w:ascii="Arial" w:cs="Arial" w:eastAsia="Arial" w:hAnsi="Arial"/>
                <w:sz w:val="13"/>
                <w:szCs w:val="13"/>
                <w:color w:val="auto"/>
              </w:rPr>
              <w:t>—</w:t>
            </w:r>
          </w:p>
        </w:tc>
        <w:tc>
          <w:tcPr>
            <w:tcW w:w="192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Telecommunications</w:t>
            </w:r>
          </w:p>
        </w:tc>
        <w:tc>
          <w:tcPr>
            <w:tcW w:w="7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401,797</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401,450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669,482</w:t>
            </w:r>
          </w:p>
        </w:tc>
        <w:tc>
          <w:tcPr>
            <w:tcW w:w="0" w:type="dxa"/>
            <w:vAlign w:val="bottom"/>
          </w:tcPr>
          <w:p>
            <w:pPr>
              <w:spacing w:after="0"/>
              <w:rPr>
                <w:sz w:val="1"/>
                <w:szCs w:val="1"/>
                <w:color w:val="auto"/>
              </w:rPr>
            </w:pPr>
          </w:p>
        </w:tc>
      </w:tr>
      <w:tr>
        <w:trPr>
          <w:trHeight w:val="138"/>
        </w:trPr>
        <w:tc>
          <w:tcPr>
            <w:tcW w:w="45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90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9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Beverage, Food and Tobacco</w:t>
            </w:r>
          </w:p>
        </w:tc>
        <w:tc>
          <w:tcPr>
            <w:tcW w:w="72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8</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5,000</w:t>
            </w: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8,778</w:t>
            </w:r>
          </w:p>
        </w:tc>
        <w:tc>
          <w:tcPr>
            <w:tcW w:w="0" w:type="dxa"/>
            <w:vAlign w:val="bottom"/>
          </w:tcPr>
          <w:p>
            <w:pPr>
              <w:spacing w:after="0"/>
              <w:rPr>
                <w:sz w:val="1"/>
                <w:szCs w:val="1"/>
                <w:color w:val="auto"/>
              </w:rPr>
            </w:pPr>
          </w:p>
        </w:tc>
      </w:tr>
      <w:tr>
        <w:trPr>
          <w:trHeight w:val="159"/>
        </w:trPr>
        <w:tc>
          <w:tcPr>
            <w:tcW w:w="4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(Trusthouse Services Group, Inc.)</w:t>
            </w:r>
          </w:p>
        </w:tc>
        <w:tc>
          <w:tcPr>
            <w:tcW w:w="9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520" w:type="dxa"/>
            <w:vAlign w:val="bottom"/>
          </w:tcPr>
          <w:p>
            <w:pPr>
              <w:spacing w:after="0"/>
              <w:rPr>
                <w:sz w:val="20"/>
                <w:szCs w:val="20"/>
                <w:color w:val="auto"/>
              </w:rPr>
            </w:pPr>
            <w:r>
              <w:rPr>
                <w:rFonts w:ascii="Arial" w:cs="Arial" w:eastAsia="Arial" w:hAnsi="Arial"/>
                <w:sz w:val="13"/>
                <w:szCs w:val="13"/>
                <w:b w:val="1"/>
                <w:bCs w:val="1"/>
                <w:color w:val="auto"/>
              </w:rPr>
              <w:t>Total Common Equity</w:t>
            </w: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406,450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678,260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9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156,728,980</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154,979,350</w:t>
            </w:r>
          </w:p>
        </w:tc>
        <w:tc>
          <w:tcPr>
            <w:tcW w:w="0" w:type="dxa"/>
            <w:vAlign w:val="bottom"/>
          </w:tcPr>
          <w:p>
            <w:pPr>
              <w:spacing w:after="0"/>
              <w:rPr>
                <w:sz w:val="1"/>
                <w:szCs w:val="1"/>
                <w:color w:val="auto"/>
              </w:rPr>
            </w:pPr>
          </w:p>
        </w:tc>
      </w:tr>
      <w:tr>
        <w:trPr>
          <w:trHeight w:val="155"/>
        </w:trPr>
        <w:tc>
          <w:tcPr>
            <w:tcW w:w="4520" w:type="dxa"/>
            <w:vAlign w:val="bottom"/>
          </w:tcPr>
          <w:p>
            <w:pPr>
              <w:spacing w:after="0"/>
              <w:rPr>
                <w:sz w:val="20"/>
                <w:szCs w:val="20"/>
                <w:color w:val="auto"/>
              </w:rPr>
            </w:pPr>
            <w:r>
              <w:rPr>
                <w:rFonts w:ascii="Arial" w:cs="Arial" w:eastAsia="Arial" w:hAnsi="Arial"/>
                <w:sz w:val="13"/>
                <w:szCs w:val="13"/>
                <w:b w:val="1"/>
                <w:bCs w:val="1"/>
                <w:color w:val="auto"/>
              </w:rPr>
              <w:t>Cash Equivalents—3.5%</w:t>
            </w: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3,328,639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3,328,639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Equivalents—165.8%</w:t>
            </w:r>
          </w:p>
        </w:tc>
        <w:tc>
          <w:tcPr>
            <w:tcW w:w="9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160,057,619</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158,307,989</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Assets—(65.8)%</w:t>
            </w: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2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(62,808,182)</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9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95,499,807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right="40" w:hanging="332"/>
        <w:spacing w:after="0" w:line="24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or prime rate, or Prime or “P”. All securities are subject to a LIBOR or Prime rate floor where a spread is provided, unless noted.</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2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10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80" w:type="dxa"/>
            <w:vAlign w:val="bottom"/>
          </w:tcPr>
          <w:p>
            <w:pPr>
              <w:jc w:val="right"/>
              <w:ind w:right="293"/>
              <w:spacing w:after="0" w:line="134" w:lineRule="exact"/>
              <w:rPr>
                <w:sz w:val="20"/>
                <w:szCs w:val="20"/>
                <w:color w:val="auto"/>
              </w:rPr>
            </w:pPr>
            <w:r>
              <w:rPr>
                <w:rFonts w:ascii="Arial" w:cs="Arial" w:eastAsia="Arial" w:hAnsi="Arial"/>
                <w:sz w:val="13"/>
                <w:szCs w:val="13"/>
                <w:b w:val="1"/>
                <w:bCs w:val="1"/>
                <w:color w:val="auto"/>
              </w:rPr>
              <w:t>Current</w:t>
            </w: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Above</w:t>
            </w:r>
          </w:p>
        </w:tc>
        <w:tc>
          <w:tcPr>
            <w:tcW w:w="900" w:type="dxa"/>
            <w:vAlign w:val="bottom"/>
          </w:tcPr>
          <w:p>
            <w:pPr>
              <w:jc w:val="right"/>
              <w:ind w:right="313"/>
              <w:spacing w:after="0" w:line="134" w:lineRule="exact"/>
              <w:rPr>
                <w:sz w:val="20"/>
                <w:szCs w:val="20"/>
                <w:color w:val="auto"/>
              </w:rPr>
            </w:pPr>
            <w:r>
              <w:rPr>
                <w:rFonts w:ascii="Arial" w:cs="Arial" w:eastAsia="Arial" w:hAnsi="Arial"/>
                <w:sz w:val="13"/>
                <w:szCs w:val="13"/>
                <w:b w:val="1"/>
                <w:bCs w:val="1"/>
                <w:color w:val="auto"/>
              </w:rPr>
              <w:t>Par/</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380" w:type="dxa"/>
            <w:vAlign w:val="bottom"/>
          </w:tcPr>
          <w:p>
            <w:pPr>
              <w:jc w:val="right"/>
              <w:ind w:right="193"/>
              <w:spacing w:after="0"/>
              <w:rPr>
                <w:sz w:val="20"/>
                <w:szCs w:val="20"/>
                <w:color w:val="auto"/>
              </w:rPr>
            </w:pPr>
            <w:r>
              <w:rPr>
                <w:rFonts w:ascii="Arial" w:cs="Arial" w:eastAsia="Arial" w:hAnsi="Arial"/>
                <w:sz w:val="13"/>
                <w:szCs w:val="13"/>
                <w:b w:val="1"/>
                <w:bCs w:val="1"/>
                <w:color w:val="auto"/>
              </w:rPr>
              <w:t>Maturity</w:t>
            </w:r>
          </w:p>
        </w:tc>
        <w:tc>
          <w:tcPr>
            <w:tcW w:w="220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980" w:type="dxa"/>
            <w:vAlign w:val="bottom"/>
          </w:tcPr>
          <w:p>
            <w:pPr>
              <w:jc w:val="right"/>
              <w:ind w:right="313"/>
              <w:spacing w:after="0"/>
              <w:rPr>
                <w:sz w:val="20"/>
                <w:szCs w:val="20"/>
                <w:color w:val="auto"/>
              </w:rPr>
            </w:pPr>
            <w:r>
              <w:rPr>
                <w:rFonts w:ascii="Arial" w:cs="Arial" w:eastAsia="Arial" w:hAnsi="Arial"/>
                <w:sz w:val="13"/>
                <w:szCs w:val="13"/>
                <w:b w:val="1"/>
                <w:bCs w:val="1"/>
                <w:color w:val="auto"/>
              </w:rPr>
              <w:t>Coupon</w:t>
            </w:r>
          </w:p>
        </w:tc>
        <w:tc>
          <w:tcPr>
            <w:tcW w:w="90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900" w:type="dxa"/>
            <w:vAlign w:val="bottom"/>
          </w:tcPr>
          <w:p>
            <w:pPr>
              <w:jc w:val="right"/>
              <w:ind w:right="233"/>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6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2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644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7"/>
                <w:szCs w:val="17"/>
                <w:b w:val="1"/>
                <w:bCs w:val="1"/>
                <w:color w:val="auto"/>
                <w:vertAlign w:val="superscript"/>
              </w:rPr>
              <w:t>(3),(4)</w:t>
            </w: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3"/>
                <w:szCs w:val="13"/>
                <w:b w:val="1"/>
                <w:bCs w:val="1"/>
                <w:color w:val="auto"/>
              </w:rPr>
              <w:t>First Lien Secured Debt—102.4%</w:t>
            </w:r>
          </w:p>
        </w:tc>
        <w:tc>
          <w:tcPr>
            <w:tcW w:w="1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Airvana Network Solutions Inc.</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03/25/2015</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10.00%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L+800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1,209,524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$ 1,213,365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3"/>
                <w:szCs w:val="13"/>
                <w:color w:val="auto"/>
              </w:rPr>
              <w:t>Artel, LLC</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06/01/2016</w:t>
            </w:r>
          </w:p>
        </w:tc>
        <w:tc>
          <w:tcPr>
            <w:tcW w:w="220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5.50%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L+425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987,500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978,043</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Autoparts Holdings Limited</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07/29/2017</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1,000,000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995,085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Chester Downs and Marina, LLC </w:t>
            </w:r>
            <w:r>
              <w:rPr>
                <w:rFonts w:ascii="Arial" w:cs="Arial" w:eastAsia="Arial" w:hAnsi="Arial"/>
                <w:sz w:val="17"/>
                <w:szCs w:val="17"/>
                <w:color w:val="auto"/>
                <w:vertAlign w:val="superscript"/>
              </w:rPr>
              <w:t>(5)</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07/31/2016</w:t>
            </w:r>
          </w:p>
        </w:tc>
        <w:tc>
          <w:tcPr>
            <w:tcW w:w="220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12.38%</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L+988</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478,873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488,220</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476,878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C.H.I. Overhead Doors, Inc.</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08/17/2017</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 Goods: Durable</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4,000,000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3,921,236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3"/>
                <w:szCs w:val="13"/>
                <w:color w:val="auto"/>
              </w:rPr>
              <w:t>EAG, Inc.</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07/28/2017</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6.75%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P+350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987,500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982,590</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Ernest Health, Inc.</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05/13/2016</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L+475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2,966,250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2,939,107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Frac Tech International, LLC </w:t>
            </w:r>
            <w:r>
              <w:rPr>
                <w:rFonts w:ascii="Arial" w:cs="Arial" w:eastAsia="Arial" w:hAnsi="Arial"/>
                <w:sz w:val="17"/>
                <w:szCs w:val="17"/>
                <w:color w:val="auto"/>
                <w:vertAlign w:val="superscript"/>
              </w:rPr>
              <w:t>(5)</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05/06/2016</w:t>
            </w:r>
          </w:p>
        </w:tc>
        <w:tc>
          <w:tcPr>
            <w:tcW w:w="2200" w:type="dxa"/>
            <w:vAlign w:val="bottom"/>
          </w:tcPr>
          <w:p>
            <w:pPr>
              <w:jc w:val="center"/>
              <w:spacing w:after="0"/>
              <w:rPr>
                <w:sz w:val="20"/>
                <w:szCs w:val="20"/>
                <w:color w:val="auto"/>
              </w:rPr>
            </w:pPr>
            <w:r>
              <w:rPr>
                <w:rFonts w:ascii="Arial" w:cs="Arial" w:eastAsia="Arial" w:hAnsi="Arial"/>
                <w:sz w:val="13"/>
                <w:szCs w:val="13"/>
                <w:color w:val="auto"/>
                <w:w w:val="93"/>
              </w:rPr>
              <w:t>Energy: Oil and Gas</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6.25%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L+475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2,073,930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2,054,330</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2,033,747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Gundle/SLT Environmental, Inc.</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05/27/2016</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Environmental Industries</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7.01%</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2,992,500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2,964,467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(5), (6), (11)</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05/01/2016</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Beverage, Food and Tobacco</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10.00%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2,000,000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2,000,000</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1,990,000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Insight Global, Inc.</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08/16/2017</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2,493,750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2,481,331</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(5), (7)</w:t>
            </w:r>
          </w:p>
        </w:tc>
        <w:tc>
          <w:tcPr>
            <w:tcW w:w="1380" w:type="dxa"/>
            <w:vAlign w:val="bottom"/>
          </w:tcPr>
          <w:p>
            <w:pPr>
              <w:jc w:val="right"/>
              <w:ind w:right="113"/>
              <w:spacing w:after="0" w:line="138" w:lineRule="exact"/>
              <w:rPr>
                <w:sz w:val="20"/>
                <w:szCs w:val="20"/>
                <w:color w:val="auto"/>
              </w:rPr>
            </w:pPr>
            <w:r>
              <w:rPr>
                <w:rFonts w:ascii="Arial" w:cs="Arial" w:eastAsia="Arial" w:hAnsi="Arial"/>
                <w:sz w:val="13"/>
                <w:szCs w:val="13"/>
                <w:color w:val="auto"/>
              </w:rPr>
              <w:t>08/07/2014</w:t>
            </w:r>
          </w:p>
        </w:tc>
        <w:tc>
          <w:tcPr>
            <w:tcW w:w="220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98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3.61%</w:t>
            </w:r>
          </w:p>
        </w:tc>
        <w:tc>
          <w:tcPr>
            <w:tcW w:w="900" w:type="dxa"/>
            <w:vAlign w:val="bottom"/>
          </w:tcPr>
          <w:p>
            <w:pPr>
              <w:jc w:val="right"/>
              <w:ind w:right="73"/>
              <w:spacing w:after="0" w:line="138" w:lineRule="exact"/>
              <w:rPr>
                <w:sz w:val="20"/>
                <w:szCs w:val="20"/>
                <w:color w:val="auto"/>
              </w:rPr>
            </w:pPr>
            <w:r>
              <w:rPr>
                <w:rFonts w:ascii="Arial" w:cs="Arial" w:eastAsia="Arial" w:hAnsi="Arial"/>
                <w:sz w:val="13"/>
                <w:szCs w:val="13"/>
                <w:color w:val="auto"/>
              </w:rPr>
              <w:t>L+338</w:t>
            </w:r>
          </w:p>
        </w:tc>
        <w:tc>
          <w:tcPr>
            <w:tcW w:w="9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6,981,823</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6,523,240</w:t>
            </w:r>
          </w:p>
        </w:tc>
        <w:tc>
          <w:tcPr>
            <w:tcW w:w="1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6,283,641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K2 Pure Solutions NoCal, L.P.</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09/10/2015</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Chemicals, Plastics and Rubber</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10.00%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P+675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5,476,250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5,525,637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KAR Auction Services, Inc. </w:t>
            </w:r>
            <w:r>
              <w:rPr>
                <w:rFonts w:ascii="Arial" w:cs="Arial" w:eastAsia="Arial" w:hAnsi="Arial"/>
                <w:sz w:val="17"/>
                <w:szCs w:val="17"/>
                <w:color w:val="auto"/>
                <w:vertAlign w:val="superscript"/>
              </w:rPr>
              <w:t>(5)</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05/19/2017</w:t>
            </w:r>
          </w:p>
        </w:tc>
        <w:tc>
          <w:tcPr>
            <w:tcW w:w="220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5.00%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L+375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2,992,500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2,978,487</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(5), (7)</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05/31/2014</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Non-Durable</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8.50%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L+700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4,987,500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4,847,186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3"/>
                <w:szCs w:val="13"/>
                <w:color w:val="auto"/>
              </w:rPr>
              <w:t>Medpace Holdings, Inc.</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06/17/2017</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6.50%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1,995,000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1,966,025</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1,895,250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05/06/2018</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Media: Diversified and Production</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3,990,000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3,951,886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3,670,800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Penton Media, Inc. </w:t>
            </w:r>
            <w:r>
              <w:rPr>
                <w:rFonts w:ascii="Arial" w:cs="Arial" w:eastAsia="Arial" w:hAnsi="Arial"/>
                <w:sz w:val="17"/>
                <w:szCs w:val="17"/>
                <w:color w:val="auto"/>
                <w:vertAlign w:val="superscript"/>
              </w:rPr>
              <w:t>(5)</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08/01/2014</w:t>
            </w:r>
          </w:p>
        </w:tc>
        <w:tc>
          <w:tcPr>
            <w:tcW w:w="2200" w:type="dxa"/>
            <w:vAlign w:val="bottom"/>
          </w:tcPr>
          <w:p>
            <w:pPr>
              <w:jc w:val="center"/>
              <w:spacing w:after="0"/>
              <w:rPr>
                <w:sz w:val="20"/>
                <w:szCs w:val="20"/>
                <w:color w:val="auto"/>
              </w:rPr>
            </w:pPr>
            <w:r>
              <w:rPr>
                <w:rFonts w:ascii="Arial" w:cs="Arial" w:eastAsia="Arial" w:hAnsi="Arial"/>
                <w:sz w:val="13"/>
                <w:szCs w:val="13"/>
                <w:color w:val="auto"/>
                <w:w w:val="96"/>
              </w:rPr>
              <w:t>Media: Diversified and Production</w:t>
            </w:r>
          </w:p>
        </w:tc>
        <w:tc>
          <w:tcPr>
            <w:tcW w:w="980" w:type="dxa"/>
            <w:vAlign w:val="bottom"/>
          </w:tcPr>
          <w:p>
            <w:pPr>
              <w:jc w:val="right"/>
              <w:ind w:right="53"/>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(8)</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L+400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5,498,048</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4,675,936</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3,802,818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Potter’s Holdings II, L.P.</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05/08/2017</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L+450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1,995,000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1,976,257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3"/>
                <w:szCs w:val="13"/>
                <w:color w:val="auto"/>
              </w:rPr>
              <w:t>Pro Mach, Inc.</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07/06/2017</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Capital Equipment</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6.25%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L+475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997,500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987,986</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Securus Technologies, Inc.</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05/31/2017</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5.25%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L+400</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2,992,500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2,963,597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Select Medical Corporation </w:t>
            </w:r>
            <w:r>
              <w:rPr>
                <w:rFonts w:ascii="Arial" w:cs="Arial" w:eastAsia="Arial" w:hAnsi="Arial"/>
                <w:sz w:val="17"/>
                <w:szCs w:val="17"/>
                <w:color w:val="auto"/>
                <w:vertAlign w:val="superscript"/>
              </w:rPr>
              <w:t>(5)</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06/01/2018</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5.50%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L+375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2,992,500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2,963,943</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(11), (6), (7), (5)</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05/15/2019</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9.13%</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3,000,000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3,000,000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3"/>
                <w:szCs w:val="13"/>
                <w:color w:val="auto"/>
              </w:rPr>
              <w:t>Sotera Defense Solutions, Inc.</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04/22/2017</w:t>
            </w:r>
          </w:p>
        </w:tc>
        <w:tc>
          <w:tcPr>
            <w:tcW w:w="220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2,992,500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2,964,848</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2,917,688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Tank Intermediate Holding Corp.</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04/15/2016</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5.00%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L+375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1,835,472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1,831,420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1,807,940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3"/>
                <w:szCs w:val="13"/>
                <w:color w:val="auto"/>
              </w:rPr>
              <w:t>Terex Corporation</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04/28/2017</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Capital Equipment</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5.50%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L+400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2,000,000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1,980,598</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Triple Point Technology, Inc.</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04/14/2016</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L+475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4,968,750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4,923,769</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4,819,688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3"/>
                <w:szCs w:val="13"/>
                <w:color w:val="auto"/>
              </w:rPr>
              <w:t>Univita Health Inc.</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06/19/2017</w:t>
            </w:r>
          </w:p>
        </w:tc>
        <w:tc>
          <w:tcPr>
            <w:tcW w:w="220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6.25%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L+475</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2,992,500</w:t>
            </w: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2,964,110</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2,827,913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U.S. Healthworks Holding Company, Inc.</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06/15/2016</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L+475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2,992,500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2,964,480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2,887,763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3"/>
                <w:szCs w:val="13"/>
                <w:color w:val="auto"/>
              </w:rPr>
              <w:t>Valitas Health Services, Inc.</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06/02/2017</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5.75%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L+450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1,496,250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1,489,223</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1,406,475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Viamedia Services Corp. </w:t>
            </w:r>
            <w:r>
              <w:rPr>
                <w:rFonts w:ascii="Arial" w:cs="Arial" w:eastAsia="Arial" w:hAnsi="Arial"/>
                <w:sz w:val="15"/>
                <w:szCs w:val="15"/>
                <w:color w:val="auto"/>
                <w:vertAlign w:val="superscript"/>
              </w:rPr>
              <w:t>(5)</w:t>
            </w:r>
          </w:p>
        </w:tc>
        <w:tc>
          <w:tcPr>
            <w:tcW w:w="138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04/19/2016</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98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4,750,000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4,694,273</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4,690,625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9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3"/>
                <w:szCs w:val="13"/>
                <w:color w:val="auto"/>
              </w:rPr>
              <w:t>Virtual Radiologic Corporation</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12/22/2016</w:t>
            </w:r>
          </w:p>
        </w:tc>
        <w:tc>
          <w:tcPr>
            <w:tcW w:w="220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7.75%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P+450</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2,992,500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2,963,172</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2,812,950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Water Pik, Inc.</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08/10/2017</w:t>
            </w: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 Goods: Durable</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6.75%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L+525</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3,500,000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3,465,501</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(11), (6), (5)</w:t>
            </w:r>
          </w:p>
        </w:tc>
        <w:tc>
          <w:tcPr>
            <w:tcW w:w="1380" w:type="dxa"/>
            <w:vAlign w:val="bottom"/>
          </w:tcPr>
          <w:p>
            <w:pPr>
              <w:jc w:val="right"/>
              <w:ind w:right="113"/>
              <w:spacing w:after="0"/>
              <w:rPr>
                <w:sz w:val="20"/>
                <w:szCs w:val="20"/>
                <w:color w:val="auto"/>
              </w:rPr>
            </w:pPr>
            <w:r>
              <w:rPr>
                <w:rFonts w:ascii="Arial" w:cs="Arial" w:eastAsia="Arial" w:hAnsi="Arial"/>
                <w:sz w:val="13"/>
                <w:szCs w:val="13"/>
                <w:color w:val="auto"/>
              </w:rPr>
              <w:t>07/15/2016</w:t>
            </w:r>
          </w:p>
        </w:tc>
        <w:tc>
          <w:tcPr>
            <w:tcW w:w="220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11.38%</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33"/>
              <w:spacing w:after="0"/>
              <w:rPr>
                <w:sz w:val="20"/>
                <w:szCs w:val="20"/>
                <w:color w:val="auto"/>
              </w:rPr>
            </w:pPr>
            <w:r>
              <w:rPr>
                <w:rFonts w:ascii="Arial" w:cs="Arial" w:eastAsia="Arial" w:hAnsi="Arial"/>
                <w:sz w:val="13"/>
                <w:szCs w:val="13"/>
                <w:color w:val="auto"/>
              </w:rPr>
              <w:t>4,000,000</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4,355,966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1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97,975,314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94,333,126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Spread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380"/>
              <w:spacing w:after="0" w:line="134" w:lineRule="exact"/>
              <w:rPr>
                <w:sz w:val="20"/>
                <w:szCs w:val="20"/>
                <w:color w:val="auto"/>
              </w:rPr>
            </w:pPr>
            <w:r>
              <w:rPr>
                <w:rFonts w:ascii="Arial" w:cs="Arial" w:eastAsia="Arial" w:hAnsi="Arial"/>
                <w:sz w:val="13"/>
                <w:szCs w:val="13"/>
                <w:b w:val="1"/>
                <w:bCs w:val="1"/>
                <w:color w:val="auto"/>
                <w:w w:val="93"/>
              </w:rPr>
              <w:t>Current</w:t>
            </w:r>
          </w:p>
        </w:tc>
        <w:tc>
          <w:tcPr>
            <w:tcW w:w="960" w:type="dxa"/>
            <w:vAlign w:val="bottom"/>
            <w:gridSpan w:val="2"/>
          </w:tcPr>
          <w:p>
            <w:pPr>
              <w:jc w:val="center"/>
              <w:ind w:right="300"/>
              <w:spacing w:after="0" w:line="134" w:lineRule="exact"/>
              <w:rPr>
                <w:sz w:val="20"/>
                <w:szCs w:val="20"/>
                <w:color w:val="auto"/>
              </w:rPr>
            </w:pPr>
            <w:r>
              <w:rPr>
                <w:rFonts w:ascii="Arial" w:cs="Arial" w:eastAsia="Arial" w:hAnsi="Arial"/>
                <w:sz w:val="13"/>
                <w:szCs w:val="13"/>
                <w:b w:val="1"/>
                <w:bCs w:val="1"/>
                <w:color w:val="auto"/>
                <w:w w:val="95"/>
              </w:rPr>
              <w:t>Above</w:t>
            </w:r>
          </w:p>
        </w:tc>
        <w:tc>
          <w:tcPr>
            <w:tcW w:w="580" w:type="dxa"/>
            <w:vAlign w:val="bottom"/>
          </w:tcPr>
          <w:p>
            <w:pPr>
              <w:jc w:val="right"/>
              <w:ind w:right="93"/>
              <w:spacing w:after="0" w:line="134" w:lineRule="exact"/>
              <w:rPr>
                <w:sz w:val="20"/>
                <w:szCs w:val="20"/>
                <w:color w:val="auto"/>
              </w:rPr>
            </w:pPr>
            <w:r>
              <w:rPr>
                <w:rFonts w:ascii="Arial" w:cs="Arial" w:eastAsia="Arial" w:hAnsi="Arial"/>
                <w:sz w:val="13"/>
                <w:szCs w:val="13"/>
                <w:b w:val="1"/>
                <w:bCs w:val="1"/>
                <w:color w:val="auto"/>
              </w:rPr>
              <w:t>Par/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2400" w:type="dxa"/>
            <w:vAlign w:val="bottom"/>
          </w:tcPr>
          <w:p>
            <w:pPr>
              <w:spacing w:after="0"/>
              <w:rPr>
                <w:sz w:val="15"/>
                <w:szCs w:val="15"/>
                <w:color w:val="auto"/>
              </w:rPr>
            </w:pPr>
          </w:p>
        </w:tc>
        <w:tc>
          <w:tcPr>
            <w:tcW w:w="112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rPr>
              <w:t>Maturity</w:t>
            </w:r>
          </w:p>
        </w:tc>
        <w:tc>
          <w:tcPr>
            <w:tcW w:w="248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7"/>
              </w:rPr>
              <w:t>Industry</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9"/>
              </w:rPr>
              <w:t>Coupon</w:t>
            </w:r>
          </w:p>
        </w:tc>
        <w:tc>
          <w:tcPr>
            <w:tcW w:w="960" w:type="dxa"/>
            <w:vAlign w:val="bottom"/>
            <w:gridSpan w:val="2"/>
          </w:tcPr>
          <w:p>
            <w:pPr>
              <w:jc w:val="center"/>
              <w:ind w:right="300"/>
              <w:spacing w:after="0" w:line="162"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8"/>
                <w:szCs w:val="18"/>
                <w:b w:val="1"/>
                <w:bCs w:val="1"/>
                <w:color w:val="auto"/>
                <w:vertAlign w:val="superscript"/>
              </w:rPr>
              <w:t>(1)</w:t>
            </w:r>
          </w:p>
        </w:tc>
        <w:tc>
          <w:tcPr>
            <w:tcW w:w="580" w:type="dxa"/>
            <w:vAlign w:val="bottom"/>
          </w:tcPr>
          <w:p>
            <w:pPr>
              <w:jc w:val="right"/>
              <w:ind w:right="13"/>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Second Lien Secured Debt—10.1%</w:t>
            </w: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3"/>
                <w:szCs w:val="13"/>
                <w:color w:val="auto"/>
              </w:rPr>
              <w:t>Autoparts Holdings Limited</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01/29/2018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80" w:type="dxa"/>
            <w:vAlign w:val="bottom"/>
            <w:gridSpan w:val="2"/>
          </w:tcPr>
          <w:p>
            <w:pPr>
              <w:jc w:val="center"/>
              <w:ind w:right="520"/>
              <w:spacing w:after="0"/>
              <w:rPr>
                <w:sz w:val="20"/>
                <w:szCs w:val="20"/>
                <w:color w:val="auto"/>
              </w:rPr>
            </w:pPr>
            <w:r>
              <w:rPr>
                <w:rFonts w:ascii="Arial" w:cs="Arial" w:eastAsia="Arial" w:hAnsi="Arial"/>
                <w:sz w:val="13"/>
                <w:szCs w:val="13"/>
                <w:color w:val="auto"/>
                <w:w w:val="98"/>
              </w:rPr>
              <w:t>Automotive</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10.50%</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L+900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1,000,000</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995,000</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985,000</w:t>
            </w: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05/13/2017</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500"/>
              <w:spacing w:after="0"/>
              <w:rPr>
                <w:sz w:val="20"/>
                <w:szCs w:val="20"/>
                <w:color w:val="auto"/>
              </w:rPr>
            </w:pPr>
            <w:r>
              <w:rPr>
                <w:rFonts w:ascii="Arial" w:cs="Arial" w:eastAsia="Arial" w:hAnsi="Arial"/>
                <w:sz w:val="13"/>
                <w:szCs w:val="13"/>
                <w:color w:val="auto"/>
                <w:w w:val="92"/>
              </w:rPr>
              <w:t>Healthcare and Pharmaceuticals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10.25%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L+850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3,942,406</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3,940,000</w:t>
            </w: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(5),(7)</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11/06/2018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80" w:type="dxa"/>
            <w:vAlign w:val="bottom"/>
            <w:gridSpan w:val="2"/>
          </w:tcPr>
          <w:p>
            <w:pPr>
              <w:jc w:val="center"/>
              <w:ind w:right="520"/>
              <w:spacing w:after="0"/>
              <w:rPr>
                <w:sz w:val="20"/>
                <w:szCs w:val="20"/>
                <w:color w:val="auto"/>
              </w:rPr>
            </w:pPr>
            <w:r>
              <w:rPr>
                <w:rFonts w:ascii="Arial" w:cs="Arial" w:eastAsia="Arial" w:hAnsi="Arial"/>
                <w:sz w:val="13"/>
                <w:szCs w:val="13"/>
                <w:color w:val="auto"/>
                <w:w w:val="96"/>
              </w:rPr>
              <w:t>Media: Diversified and Production</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10.25%</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L+875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1,500,000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1,485,581</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1,380,000</w:t>
            </w: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09/01/2018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500"/>
              <w:spacing w:after="0"/>
              <w:rPr>
                <w:sz w:val="20"/>
                <w:szCs w:val="20"/>
                <w:color w:val="auto"/>
              </w:rPr>
            </w:pPr>
            <w:r>
              <w:rPr>
                <w:rFonts w:ascii="Arial" w:cs="Arial" w:eastAsia="Arial" w:hAnsi="Arial"/>
                <w:sz w:val="13"/>
                <w:szCs w:val="13"/>
                <w:color w:val="auto"/>
                <w:w w:val="94"/>
              </w:rPr>
              <w:t>Hotel, Gaming and Leisure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12.13%</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1,965,834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2,020,000</w:t>
            </w: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1"/>
                <w:szCs w:val="11"/>
                <w:color w:val="auto"/>
              </w:rPr>
              <w:t>Sensus USA Inc.</w:t>
            </w:r>
            <w:r>
              <w:rPr>
                <w:rFonts w:ascii="Arial" w:cs="Arial" w:eastAsia="Arial" w:hAnsi="Arial"/>
                <w:sz w:val="17"/>
                <w:szCs w:val="17"/>
                <w:color w:val="auto"/>
                <w:vertAlign w:val="superscript"/>
              </w:rPr>
              <w:t>(5)</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05/09/2018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80" w:type="dxa"/>
            <w:vAlign w:val="bottom"/>
            <w:gridSpan w:val="2"/>
          </w:tcPr>
          <w:p>
            <w:pPr>
              <w:jc w:val="center"/>
              <w:ind w:right="500"/>
              <w:spacing w:after="0"/>
              <w:rPr>
                <w:sz w:val="20"/>
                <w:szCs w:val="20"/>
                <w:color w:val="auto"/>
              </w:rPr>
            </w:pPr>
            <w:r>
              <w:rPr>
                <w:rFonts w:ascii="Arial" w:cs="Arial" w:eastAsia="Arial" w:hAnsi="Arial"/>
                <w:sz w:val="13"/>
                <w:szCs w:val="13"/>
                <w:color w:val="auto"/>
                <w:w w:val="97"/>
              </w:rPr>
              <w:t>Utilities: Water</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8.50%</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L+725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990,624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960,000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9,379,445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9,285,000</w:t>
            </w:r>
          </w:p>
        </w:tc>
        <w:tc>
          <w:tcPr>
            <w:tcW w:w="0" w:type="dxa"/>
            <w:vAlign w:val="bottom"/>
          </w:tcPr>
          <w:p>
            <w:pPr>
              <w:spacing w:after="0"/>
              <w:rPr>
                <w:sz w:val="1"/>
                <w:szCs w:val="1"/>
                <w:color w:val="auto"/>
              </w:rPr>
            </w:pPr>
          </w:p>
        </w:tc>
      </w:tr>
      <w:tr>
        <w:trPr>
          <w:trHeight w:val="156"/>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Notes—7.6%</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(5),(11)</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11/15/2015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520"/>
              <w:spacing w:after="0"/>
              <w:rPr>
                <w:sz w:val="20"/>
                <w:szCs w:val="20"/>
                <w:color w:val="auto"/>
              </w:rPr>
            </w:pPr>
            <w:r>
              <w:rPr>
                <w:rFonts w:ascii="Arial" w:cs="Arial" w:eastAsia="Arial" w:hAnsi="Arial"/>
                <w:sz w:val="13"/>
                <w:szCs w:val="13"/>
                <w:color w:val="auto"/>
                <w:w w:val="94"/>
              </w:rPr>
              <w:t>Consumer Goods: Non-Durable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11.63%</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1,500,000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1,524,891</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1,155,000</w:t>
            </w: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(11),(7),(5)</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07/31/2018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80" w:type="dxa"/>
            <w:vAlign w:val="bottom"/>
            <w:gridSpan w:val="2"/>
          </w:tcPr>
          <w:p>
            <w:pPr>
              <w:jc w:val="center"/>
              <w:ind w:right="500"/>
              <w:spacing w:after="0"/>
              <w:rPr>
                <w:sz w:val="20"/>
                <w:szCs w:val="20"/>
                <w:color w:val="auto"/>
              </w:rPr>
            </w:pPr>
            <w:r>
              <w:rPr>
                <w:rFonts w:ascii="Arial" w:cs="Arial" w:eastAsia="Arial" w:hAnsi="Arial"/>
                <w:sz w:val="13"/>
                <w:szCs w:val="13"/>
                <w:color w:val="auto"/>
                <w:w w:val="92"/>
              </w:rPr>
              <w:t>Beverage, Food and Tobacco</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(8)</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3,762,500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3,688,091</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3,687,250</w:t>
            </w: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(11),(9),(5)</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07/31/2018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500"/>
              <w:spacing w:after="0"/>
              <w:rPr>
                <w:sz w:val="20"/>
                <w:szCs w:val="20"/>
                <w:color w:val="auto"/>
              </w:rPr>
            </w:pPr>
            <w:r>
              <w:rPr>
                <w:rFonts w:ascii="Arial" w:cs="Arial" w:eastAsia="Arial" w:hAnsi="Arial"/>
                <w:sz w:val="13"/>
                <w:szCs w:val="13"/>
                <w:color w:val="auto"/>
                <w:w w:val="92"/>
              </w:rPr>
              <w:t>Beverage, Food and Tobacco</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2,206,000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2,161,880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2,161,880</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6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7,374,862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7,004,130</w:t>
            </w:r>
          </w:p>
        </w:tc>
        <w:tc>
          <w:tcPr>
            <w:tcW w:w="0" w:type="dxa"/>
            <w:vAlign w:val="bottom"/>
          </w:tcPr>
          <w:p>
            <w:pPr>
              <w:spacing w:after="0"/>
              <w:rPr>
                <w:sz w:val="1"/>
                <w:szCs w:val="1"/>
                <w:color w:val="auto"/>
              </w:rPr>
            </w:pPr>
          </w:p>
        </w:tc>
      </w:tr>
      <w:tr>
        <w:trPr>
          <w:trHeight w:val="122"/>
        </w:trPr>
        <w:tc>
          <w:tcPr>
            <w:tcW w:w="3160" w:type="dxa"/>
            <w:vAlign w:val="bottom"/>
            <w:gridSpan w:val="2"/>
            <w:shd w:val="clear" w:color="auto" w:fill="CCEEFF"/>
          </w:tcPr>
          <w:p>
            <w:pPr>
              <w:spacing w:after="0" w:line="122" w:lineRule="exact"/>
              <w:rPr>
                <w:sz w:val="20"/>
                <w:szCs w:val="20"/>
                <w:color w:val="auto"/>
              </w:rPr>
            </w:pPr>
            <w:r>
              <w:rPr>
                <w:rFonts w:ascii="Arial" w:cs="Arial" w:eastAsia="Arial" w:hAnsi="Arial"/>
                <w:sz w:val="9"/>
                <w:szCs w:val="9"/>
                <w:b w:val="1"/>
                <w:bCs w:val="1"/>
                <w:color w:val="auto"/>
              </w:rPr>
              <w:t xml:space="preserve">Preferred Equity/Partnership Interests —0.1% </w:t>
            </w:r>
            <w:r>
              <w:rPr>
                <w:rFonts w:ascii="Arial" w:cs="Arial" w:eastAsia="Arial" w:hAnsi="Arial"/>
                <w:sz w:val="14"/>
                <w:szCs w:val="14"/>
                <w:b w:val="1"/>
                <w:bCs w:val="1"/>
                <w:color w:val="auto"/>
                <w:vertAlign w:val="superscript"/>
              </w:rPr>
              <w:t>(5),</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ind w:left="220"/>
              <w:spacing w:after="0"/>
              <w:rPr>
                <w:sz w:val="20"/>
                <w:szCs w:val="20"/>
                <w:color w:val="auto"/>
              </w:rPr>
            </w:pPr>
            <w:r>
              <w:rPr>
                <w:rFonts w:ascii="Arial" w:cs="Arial" w:eastAsia="Arial" w:hAnsi="Arial"/>
                <w:sz w:val="11"/>
                <w:szCs w:val="11"/>
                <w:b w:val="1"/>
                <w:bCs w:val="1"/>
                <w:color w:val="auto"/>
              </w:rPr>
              <w:t>(10)</w:t>
            </w:r>
          </w:p>
        </w:tc>
        <w:tc>
          <w:tcPr>
            <w:tcW w:w="2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3"/>
                <w:szCs w:val="13"/>
                <w:color w:val="auto"/>
              </w:rPr>
              <w:t>TrustHouse Services Holdings, LLC</w:t>
            </w:r>
          </w:p>
        </w:tc>
        <w:tc>
          <w:tcPr>
            <w:tcW w:w="112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2480" w:type="dxa"/>
            <w:vAlign w:val="bottom"/>
            <w:gridSpan w:val="2"/>
          </w:tcPr>
          <w:p>
            <w:pPr>
              <w:jc w:val="center"/>
              <w:ind w:right="500"/>
              <w:spacing w:after="0"/>
              <w:rPr>
                <w:sz w:val="20"/>
                <w:szCs w:val="20"/>
                <w:color w:val="auto"/>
              </w:rPr>
            </w:pPr>
            <w:r>
              <w:rPr>
                <w:rFonts w:ascii="Arial" w:cs="Arial" w:eastAsia="Arial" w:hAnsi="Arial"/>
                <w:sz w:val="13"/>
                <w:szCs w:val="13"/>
                <w:color w:val="auto"/>
                <w:w w:val="92"/>
              </w:rPr>
              <w:t>Beverage, Food and Tobacco</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12.50%</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95,000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96,985</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96,985</w:t>
            </w:r>
          </w:p>
        </w:tc>
        <w:tc>
          <w:tcPr>
            <w:tcW w:w="0" w:type="dxa"/>
            <w:vAlign w:val="bottom"/>
          </w:tcPr>
          <w:p>
            <w:pPr>
              <w:spacing w:after="0"/>
              <w:rPr>
                <w:sz w:val="1"/>
                <w:szCs w:val="1"/>
                <w:color w:val="auto"/>
              </w:rPr>
            </w:pPr>
          </w:p>
        </w:tc>
      </w:tr>
      <w:tr>
        <w:trPr>
          <w:trHeight w:val="156"/>
        </w:trPr>
        <w:tc>
          <w:tcPr>
            <w:tcW w:w="316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8"/>
                <w:szCs w:val="18"/>
                <w:b w:val="1"/>
                <w:bCs w:val="1"/>
                <w:color w:val="auto"/>
                <w:vertAlign w:val="superscript"/>
              </w:rPr>
              <w:t>(5),(10)</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TrustHouse Services Holdings, LLC</w:t>
            </w:r>
          </w:p>
        </w:tc>
        <w:tc>
          <w:tcPr>
            <w:tcW w:w="11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2480" w:type="dxa"/>
            <w:vAlign w:val="bottom"/>
            <w:gridSpan w:val="2"/>
            <w:shd w:val="clear" w:color="auto" w:fill="CCEEFF"/>
          </w:tcPr>
          <w:p>
            <w:pPr>
              <w:jc w:val="center"/>
              <w:ind w:right="500"/>
              <w:spacing w:after="0"/>
              <w:rPr>
                <w:sz w:val="20"/>
                <w:szCs w:val="20"/>
                <w:color w:val="auto"/>
              </w:rPr>
            </w:pPr>
            <w:r>
              <w:rPr>
                <w:rFonts w:ascii="Arial" w:cs="Arial" w:eastAsia="Arial" w:hAnsi="Arial"/>
                <w:sz w:val="13"/>
                <w:szCs w:val="13"/>
                <w:color w:val="auto"/>
                <w:w w:val="92"/>
              </w:rPr>
              <w:t>Beverage, Food and Tobacco</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Common Equity</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6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80" w:type="dxa"/>
            <w:vAlign w:val="bottom"/>
            <w:gridSpan w:val="5"/>
            <w:shd w:val="clear" w:color="auto" w:fill="CCEEFF"/>
          </w:tcPr>
          <w:p>
            <w:pPr>
              <w:spacing w:after="0"/>
              <w:rPr>
                <w:sz w:val="20"/>
                <w:szCs w:val="20"/>
                <w:color w:val="auto"/>
              </w:rPr>
            </w:pPr>
            <w:r>
              <w:rPr>
                <w:rFonts w:ascii="Arial" w:cs="Arial" w:eastAsia="Arial" w:hAnsi="Arial"/>
                <w:sz w:val="13"/>
                <w:szCs w:val="13"/>
                <w:b w:val="1"/>
                <w:bCs w:val="1"/>
                <w:color w:val="auto"/>
                <w:w w:val="95"/>
              </w:rPr>
              <w:t>Total Investments in Non-Controlled, Non-Affiliated Portfolio Companies</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114,829,621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4"/>
              </w:rPr>
              <w:t>110,724,241</w:t>
            </w: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rPr>
              <w:t>Cash Equivalents—7.6%</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6,987,450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6,987,450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Equivalents—127.8%</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121,817,071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4"/>
              </w:rPr>
              <w:t>117,711,691</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Assets—(27.8%)</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w w:val="97"/>
              </w:rPr>
              <w:t>(25,639,586)</w:t>
            </w: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92,072,105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540" w:hanging="332"/>
        <w:spacing w:after="0" w:line="25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right="58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payable in cash and/or through payment-in-kind, or PIK.</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00" w:firstLine="898"/>
        <w:spacing w:after="0" w:line="331" w:lineRule="auto"/>
        <w:rPr>
          <w:sz w:val="20"/>
          <w:szCs w:val="20"/>
          <w:color w:val="auto"/>
        </w:rPr>
      </w:pPr>
      <w:r>
        <w:rPr>
          <w:rFonts w:ascii="Arial" w:cs="Arial" w:eastAsia="Arial" w:hAnsi="Arial"/>
          <w:sz w:val="16"/>
          <w:szCs w:val="16"/>
          <w:color w:val="auto"/>
        </w:rPr>
        <w:t>PennantPark Floating Rate Capital Ltd. was organized as a Maryland corporation on October 28, 2010. We are a closed-end, externally managed, non-diversified investment company that has elected to be treated as a business development company, or BDC, under the 1940 Act.</w:t>
      </w:r>
    </w:p>
    <w:p>
      <w:pPr>
        <w:spacing w:after="0" w:line="87" w:lineRule="exact"/>
        <w:rPr>
          <w:sz w:val="20"/>
          <w:szCs w:val="20"/>
          <w:color w:val="auto"/>
        </w:rPr>
      </w:pPr>
    </w:p>
    <w:p>
      <w:pPr>
        <w:ind w:right="100" w:firstLine="898"/>
        <w:spacing w:after="0" w:line="288"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from time to time, include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24"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On April 13, 2011, we closed our initial public offering and our common stock trades on the NASDAQ Global Select Market under the symbol “PFLT.” Also on April 13, 2011, we issued 6,700,000 shares of common stock, and on May 11,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On March 4, 2011, we sold 667 shares of common stock for $10,000 ($15.00 per share) to the Investment Adviser.</w:t>
      </w:r>
    </w:p>
    <w:p>
      <w:pPr>
        <w:spacing w:after="0" w:line="144" w:lineRule="exact"/>
        <w:rPr>
          <w:sz w:val="20"/>
          <w:szCs w:val="20"/>
          <w:color w:val="auto"/>
        </w:rPr>
      </w:pPr>
    </w:p>
    <w:p>
      <w:pPr>
        <w:ind w:right="160" w:firstLine="898"/>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40" w:firstLine="898"/>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LIBOR plus 225 basis points during the revolving period. The Credit Facility is secured by all of the assets held by Funding I. See Note 9.</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898"/>
        <w:spacing w:after="0" w:line="317" w:lineRule="auto"/>
        <w:rPr>
          <w:sz w:val="20"/>
          <w:szCs w:val="20"/>
          <w:color w:val="auto"/>
        </w:rPr>
      </w:pPr>
      <w:r>
        <w:rPr>
          <w:rFonts w:ascii="Arial" w:cs="Arial" w:eastAsia="Arial" w:hAnsi="Arial"/>
          <w:sz w:val="15"/>
          <w:szCs w:val="15"/>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03" w:lineRule="exact"/>
        <w:rPr>
          <w:sz w:val="20"/>
          <w:szCs w:val="20"/>
          <w:color w:val="auto"/>
        </w:rPr>
      </w:pPr>
    </w:p>
    <w:p>
      <w:pPr>
        <w:jc w:val="both"/>
        <w:ind w:right="140" w:firstLine="898"/>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200" w:firstLine="898"/>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4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9"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00" w:hanging="447"/>
        <w:spacing w:after="0" w:line="33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80" w:hanging="447"/>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12" w:lineRule="exact"/>
        <w:rPr>
          <w:rFonts w:ascii="Arial" w:cs="Arial" w:eastAsia="Arial" w:hAnsi="Arial"/>
          <w:sz w:val="18"/>
          <w:szCs w:val="18"/>
          <w:color w:val="auto"/>
        </w:rPr>
      </w:pPr>
    </w:p>
    <w:p>
      <w:pPr>
        <w:ind w:left="700" w:hanging="243"/>
        <w:spacing w:after="0"/>
        <w:tabs>
          <w:tab w:leader="none" w:pos="700" w:val="left"/>
        </w:tabs>
        <w:numPr>
          <w:ilvl w:val="1"/>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right="80" w:firstLine="898"/>
        <w:spacing w:after="0" w:line="254"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66"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penalties on loans and debt investments as income. Dividend income, if any, is recognized on an accrual basis on the ex-dividend date to the extent that we expect to collect such amounts.</w:t>
      </w:r>
    </w:p>
    <w:p>
      <w:pPr>
        <w:spacing w:after="0" w:line="66" w:lineRule="exact"/>
        <w:rPr>
          <w:sz w:val="20"/>
          <w:szCs w:val="20"/>
          <w:color w:val="auto"/>
        </w:rPr>
      </w:pPr>
    </w:p>
    <w:p>
      <w:pPr>
        <w:jc w:val="both"/>
        <w:ind w:right="240" w:firstLine="898"/>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Since March 2011, PennantPark Floating Rate Capital Ltd. has complied with the requirements of Subchapter M of the Internal Revenue Code of 1986, as amended, or the Code, and has elected to be treated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election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19"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Because federal income tax regulations differ from GAAP, differences in distributable income arise which could be permanent or temporary. Book and tax basis differences which are permanent are reclassified among our capital accounts, to reflect their tax character. Temporary differences arise when certain items of income, expense, gain or loss are recognized at some time in the future.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40" w:lineRule="exact"/>
        <w:rPr>
          <w:sz w:val="20"/>
          <w:szCs w:val="20"/>
          <w:color w:val="auto"/>
        </w:rPr>
      </w:pPr>
    </w:p>
    <w:p>
      <w:pPr>
        <w:ind w:right="140" w:firstLine="898"/>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 Asset Transfers and Servicing</w:t>
      </w:r>
    </w:p>
    <w:p>
      <w:pPr>
        <w:spacing w:after="0" w:line="90" w:lineRule="exact"/>
        <w:rPr>
          <w:sz w:val="20"/>
          <w:szCs w:val="20"/>
          <w:color w:val="auto"/>
        </w:rPr>
      </w:pPr>
    </w:p>
    <w:p>
      <w:pPr>
        <w:ind w:right="240" w:firstLine="898"/>
        <w:spacing w:after="0" w:line="306" w:lineRule="auto"/>
        <w:rPr>
          <w:sz w:val="20"/>
          <w:szCs w:val="20"/>
          <w:color w:val="auto"/>
        </w:rPr>
      </w:pPr>
      <w:r>
        <w:rPr>
          <w:rFonts w:ascii="Arial" w:cs="Arial" w:eastAsia="Arial" w:hAnsi="Arial"/>
          <w:sz w:val="16"/>
          <w:szCs w:val="16"/>
          <w:color w:val="auto"/>
        </w:rPr>
        <w:t>Asset transfers that do not meet ASC 860, Transfers and Servicing, requirements for sale accounting treatment are reflected in the Consolidated Statement of Assets and Liabilities as investments. The creditors of Funding I have received security interests in any such assets and are not intended to be available to the creditors of PennantPark Floating Rate Capital Ltd. (or any affiliate of the Company).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0"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management fees for any partial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nine months ended June 30, 2012, the Investment Adviser earned a base management fee of $0.4 million and $1.1 million, respectively, from us. For the period from March 4, 2011 (Commencement of Operations) to June 30, 2011, the Investment Adviser earned a base management fee of $0.1 million, from us.</w:t>
      </w:r>
    </w:p>
    <w:p>
      <w:pPr>
        <w:spacing w:after="0" w:line="12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898"/>
        <w:spacing w:after="0" w:line="284"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and nine months ended June 30, 2012 resulted in an accrual for both periods of less than $0.1 million. For the period from March 4, 2011 (Commencement of Operations) to June 30, 2011, the Investment Adviser earned no performance based incentive fee on net investment income from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898"/>
        <w:spacing w:after="0" w:line="310" w:lineRule="auto"/>
        <w:rPr>
          <w:sz w:val="20"/>
          <w:szCs w:val="20"/>
          <w:color w:val="auto"/>
        </w:rPr>
      </w:pPr>
      <w:r>
        <w:rPr>
          <w:rFonts w:ascii="Arial" w:cs="Arial" w:eastAsia="Arial" w:hAnsi="Arial"/>
          <w:sz w:val="15"/>
          <w:szCs w:val="15"/>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June 30, 2012 was calculated for a period of shorter than twelve calendar months to take into account any realized capital gains computed net of all realized capital losses and unrealized capital depreciation from our inception. The performance-based incentive fee on capital gains due to our Investment Adviser as calculated under the Investment Management Agreement (as described above) for the three and nine months ended June 30, 2012 resulted in no fee earned. For the period from March 4, 2011 (Commencement of Operations) to June 30, 2011, the Investment Adviser earned no performance based incentive fee on capital gains from us.</w:t>
      </w:r>
    </w:p>
    <w:p>
      <w:pPr>
        <w:spacing w:after="0" w:line="108" w:lineRule="exact"/>
        <w:rPr>
          <w:sz w:val="20"/>
          <w:szCs w:val="20"/>
          <w:color w:val="auto"/>
        </w:rPr>
      </w:pPr>
    </w:p>
    <w:p>
      <w:pPr>
        <w:ind w:firstLine="898"/>
        <w:spacing w:after="0" w:line="308" w:lineRule="auto"/>
        <w:rPr>
          <w:sz w:val="20"/>
          <w:szCs w:val="20"/>
          <w:color w:val="auto"/>
        </w:rPr>
      </w:pPr>
      <w:r>
        <w:rPr>
          <w:rFonts w:ascii="Arial" w:cs="Arial" w:eastAsia="Arial" w:hAnsi="Arial"/>
          <w:sz w:val="15"/>
          <w:szCs w:val="15"/>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period. There can be no assurance that such unrealized capital appreciation will be realized in the future. The performance based incentive fee on capital gains due to our Investment Adviser as calculated under GAAP and the Investment Management Agreement (as described above) for the three and nine months ended June 30, 2012 resulted in $(0.1) million and no accrual, respectively. For the period from March 4, 2011 (Commencement of Operations) to June 30, 2011, the Investment Adviser accrued no performance based incentive fee on capital gains due to our Investment Adviser as calculated under GAAP and the Investment Management Agreement (as described above) from us.</w:t>
      </w:r>
    </w:p>
    <w:p>
      <w:pPr>
        <w:spacing w:after="0" w:line="108" w:lineRule="exact"/>
        <w:rPr>
          <w:sz w:val="20"/>
          <w:szCs w:val="20"/>
          <w:color w:val="auto"/>
        </w:rPr>
      </w:pPr>
    </w:p>
    <w:p>
      <w:pPr>
        <w:ind w:right="40" w:firstLine="898"/>
        <w:spacing w:after="0" w:line="286" w:lineRule="auto"/>
        <w:rPr>
          <w:sz w:val="20"/>
          <w:szCs w:val="20"/>
          <w:color w:val="auto"/>
        </w:rPr>
      </w:pPr>
      <w:r>
        <w:rPr>
          <w:rFonts w:ascii="Arial" w:cs="Arial" w:eastAsia="Arial" w:hAnsi="Arial"/>
          <w:sz w:val="16"/>
          <w:szCs w:val="16"/>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nine months ended June 30, 2012, the Investment Adviser and Administrator, collectively, were reimbursed approximately less than $0.1 million and $0.2 million, respectively, from us, including expenses incurred by the Investment Adviser on behalf of the Administrator, for the services described above. For the period from March 4, 2011 (Commencement of Operations) to June 30, 2011, the Investment Adviser and Administrator, collectively, were reimbursed approximately $0.1 million from us, including expenses it incurred on behalf of the Administrator, for services described above.</w:t>
      </w:r>
    </w:p>
    <w:p>
      <w:pPr>
        <w:spacing w:after="0" w:line="126"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June 30, 2012, as well as the likelihood of future activity that may generate additional returns, management determined that the 7.0% return on Pre-Incentive Fee Net Investment Income was uncertain. Accordingly, we did not record a liability for it. Management continues to assess performance to determine whether the 7.0% return on Pre-Incentive Fee Net Investment Income is probable before recording the $2.1 million charge to capital.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500" w:right="260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2012</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Purchases of long-term investments, including PIK, for the three and nine months ended June 30, 2012 totaled $27.7 million and $100.0 million, respectively. Sales and repayments of long-term investments for the three and nine months ended June 30, 2012 totaled $15.4 million and $57.0 million, respectively.</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220" w:type="dxa"/>
            <w:vAlign w:val="bottom"/>
          </w:tcPr>
          <w:p>
            <w:pPr>
              <w:spacing w:after="0"/>
              <w:rPr>
                <w:sz w:val="14"/>
                <w:szCs w:val="14"/>
                <w:color w:val="auto"/>
              </w:rPr>
            </w:pPr>
          </w:p>
        </w:tc>
        <w:tc>
          <w:tcPr>
            <w:tcW w:w="2340" w:type="dxa"/>
            <w:vAlign w:val="bottom"/>
            <w:gridSpan w:val="3"/>
          </w:tcPr>
          <w:p>
            <w:pPr>
              <w:jc w:val="right"/>
              <w:ind w:right="697"/>
              <w:spacing w:after="0"/>
              <w:rPr>
                <w:sz w:val="20"/>
                <w:szCs w:val="20"/>
                <w:color w:val="auto"/>
              </w:rPr>
            </w:pPr>
            <w:r>
              <w:rPr>
                <w:rFonts w:ascii="Arial" w:cs="Arial" w:eastAsia="Arial" w:hAnsi="Arial"/>
                <w:sz w:val="13"/>
                <w:szCs w:val="13"/>
                <w:b w:val="1"/>
                <w:bCs w:val="1"/>
                <w:color w:val="auto"/>
              </w:rPr>
              <w:t>June 30, 2012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ind w:left="520"/>
              <w:spacing w:after="0"/>
              <w:rPr>
                <w:sz w:val="20"/>
                <w:szCs w:val="20"/>
                <w:color w:val="auto"/>
              </w:rPr>
            </w:pPr>
            <w:r>
              <w:rPr>
                <w:rFonts w:ascii="Arial" w:cs="Arial" w:eastAsia="Arial" w:hAnsi="Arial"/>
                <w:sz w:val="13"/>
                <w:szCs w:val="13"/>
                <w:b w:val="1"/>
                <w:bCs w:val="1"/>
                <w:color w:val="auto"/>
              </w:rPr>
              <w:t>September 30, 2011</w:t>
            </w:r>
          </w:p>
        </w:tc>
        <w:tc>
          <w:tcPr>
            <w:tcW w:w="0" w:type="dxa"/>
            <w:vAlign w:val="bottom"/>
          </w:tcPr>
          <w:p>
            <w:pPr>
              <w:spacing w:after="0"/>
              <w:rPr>
                <w:sz w:val="1"/>
                <w:szCs w:val="1"/>
                <w:color w:val="auto"/>
              </w:rPr>
            </w:pPr>
          </w:p>
        </w:tc>
      </w:tr>
      <w:tr>
        <w:trPr>
          <w:trHeight w:val="148"/>
        </w:trPr>
        <w:tc>
          <w:tcPr>
            <w:tcW w:w="396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Borders>
              <w:top w:val="single" w:sz="8" w:color="auto"/>
            </w:tcBorders>
          </w:tcPr>
          <w:p>
            <w:pPr>
              <w:jc w:val="right"/>
              <w:ind w:right="280"/>
              <w:spacing w:after="0" w:line="129" w:lineRule="exact"/>
              <w:rPr>
                <w:sz w:val="20"/>
                <w:szCs w:val="20"/>
                <w:color w:val="auto"/>
              </w:rPr>
            </w:pPr>
            <w:r>
              <w:rPr>
                <w:rFonts w:ascii="Arial" w:cs="Arial" w:eastAsia="Arial" w:hAnsi="Arial"/>
                <w:sz w:val="13"/>
                <w:szCs w:val="13"/>
                <w:b w:val="1"/>
                <w:bCs w:val="1"/>
                <w:color w:val="auto"/>
              </w:rPr>
              <w:t>Cost</w:t>
            </w:r>
          </w:p>
        </w:tc>
        <w:tc>
          <w:tcPr>
            <w:tcW w:w="4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7"/>
              <w:spacing w:after="0" w:line="129"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4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$138,644,893</w:t>
            </w:r>
          </w:p>
        </w:tc>
        <w:tc>
          <w:tcPr>
            <w:tcW w:w="4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$136,741,118</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97,975,314</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94,333,126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6,940,803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7,112,500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9,379,445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10,626,137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10,274,250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7,374,862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517,147</w:t>
            </w:r>
          </w:p>
        </w:tc>
        <w:tc>
          <w:tcPr>
            <w:tcW w:w="4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851,482</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156,728,980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154,979,350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114,829,621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110,724,241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3,328,639</w:t>
            </w:r>
          </w:p>
        </w:tc>
        <w:tc>
          <w:tcPr>
            <w:tcW w:w="4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3,328,639</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160,057,619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158,307,989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121,817,071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117,711,691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898"/>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June 30, 2012 and September 30, 2011.</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181"/>
        </w:trPr>
        <w:tc>
          <w:tcPr>
            <w:tcW w:w="1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Industry Classification</w:t>
            </w:r>
          </w:p>
        </w:tc>
        <w:tc>
          <w:tcPr>
            <w:tcW w:w="22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89"/>
              </w:rPr>
              <w:t>June 30, 2012</w:t>
            </w:r>
          </w:p>
        </w:tc>
        <w:tc>
          <w:tcPr>
            <w:tcW w:w="6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w w:val="90"/>
              </w:rPr>
              <w:t>September 30, 2011</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High Tech Industries</w:t>
            </w:r>
          </w:p>
        </w:tc>
        <w:tc>
          <w:tcPr>
            <w:tcW w:w="2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59"/>
              <w:spacing w:after="0" w:line="203" w:lineRule="exact"/>
              <w:rPr>
                <w:sz w:val="20"/>
                <w:szCs w:val="20"/>
                <w:color w:val="auto"/>
              </w:rPr>
            </w:pPr>
            <w:r>
              <w:rPr>
                <w:rFonts w:ascii="Arial" w:cs="Arial" w:eastAsia="Arial" w:hAnsi="Arial"/>
                <w:sz w:val="18"/>
                <w:szCs w:val="18"/>
                <w:color w:val="auto"/>
              </w:rPr>
              <w:t>13%</w:t>
            </w:r>
          </w:p>
        </w:tc>
        <w:tc>
          <w:tcPr>
            <w:tcW w:w="6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76"/>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3100" w:type="dxa"/>
            <w:vAlign w:val="bottom"/>
            <w:gridSpan w:val="2"/>
          </w:tcPr>
          <w:p>
            <w:pPr>
              <w:jc w:val="right"/>
              <w:ind w:right="199"/>
              <w:spacing w:after="0"/>
              <w:rPr>
                <w:sz w:val="20"/>
                <w:szCs w:val="20"/>
                <w:color w:val="auto"/>
              </w:rPr>
            </w:pPr>
            <w:r>
              <w:rPr>
                <w:rFonts w:ascii="Arial" w:cs="Arial" w:eastAsia="Arial" w:hAnsi="Arial"/>
                <w:sz w:val="18"/>
                <w:szCs w:val="18"/>
                <w:color w:val="auto"/>
              </w:rPr>
              <w:t>10</w:t>
            </w:r>
          </w:p>
        </w:tc>
        <w:tc>
          <w:tcPr>
            <w:tcW w:w="1780" w:type="dxa"/>
            <w:vAlign w:val="bottom"/>
            <w:gridSpan w:val="2"/>
          </w:tcPr>
          <w:p>
            <w:pPr>
              <w:jc w:val="right"/>
              <w:ind w:right="33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1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9</w:t>
            </w:r>
          </w:p>
        </w:tc>
        <w:tc>
          <w:tcPr>
            <w:tcW w:w="178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3100" w:type="dxa"/>
            <w:vAlign w:val="bottom"/>
            <w:gridSpan w:val="2"/>
          </w:tcPr>
          <w:p>
            <w:pPr>
              <w:jc w:val="right"/>
              <w:ind w:right="199"/>
              <w:spacing w:after="0"/>
              <w:rPr>
                <w:sz w:val="20"/>
                <w:szCs w:val="20"/>
                <w:color w:val="auto"/>
              </w:rPr>
            </w:pPr>
            <w:r>
              <w:rPr>
                <w:rFonts w:ascii="Arial" w:cs="Arial" w:eastAsia="Arial" w:hAnsi="Arial"/>
                <w:sz w:val="18"/>
                <w:szCs w:val="18"/>
                <w:color w:val="auto"/>
              </w:rPr>
              <w:t>8</w:t>
            </w:r>
          </w:p>
        </w:tc>
        <w:tc>
          <w:tcPr>
            <w:tcW w:w="1780" w:type="dxa"/>
            <w:vAlign w:val="bottom"/>
            <w:gridSpan w:val="2"/>
          </w:tcPr>
          <w:p>
            <w:pPr>
              <w:jc w:val="right"/>
              <w:ind w:right="33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31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7</w:t>
            </w:r>
          </w:p>
        </w:tc>
        <w:tc>
          <w:tcPr>
            <w:tcW w:w="178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3100" w:type="dxa"/>
            <w:vAlign w:val="bottom"/>
            <w:gridSpan w:val="2"/>
          </w:tcPr>
          <w:p>
            <w:pPr>
              <w:jc w:val="right"/>
              <w:ind w:right="199"/>
              <w:spacing w:after="0"/>
              <w:rPr>
                <w:sz w:val="20"/>
                <w:szCs w:val="20"/>
                <w:color w:val="auto"/>
              </w:rPr>
            </w:pPr>
            <w:r>
              <w:rPr>
                <w:rFonts w:ascii="Arial" w:cs="Arial" w:eastAsia="Arial" w:hAnsi="Arial"/>
                <w:sz w:val="18"/>
                <w:szCs w:val="18"/>
                <w:color w:val="auto"/>
              </w:rPr>
              <w:t>6</w:t>
            </w:r>
          </w:p>
        </w:tc>
        <w:tc>
          <w:tcPr>
            <w:tcW w:w="1780" w:type="dxa"/>
            <w:vAlign w:val="bottom"/>
            <w:gridSpan w:val="2"/>
          </w:tcPr>
          <w:p>
            <w:pPr>
              <w:jc w:val="right"/>
              <w:ind w:right="33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31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6</w:t>
            </w:r>
          </w:p>
        </w:tc>
        <w:tc>
          <w:tcPr>
            <w:tcW w:w="178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3100" w:type="dxa"/>
            <w:vAlign w:val="bottom"/>
            <w:gridSpan w:val="2"/>
          </w:tcPr>
          <w:p>
            <w:pPr>
              <w:jc w:val="right"/>
              <w:ind w:right="199"/>
              <w:spacing w:after="0"/>
              <w:rPr>
                <w:sz w:val="20"/>
                <w:szCs w:val="20"/>
                <w:color w:val="auto"/>
              </w:rPr>
            </w:pPr>
            <w:r>
              <w:rPr>
                <w:rFonts w:ascii="Arial" w:cs="Arial" w:eastAsia="Arial" w:hAnsi="Arial"/>
                <w:sz w:val="18"/>
                <w:szCs w:val="18"/>
                <w:color w:val="auto"/>
              </w:rPr>
              <w:t>5</w:t>
            </w:r>
          </w:p>
        </w:tc>
        <w:tc>
          <w:tcPr>
            <w:tcW w:w="1780" w:type="dxa"/>
            <w:vAlign w:val="bottom"/>
            <w:gridSpan w:val="2"/>
          </w:tcPr>
          <w:p>
            <w:pPr>
              <w:jc w:val="right"/>
              <w:ind w:right="33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31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100" w:type="dxa"/>
            <w:vAlign w:val="bottom"/>
            <w:gridSpan w:val="2"/>
          </w:tcPr>
          <w:p>
            <w:pPr>
              <w:jc w:val="right"/>
              <w:ind w:right="199"/>
              <w:spacing w:after="0"/>
              <w:rPr>
                <w:sz w:val="20"/>
                <w:szCs w:val="20"/>
                <w:color w:val="auto"/>
              </w:rPr>
            </w:pPr>
            <w:r>
              <w:rPr>
                <w:rFonts w:ascii="Arial" w:cs="Arial" w:eastAsia="Arial" w:hAnsi="Arial"/>
                <w:sz w:val="18"/>
                <w:szCs w:val="18"/>
                <w:color w:val="auto"/>
              </w:rPr>
              <w:t>5</w:t>
            </w:r>
          </w:p>
        </w:tc>
        <w:tc>
          <w:tcPr>
            <w:tcW w:w="1780" w:type="dxa"/>
            <w:vAlign w:val="bottom"/>
            <w:gridSpan w:val="2"/>
          </w:tcPr>
          <w:p>
            <w:pPr>
              <w:jc w:val="right"/>
              <w:ind w:right="3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1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100" w:type="dxa"/>
            <w:vAlign w:val="bottom"/>
            <w:gridSpan w:val="2"/>
          </w:tcPr>
          <w:p>
            <w:pPr>
              <w:jc w:val="right"/>
              <w:ind w:right="199"/>
              <w:spacing w:after="0"/>
              <w:rPr>
                <w:sz w:val="20"/>
                <w:szCs w:val="20"/>
                <w:color w:val="auto"/>
              </w:rPr>
            </w:pPr>
            <w:r>
              <w:rPr>
                <w:rFonts w:ascii="Arial" w:cs="Arial" w:eastAsia="Arial" w:hAnsi="Arial"/>
                <w:sz w:val="18"/>
                <w:szCs w:val="18"/>
                <w:color w:val="auto"/>
              </w:rPr>
              <w:t>4</w:t>
            </w:r>
          </w:p>
        </w:tc>
        <w:tc>
          <w:tcPr>
            <w:tcW w:w="1780" w:type="dxa"/>
            <w:vAlign w:val="bottom"/>
            <w:gridSpan w:val="2"/>
          </w:tcPr>
          <w:p>
            <w:pPr>
              <w:jc w:val="right"/>
              <w:ind w:right="33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31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3</w:t>
            </w:r>
          </w:p>
        </w:tc>
        <w:tc>
          <w:tcPr>
            <w:tcW w:w="178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Environmental Industries</w:t>
            </w:r>
          </w:p>
        </w:tc>
        <w:tc>
          <w:tcPr>
            <w:tcW w:w="3100" w:type="dxa"/>
            <w:vAlign w:val="bottom"/>
            <w:gridSpan w:val="2"/>
          </w:tcPr>
          <w:p>
            <w:pPr>
              <w:jc w:val="right"/>
              <w:ind w:right="199"/>
              <w:spacing w:after="0"/>
              <w:rPr>
                <w:sz w:val="20"/>
                <w:szCs w:val="20"/>
                <w:color w:val="auto"/>
              </w:rPr>
            </w:pPr>
            <w:r>
              <w:rPr>
                <w:rFonts w:ascii="Arial" w:cs="Arial" w:eastAsia="Arial" w:hAnsi="Arial"/>
                <w:sz w:val="18"/>
                <w:szCs w:val="18"/>
                <w:color w:val="auto"/>
              </w:rPr>
              <w:t>3</w:t>
            </w:r>
          </w:p>
        </w:tc>
        <w:tc>
          <w:tcPr>
            <w:tcW w:w="1780" w:type="dxa"/>
            <w:vAlign w:val="bottom"/>
            <w:gridSpan w:val="2"/>
          </w:tcPr>
          <w:p>
            <w:pPr>
              <w:jc w:val="right"/>
              <w:ind w:right="3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1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100" w:type="dxa"/>
            <w:vAlign w:val="bottom"/>
            <w:gridSpan w:val="2"/>
          </w:tcPr>
          <w:p>
            <w:pPr>
              <w:jc w:val="right"/>
              <w:ind w:right="199"/>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ind w:right="33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1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3100" w:type="dxa"/>
            <w:vAlign w:val="bottom"/>
            <w:gridSpan w:val="2"/>
          </w:tcPr>
          <w:p>
            <w:pPr>
              <w:jc w:val="right"/>
              <w:ind w:right="199"/>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1120" w:type="dxa"/>
            <w:vAlign w:val="bottom"/>
          </w:tcPr>
          <w:p>
            <w:pPr>
              <w:jc w:val="right"/>
              <w:ind w:right="3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Oil and Gas</w:t>
            </w:r>
          </w:p>
        </w:tc>
        <w:tc>
          <w:tcPr>
            <w:tcW w:w="31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1</w:t>
            </w:r>
          </w:p>
        </w:tc>
        <w:tc>
          <w:tcPr>
            <w:tcW w:w="178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2300" w:type="dxa"/>
            <w:vAlign w:val="bottom"/>
          </w:tcPr>
          <w:p>
            <w:pPr>
              <w:spacing w:after="0"/>
              <w:rPr>
                <w:sz w:val="19"/>
                <w:szCs w:val="19"/>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100%</w:t>
            </w:r>
          </w:p>
        </w:tc>
        <w:tc>
          <w:tcPr>
            <w:tcW w:w="178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00" w:type="dxa"/>
            <w:vAlign w:val="bottom"/>
            <w:vMerge w:val="restart"/>
          </w:tcPr>
          <w:p>
            <w:pPr>
              <w:jc w:val="right"/>
              <w:ind w:right="1492"/>
              <w:spacing w:after="0"/>
              <w:rPr>
                <w:sz w:val="20"/>
                <w:szCs w:val="20"/>
                <w:color w:val="auto"/>
              </w:rPr>
            </w:pPr>
            <w:r>
              <w:rPr>
                <w:rFonts w:ascii="Arial" w:cs="Arial" w:eastAsia="Arial" w:hAnsi="Arial"/>
                <w:sz w:val="18"/>
                <w:szCs w:val="18"/>
                <w:color w:val="auto"/>
              </w:rPr>
              <w:t>17</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120" w:firstLine="898"/>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1660" w:right="152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32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24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20" w:firstLine="898"/>
        <w:spacing w:after="0" w:line="298"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2012, our ability to observe valuation inputs has resulted in no reclassification of assets from Level 3 to 2 or Levels 1 and 2 for the same period.</w:t>
      </w:r>
    </w:p>
    <w:p>
      <w:pPr>
        <w:spacing w:after="0" w:line="112"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898"/>
        <w:spacing w:after="0" w:line="259" w:lineRule="auto"/>
        <w:rPr>
          <w:sz w:val="20"/>
          <w:szCs w:val="20"/>
          <w:color w:val="auto"/>
        </w:rPr>
      </w:pPr>
      <w:r>
        <w:rPr>
          <w:rFonts w:ascii="Arial" w:cs="Arial" w:eastAsia="Arial" w:hAnsi="Arial"/>
          <w:sz w:val="18"/>
          <w:szCs w:val="18"/>
          <w:color w:val="auto"/>
        </w:rPr>
        <w:t>In accordance with ASU 2011-04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0" w:lineRule="exact"/>
        <w:rPr>
          <w:sz w:val="20"/>
          <w:szCs w:val="20"/>
          <w:color w:val="auto"/>
        </w:rPr>
      </w:pPr>
    </w:p>
    <w:p>
      <w:pPr>
        <w:ind w:right="20" w:firstLine="898"/>
        <w:spacing w:after="0" w:line="309" w:lineRule="auto"/>
        <w:rPr>
          <w:sz w:val="20"/>
          <w:szCs w:val="20"/>
          <w:color w:val="auto"/>
        </w:rPr>
      </w:pPr>
      <w:r>
        <w:rPr>
          <w:rFonts w:ascii="Arial" w:cs="Arial" w:eastAsia="Arial" w:hAnsi="Arial"/>
          <w:sz w:val="15"/>
          <w:szCs w:val="15"/>
          <w:color w:val="auto"/>
        </w:rPr>
        <w:t>The remainder of our portfolio, including our long-term Credit Facility, is classified as Level 3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w w:val="94"/>
              </w:rPr>
              <w:t>Asset Category</w:t>
            </w:r>
          </w:p>
        </w:tc>
        <w:tc>
          <w:tcPr>
            <w:tcW w:w="288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6"/>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Fair Value</w:t>
            </w:r>
          </w:p>
        </w:tc>
        <w:tc>
          <w:tcPr>
            <w:tcW w:w="20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2"/>
              </w:rPr>
              <w:t>Valuation Technique</w:t>
            </w:r>
          </w:p>
        </w:tc>
        <w:tc>
          <w:tcPr>
            <w:tcW w:w="210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5"/>
              </w:rPr>
              <w:t>Unobservable Input</w:t>
            </w:r>
          </w:p>
        </w:tc>
        <w:tc>
          <w:tcPr>
            <w:tcW w:w="1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81"/>
        </w:trPr>
        <w:tc>
          <w:tcPr>
            <w:tcW w:w="38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3"/>
              </w:rPr>
              <w:t>First lien, second lien, subordinated debt/corporate</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1"/>
              </w:rPr>
              <w:t>138,638,090</w:t>
            </w:r>
          </w:p>
        </w:tc>
        <w:tc>
          <w:tcPr>
            <w:tcW w:w="20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Market Comparable</w:t>
            </w:r>
          </w:p>
        </w:tc>
        <w:tc>
          <w:tcPr>
            <w:tcW w:w="1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Broker/Dealer bid quotes</w:t>
            </w:r>
          </w:p>
        </w:tc>
        <w:tc>
          <w:tcPr>
            <w:tcW w:w="1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1 - 5</w:t>
            </w:r>
          </w:p>
        </w:tc>
        <w:tc>
          <w:tcPr>
            <w:tcW w:w="0" w:type="dxa"/>
            <w:vAlign w:val="bottom"/>
          </w:tcPr>
          <w:p>
            <w:pPr>
              <w:spacing w:after="0"/>
              <w:rPr>
                <w:sz w:val="1"/>
                <w:szCs w:val="1"/>
                <w:color w:val="auto"/>
              </w:rPr>
            </w:pPr>
          </w:p>
        </w:tc>
      </w:tr>
      <w:tr>
        <w:trPr>
          <w:trHeight w:val="224"/>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notes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00" w:type="dxa"/>
            <w:vAlign w:val="bottom"/>
            <w:gridSpan w:val="2"/>
          </w:tcPr>
          <w:p>
            <w:pPr>
              <w:spacing w:after="0"/>
              <w:rPr>
                <w:sz w:val="20"/>
                <w:szCs w:val="20"/>
                <w:color w:val="auto"/>
              </w:rPr>
            </w:pPr>
            <w:r>
              <w:rPr>
                <w:rFonts w:ascii="Arial" w:cs="Arial" w:eastAsia="Arial" w:hAnsi="Arial"/>
                <w:sz w:val="18"/>
                <w:szCs w:val="18"/>
                <w:color w:val="auto"/>
                <w:w w:val="93"/>
              </w:rPr>
              <w:t>First lien, second lien, subordinated debt/corporate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12,250,778</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Market Comparable</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Market Yield</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7.5% - 15.5% (12.0%)</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notes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851,482</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Enterprise Market Value</w:t>
            </w: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EBITDA multiple</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6.5X – 8.5X (7.0X)</w:t>
            </w: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Long-Term Credit Facility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54,128,000</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Market Comparable</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Discount rate</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898"/>
        <w:spacing w:after="0" w:line="268" w:lineRule="auto"/>
        <w:rPr>
          <w:sz w:val="20"/>
          <w:szCs w:val="20"/>
          <w:color w:val="auto"/>
        </w:rPr>
      </w:pPr>
      <w:r>
        <w:rPr>
          <w:rFonts w:ascii="Arial" w:cs="Arial" w:eastAsia="Arial" w:hAnsi="Arial"/>
          <w:sz w:val="18"/>
          <w:szCs w:val="18"/>
          <w:color w:val="auto"/>
        </w:rPr>
        <w:t>At June 30, 2012 and September 30, 2011, our cash equivalents, investments and our long-term Credit Facility were categorized as follows in the fair value hierarchy for ASC 820 purposes.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3"/>
                <w:szCs w:val="13"/>
                <w:b w:val="1"/>
                <w:bCs w:val="1"/>
                <w:color w:val="auto"/>
              </w:rPr>
              <w:t>Fair Value Measurements at June 30, 2012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15"/>
              <w:spacing w:after="0" w:line="129" w:lineRule="exact"/>
              <w:rPr>
                <w:sz w:val="20"/>
                <w:szCs w:val="20"/>
                <w:color w:val="auto"/>
              </w:rPr>
            </w:pPr>
            <w:r>
              <w:rPr>
                <w:rFonts w:ascii="Arial" w:cs="Arial" w:eastAsia="Arial" w:hAnsi="Arial"/>
                <w:sz w:val="13"/>
                <w:szCs w:val="13"/>
                <w:b w:val="1"/>
                <w:bCs w:val="1"/>
                <w:color w:val="auto"/>
              </w:rPr>
              <w:t>Fair Value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15"/>
              <w:spacing w:after="0" w:line="129" w:lineRule="exact"/>
              <w:rPr>
                <w:sz w:val="20"/>
                <w:szCs w:val="20"/>
                <w:color w:val="auto"/>
              </w:rPr>
            </w:pPr>
            <w:r>
              <w:rPr>
                <w:rFonts w:ascii="Arial" w:cs="Arial" w:eastAsia="Arial" w:hAnsi="Arial"/>
                <w:sz w:val="13"/>
                <w:szCs w:val="13"/>
                <w:b w:val="1"/>
                <w:bCs w:val="1"/>
                <w:color w:val="auto"/>
              </w:rPr>
              <w:t>Level 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600"/>
              <w:spacing w:after="0" w:line="129" w:lineRule="exact"/>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136,741,118</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136,741,118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7,112,500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7,112,500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10,274,250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3,239,000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851,482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851,482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154,979,350</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3,239,000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151,740,350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3,328,639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3,328,639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158,307,989</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3,328,639</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3,239,000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151,740,350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54,128,000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54,128,000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3"/>
                <w:szCs w:val="13"/>
                <w:b w:val="1"/>
                <w:bCs w:val="1"/>
                <w:color w:val="auto"/>
                <w:w w:val="95"/>
              </w:rPr>
              <w:t>Fair Value Measurements at September 30, 2011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15"/>
              <w:spacing w:after="0" w:line="129" w:lineRule="exact"/>
              <w:rPr>
                <w:sz w:val="20"/>
                <w:szCs w:val="20"/>
                <w:color w:val="auto"/>
              </w:rPr>
            </w:pPr>
            <w:r>
              <w:rPr>
                <w:rFonts w:ascii="Arial" w:cs="Arial" w:eastAsia="Arial" w:hAnsi="Arial"/>
                <w:sz w:val="13"/>
                <w:szCs w:val="13"/>
                <w:b w:val="1"/>
                <w:bCs w:val="1"/>
                <w:color w:val="auto"/>
              </w:rPr>
              <w:t>Fair Value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15"/>
              <w:spacing w:after="0" w:line="129" w:lineRule="exact"/>
              <w:rPr>
                <w:sz w:val="20"/>
                <w:szCs w:val="20"/>
                <w:color w:val="auto"/>
              </w:rPr>
            </w:pPr>
            <w:r>
              <w:rPr>
                <w:rFonts w:ascii="Arial" w:cs="Arial" w:eastAsia="Arial" w:hAnsi="Arial"/>
                <w:sz w:val="13"/>
                <w:szCs w:val="13"/>
                <w:b w:val="1"/>
                <w:bCs w:val="1"/>
                <w:color w:val="auto"/>
              </w:rPr>
              <w:t>Level 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600"/>
              <w:spacing w:after="0" w:line="129" w:lineRule="exact"/>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94,333,126</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2,033,747</w:t>
            </w: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92,299,379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1,155,000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101,985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110,724,241</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3,188,747</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6,987,450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6,987,450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117,711,691</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6,987,450</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3,188,747</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gridSpan w:val="2"/>
            <w:vMerge w:val="continue"/>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unobservable inputs (Level 3) for the nine months ended June 30, 2012 and for the period from March 4, 2011 (commencement of operations) to June 30, 2011: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3"/>
                <w:szCs w:val="13"/>
                <w:b w:val="1"/>
                <w:bCs w:val="1"/>
                <w:color w:val="auto"/>
                <w:w w:val="94"/>
              </w:rPr>
              <w:t>Nine Months Ended June 30, 2012</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3"/>
          </w:tcPr>
          <w:p>
            <w:pPr>
              <w:jc w:val="center"/>
              <w:ind w:right="680"/>
              <w:spacing w:after="0" w:line="129" w:lineRule="exact"/>
              <w:rPr>
                <w:sz w:val="20"/>
                <w:szCs w:val="20"/>
                <w:color w:val="auto"/>
              </w:rPr>
            </w:pPr>
            <w:r>
              <w:rPr>
                <w:rFonts w:ascii="Arial" w:cs="Arial" w:eastAsia="Arial" w:hAnsi="Arial"/>
                <w:sz w:val="13"/>
                <w:szCs w:val="13"/>
                <w:b w:val="1"/>
                <w:bCs w:val="1"/>
                <w:color w:val="auto"/>
                <w:w w:val="91"/>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w w:val="89"/>
              </w:rPr>
              <w:t xml:space="preserve">First Lien </w:t>
            </w:r>
            <w:r>
              <w:rPr>
                <w:rFonts w:ascii="Arial" w:cs="Arial" w:eastAsia="Arial" w:hAnsi="Arial"/>
                <w:sz w:val="22"/>
                <w:szCs w:val="22"/>
                <w:b w:val="1"/>
                <w:bCs w:val="1"/>
                <w:color w:val="auto"/>
                <w:w w:val="89"/>
                <w:vertAlign w:val="superscript"/>
              </w:rPr>
              <w:t>(1)</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3"/>
          </w:tcPr>
          <w:p>
            <w:pPr>
              <w:jc w:val="center"/>
              <w:ind w:right="680"/>
              <w:spacing w:after="0" w:line="134" w:lineRule="exact"/>
              <w:rPr>
                <w:sz w:val="20"/>
                <w:szCs w:val="20"/>
                <w:color w:val="auto"/>
              </w:rPr>
            </w:pPr>
            <w:r>
              <w:rPr>
                <w:rFonts w:ascii="Arial" w:cs="Arial" w:eastAsia="Arial" w:hAnsi="Arial"/>
                <w:sz w:val="13"/>
                <w:szCs w:val="13"/>
                <w:b w:val="1"/>
                <w:bCs w:val="1"/>
                <w:color w:val="auto"/>
                <w:w w:val="93"/>
              </w:rPr>
              <w:t>subordinated debt</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5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gridSpan w:val="5"/>
          </w:tcPr>
          <w:p>
            <w:pPr>
              <w:jc w:val="center"/>
              <w:ind w:right="500"/>
              <w:spacing w:after="0" w:line="162" w:lineRule="exact"/>
              <w:rPr>
                <w:sz w:val="20"/>
                <w:szCs w:val="20"/>
                <w:color w:val="auto"/>
              </w:rPr>
            </w:pPr>
            <w:r>
              <w:rPr>
                <w:rFonts w:ascii="Arial" w:cs="Arial" w:eastAsia="Arial" w:hAnsi="Arial"/>
                <w:sz w:val="11"/>
                <w:szCs w:val="11"/>
                <w:b w:val="1"/>
                <w:bCs w:val="1"/>
                <w:color w:val="auto"/>
              </w:rPr>
              <w:t xml:space="preserve">and equity investments </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October 1, 2011</w:t>
            </w: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89,329,379</w:t>
            </w: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18,206,115</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107,535,494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440"/>
              <w:spacing w:after="0"/>
              <w:rPr>
                <w:sz w:val="20"/>
                <w:szCs w:val="20"/>
                <w:color w:val="auto"/>
              </w:rPr>
            </w:pPr>
            <w:r>
              <w:rPr>
                <w:rFonts w:ascii="Arial" w:cs="Arial" w:eastAsia="Arial" w:hAnsi="Arial"/>
                <w:sz w:val="18"/>
                <w:szCs w:val="18"/>
                <w:color w:val="auto"/>
              </w:rPr>
              <w:t>Realized gains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460,977</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160,181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621,158</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1,687,829</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804,825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2,492,654</w:t>
            </w:r>
          </w:p>
        </w:tc>
        <w:tc>
          <w:tcPr>
            <w:tcW w:w="0" w:type="dxa"/>
            <w:vAlign w:val="bottom"/>
          </w:tcPr>
          <w:p>
            <w:pPr>
              <w:spacing w:after="0"/>
              <w:rPr>
                <w:sz w:val="1"/>
                <w:szCs w:val="1"/>
                <w:color w:val="auto"/>
              </w:rPr>
            </w:pPr>
          </w:p>
        </w:tc>
      </w:tr>
      <w:tr>
        <w:trPr>
          <w:trHeight w:val="216"/>
        </w:trPr>
        <w:tc>
          <w:tcPr>
            <w:tcW w:w="666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90,634,426</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5,431,216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96,065,642</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(45,371,493)</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(9,603,105)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(54,974,598)</w:t>
            </w:r>
          </w:p>
        </w:tc>
        <w:tc>
          <w:tcPr>
            <w:tcW w:w="0" w:type="dxa"/>
            <w:vAlign w:val="bottom"/>
          </w:tcPr>
          <w:p>
            <w:pPr>
              <w:spacing w:after="0"/>
              <w:rPr>
                <w:sz w:val="1"/>
                <w:szCs w:val="1"/>
                <w:color w:val="auto"/>
              </w:rPr>
            </w:pPr>
          </w:p>
        </w:tc>
      </w:tr>
      <w:tr>
        <w:trPr>
          <w:trHeight w:val="216"/>
        </w:trPr>
        <w:tc>
          <w:tcPr>
            <w:tcW w:w="6660" w:type="dxa"/>
            <w:vAlign w:val="bottom"/>
            <w:gridSpan w:val="2"/>
          </w:tcPr>
          <w:p>
            <w:pPr>
              <w:ind w:left="440"/>
              <w:spacing w:after="0"/>
              <w:rPr>
                <w:sz w:val="20"/>
                <w:szCs w:val="20"/>
                <w:color w:val="auto"/>
              </w:rPr>
            </w:pPr>
            <w:r>
              <w:rPr>
                <w:rFonts w:ascii="Arial" w:cs="Arial" w:eastAsia="Arial" w:hAnsi="Arial"/>
                <w:sz w:val="18"/>
                <w:szCs w:val="18"/>
                <w:color w:val="auto"/>
              </w:rPr>
              <w:t>Transfers in and/or out of Level 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June 30, 2012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136,741,118</w:t>
            </w:r>
          </w:p>
        </w:tc>
        <w:tc>
          <w:tcPr>
            <w:tcW w:w="52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14,999,232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151,740,350</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w w:val="93"/>
              </w:rPr>
              <w:t>Net change in unrealized appreciation for the nine months ended June 30, 2012 reported</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w w:val="96"/>
              </w:rPr>
              <w:t>within the net change in unrealized appreciation on investments in our Consolidated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w w:val="97"/>
              </w:rPr>
              <w:t>Statement of Operations attributable to our Level 3 assets still held at the reporting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date.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2,168,199</w:t>
            </w:r>
          </w:p>
        </w:tc>
        <w:tc>
          <w:tcPr>
            <w:tcW w:w="520" w:type="dxa"/>
            <w:vAlign w:val="bottom"/>
            <w:gridSpan w:val="3"/>
          </w:tcPr>
          <w:p>
            <w:pPr>
              <w:jc w:val="right"/>
              <w:ind w:right="22"/>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807,232</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2,975,431</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(1)   As-adjusted to conform to current year presentation.</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11"/>
          </w:tcPr>
          <w:p>
            <w:pPr>
              <w:jc w:val="center"/>
              <w:ind w:right="220"/>
              <w:spacing w:after="0"/>
              <w:rPr>
                <w:sz w:val="20"/>
                <w:szCs w:val="20"/>
                <w:color w:val="auto"/>
              </w:rPr>
            </w:pPr>
            <w:r>
              <w:rPr>
                <w:rFonts w:ascii="Arial" w:cs="Arial" w:eastAsia="Arial" w:hAnsi="Arial"/>
                <w:sz w:val="13"/>
                <w:szCs w:val="13"/>
                <w:b w:val="1"/>
                <w:bCs w:val="1"/>
                <w:color w:val="auto"/>
                <w:w w:val="92"/>
              </w:rPr>
              <w:t>March 4, 2011 (commencement of operations) to</w:t>
            </w:r>
          </w:p>
        </w:tc>
        <w:tc>
          <w:tcPr>
            <w:tcW w:w="0" w:type="dxa"/>
            <w:vAlign w:val="bottom"/>
          </w:tcPr>
          <w:p>
            <w:pPr>
              <w:spacing w:after="0"/>
              <w:rPr>
                <w:sz w:val="1"/>
                <w:szCs w:val="1"/>
                <w:color w:val="auto"/>
              </w:rPr>
            </w:pPr>
          </w:p>
        </w:tc>
      </w:tr>
      <w:tr>
        <w:trPr>
          <w:trHeight w:val="161"/>
        </w:trPr>
        <w:tc>
          <w:tcPr>
            <w:tcW w:w="70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3"/>
                <w:szCs w:val="13"/>
                <w:b w:val="1"/>
                <w:bCs w:val="1"/>
                <w:color w:val="auto"/>
                <w:w w:val="92"/>
              </w:rPr>
              <w:t>June 30, 2011</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3"/>
          </w:tcPr>
          <w:p>
            <w:pPr>
              <w:jc w:val="center"/>
              <w:ind w:right="70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59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w w:val="91"/>
              </w:rPr>
              <w:t>subordinated debt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59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80"/>
              <w:spacing w:after="0" w:line="148" w:lineRule="exact"/>
              <w:rPr>
                <w:sz w:val="20"/>
                <w:szCs w:val="20"/>
                <w:color w:val="auto"/>
              </w:rPr>
            </w:pPr>
            <w:r>
              <w:rPr>
                <w:rFonts w:ascii="Arial" w:cs="Arial" w:eastAsia="Arial" w:hAnsi="Arial"/>
                <w:sz w:val="13"/>
                <w:szCs w:val="13"/>
                <w:b w:val="1"/>
                <w:bCs w:val="1"/>
                <w:color w:val="auto"/>
              </w:rPr>
              <w:t>First Lien</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4"/>
          </w:tcPr>
          <w:p>
            <w:pPr>
              <w:jc w:val="center"/>
              <w:ind w:right="580"/>
              <w:spacing w:after="0" w:line="148" w:lineRule="exact"/>
              <w:rPr>
                <w:sz w:val="20"/>
                <w:szCs w:val="20"/>
                <w:color w:val="auto"/>
              </w:rPr>
            </w:pPr>
            <w:r>
              <w:rPr>
                <w:rFonts w:ascii="Arial" w:cs="Arial" w:eastAsia="Arial" w:hAnsi="Arial"/>
                <w:sz w:val="13"/>
                <w:szCs w:val="13"/>
                <w:b w:val="1"/>
                <w:bCs w:val="1"/>
                <w:color w:val="auto"/>
                <w:w w:val="91"/>
              </w:rPr>
              <w:t>and equity investments</w:t>
            </w:r>
          </w:p>
        </w:tc>
        <w:tc>
          <w:tcPr>
            <w:tcW w:w="100" w:type="dxa"/>
            <w:vAlign w:val="bottom"/>
          </w:tcPr>
          <w:p>
            <w:pPr>
              <w:spacing w:after="0"/>
              <w:rPr>
                <w:sz w:val="14"/>
                <w:szCs w:val="14"/>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March 4, 2011</w:t>
            </w: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4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440"/>
              <w:spacing w:after="0"/>
              <w:rPr>
                <w:sz w:val="20"/>
                <w:szCs w:val="20"/>
                <w:color w:val="auto"/>
              </w:rPr>
            </w:pPr>
            <w:r>
              <w:rPr>
                <w:rFonts w:ascii="Arial" w:cs="Arial" w:eastAsia="Arial" w:hAnsi="Arial"/>
                <w:sz w:val="18"/>
                <w:szCs w:val="18"/>
                <w:color w:val="auto"/>
              </w:rPr>
              <w:t>Realized gains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218,137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73,496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291,633</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(86,138)</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(89,272)</w:t>
            </w:r>
          </w:p>
        </w:tc>
        <w:tc>
          <w:tcPr>
            <w:tcW w:w="0" w:type="dxa"/>
            <w:vAlign w:val="bottom"/>
          </w:tcPr>
          <w:p>
            <w:pPr>
              <w:spacing w:after="0"/>
              <w:rPr>
                <w:sz w:val="1"/>
                <w:szCs w:val="1"/>
                <w:color w:val="auto"/>
              </w:rPr>
            </w:pPr>
          </w:p>
        </w:tc>
      </w:tr>
      <w:tr>
        <w:trPr>
          <w:trHeight w:val="216"/>
        </w:trPr>
        <w:tc>
          <w:tcPr>
            <w:tcW w:w="666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w w:val="95"/>
              </w:rPr>
              <w:t>100,325,208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12,375,263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112,700,471</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(25,278,175)</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(2,546,250)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(27,824,425)</w:t>
            </w:r>
          </w:p>
        </w:tc>
        <w:tc>
          <w:tcPr>
            <w:tcW w:w="0" w:type="dxa"/>
            <w:vAlign w:val="bottom"/>
          </w:tcPr>
          <w:p>
            <w:pPr>
              <w:spacing w:after="0"/>
              <w:rPr>
                <w:sz w:val="1"/>
                <w:szCs w:val="1"/>
                <w:color w:val="auto"/>
              </w:rPr>
            </w:pPr>
          </w:p>
        </w:tc>
      </w:tr>
      <w:tr>
        <w:trPr>
          <w:trHeight w:val="216"/>
        </w:trPr>
        <w:tc>
          <w:tcPr>
            <w:tcW w:w="6660" w:type="dxa"/>
            <w:vAlign w:val="bottom"/>
            <w:gridSpan w:val="2"/>
          </w:tcPr>
          <w:p>
            <w:pPr>
              <w:ind w:left="440"/>
              <w:spacing w:after="0"/>
              <w:rPr>
                <w:sz w:val="20"/>
                <w:szCs w:val="20"/>
                <w:color w:val="auto"/>
              </w:rPr>
            </w:pPr>
            <w:r>
              <w:rPr>
                <w:rFonts w:ascii="Arial" w:cs="Arial" w:eastAsia="Arial" w:hAnsi="Arial"/>
                <w:sz w:val="18"/>
                <w:szCs w:val="18"/>
                <w:color w:val="auto"/>
              </w:rPr>
              <w:t>Transfers in and/or out of Level 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June 30, 2011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75,179,032</w:t>
            </w:r>
          </w:p>
        </w:tc>
        <w:tc>
          <w:tcPr>
            <w:tcW w:w="18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9,899,375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85,078,407</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w w:val="97"/>
              </w:rPr>
              <w:t>Net change in unrealized appreciation (depreciation) for the period reported within the</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w w:val="95"/>
              </w:rPr>
              <w:t>net change in unrealized depreciation on investments in our Consolidated Statement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of Operations attributable to our Level 3 assets still held at the reporting date.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(86,138)</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(3,134)</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(89,272)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898"/>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 for the nine months ended June 30, 2012. There were no temporary draws outstanding.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gridSpan w:val="6"/>
          </w:tcPr>
          <w:p>
            <w:pPr>
              <w:jc w:val="center"/>
              <w:ind w:left="2714"/>
              <w:spacing w:after="0"/>
              <w:rPr>
                <w:sz w:val="20"/>
                <w:szCs w:val="20"/>
                <w:color w:val="auto"/>
              </w:rPr>
            </w:pPr>
            <w:r>
              <w:rPr>
                <w:rFonts w:ascii="Arial" w:cs="Arial" w:eastAsia="Arial" w:hAnsi="Arial"/>
                <w:sz w:val="18"/>
                <w:szCs w:val="18"/>
                <w:b w:val="1"/>
                <w:bCs w:val="1"/>
                <w:color w:val="auto"/>
                <w:w w:val="97"/>
              </w:rPr>
              <w:t>PENNANTPARK FLOATING RATE CAPITAL LTD. AND SUBSIDIARY</w:t>
            </w:r>
          </w:p>
        </w:tc>
        <w:tc>
          <w:tcPr>
            <w:tcW w:w="0" w:type="dxa"/>
            <w:vAlign w:val="bottom"/>
          </w:tcPr>
          <w:p>
            <w:pPr>
              <w:spacing w:after="0"/>
              <w:rPr>
                <w:sz w:val="1"/>
                <w:szCs w:val="1"/>
                <w:color w:val="auto"/>
              </w:rPr>
            </w:pPr>
          </w:p>
        </w:tc>
      </w:tr>
      <w:tr>
        <w:trPr>
          <w:trHeight w:val="216"/>
        </w:trPr>
        <w:tc>
          <w:tcPr>
            <w:tcW w:w="8460" w:type="dxa"/>
            <w:vAlign w:val="bottom"/>
            <w:gridSpan w:val="6"/>
          </w:tcPr>
          <w:p>
            <w:pPr>
              <w:jc w:val="center"/>
              <w:ind w:left="2694"/>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3760" w:type="dxa"/>
            <w:vAlign w:val="bottom"/>
            <w:gridSpan w:val="5"/>
          </w:tcPr>
          <w:p>
            <w:pPr>
              <w:jc w:val="center"/>
              <w:ind w:right="1920"/>
              <w:spacing w:after="0"/>
              <w:rPr>
                <w:sz w:val="20"/>
                <w:szCs w:val="20"/>
                <w:color w:val="auto"/>
              </w:rPr>
            </w:pPr>
            <w:r>
              <w:rPr>
                <w:rFonts w:ascii="Arial" w:cs="Arial" w:eastAsia="Arial" w:hAnsi="Arial"/>
                <w:sz w:val="18"/>
                <w:szCs w:val="18"/>
                <w:b w:val="1"/>
                <w:bCs w:val="1"/>
                <w:color w:val="auto"/>
                <w:w w:val="90"/>
              </w:rPr>
              <w:t>JUNE 30, 2012</w:t>
            </w: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376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89"/>
              </w:rPr>
              <w:t>(Unaudited)</w:t>
            </w:r>
          </w:p>
        </w:tc>
        <w:tc>
          <w:tcPr>
            <w:tcW w:w="0" w:type="dxa"/>
            <w:vAlign w:val="bottom"/>
          </w:tcPr>
          <w:p>
            <w:pPr>
              <w:spacing w:after="0"/>
              <w:rPr>
                <w:sz w:val="1"/>
                <w:szCs w:val="1"/>
                <w:color w:val="auto"/>
              </w:rPr>
            </w:pPr>
          </w:p>
        </w:tc>
      </w:tr>
      <w:tr>
        <w:trPr>
          <w:trHeight w:val="365"/>
        </w:trPr>
        <w:tc>
          <w:tcPr>
            <w:tcW w:w="4700" w:type="dxa"/>
            <w:vAlign w:val="bottom"/>
          </w:tcPr>
          <w:p>
            <w:pPr>
              <w:spacing w:after="0"/>
              <w:rPr>
                <w:sz w:val="20"/>
                <w:szCs w:val="20"/>
                <w:color w:val="auto"/>
              </w:rPr>
            </w:pPr>
            <w:r>
              <w:rPr>
                <w:rFonts w:ascii="Arial" w:cs="Arial" w:eastAsia="Arial" w:hAnsi="Arial"/>
                <w:sz w:val="18"/>
                <w:szCs w:val="18"/>
                <w:b w:val="1"/>
                <w:bCs w:val="1"/>
                <w:color w:val="auto"/>
              </w:rPr>
              <w:t>Nine Months Ended June 30, 2012</w:t>
            </w: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Carrying /</w:t>
            </w:r>
          </w:p>
        </w:tc>
        <w:tc>
          <w:tcPr>
            <w:tcW w:w="0" w:type="dxa"/>
            <w:vAlign w:val="bottom"/>
          </w:tcPr>
          <w:p>
            <w:pPr>
              <w:spacing w:after="0"/>
              <w:rPr>
                <w:sz w:val="1"/>
                <w:szCs w:val="1"/>
                <w:color w:val="auto"/>
              </w:rPr>
            </w:pPr>
          </w:p>
        </w:tc>
      </w:tr>
      <w:tr>
        <w:trPr>
          <w:trHeight w:val="138"/>
        </w:trPr>
        <w:tc>
          <w:tcPr>
            <w:tcW w:w="47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20"/>
                <w:szCs w:val="20"/>
                <w:color w:val="auto"/>
              </w:rPr>
            </w:pPr>
            <w:r>
              <w:rPr>
                <w:rFonts w:ascii="Arial" w:cs="Arial" w:eastAsia="Arial" w:hAnsi="Arial"/>
                <w:sz w:val="13"/>
                <w:szCs w:val="13"/>
                <w:b w:val="1"/>
                <w:bCs w:val="1"/>
                <w:color w:val="auto"/>
              </w:rPr>
              <w:t>Long-Term Credit Facility</w:t>
            </w: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3"/>
          </w:tcPr>
          <w:p>
            <w:pPr>
              <w:ind w:left="1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Beginning Balance, September 30, 2011 (cost – $24,650,000)</w:t>
            </w:r>
          </w:p>
        </w:tc>
        <w:tc>
          <w:tcPr>
            <w:tcW w:w="1900" w:type="dxa"/>
            <w:vAlign w:val="bottom"/>
            <w:tcBorders>
              <w:top w:val="single" w:sz="8" w:color="CCEEFF"/>
            </w:tcBorders>
            <w:gridSpan w:val="2"/>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$ 24,650,000</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Total unrealized depreciation included in earnings</w:t>
            </w:r>
          </w:p>
        </w:tc>
        <w:tc>
          <w:tcPr>
            <w:tcW w:w="2940" w:type="dxa"/>
            <w:vAlign w:val="bottom"/>
            <w:gridSpan w:val="4"/>
          </w:tcPr>
          <w:p>
            <w:pPr>
              <w:jc w:val="right"/>
              <w:ind w:right="60"/>
              <w:spacing w:after="0"/>
              <w:rPr>
                <w:sz w:val="20"/>
                <w:szCs w:val="20"/>
                <w:color w:val="auto"/>
              </w:rPr>
            </w:pPr>
            <w:r>
              <w:rPr>
                <w:rFonts w:ascii="Arial" w:cs="Arial" w:eastAsia="Arial" w:hAnsi="Arial"/>
                <w:sz w:val="18"/>
                <w:szCs w:val="18"/>
                <w:color w:val="auto"/>
              </w:rPr>
              <w:t>(272,000)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2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71,450,000</w:t>
            </w:r>
          </w:p>
        </w:tc>
        <w:tc>
          <w:tcPr>
            <w:tcW w:w="12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2940" w:type="dxa"/>
            <w:vAlign w:val="bottom"/>
            <w:gridSpan w:val="4"/>
          </w:tcPr>
          <w:p>
            <w:pPr>
              <w:jc w:val="right"/>
              <w:ind w:right="60"/>
              <w:spacing w:after="0"/>
              <w:rPr>
                <w:sz w:val="20"/>
                <w:szCs w:val="20"/>
                <w:color w:val="auto"/>
              </w:rPr>
            </w:pPr>
            <w:r>
              <w:rPr>
                <w:rFonts w:ascii="Arial" w:cs="Arial" w:eastAsia="Arial" w:hAnsi="Arial"/>
                <w:sz w:val="18"/>
                <w:szCs w:val="18"/>
                <w:color w:val="auto"/>
              </w:rPr>
              <w:t>(41,700,000)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Ending Balance, June 30, 2012 (cost – $54,400,000)</w:t>
            </w: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vMerge w:val="continue"/>
          </w:tcPr>
          <w:p>
            <w:pPr>
              <w:spacing w:after="0"/>
              <w:rPr>
                <w:sz w:val="19"/>
                <w:szCs w:val="19"/>
                <w:color w:val="auto"/>
              </w:rPr>
            </w:pP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$ 54,128,000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non-recurring expenses of $0.3 million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nine months ended June 30, 2012, the Credit Facility had a net change in unrealized appreciation of less than $0.1 million and $0.3 million, respectively. As of June 30, 2012 and September 30, 2011, the Credit Facility had unrealized appreciation of $0.3 million and zero, respectively. We use a nationally recognized independent valuation service to measure the fair value of the Credit Facility in a manner consistent with the valuation process that the board of directors uses to value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20" w:type="dxa"/>
            <w:vAlign w:val="bottom"/>
            <w:gridSpan w:val="3"/>
          </w:tcPr>
          <w:p>
            <w:pPr>
              <w:spacing w:after="0"/>
              <w:rPr>
                <w:sz w:val="20"/>
                <w:szCs w:val="20"/>
                <w:color w:val="auto"/>
              </w:rPr>
            </w:pPr>
            <w:r>
              <w:rPr>
                <w:rFonts w:ascii="Arial" w:cs="Arial" w:eastAsia="Arial" w:hAnsi="Arial"/>
                <w:sz w:val="13"/>
                <w:szCs w:val="13"/>
                <w:b w:val="1"/>
                <w:bCs w:val="1"/>
                <w:color w:val="auto"/>
              </w:rPr>
              <w:t>For the period from March 4, 2011</w:t>
            </w:r>
          </w:p>
        </w:tc>
      </w:tr>
      <w:tr>
        <w:trPr>
          <w:trHeight w:val="134"/>
        </w:trPr>
        <w:tc>
          <w:tcPr>
            <w:tcW w:w="9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4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94"/>
              </w:rPr>
              <w:t>Three Months Ended</w:t>
            </w:r>
          </w:p>
        </w:tc>
        <w:tc>
          <w:tcPr>
            <w:tcW w:w="46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93"/>
              </w:rPr>
              <w:t>Nine Months Ended</w:t>
            </w:r>
          </w:p>
        </w:tc>
        <w:tc>
          <w:tcPr>
            <w:tcW w:w="460" w:type="dxa"/>
            <w:vAlign w:val="bottom"/>
          </w:tcPr>
          <w:p>
            <w:pPr>
              <w:spacing w:after="0"/>
              <w:rPr>
                <w:sz w:val="11"/>
                <w:szCs w:val="11"/>
                <w:color w:val="auto"/>
              </w:rPr>
            </w:pPr>
          </w:p>
        </w:tc>
        <w:tc>
          <w:tcPr>
            <w:tcW w:w="2120" w:type="dxa"/>
            <w:vAlign w:val="bottom"/>
            <w:gridSpan w:val="3"/>
          </w:tcPr>
          <w:p>
            <w:pPr>
              <w:spacing w:after="0" w:line="134" w:lineRule="exact"/>
              <w:rPr>
                <w:sz w:val="20"/>
                <w:szCs w:val="20"/>
                <w:color w:val="auto"/>
              </w:rPr>
            </w:pPr>
            <w:r>
              <w:rPr>
                <w:rFonts w:ascii="Arial" w:cs="Arial" w:eastAsia="Arial" w:hAnsi="Arial"/>
                <w:sz w:val="13"/>
                <w:szCs w:val="13"/>
                <w:b w:val="1"/>
                <w:bCs w:val="1"/>
                <w:color w:val="auto"/>
                <w:w w:val="98"/>
              </w:rPr>
              <w:t>(Commencement of Operations) to</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Class and Year</w:t>
            </w:r>
          </w:p>
        </w:tc>
        <w:tc>
          <w:tcPr>
            <w:tcW w:w="4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37"/>
              <w:spacing w:after="0"/>
              <w:rPr>
                <w:sz w:val="20"/>
                <w:szCs w:val="20"/>
                <w:color w:val="auto"/>
              </w:rPr>
            </w:pPr>
            <w:r>
              <w:rPr>
                <w:rFonts w:ascii="Arial" w:cs="Arial" w:eastAsia="Arial" w:hAnsi="Arial"/>
                <w:sz w:val="13"/>
                <w:szCs w:val="13"/>
                <w:b w:val="1"/>
                <w:bCs w:val="1"/>
                <w:color w:val="auto"/>
                <w:w w:val="99"/>
              </w:rPr>
              <w:t>June 30, 2012</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b w:val="1"/>
                <w:bCs w:val="1"/>
                <w:color w:val="auto"/>
                <w:w w:val="99"/>
              </w:rPr>
              <w:t>June 30, 2012</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2"/>
          </w:tcPr>
          <w:p>
            <w:pPr>
              <w:jc w:val="right"/>
              <w:ind w:right="680"/>
              <w:spacing w:after="0" w:line="162" w:lineRule="exact"/>
              <w:rPr>
                <w:sz w:val="20"/>
                <w:szCs w:val="20"/>
                <w:color w:val="auto"/>
              </w:rPr>
            </w:pPr>
            <w:r>
              <w:rPr>
                <w:rFonts w:ascii="Arial" w:cs="Arial" w:eastAsia="Arial" w:hAnsi="Arial"/>
                <w:sz w:val="11"/>
                <w:szCs w:val="11"/>
                <w:b w:val="1"/>
                <w:bCs w:val="1"/>
                <w:color w:val="auto"/>
              </w:rPr>
              <w:t xml:space="preserve">June 30, 2011 </w:t>
            </w:r>
            <w:r>
              <w:rPr>
                <w:rFonts w:ascii="Arial" w:cs="Arial" w:eastAsia="Arial" w:hAnsi="Arial"/>
                <w:sz w:val="18"/>
                <w:szCs w:val="18"/>
                <w:b w:val="1"/>
                <w:bCs w:val="1"/>
                <w:color w:val="auto"/>
                <w:vertAlign w:val="superscript"/>
              </w:rPr>
              <w:t>*</w:t>
            </w:r>
          </w:p>
        </w:tc>
      </w:tr>
      <w:tr>
        <w:trPr>
          <w:trHeight w:val="181"/>
        </w:trPr>
        <w:tc>
          <w:tcPr>
            <w:tcW w:w="52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9"/>
              </w:rPr>
              <w:t>Numerator for net increase (decrease) in net assets resulting from</w:t>
            </w: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24"/>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387,407</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8,017,647</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(663,981)</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6,850,667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6,850,667</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6,797,502</w:t>
            </w:r>
          </w:p>
        </w:tc>
      </w:tr>
      <w:tr>
        <w:trPr>
          <w:trHeight w:val="208"/>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resulting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Weighted average shares is based on the initial public offering issuance date of April 13,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June 30, 2012 and September 30, 2011, cash equivalents consisted of $3.3 million and $7.0 million, respectively, including amounts in money market funds.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45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96"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Our net assets and net asset value per share on June 30, 2012 and June 30, 2011 were $95.5 million and $13.94 per share and $96.3 million and $14.06 per share, respectively. Below are the financial highlights for the nine months ended June 30, 2012 and the period from March 4, 2011 (Commencement of Operations) to June 30, 2011.</w:t>
      </w:r>
    </w:p>
    <w:p>
      <w:pPr>
        <w:spacing w:after="0" w:line="175"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8"/>
              </w:rPr>
              <w:t>For the period from</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5"/>
              </w:rPr>
              <w:t>March 04, 2011</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3"/>
          </w:tcPr>
          <w:p>
            <w:pPr>
              <w:spacing w:after="0"/>
              <w:rPr>
                <w:sz w:val="20"/>
                <w:szCs w:val="20"/>
                <w:color w:val="auto"/>
              </w:rPr>
            </w:pPr>
            <w:r>
              <w:rPr>
                <w:rFonts w:ascii="Arial" w:cs="Arial" w:eastAsia="Arial" w:hAnsi="Arial"/>
                <w:sz w:val="13"/>
                <w:szCs w:val="13"/>
                <w:b w:val="1"/>
                <w:bCs w:val="1"/>
                <w:color w:val="auto"/>
              </w:rPr>
              <w:t>Nine Months Ended</w:t>
            </w:r>
          </w:p>
        </w:tc>
        <w:tc>
          <w:tcPr>
            <w:tcW w:w="280" w:type="dxa"/>
            <w:vAlign w:val="bottom"/>
          </w:tcPr>
          <w:p>
            <w:pPr>
              <w:spacing w:after="0"/>
              <w:rPr>
                <w:sz w:val="12"/>
                <w:szCs w:val="12"/>
                <w:color w:val="auto"/>
              </w:rPr>
            </w:pPr>
          </w:p>
        </w:tc>
        <w:tc>
          <w:tcPr>
            <w:tcW w:w="21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(Commencement of Operations)</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9"/>
              </w:rPr>
              <w:t>June 30, 2012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1"/>
              </w:rPr>
              <w:t>to June 30, 2011</w:t>
            </w: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13.44</w:t>
            </w:r>
          </w:p>
        </w:tc>
        <w:tc>
          <w:tcPr>
            <w:tcW w:w="44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Net change in realized and unrealized gain</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 xml:space="preserve">Dividends to stockholders </w:t>
            </w:r>
            <w:r>
              <w:rPr>
                <w:rFonts w:ascii="Arial" w:cs="Arial" w:eastAsia="Arial" w:hAnsi="Arial"/>
                <w:sz w:val="11"/>
                <w:szCs w:val="11"/>
                <w:color w:val="auto"/>
              </w:rPr>
              <w:t>(2)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(0.67)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(Dilutive) effect of offering costs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vMerge w:val="continue"/>
          </w:tcPr>
          <w:p>
            <w:pPr>
              <w:spacing w:after="0"/>
              <w:rPr>
                <w:sz w:val="19"/>
                <w:szCs w:val="19"/>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11.90</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12.69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1"/>
                <w:szCs w:val="11"/>
                <w:color w:val="auto"/>
              </w:rPr>
              <w:t>(3)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6,850,667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6,850,667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 **</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2"/>
              </w:rPr>
              <w:t>Ratio of Credit Facility related interest and expenses to average net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5.41%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(loss) to average net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95,499,807</w:t>
            </w:r>
          </w:p>
        </w:tc>
        <w:tc>
          <w:tcPr>
            <w:tcW w:w="44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96,303,539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40,176,277</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Average debt per share</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5.86</w:t>
            </w:r>
          </w:p>
        </w:tc>
        <w:tc>
          <w:tcPr>
            <w:tcW w:w="44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right="7560" w:firstLine="8"/>
        <w:spacing w:after="0" w:line="274" w:lineRule="auto"/>
        <w:tabs>
          <w:tab w:leader="none" w:pos="445"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line="222"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Per share data are calculated based on the weighted average shares outstanding for the period except for net asset value.</w:t>
      </w:r>
    </w:p>
    <w:p>
      <w:pPr>
        <w:spacing w:after="0" w:line="7" w:lineRule="exact"/>
        <w:rPr>
          <w:rFonts w:ascii="Arial" w:cs="Arial" w:eastAsia="Arial" w:hAnsi="Arial"/>
          <w:sz w:val="22"/>
          <w:szCs w:val="22"/>
          <w:color w:val="auto"/>
          <w:vertAlign w:val="superscript"/>
        </w:rPr>
      </w:pPr>
    </w:p>
    <w:p>
      <w:pPr>
        <w:ind w:left="460" w:right="520" w:hanging="452"/>
        <w:spacing w:after="0" w:line="221"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GAAP.</w:t>
      </w:r>
    </w:p>
    <w:p>
      <w:pPr>
        <w:ind w:left="460" w:right="260" w:hanging="452"/>
        <w:spacing w:after="0" w:line="225"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60" w:right="274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96"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On June 23, 2011, Funding I entered into a five-year Credit Facility with affiliates of SunTrust Bank, or the Lender, an asset-backed commercial paper conduit administered by SunTrust Robinson Humphrey, Inc. On May 14, 2012, Funding I amended and restated the Credit Facility to extend the maturity date to May 2017 and reinvestment period to May 2015 to increase the availability under the Credit Facility. The Credit Facility allows Funding I to borrow up to $100.0 million and contains an accordion feature whereby the Credit Facility can be expanded to $600.0 million, subject to satisfaction of certain conditions. As of June 30, 2012 and September 30, 2011, Funding I had $54.4 million and $24.7 million of outstanding borrowings under the Credit Facility and carried an interest rate of 2.72% and 2.53%, in each case, excluding the 0.50% undrawn commitment fee, respectively. Funding I had approximately $41.1 available under the Credit Facility at June 30, 2012.</w:t>
      </w:r>
    </w:p>
    <w:p>
      <w:pPr>
        <w:spacing w:after="0" w:line="118" w:lineRule="exact"/>
        <w:rPr>
          <w:sz w:val="20"/>
          <w:szCs w:val="20"/>
          <w:color w:val="auto"/>
        </w:rPr>
      </w:pPr>
    </w:p>
    <w:p>
      <w:pPr>
        <w:ind w:right="100" w:firstLine="898"/>
        <w:spacing w:after="0" w:line="298" w:lineRule="auto"/>
        <w:rPr>
          <w:sz w:val="20"/>
          <w:szCs w:val="20"/>
          <w:color w:val="auto"/>
        </w:rPr>
      </w:pPr>
      <w:r>
        <w:rPr>
          <w:rFonts w:ascii="Arial" w:cs="Arial" w:eastAsia="Arial" w:hAnsi="Arial"/>
          <w:sz w:val="16"/>
          <w:szCs w:val="16"/>
          <w:color w:val="auto"/>
        </w:rPr>
        <w:t>During the three years beginning on May 14, 2012, or the revolving period, the Credit Facility bears interest at LIBOR plus 225 basis points and, after the revolving period, the rate sets to LIBOR plus 425 basis points for the remaining two years, maturing on May 14,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2" w:lineRule="exact"/>
        <w:rPr>
          <w:sz w:val="20"/>
          <w:szCs w:val="20"/>
          <w:color w:val="auto"/>
        </w:rPr>
      </w:pPr>
    </w:p>
    <w:p>
      <w:pPr>
        <w:ind w:right="20" w:firstLine="898"/>
        <w:spacing w:after="0" w:line="290"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 For a complete list of such covenants, see the amended and restated revolving credit and security agreement included as an exhibit to this filing. As of June 30, 2012, we were in compliance with the covenants relating to our Credit Facility.</w:t>
      </w:r>
    </w:p>
    <w:p>
      <w:pPr>
        <w:spacing w:after="0" w:line="118" w:lineRule="exact"/>
        <w:rPr>
          <w:sz w:val="20"/>
          <w:szCs w:val="20"/>
          <w:color w:val="auto"/>
        </w:rPr>
      </w:pPr>
    </w:p>
    <w:p>
      <w:pPr>
        <w:ind w:right="80" w:firstLine="898"/>
        <w:spacing w:after="0" w:line="291" w:lineRule="auto"/>
        <w:rPr>
          <w:sz w:val="20"/>
          <w:szCs w:val="20"/>
          <w:color w:val="auto"/>
        </w:rPr>
      </w:pPr>
      <w:r>
        <w:rPr>
          <w:rFonts w:ascii="Arial" w:cs="Arial" w:eastAsia="Arial" w:hAnsi="Arial"/>
          <w:sz w:val="16"/>
          <w:szCs w:val="16"/>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restricts the Investment Adviser’s ability to sell investments. As a result, there may be times or circumstances during which the Investment Adviser is unable to sell investments or take other actions that may be in our best interests.</w:t>
      </w:r>
    </w:p>
    <w:p>
      <w:pPr>
        <w:spacing w:after="0" w:line="120" w:lineRule="exact"/>
        <w:rPr>
          <w:sz w:val="20"/>
          <w:szCs w:val="20"/>
          <w:color w:val="auto"/>
        </w:rPr>
      </w:pPr>
    </w:p>
    <w:p>
      <w:pPr>
        <w:ind w:right="120" w:firstLine="898"/>
        <w:spacing w:after="0" w:line="284" w:lineRule="auto"/>
        <w:rPr>
          <w:sz w:val="20"/>
          <w:szCs w:val="20"/>
          <w:color w:val="auto"/>
        </w:rPr>
      </w:pPr>
      <w:r>
        <w:rPr>
          <w:rFonts w:ascii="Arial" w:cs="Arial" w:eastAsia="Arial" w:hAnsi="Arial"/>
          <w:sz w:val="16"/>
          <w:szCs w:val="16"/>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w:t>
      </w:r>
    </w:p>
    <w:p>
      <w:pPr>
        <w:spacing w:after="0" w:line="1" w:lineRule="exact"/>
        <w:rPr>
          <w:sz w:val="20"/>
          <w:szCs w:val="20"/>
          <w:color w:val="auto"/>
        </w:rPr>
      </w:pPr>
    </w:p>
    <w:p>
      <w:pPr>
        <w:ind w:firstLine="8"/>
        <w:spacing w:after="0" w:line="260"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280" w:firstLine="898"/>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described in the Consolidated Statement of Assets and Liabilities represent unfunded delayed draws on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45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We have reviewed the accompanying consolidated statement of assets and liabilities of PennantPark Floating Rate Capital Ltd. and its Subsidiary (collectively referred to as the “Company”), including the consolidated schedule of investments, as of June 30, 2012, the consolidated statements of operations for the three and nine months ended June 30, 2012, and the period from March 4, 2011 (Commencement of Operations) through June 30, 2011 and the changes in net assets and cash flows for the nine months ended June 30, 2012 and the period from March 4, 2011 (Commencement of Operations) through June 30, 2011. These interim consolidated financial statements are the responsibility of the Company’s management.</w:t>
      </w:r>
    </w:p>
    <w:p>
      <w:pPr>
        <w:spacing w:after="0" w:line="115"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ind w:right="400" w:firstLine="898"/>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120" w:firstLine="898"/>
        <w:spacing w:after="0" w:line="298"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the Company, including the consolidated schedule of investments, as of September 30, 2011, and the consolidated statement of operations, changes in net assets, and cash flows for the period March 4, 2011 (commencement of operations) to September 30, 2011; and in our report dated November 17, 2011, we expressed an unqualified opinion on those consolidated financial statements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668655"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8655" cy="12001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9, 2012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32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jc w:val="both"/>
        <w:ind w:right="160" w:firstLine="898"/>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40"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2"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statements made in periodic reports we file under the Exchange Act.</w:t>
      </w:r>
    </w:p>
    <w:p>
      <w:pPr>
        <w:spacing w:after="0" w:line="140" w:lineRule="exact"/>
        <w:rPr>
          <w:sz w:val="20"/>
          <w:szCs w:val="20"/>
          <w:color w:val="auto"/>
        </w:rPr>
      </w:pPr>
    </w:p>
    <w:p>
      <w:pPr>
        <w:ind w:right="680" w:firstLine="898"/>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80" w:firstLine="898"/>
        <w:spacing w:after="0" w:line="298" w:lineRule="auto"/>
        <w:rPr>
          <w:sz w:val="20"/>
          <w:szCs w:val="20"/>
          <w:color w:val="auto"/>
        </w:rPr>
      </w:pPr>
      <w:r>
        <w:rPr>
          <w:rFonts w:ascii="Arial" w:cs="Arial" w:eastAsia="Arial" w:hAnsi="Arial"/>
          <w:sz w:val="16"/>
          <w:szCs w:val="16"/>
          <w:color w:val="auto"/>
        </w:rPr>
        <w:t>PennantPark Floating Rate Capital Ltd. is a business development company, or BDC, whose objectives are to generate current income and capital appreciation by investing primarily in Floating Rate Loans and other investments made to U.S. middle-market private companies. Floating Rate Loans or variable-rate investments are investments that pay interest at variable rates, which are determined periodically, on the basis of a floating base lending rate such as the London Interbank Offered Rate, or LIBOR, with or without a floor plus a fixed spread.</w:t>
      </w:r>
    </w:p>
    <w:p>
      <w:pPr>
        <w:spacing w:after="0" w:line="112" w:lineRule="exact"/>
        <w:rPr>
          <w:sz w:val="20"/>
          <w:szCs w:val="20"/>
          <w:color w:val="auto"/>
        </w:rPr>
      </w:pPr>
    </w:p>
    <w:p>
      <w:pPr>
        <w:ind w:right="60" w:firstLine="898"/>
        <w:spacing w:after="0" w:line="287" w:lineRule="auto"/>
        <w:rPr>
          <w:sz w:val="20"/>
          <w:szCs w:val="20"/>
          <w:color w:val="auto"/>
        </w:rPr>
      </w:pPr>
      <w:r>
        <w:rPr>
          <w:rFonts w:ascii="Arial" w:cs="Arial" w:eastAsia="Arial" w:hAnsi="Arial"/>
          <w:sz w:val="16"/>
          <w:szCs w:val="16"/>
          <w:color w:val="auto"/>
        </w:rPr>
        <w:t>We believe that Floating Rate Loans to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2" w:lineRule="exact"/>
        <w:rPr>
          <w:sz w:val="20"/>
          <w:szCs w:val="20"/>
          <w:color w:val="auto"/>
        </w:rPr>
      </w:pPr>
    </w:p>
    <w:p>
      <w:pPr>
        <w:ind w:right="60" w:firstLine="898"/>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net assets plus borrowings for investment purposes, will be invested in Floating Rate Loans and other investments bearing a variable 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range between $1 million and $10 million, on average, although we expect that this investment size will vary proportionately with the size of our capital base.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Floating Rate Capital Ltd.</w:t>
      </w:r>
    </w:p>
    <w:p>
      <w:pPr>
        <w:spacing w:after="0" w:line="90"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PennantPark Floating Rate Capital Ltd., a Maryland corporation organized on October 28, 2010, is a closed-end, externally managed, non-diversified investment company that has elected to be treated as a BDC under the Investment Company Act of 1940, as amended, or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elected to be treated, and intend to qualify annually, as a regulated investment company, or RIC, under the Internal Revenue Code of 1986, as amended, or the Code.</w:t>
      </w:r>
    </w:p>
    <w:p>
      <w:pPr>
        <w:spacing w:after="0" w:line="120" w:lineRule="exact"/>
        <w:rPr>
          <w:sz w:val="20"/>
          <w:szCs w:val="20"/>
          <w:color w:val="auto"/>
        </w:rPr>
      </w:pPr>
    </w:p>
    <w:p>
      <w:pPr>
        <w:ind w:right="240" w:firstLine="898"/>
        <w:spacing w:after="0" w:line="253" w:lineRule="auto"/>
        <w:rPr>
          <w:sz w:val="20"/>
          <w:szCs w:val="20"/>
          <w:color w:val="auto"/>
        </w:rPr>
      </w:pPr>
      <w:r>
        <w:rPr>
          <w:rFonts w:ascii="Arial" w:cs="Arial" w:eastAsia="Arial" w:hAnsi="Arial"/>
          <w:sz w:val="18"/>
          <w:szCs w:val="18"/>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180" w:firstLine="898"/>
        <w:spacing w:after="0" w:line="310" w:lineRule="auto"/>
        <w:rPr>
          <w:sz w:val="20"/>
          <w:szCs w:val="20"/>
          <w:color w:val="auto"/>
        </w:rPr>
      </w:pPr>
      <w:r>
        <w:rPr>
          <w:rFonts w:ascii="Arial" w:cs="Arial" w:eastAsia="Arial" w:hAnsi="Arial"/>
          <w:sz w:val="15"/>
          <w:szCs w:val="15"/>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payment-in-kind, or PIK, interest.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00" w:firstLine="898"/>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direct or indirect costs and expenses of our operations and transactions, including:</w:t>
      </w:r>
    </w:p>
    <w:p>
      <w:pPr>
        <w:spacing w:after="0" w:line="31" w:lineRule="exact"/>
        <w:rPr>
          <w:sz w:val="20"/>
          <w:szCs w:val="20"/>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1440" w:right="200" w:hanging="433"/>
        <w:spacing w:after="0" w:line="268" w:lineRule="auto"/>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440" w:hanging="433"/>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jc w:val="both"/>
        <w:ind w:left="1440" w:right="100" w:hanging="433"/>
        <w:spacing w:after="0" w:line="298" w:lineRule="auto"/>
        <w:tabs>
          <w:tab w:leader="none" w:pos="1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2" w:lineRule="exact"/>
        <w:rPr>
          <w:sz w:val="20"/>
          <w:szCs w:val="20"/>
          <w:color w:val="auto"/>
        </w:rPr>
      </w:pPr>
    </w:p>
    <w:p>
      <w:pPr>
        <w:ind w:right="140" w:firstLine="898"/>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0" w:firstLine="898"/>
        <w:spacing w:after="0" w:line="317" w:lineRule="auto"/>
        <w:rPr>
          <w:sz w:val="20"/>
          <w:szCs w:val="20"/>
          <w:color w:val="auto"/>
        </w:rPr>
      </w:pPr>
      <w:r>
        <w:rPr>
          <w:rFonts w:ascii="Arial" w:cs="Arial" w:eastAsia="Arial" w:hAnsi="Arial"/>
          <w:sz w:val="15"/>
          <w:szCs w:val="15"/>
          <w:color w:val="auto"/>
        </w:rPr>
        <w:t>As of June 30, 2012, our portfolio totaled $155.0 million and consisted of $136.8 million of senior secured loans, $7.1 million of second lien secured debt and $11.1 million of subordinated debt and preferred and common equity investments. Our portfolio consisted of 86% variable-rate investments (including 82% with a LIBOR or prime floor) and 14% fixed-rate investments. Overall, the portfolio had net unrealized depreciation of $1.7 million. Our overall portfolio consisted of 58 companies with an average investment size of $2.7 million, a weighted average yield on debt investments of 8.6%, and was invested 88% in senior secured loans, 5% in second lien secured debt and 7% in subordinated debt and preferred and common equity investments.</w:t>
      </w:r>
    </w:p>
    <w:p>
      <w:pPr>
        <w:spacing w:after="0" w:line="103" w:lineRule="exact"/>
        <w:rPr>
          <w:sz w:val="20"/>
          <w:szCs w:val="20"/>
          <w:color w:val="auto"/>
        </w:rPr>
      </w:pPr>
    </w:p>
    <w:p>
      <w:pPr>
        <w:ind w:right="120" w:firstLine="898"/>
        <w:spacing w:after="0" w:line="294" w:lineRule="auto"/>
        <w:rPr>
          <w:sz w:val="20"/>
          <w:szCs w:val="20"/>
          <w:color w:val="auto"/>
        </w:rPr>
      </w:pPr>
      <w:r>
        <w:rPr>
          <w:rFonts w:ascii="Arial" w:cs="Arial" w:eastAsia="Arial" w:hAnsi="Arial"/>
          <w:sz w:val="16"/>
          <w:szCs w:val="16"/>
          <w:color w:val="auto"/>
        </w:rPr>
        <w:t>As of September 30, 2011, our portfolio totaled $110.7 million and consisted of $94.3 million of senior secured loans, $9.3 million of second lien secured debt and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and preferred and common equity investments.</w:t>
      </w:r>
    </w:p>
    <w:p>
      <w:pPr>
        <w:spacing w:after="0" w:line="115"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For the three months ended June 30, 2012, we invested $27.7 million in 11 new and two existing portfolio companies with a weighted average yield on debt investments of 9.3%. Sales and repayments of investments for the three months ended June 30, 2012 totaled $15.4 million. For the nine months ended June 30, 2012, we invested $99.9 million in 36 new portfolio companies and four existing portfolio companies with a weighted average yield on debt investments of 9.2%. Sales and repayments of investments for the nine months ended June 30, 2012 totaled $57.0 million. For the period from March 4, 2011 (Commencement of Operations) to June 30, 2011, we invested $114.8 million in 38 new companies with a weighted average yield on debt investments of 7.5%. Sales and repayments of investments for the period from March 4, 2011 (Commencement of Operations) to June 30, 2011 totaled $27.8 million.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firstLine="898"/>
        <w:spacing w:after="0" w:line="288"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80" w:firstLine="898"/>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19" w:lineRule="exact"/>
        <w:rPr>
          <w:sz w:val="20"/>
          <w:szCs w:val="20"/>
          <w:color w:val="auto"/>
        </w:rPr>
      </w:pPr>
    </w:p>
    <w:p>
      <w:pPr>
        <w:ind w:right="100" w:firstLine="898"/>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1460" w:hanging="561"/>
        <w:spacing w:after="0" w:line="268"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1460" w:hanging="561"/>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60" w:right="200" w:hanging="561"/>
        <w:spacing w:after="0" w:line="298" w:lineRule="auto"/>
        <w:tabs>
          <w:tab w:leader="none" w:pos="1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60" w:right="40" w:hanging="561"/>
        <w:spacing w:after="0" w:line="259"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8" w:lineRule="exact"/>
        <w:rPr>
          <w:rFonts w:ascii="Arial" w:cs="Arial" w:eastAsia="Arial" w:hAnsi="Arial"/>
          <w:sz w:val="18"/>
          <w:szCs w:val="18"/>
          <w:color w:val="auto"/>
        </w:rPr>
      </w:pPr>
    </w:p>
    <w:p>
      <w:pPr>
        <w:ind w:left="1460" w:right="20" w:hanging="561"/>
        <w:spacing w:after="0" w:line="268"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00" w:firstLine="898"/>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1660" w:right="150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30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22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20" w:firstLine="898"/>
        <w:spacing w:after="0" w:line="298"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2012, our ability to observe valuation inputs has resulted in no reclassification of assets from Level 3 to 2. There were no investments transferred between Levels 1 and 2 for the same period.</w:t>
      </w:r>
    </w:p>
    <w:p>
      <w:pPr>
        <w:spacing w:after="0" w:line="112" w:lineRule="exact"/>
        <w:rPr>
          <w:sz w:val="20"/>
          <w:szCs w:val="20"/>
          <w:color w:val="auto"/>
        </w:rPr>
      </w:pPr>
    </w:p>
    <w:p>
      <w:pPr>
        <w:ind w:right="40" w:firstLine="898"/>
        <w:spacing w:after="0" w:line="306" w:lineRule="auto"/>
        <w:rPr>
          <w:sz w:val="20"/>
          <w:szCs w:val="20"/>
          <w:color w:val="auto"/>
        </w:rPr>
      </w:pPr>
      <w:r>
        <w:rPr>
          <w:rFonts w:ascii="Arial" w:cs="Arial" w:eastAsia="Arial" w:hAnsi="Arial"/>
          <w:sz w:val="16"/>
          <w:szCs w:val="16"/>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 to our Consolidated Financial Statements.</w:t>
      </w:r>
    </w:p>
    <w:p>
      <w:pPr>
        <w:spacing w:after="0" w:line="106" w:lineRule="exact"/>
        <w:rPr>
          <w:sz w:val="20"/>
          <w:szCs w:val="20"/>
          <w:color w:val="auto"/>
        </w:rPr>
      </w:pPr>
    </w:p>
    <w:p>
      <w:pPr>
        <w:jc w:val="both"/>
        <w:ind w:right="160" w:firstLine="898"/>
        <w:spacing w:after="0" w:line="369" w:lineRule="auto"/>
        <w:rPr>
          <w:sz w:val="20"/>
          <w:szCs w:val="20"/>
          <w:color w:val="auto"/>
        </w:rPr>
      </w:pPr>
      <w:r>
        <w:rPr>
          <w:rFonts w:ascii="Arial" w:cs="Arial" w:eastAsia="Arial" w:hAnsi="Arial"/>
          <w:sz w:val="15"/>
          <w:szCs w:val="15"/>
          <w:color w:val="auto"/>
        </w:rPr>
        <w:t>In accordance with ASU 2011-04,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64"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The remainder of our portfolio, including our long-term Credit Facility, is classified as Level 3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See Note 5 to our Consolidated Financial Statements.</w:t>
      </w:r>
    </w:p>
    <w:p>
      <w:pPr>
        <w:spacing w:after="0" w:line="122" w:lineRule="exact"/>
        <w:rPr>
          <w:sz w:val="20"/>
          <w:szCs w:val="20"/>
          <w:color w:val="auto"/>
        </w:rPr>
      </w:pPr>
    </w:p>
    <w:p>
      <w:pPr>
        <w:ind w:right="20" w:firstLine="898"/>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for the nine months ended June 30, 2012 we incurred non-recurring expenses of $0.3 million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nine months ended June 30, 2012, the Credit Facility had a net change in unrealized appreciation of less than $0.1 million and $0.3 million, respectively. As of June 30, 2012 and September 30, 2011, the Credit Facility had unrealized appreciation of $0.3 million and zero, respectively. We use a nationally recognized independent valuation service to measure the fair value of the Credit Facility in a manner consistent with the valuation process that the board of directors uses to value investments.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or expense as applicable. We record contractual prepayment premiums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280" w:firstLine="898"/>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898"/>
        <w:spacing w:after="0" w:line="302" w:lineRule="auto"/>
        <w:rPr>
          <w:sz w:val="20"/>
          <w:szCs w:val="20"/>
          <w:color w:val="auto"/>
        </w:rPr>
      </w:pPr>
      <w:r>
        <w:rPr>
          <w:rFonts w:ascii="Arial" w:cs="Arial" w:eastAsia="Arial" w:hAnsi="Arial"/>
          <w:sz w:val="15"/>
          <w:szCs w:val="15"/>
          <w:color w:val="auto"/>
        </w:rPr>
        <w:t>We have elected to be taxed as a RIC under Subchapter M of the Code. In order to qualify as a RIC and not be subject to corporate-level tax on income,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ordinary income for the calendar year,</w:t>
      </w:r>
    </w:p>
    <w:p>
      <w:pPr>
        <w:spacing w:after="0" w:line="1" w:lineRule="exact"/>
        <w:rPr>
          <w:sz w:val="20"/>
          <w:szCs w:val="20"/>
          <w:color w:val="auto"/>
        </w:rPr>
      </w:pPr>
    </w:p>
    <w:p>
      <w:pPr>
        <w:ind w:right="100" w:firstLine="8"/>
        <w:spacing w:after="0" w:line="253" w:lineRule="auto"/>
        <w:tabs>
          <w:tab w:leader="none" w:pos="2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47"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160" w:firstLine="898"/>
        <w:spacing w:after="0" w:line="268" w:lineRule="auto"/>
        <w:rPr>
          <w:sz w:val="20"/>
          <w:szCs w:val="20"/>
          <w:color w:val="auto"/>
        </w:rPr>
      </w:pPr>
      <w:r>
        <w:rPr>
          <w:rFonts w:ascii="Arial" w:cs="Arial" w:eastAsia="Arial" w:hAnsi="Arial"/>
          <w:sz w:val="18"/>
          <w:szCs w:val="18"/>
          <w:color w:val="auto"/>
        </w:rPr>
        <w:t>Set forth below are the results of operations for the three and nine months ended June 30, 2012 and the period from March 4, 2011 (Commencement of Operations) to June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280" w:firstLine="898"/>
        <w:spacing w:after="0" w:line="256" w:lineRule="auto"/>
        <w:rPr>
          <w:sz w:val="20"/>
          <w:szCs w:val="20"/>
          <w:color w:val="auto"/>
        </w:rPr>
      </w:pPr>
      <w:r>
        <w:rPr>
          <w:rFonts w:ascii="Arial" w:cs="Arial" w:eastAsia="Arial" w:hAnsi="Arial"/>
          <w:sz w:val="18"/>
          <w:szCs w:val="18"/>
          <w:color w:val="auto"/>
        </w:rPr>
        <w:t>Investment income for the three and nine months ended June 30, 2012 was $3.2 million and $8.6 million, respectively, and was primarily attributable to $2.7 million and $7.0 million from senior secured loans, $0.2 million and $0.8 million from second lien secured debt investments and $0.3 million and $0.8 million from subordinated debt investments, respectively. We continue to find attractive investment opportunities and intend to continue to rotate out of lower yielding investments to higher yielding investments.</w:t>
      </w:r>
    </w:p>
    <w:p>
      <w:pPr>
        <w:spacing w:after="0" w:line="143" w:lineRule="exact"/>
        <w:rPr>
          <w:sz w:val="20"/>
          <w:szCs w:val="20"/>
          <w:color w:val="auto"/>
        </w:rPr>
      </w:pPr>
    </w:p>
    <w:p>
      <w:pPr>
        <w:ind w:right="480" w:firstLine="898"/>
        <w:spacing w:after="0" w:line="268" w:lineRule="auto"/>
        <w:rPr>
          <w:sz w:val="20"/>
          <w:szCs w:val="20"/>
          <w:color w:val="auto"/>
        </w:rPr>
      </w:pPr>
      <w:r>
        <w:rPr>
          <w:rFonts w:ascii="Arial" w:cs="Arial" w:eastAsia="Arial" w:hAnsi="Arial"/>
          <w:sz w:val="18"/>
          <w:szCs w:val="18"/>
          <w:color w:val="auto"/>
        </w:rPr>
        <w:t>Investment income for the period from March 4, 2011 (Commencement of Operations) to June 30, 2011 was $0.9 million and was primarily attributable to senior secured loans.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Expenses for the three and nine months ended June 30, 2012 totaled $1.4 million and $3.8 million, respectively. Base management fees for the same period totaled $0.4 million and $1.1 million, performance-based incentive fees totaled $(0.1) million and $0.1 million, Credit Facility expenses totaled $0.7 million and $1.3 million (including $0.3 million of non-recurring expenses) and general and administrative expenses totaled $0.4 million and $1.4 million, respectively. We expect our Credit Facility expenses and management fees to continue to increase as a result of growth in our portfolio.</w:t>
      </w:r>
    </w:p>
    <w:p>
      <w:pPr>
        <w:spacing w:after="0" w:line="112" w:lineRule="exact"/>
        <w:rPr>
          <w:sz w:val="20"/>
          <w:szCs w:val="20"/>
          <w:color w:val="auto"/>
        </w:rPr>
      </w:pPr>
    </w:p>
    <w:p>
      <w:pPr>
        <w:ind w:right="120" w:firstLine="898"/>
        <w:spacing w:after="0" w:line="256" w:lineRule="auto"/>
        <w:rPr>
          <w:sz w:val="20"/>
          <w:szCs w:val="20"/>
          <w:color w:val="auto"/>
        </w:rPr>
      </w:pPr>
      <w:r>
        <w:rPr>
          <w:rFonts w:ascii="Arial" w:cs="Arial" w:eastAsia="Arial" w:hAnsi="Arial"/>
          <w:sz w:val="18"/>
          <w:szCs w:val="18"/>
          <w:color w:val="auto"/>
        </w:rPr>
        <w:t>Expenses for the period from March 4, 2011 (Commencement of Operations) to June 30, 2011 totaled $1.8 million. Base management fee for the same period totaled $0.1 million, performance-based incentive fees totaled $0.1 million (none of which is currently payable), debt issuance costs (non-recurring) totaled $1.3 million and general and administrative expenses totaled $0.3 million. Expenses include organizational costs associated with starting up our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Net investment income totaled $1.8 million and $4.8 million, or $0.27 and $0.70 per share, for the three and nine months ended June 30,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Net investment loss totaled $0.9 million, or $0.13 per share, for the period from March 4, 2011 (Commencement of Operations) to June 30,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20" w:firstLine="898"/>
        <w:spacing w:after="0" w:line="268" w:lineRule="auto"/>
        <w:rPr>
          <w:sz w:val="20"/>
          <w:szCs w:val="20"/>
          <w:color w:val="auto"/>
        </w:rPr>
      </w:pPr>
      <w:r>
        <w:rPr>
          <w:rFonts w:ascii="Arial" w:cs="Arial" w:eastAsia="Arial" w:hAnsi="Arial"/>
          <w:sz w:val="18"/>
          <w:szCs w:val="18"/>
          <w:color w:val="auto"/>
        </w:rPr>
        <w:t>Sales and repayments of investments for the three and nine months ended June 30, 2012 totaled $15.4 million and $57.0 million and realized gains totaled $0.2 million and $0.6 million, respectively, due to sales and repayments of our debt investments.</w:t>
      </w:r>
    </w:p>
    <w:p>
      <w:pPr>
        <w:spacing w:after="0" w:line="132" w:lineRule="exact"/>
        <w:rPr>
          <w:sz w:val="20"/>
          <w:szCs w:val="20"/>
          <w:color w:val="auto"/>
        </w:rPr>
      </w:pPr>
    </w:p>
    <w:p>
      <w:pPr>
        <w:ind w:right="240" w:firstLine="898"/>
        <w:spacing w:after="0" w:line="268" w:lineRule="auto"/>
        <w:rPr>
          <w:sz w:val="20"/>
          <w:szCs w:val="20"/>
          <w:color w:val="auto"/>
        </w:rPr>
      </w:pPr>
      <w:r>
        <w:rPr>
          <w:rFonts w:ascii="Arial" w:cs="Arial" w:eastAsia="Arial" w:hAnsi="Arial"/>
          <w:sz w:val="18"/>
          <w:szCs w:val="18"/>
          <w:color w:val="auto"/>
        </w:rPr>
        <w:t>Sales and repayments of investments for the period from March 4, 2011 (Commencement of Operations) to June 30, 2011 totaled $27.8 million and realized gains totaled $0.3 million due to sales of debt investments.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160" w:firstLine="898"/>
        <w:spacing w:after="0" w:line="259" w:lineRule="auto"/>
        <w:rPr>
          <w:sz w:val="20"/>
          <w:szCs w:val="20"/>
          <w:color w:val="auto"/>
        </w:rPr>
      </w:pPr>
      <w:r>
        <w:rPr>
          <w:rFonts w:ascii="Arial" w:cs="Arial" w:eastAsia="Arial" w:hAnsi="Arial"/>
          <w:sz w:val="18"/>
          <w:szCs w:val="18"/>
          <w:color w:val="auto"/>
        </w:rPr>
        <w:t>For the three and nine months ended June 30, 2012, we reported unrealized appreciation (depreciation) on investments of $(1.7) million and $2.4 million, respectively. As of June 30, 2012 and September 30, 2011, net unrealized depreciation on investments totaled $1.7 million and $4.1 million, respectively.</w:t>
      </w:r>
    </w:p>
    <w:p>
      <w:pPr>
        <w:spacing w:after="0" w:line="140" w:lineRule="exact"/>
        <w:rPr>
          <w:sz w:val="20"/>
          <w:szCs w:val="20"/>
          <w:color w:val="auto"/>
        </w:rPr>
      </w:pPr>
    </w:p>
    <w:p>
      <w:pPr>
        <w:ind w:right="280" w:firstLine="898"/>
        <w:spacing w:after="0" w:line="259" w:lineRule="auto"/>
        <w:rPr>
          <w:sz w:val="20"/>
          <w:szCs w:val="20"/>
          <w:color w:val="auto"/>
        </w:rPr>
      </w:pPr>
      <w:r>
        <w:rPr>
          <w:rFonts w:ascii="Arial" w:cs="Arial" w:eastAsia="Arial" w:hAnsi="Arial"/>
          <w:sz w:val="18"/>
          <w:szCs w:val="18"/>
          <w:color w:val="auto"/>
        </w:rPr>
        <w:t>For the three and nine months ended June 30, 2012, our long-term Credit Facility had a change in unrealized (appreciation) depreciation of less than $0.1 million and $0.3 million, respectively. As of June 30, 2012 and September 30, 2011, net unrealized appreciation on our long-term Credit Facility totaled $0.3 million and zero, respectively.</w:t>
      </w:r>
    </w:p>
    <w:p>
      <w:pPr>
        <w:spacing w:after="0" w:line="140" w:lineRule="exact"/>
        <w:rPr>
          <w:sz w:val="20"/>
          <w:szCs w:val="20"/>
          <w:color w:val="auto"/>
        </w:rPr>
      </w:pPr>
    </w:p>
    <w:p>
      <w:pPr>
        <w:ind w:right="740" w:firstLine="898"/>
        <w:spacing w:after="0" w:line="268" w:lineRule="auto"/>
        <w:rPr>
          <w:sz w:val="20"/>
          <w:szCs w:val="20"/>
          <w:color w:val="auto"/>
        </w:rPr>
      </w:pPr>
      <w:r>
        <w:rPr>
          <w:rFonts w:ascii="Arial" w:cs="Arial" w:eastAsia="Arial" w:hAnsi="Arial"/>
          <w:sz w:val="18"/>
          <w:szCs w:val="18"/>
          <w:color w:val="auto"/>
        </w:rPr>
        <w:t>For the period from March 4, 2011 (Commencement of Operations) to June 30, 2011, our investments had net unrealized depreciation of approximately $0.1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right="160" w:firstLine="898"/>
        <w:spacing w:after="0" w:line="259" w:lineRule="auto"/>
        <w:rPr>
          <w:sz w:val="20"/>
          <w:szCs w:val="20"/>
          <w:color w:val="auto"/>
        </w:rPr>
      </w:pPr>
      <w:r>
        <w:rPr>
          <w:rFonts w:ascii="Arial" w:cs="Arial" w:eastAsia="Arial" w:hAnsi="Arial"/>
          <w:sz w:val="18"/>
          <w:szCs w:val="18"/>
          <w:color w:val="auto"/>
        </w:rPr>
        <w:t>Net increase in net assets resulting from operations totaled $0.4 million and $8.0 million, or $0.06 and $1.17 per share, respectively, for the three and nine months ended June 30, 2012. This increase in net assets from operations was due to the continued growth in net investment income as a result of growth in our portfolio.</w:t>
      </w:r>
    </w:p>
    <w:p>
      <w:pPr>
        <w:spacing w:after="0" w:line="140"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Net decrease in net assets resulting from operations totaled $0.7 million, or $0.10 per share, for the period from March 4, 2011 (Commencement of Operations) to June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0" w:firstLine="898"/>
        <w:spacing w:after="0" w:line="298" w:lineRule="auto"/>
        <w:rPr>
          <w:sz w:val="20"/>
          <w:szCs w:val="20"/>
          <w:color w:val="auto"/>
        </w:rPr>
      </w:pPr>
      <w:r>
        <w:rPr>
          <w:rFonts w:ascii="Arial" w:cs="Arial" w:eastAsia="Arial" w:hAnsi="Arial"/>
          <w:sz w:val="16"/>
          <w:szCs w:val="16"/>
          <w:color w:val="auto"/>
        </w:rPr>
        <w:t>Our liquidity and capital resources are derived from public offerings, Credit Facility, cash flows from operations, including investment sales and repayments, and income earned. Our primary use of funds from operations includes investments in portfolio companies and payments of dividends and operating expenses, including management fees. We have used, and expect to continue to use, our Credit Facility, the rotation of our portfolio and proceeds from public and private offerings of securities to finance our investment objectives.</w:t>
      </w:r>
    </w:p>
    <w:p>
      <w:pPr>
        <w:spacing w:after="0" w:line="112" w:lineRule="exact"/>
        <w:rPr>
          <w:sz w:val="20"/>
          <w:szCs w:val="20"/>
          <w:color w:val="auto"/>
        </w:rPr>
      </w:pPr>
    </w:p>
    <w:p>
      <w:pPr>
        <w:ind w:right="40" w:firstLine="898"/>
        <w:spacing w:after="0" w:line="290" w:lineRule="auto"/>
        <w:rPr>
          <w:sz w:val="20"/>
          <w:szCs w:val="20"/>
          <w:color w:val="auto"/>
        </w:rPr>
      </w:pPr>
      <w:r>
        <w:rPr>
          <w:rFonts w:ascii="Arial" w:cs="Arial" w:eastAsia="Arial" w:hAnsi="Arial"/>
          <w:sz w:val="16"/>
          <w:szCs w:val="16"/>
          <w:color w:val="auto"/>
        </w:rPr>
        <w:t>In June 2011, Funding I entered into the Credit Facility with affiliates of SunTrust Bank, or the Lender, an asset-backed commercial paper conduit administered by SunTrust Robinson Humphrey, Inc. In May 2012, Funding I amended and restated the Credit Facility to extend the maturity date to May 2017 and reinvestment period to May 2015 and to increase the availability under the Credit Facility. The Credit Facility allows Funding I to borrow up to $100.0 million and contains an accordion feature whereby the Credit Facility can be expanded to $600.0 million, subject to satisfaction of certain conditions. As of June 30, 2012 and September 30, 2011, Funding I had $54.4 million and $24.7 million of outstanding borrowings under the Credit Facility, and carried an interest rate of 2.72% and 2.53%, in each case excluding the 0.50% undrawn commitment fee, respectively. Funding I had approximately $41.1 available under the Credit Facility at June 30, 2012.</w:t>
      </w:r>
    </w:p>
    <w:p>
      <w:pPr>
        <w:spacing w:after="0" w:line="118" w:lineRule="exact"/>
        <w:rPr>
          <w:sz w:val="20"/>
          <w:szCs w:val="20"/>
          <w:color w:val="auto"/>
        </w:rPr>
      </w:pPr>
    </w:p>
    <w:p>
      <w:pPr>
        <w:ind w:right="160" w:firstLine="898"/>
        <w:spacing w:after="0" w:line="298" w:lineRule="auto"/>
        <w:rPr>
          <w:sz w:val="20"/>
          <w:szCs w:val="20"/>
          <w:color w:val="auto"/>
        </w:rPr>
      </w:pPr>
      <w:r>
        <w:rPr>
          <w:rFonts w:ascii="Arial" w:cs="Arial" w:eastAsia="Arial" w:hAnsi="Arial"/>
          <w:sz w:val="16"/>
          <w:szCs w:val="16"/>
          <w:color w:val="auto"/>
        </w:rPr>
        <w:t>During the Credit Facility’s first three years beginning on May 14, 2012, or the revolving period, the Credit Facility bears interest at LIBOR plus 225 basis points and, after the revolving period, the rate sets to LIBOR plus 425 basis points for the remaining two years, maturing on May 14,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2" w:lineRule="exact"/>
        <w:rPr>
          <w:sz w:val="20"/>
          <w:szCs w:val="20"/>
          <w:color w:val="auto"/>
        </w:rPr>
      </w:pPr>
    </w:p>
    <w:p>
      <w:pPr>
        <w:ind w:right="60" w:firstLine="898"/>
        <w:spacing w:after="0" w:line="290" w:lineRule="auto"/>
        <w:rPr>
          <w:sz w:val="20"/>
          <w:szCs w:val="20"/>
          <w:color w:val="auto"/>
        </w:rPr>
      </w:pPr>
      <w:r>
        <w:rPr>
          <w:rFonts w:ascii="Arial" w:cs="Arial" w:eastAsia="Arial" w:hAnsi="Arial"/>
          <w:sz w:val="16"/>
          <w:szCs w:val="16"/>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U.S. GAAP (for example, fair value, as defined under ASC 820, is not permitted to be used for assets or liabilities for such compliance reporting). For a complete list of such covenants see the amended and restated revolving credit and security agreement included as an exhibit to this filing. As of June 30, 2012, we were in compliance with the covenants relating to our Credit Facility.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firstLine="898"/>
        <w:spacing w:after="0" w:line="291" w:lineRule="auto"/>
        <w:rPr>
          <w:sz w:val="20"/>
          <w:szCs w:val="20"/>
          <w:color w:val="auto"/>
        </w:rPr>
      </w:pPr>
      <w:r>
        <w:rPr>
          <w:rFonts w:ascii="Arial" w:cs="Arial" w:eastAsia="Arial" w:hAnsi="Arial"/>
          <w:sz w:val="16"/>
          <w:szCs w:val="16"/>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restricts the Investment Adviser’s ability to sell investments. As a result, there may be times or circumstances during which the Investment Adviser is unable to sell investments or take other actions that may be in our best interests.</w:t>
      </w:r>
    </w:p>
    <w:p>
      <w:pPr>
        <w:spacing w:after="0" w:line="120" w:lineRule="exact"/>
        <w:rPr>
          <w:sz w:val="20"/>
          <w:szCs w:val="20"/>
          <w:color w:val="auto"/>
        </w:rPr>
      </w:pPr>
    </w:p>
    <w:p>
      <w:pPr>
        <w:ind w:right="120" w:firstLine="898"/>
        <w:spacing w:after="0" w:line="284" w:lineRule="auto"/>
        <w:rPr>
          <w:sz w:val="20"/>
          <w:szCs w:val="20"/>
          <w:color w:val="auto"/>
        </w:rPr>
      </w:pPr>
      <w:r>
        <w:rPr>
          <w:rFonts w:ascii="Arial" w:cs="Arial" w:eastAsia="Arial" w:hAnsi="Arial"/>
          <w:sz w:val="16"/>
          <w:szCs w:val="16"/>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w:t>
      </w:r>
    </w:p>
    <w:p>
      <w:pPr>
        <w:spacing w:after="0" w:line="1" w:lineRule="exact"/>
        <w:rPr>
          <w:sz w:val="20"/>
          <w:szCs w:val="20"/>
          <w:color w:val="auto"/>
        </w:rPr>
      </w:pPr>
    </w:p>
    <w:p>
      <w:pPr>
        <w:ind w:firstLine="8"/>
        <w:spacing w:after="0" w:line="260"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139" w:lineRule="exact"/>
        <w:rPr>
          <w:sz w:val="20"/>
          <w:szCs w:val="20"/>
          <w:color w:val="auto"/>
        </w:rPr>
      </w:pPr>
    </w:p>
    <w:p>
      <w:pPr>
        <w:ind w:right="340" w:firstLine="898"/>
        <w:spacing w:after="0" w:line="298" w:lineRule="auto"/>
        <w:rPr>
          <w:sz w:val="20"/>
          <w:szCs w:val="20"/>
          <w:color w:val="auto"/>
        </w:rPr>
      </w:pPr>
      <w:r>
        <w:rPr>
          <w:rFonts w:ascii="Arial" w:cs="Arial" w:eastAsia="Arial" w:hAnsi="Arial"/>
          <w:sz w:val="16"/>
          <w:szCs w:val="16"/>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w:t>
      </w:r>
    </w:p>
    <w:p>
      <w:pPr>
        <w:spacing w:after="0" w:line="112" w:lineRule="exact"/>
        <w:rPr>
          <w:sz w:val="20"/>
          <w:szCs w:val="20"/>
          <w:color w:val="auto"/>
        </w:rPr>
      </w:pPr>
    </w:p>
    <w:p>
      <w:pPr>
        <w:ind w:right="280" w:firstLine="898"/>
        <w:spacing w:after="0" w:line="268" w:lineRule="auto"/>
        <w:rPr>
          <w:sz w:val="20"/>
          <w:szCs w:val="20"/>
          <w:color w:val="auto"/>
        </w:rPr>
      </w:pPr>
      <w:r>
        <w:rPr>
          <w:rFonts w:ascii="Arial" w:cs="Arial" w:eastAsia="Arial" w:hAnsi="Arial"/>
          <w:sz w:val="18"/>
          <w:szCs w:val="18"/>
          <w:color w:val="auto"/>
        </w:rPr>
        <w:t>At June 30, 2012, we had cash equivalents of $3.3 million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Our operating activities used cash of $28.9 million for the nine months ended June 30, 2012, and our financing activities provided net cash proceeds of $25.2 million for the same period. Our operating activities used cash primarily for net investing that was provided from net draws under the Credit Facility.</w:t>
      </w:r>
    </w:p>
    <w:p>
      <w:pPr>
        <w:spacing w:after="0" w:line="140" w:lineRule="exact"/>
        <w:rPr>
          <w:sz w:val="20"/>
          <w:szCs w:val="20"/>
          <w:color w:val="auto"/>
        </w:rPr>
      </w:pPr>
    </w:p>
    <w:p>
      <w:pPr>
        <w:jc w:val="both"/>
        <w:ind w:right="180" w:firstLine="898"/>
        <w:spacing w:after="0" w:line="369" w:lineRule="auto"/>
        <w:rPr>
          <w:sz w:val="20"/>
          <w:szCs w:val="20"/>
          <w:color w:val="auto"/>
        </w:rPr>
      </w:pPr>
      <w:r>
        <w:rPr>
          <w:rFonts w:ascii="Arial" w:cs="Arial" w:eastAsia="Arial" w:hAnsi="Arial"/>
          <w:sz w:val="15"/>
          <w:szCs w:val="15"/>
          <w:color w:val="auto"/>
        </w:rPr>
        <w:t>At June 30, 2011, we had cash equivalents of $10.5 million available for investing and general corporate purposes. Our operating activities used cash of $86.9 million for the nine months ended June 30, 2011, and our financing activities provided net cash proceeds of $97.3 million for the same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summary of our significant contractual payment obligations including, but not limited to, borrowings under our Credit Facility maturing in May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2017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11"/>
          </w:tcPr>
          <w:p>
            <w:pPr>
              <w:ind w:left="60"/>
              <w:spacing w:after="0"/>
              <w:rPr>
                <w:sz w:val="20"/>
                <w:szCs w:val="20"/>
                <w:color w:val="auto"/>
              </w:rPr>
            </w:pPr>
            <w:r>
              <w:rPr>
                <w:rFonts w:ascii="Arial" w:cs="Arial" w:eastAsia="Arial" w:hAnsi="Arial"/>
                <w:sz w:val="13"/>
                <w:szCs w:val="13"/>
                <w:b w:val="1"/>
                <w:bCs w:val="1"/>
                <w:color w:val="auto"/>
                <w:w w:val="95"/>
              </w:rPr>
              <w:t>Payments due by period (millions)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22"/>
              <w:spacing w:after="0" w:line="129" w:lineRule="exact"/>
              <w:rPr>
                <w:sz w:val="20"/>
                <w:szCs w:val="20"/>
                <w:color w:val="auto"/>
              </w:rPr>
            </w:pPr>
            <w:r>
              <w:rPr>
                <w:rFonts w:ascii="Arial" w:cs="Arial" w:eastAsia="Arial" w:hAnsi="Arial"/>
                <w:sz w:val="13"/>
                <w:szCs w:val="13"/>
                <w:b w:val="1"/>
                <w:bCs w:val="1"/>
                <w:color w:val="auto"/>
              </w:rPr>
              <w:t>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82"/>
              <w:spacing w:after="0" w:line="129" w:lineRule="exact"/>
              <w:rPr>
                <w:sz w:val="20"/>
                <w:szCs w:val="20"/>
                <w:color w:val="auto"/>
              </w:rPr>
            </w:pPr>
            <w:r>
              <w:rPr>
                <w:rFonts w:ascii="Arial" w:cs="Arial" w:eastAsia="Arial" w:hAnsi="Arial"/>
                <w:sz w:val="13"/>
                <w:szCs w:val="13"/>
                <w:b w:val="1"/>
                <w:bCs w:val="1"/>
                <w:color w:val="auto"/>
              </w:rPr>
              <w:t>3-5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6"/>
              </w:rPr>
              <w:t>More than</w:t>
            </w:r>
          </w:p>
        </w:tc>
        <w:tc>
          <w:tcPr>
            <w:tcW w:w="100" w:type="dxa"/>
            <w:vAlign w:val="bottom"/>
          </w:tcPr>
          <w:p>
            <w:pPr>
              <w:spacing w:after="0"/>
              <w:rPr>
                <w:sz w:val="11"/>
                <w:szCs w:val="11"/>
                <w:color w:val="auto"/>
              </w:rPr>
            </w:pPr>
          </w:p>
        </w:tc>
      </w:tr>
      <w:tr>
        <w:trPr>
          <w:trHeight w:val="161"/>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1 year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years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2"/>
              </w:rPr>
              <w:t>years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5 years</w:t>
            </w:r>
          </w:p>
        </w:tc>
      </w:tr>
      <w:tr>
        <w:trPr>
          <w:trHeight w:val="210"/>
        </w:trPr>
        <w:tc>
          <w:tcPr>
            <w:tcW w:w="4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7"/>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7"/>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54.1</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0"/>
        </w:trPr>
        <w:tc>
          <w:tcPr>
            <w:tcW w:w="4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approved by the board of directors, including a majority of our independent directors, in March 2011, PennantPark Investment Advisers serves as our Investment Adviser in accordance with the terms of that Investment Management Agreement. Payments under our Investment Management Agreement in each reporting period are equal to: (1) a management fee equal to a percentage of the value of our gross assets and (2) an incentive fee based on our performance. See Note 3 to the Consolidated Financial Statements for more information.</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45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firstLine="898"/>
        <w:spacing w:after="0" w:line="290" w:lineRule="auto"/>
        <w:rPr>
          <w:sz w:val="20"/>
          <w:szCs w:val="20"/>
          <w:color w:val="auto"/>
        </w:rPr>
      </w:pPr>
      <w:r>
        <w:rPr>
          <w:rFonts w:ascii="Arial" w:cs="Arial" w:eastAsia="Arial" w:hAnsi="Arial"/>
          <w:sz w:val="16"/>
          <w:szCs w:val="16"/>
          <w:color w:val="auto"/>
        </w:rPr>
        <w:t>Under our Administration Agreement approved by the board of directors, including a majority of our independent directors, in March 2011,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Consolidated Financial Statements for more information.</w:t>
      </w:r>
    </w:p>
    <w:p>
      <w:pPr>
        <w:spacing w:after="0" w:line="118" w:lineRule="exact"/>
        <w:rPr>
          <w:sz w:val="20"/>
          <w:szCs w:val="20"/>
          <w:color w:val="auto"/>
        </w:rPr>
      </w:pPr>
    </w:p>
    <w:p>
      <w:pPr>
        <w:jc w:val="both"/>
        <w:ind w:right="100" w:firstLine="898"/>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During the three and nine months ended June 30, 2012, we declared distributions of $0.235 and $0.670 per share, respectively, for total distributions of $1.6 million and $4.6 million, respectively. For the period from March 4, 2011 (Commencement of Operations) to June 30, 2011, we declared distributions of $0.05 per share for a total distribution of $0.3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2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intend to continue to distribute monthly distributions to our stockholders. Our monthly distributions, if any, are determined by our board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65"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4" w:lineRule="exact"/>
        <w:rPr>
          <w:sz w:val="20"/>
          <w:szCs w:val="20"/>
          <w:color w:val="auto"/>
        </w:rPr>
      </w:pPr>
    </w:p>
    <w:p>
      <w:pPr>
        <w:jc w:val="both"/>
        <w:ind w:right="100" w:firstLine="898"/>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47" w:lineRule="exact"/>
        <w:rPr>
          <w:sz w:val="20"/>
          <w:szCs w:val="20"/>
          <w:color w:val="auto"/>
        </w:rPr>
      </w:pPr>
    </w:p>
    <w:p>
      <w:pPr>
        <w:ind w:right="80" w:firstLine="898"/>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firstLine="898"/>
        <w:spacing w:after="0" w:line="294" w:lineRule="auto"/>
        <w:rPr>
          <w:sz w:val="20"/>
          <w:szCs w:val="20"/>
          <w:color w:val="auto"/>
        </w:rPr>
      </w:pPr>
      <w:r>
        <w:rPr>
          <w:rFonts w:ascii="Arial" w:cs="Arial" w:eastAsia="Arial" w:hAnsi="Arial"/>
          <w:sz w:val="16"/>
          <w:szCs w:val="16"/>
          <w:color w:val="auto"/>
        </w:rPr>
        <w:t>We are subject to financial market risks, including changes in interest rates. As of June 30, 2012, our portfolio consisted of 86% variable-rate investments (including 82% with a LIBOR or prime floor) and 14% fixed-rate investments. The variable-rate loans are usually based on a floating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w:t>
      </w:r>
    </w:p>
    <w:p>
      <w:pPr>
        <w:spacing w:after="0" w:line="115" w:lineRule="exact"/>
        <w:rPr>
          <w:sz w:val="20"/>
          <w:szCs w:val="20"/>
          <w:color w:val="auto"/>
        </w:rPr>
      </w:pPr>
    </w:p>
    <w:p>
      <w:pPr>
        <w:ind w:right="60" w:firstLine="898"/>
        <w:spacing w:after="0" w:line="294" w:lineRule="auto"/>
        <w:rPr>
          <w:sz w:val="20"/>
          <w:szCs w:val="20"/>
          <w:color w:val="auto"/>
        </w:rPr>
      </w:pPr>
      <w:r>
        <w:rPr>
          <w:rFonts w:ascii="Arial" w:cs="Arial" w:eastAsia="Arial" w:hAnsi="Arial"/>
          <w:sz w:val="16"/>
          <w:szCs w:val="16"/>
          <w:color w:val="auto"/>
        </w:rPr>
        <w:t>Assuming that the most recent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898"/>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9" w:lineRule="exact"/>
        <w:rPr>
          <w:sz w:val="20"/>
          <w:szCs w:val="20"/>
          <w:color w:val="auto"/>
        </w:rPr>
      </w:pPr>
    </w:p>
    <w:p>
      <w:pPr>
        <w:ind w:right="600" w:firstLine="898"/>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June 30, 2012 that have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consider carefully the factors discussed in Part I “Item 1A. Risk Factors” in our Annual Report on Form 10-K for the fiscal year ended September 30, 2011,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198" w:lineRule="exact"/>
        <w:rPr>
          <w:sz w:val="20"/>
          <w:szCs w:val="20"/>
          <w:color w:val="auto"/>
        </w:rPr>
      </w:pPr>
    </w:p>
    <w:p>
      <w:pPr>
        <w:ind w:left="880" w:right="240" w:hanging="789"/>
        <w:spacing w:after="0" w:line="268" w:lineRule="auto"/>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Amendment and Restatement of the Registrant (Incorporated by reference to the Registrant’s Pre-Effective Amendment No. 3 to the Registration Statement on Form N-2 (File No. 333-170243), filed on March 29, 2011).</w:t>
      </w:r>
    </w:p>
    <w:p>
      <w:pPr>
        <w:spacing w:after="0" w:line="78"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of the Registrant (Incorporated by reference to the Registrant’s Quarterly Report on Form 10-Q (File No. 814-</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00891), filed on May 3, 2012).</w:t>
      </w:r>
    </w:p>
    <w:p>
      <w:pPr>
        <w:spacing w:after="0" w:line="111"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the Registrant’s Pre-Effective Amendment No. 5 to the Registration Statement on Form 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 (File No. 333-170243), filed on April 5, 2011).</w:t>
      </w:r>
    </w:p>
    <w:p>
      <w:pPr>
        <w:spacing w:after="0" w:line="111" w:lineRule="exact"/>
        <w:rPr>
          <w:sz w:val="20"/>
          <w:szCs w:val="20"/>
          <w:color w:val="auto"/>
        </w:rPr>
      </w:pPr>
    </w:p>
    <w:p>
      <w:pPr>
        <w:ind w:left="880" w:right="120" w:hanging="876"/>
        <w:spacing w:after="0" w:line="306" w:lineRule="auto"/>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Revolving Credit and Security Agreement, dated as of May 14, 2012, among PennantPark Floating Rate Funding I, LLC, as borrower, PennantPark Investment Advisers LLC, as collateral manager, the lenders from time to time parties thereto, SunTrust Bank, as administrative agent and U.S. Bank National Association, as collateral agent, as backup collateral manager and as custodian.</w:t>
      </w:r>
    </w:p>
    <w:p>
      <w:pPr>
        <w:spacing w:after="0" w:line="52" w:lineRule="exact"/>
        <w:rPr>
          <w:sz w:val="20"/>
          <w:szCs w:val="20"/>
          <w:color w:val="auto"/>
        </w:rPr>
      </w:pPr>
    </w:p>
    <w:p>
      <w:pPr>
        <w:ind w:left="880" w:right="260" w:hanging="876"/>
        <w:spacing w:after="0" w:line="268" w:lineRule="auto"/>
        <w:tabs>
          <w:tab w:leader="none" w:pos="860" w:val="left"/>
        </w:tabs>
        <w:rPr>
          <w:sz w:val="20"/>
          <w:szCs w:val="20"/>
          <w:color w:val="auto"/>
        </w:rPr>
      </w:pPr>
      <w:r>
        <w:rPr>
          <w:rFonts w:ascii="Arial" w:cs="Arial" w:eastAsia="Arial" w:hAnsi="Arial"/>
          <w:sz w:val="18"/>
          <w:szCs w:val="18"/>
          <w:color w:val="auto"/>
        </w:rPr>
        <w:t>10.2 *</w:t>
      </w:r>
      <w:r>
        <w:rPr>
          <w:sz w:val="20"/>
          <w:szCs w:val="20"/>
          <w:color w:val="auto"/>
        </w:rPr>
        <w:tab/>
      </w:r>
      <w:r>
        <w:rPr>
          <w:rFonts w:ascii="Arial" w:cs="Arial" w:eastAsia="Arial" w:hAnsi="Arial"/>
          <w:sz w:val="18"/>
          <w:szCs w:val="18"/>
          <w:color w:val="auto"/>
        </w:rPr>
        <w:t>Amended and Restated Investment Advisory Management Agreement, dated as of August 7, 2012, between PennantPark Floating Rate Capital Ltd. and PennantPark Investment Advisers, LLC.</w:t>
      </w:r>
    </w:p>
    <w:p>
      <w:pPr>
        <w:spacing w:after="0" w:line="78" w:lineRule="exact"/>
        <w:rPr>
          <w:sz w:val="20"/>
          <w:szCs w:val="20"/>
          <w:color w:val="auto"/>
        </w:rPr>
      </w:pPr>
    </w:p>
    <w:p>
      <w:pPr>
        <w:ind w:left="880" w:hanging="87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Consolidated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880" w:right="540" w:hanging="876"/>
        <w:spacing w:after="0" w:line="268"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spacing w:after="0"/>
        <w:tabs>
          <w:tab w:leader="none" w:pos="5380" w:val="left"/>
          <w:tab w:leader="none" w:pos="7700" w:val="left"/>
          <w:tab w:leader="none" w:pos="8040" w:val="left"/>
        </w:tabs>
        <w:rPr>
          <w:sz w:val="20"/>
          <w:szCs w:val="20"/>
          <w:color w:val="auto"/>
        </w:rPr>
      </w:pPr>
      <w:r>
        <w:rPr>
          <w:rFonts w:ascii="Arial" w:cs="Arial" w:eastAsia="Arial" w:hAnsi="Arial"/>
          <w:sz w:val="18"/>
          <w:szCs w:val="18"/>
          <w:color w:val="auto"/>
        </w:rPr>
        <w:t>Date: August 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19" w:lineRule="exact"/>
        <w:rPr>
          <w:sz w:val="20"/>
          <w:szCs w:val="20"/>
          <w:color w:val="auto"/>
        </w:rPr>
      </w:pPr>
    </w:p>
    <w:p>
      <w:pPr>
        <w:spacing w:after="0"/>
        <w:tabs>
          <w:tab w:leader="none" w:pos="5380" w:val="left"/>
          <w:tab w:leader="none" w:pos="7880" w:val="left"/>
          <w:tab w:leader="none" w:pos="8200" w:val="left"/>
        </w:tabs>
        <w:rPr>
          <w:sz w:val="20"/>
          <w:szCs w:val="20"/>
          <w:color w:val="auto"/>
        </w:rPr>
      </w:pPr>
      <w:r>
        <w:rPr>
          <w:rFonts w:ascii="Arial" w:cs="Arial" w:eastAsia="Arial" w:hAnsi="Arial"/>
          <w:sz w:val="18"/>
          <w:szCs w:val="18"/>
          <w:color w:val="auto"/>
        </w:rPr>
        <w:t>Date: August 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Aviv Efrat</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XECUTION</w:t>
      </w:r>
      <w:r>
        <w:rPr>
          <w:rFonts w:ascii="Arial" w:cs="Arial" w:eastAsia="Arial" w:hAnsi="Arial"/>
          <w:sz w:val="18"/>
          <w:szCs w:val="18"/>
          <w:color w:val="auto"/>
        </w:rPr>
        <w:t xml:space="preserve"> C</w:t>
      </w:r>
      <w:r>
        <w:rPr>
          <w:rFonts w:ascii="Arial" w:cs="Arial" w:eastAsia="Arial" w:hAnsi="Arial"/>
          <w:sz w:val="14"/>
          <w:szCs w:val="14"/>
          <w:color w:val="auto"/>
        </w:rPr>
        <w:t>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62230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88265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 AND</w:t>
      </w:r>
      <w:r>
        <w:rPr>
          <w:rFonts w:ascii="Arial" w:cs="Arial" w:eastAsia="Arial" w:hAnsi="Arial"/>
          <w:sz w:val="18"/>
          <w:szCs w:val="18"/>
          <w:color w:val="auto"/>
        </w:rPr>
        <w:t xml:space="preserve"> 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16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Collateral Manager</w:t>
      </w:r>
    </w:p>
    <w:p>
      <w:pPr>
        <w:spacing w:after="0" w:line="16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L</w:t>
      </w:r>
      <w:r>
        <w:rPr>
          <w:rFonts w:ascii="Arial" w:cs="Arial" w:eastAsia="Arial" w:hAnsi="Arial"/>
          <w:sz w:val="14"/>
          <w:szCs w:val="14"/>
          <w:color w:val="auto"/>
        </w:rPr>
        <w:t>ENDERS FROM TIME TO TIME PARTIES HERETO</w:t>
      </w:r>
      <w:r>
        <w:rPr>
          <w:rFonts w:ascii="Arial" w:cs="Arial" w:eastAsia="Arial" w:hAnsi="Arial"/>
          <w:sz w:val="18"/>
          <w:szCs w:val="18"/>
          <w:color w:val="auto"/>
        </w:rPr>
        <w:t>,</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R</w:t>
      </w:r>
      <w:r>
        <w:rPr>
          <w:rFonts w:ascii="Arial" w:cs="Arial" w:eastAsia="Arial" w:hAnsi="Arial"/>
          <w:sz w:val="14"/>
          <w:szCs w:val="14"/>
          <w:color w:val="auto"/>
        </w:rPr>
        <w:t>OBINSON</w:t>
      </w:r>
      <w:r>
        <w:rPr>
          <w:rFonts w:ascii="Arial" w:cs="Arial" w:eastAsia="Arial" w:hAnsi="Arial"/>
          <w:sz w:val="18"/>
          <w:szCs w:val="18"/>
          <w:color w:val="auto"/>
        </w:rPr>
        <w:t xml:space="preserve"> H</w:t>
      </w:r>
      <w:r>
        <w:rPr>
          <w:rFonts w:ascii="Arial" w:cs="Arial" w:eastAsia="Arial" w:hAnsi="Arial"/>
          <w:sz w:val="14"/>
          <w:szCs w:val="14"/>
          <w:color w:val="auto"/>
        </w:rPr>
        <w:t>UMPHREY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Lead Arranger</w:t>
      </w:r>
    </w:p>
    <w:p>
      <w:pPr>
        <w:spacing w:after="0" w:line="16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Collateral Agent</w:t>
      </w:r>
    </w:p>
    <w:p>
      <w:pPr>
        <w:spacing w:after="0" w:line="16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Backup Collateral Manager</w:t>
      </w:r>
    </w:p>
    <w:p>
      <w:pPr>
        <w:spacing w:after="0" w:line="16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Custodian</w:t>
      </w:r>
    </w:p>
    <w:p>
      <w:pPr>
        <w:spacing w:after="0" w:line="16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 May 14,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139700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43" w:name="page44"/>
    <w:bookmarkEnd w:id="4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11"/>
                <w:szCs w:val="11"/>
                <w:color w:val="auto"/>
              </w:rPr>
              <w:t>ECTION</w:t>
            </w:r>
          </w:p>
        </w:tc>
        <w:tc>
          <w:tcPr>
            <w:tcW w:w="7280" w:type="dxa"/>
            <w:vAlign w:val="bottom"/>
          </w:tcPr>
          <w:p>
            <w:pPr>
              <w:ind w:left="4620"/>
              <w:spacing w:after="0"/>
              <w:rPr>
                <w:sz w:val="20"/>
                <w:szCs w:val="20"/>
                <w:color w:val="auto"/>
              </w:rPr>
            </w:pPr>
            <w:r>
              <w:rPr>
                <w:rFonts w:ascii="Arial" w:cs="Arial" w:eastAsia="Arial" w:hAnsi="Arial"/>
                <w:sz w:val="13"/>
                <w:szCs w:val="13"/>
                <w:color w:val="auto"/>
              </w:rPr>
              <w:t>H</w:t>
            </w:r>
            <w:r>
              <w:rPr>
                <w:rFonts w:ascii="Arial" w:cs="Arial" w:eastAsia="Arial" w:hAnsi="Arial"/>
                <w:sz w:val="11"/>
                <w:szCs w:val="11"/>
                <w:color w:val="auto"/>
              </w:rPr>
              <w:t>EADING</w:t>
            </w:r>
          </w:p>
        </w:tc>
        <w:tc>
          <w:tcPr>
            <w:tcW w:w="2440" w:type="dxa"/>
            <w:vAlign w:val="bottom"/>
          </w:tcPr>
          <w:p>
            <w:pPr>
              <w:jc w:val="right"/>
              <w:spacing w:after="0"/>
              <w:rPr>
                <w:sz w:val="20"/>
                <w:szCs w:val="20"/>
                <w:color w:val="auto"/>
              </w:rPr>
            </w:pPr>
            <w:r>
              <w:rPr>
                <w:rFonts w:ascii="Arial" w:cs="Arial" w:eastAsia="Arial" w:hAnsi="Arial"/>
                <w:sz w:val="13"/>
                <w:szCs w:val="13"/>
                <w:color w:val="auto"/>
              </w:rPr>
              <w:t>P</w:t>
            </w:r>
            <w:r>
              <w:rPr>
                <w:rFonts w:ascii="Arial" w:cs="Arial" w:eastAsia="Arial" w:hAnsi="Arial"/>
                <w:sz w:val="11"/>
                <w:szCs w:val="11"/>
                <w:color w:val="auto"/>
              </w:rPr>
              <w:t>AGE</w:t>
            </w:r>
          </w:p>
        </w:tc>
      </w:tr>
      <w:tr>
        <w:trPr>
          <w:trHeight w:val="309"/>
        </w:trPr>
        <w:tc>
          <w:tcPr>
            <w:tcW w:w="1420" w:type="dxa"/>
            <w:vAlign w:val="bottom"/>
          </w:tcPr>
          <w:p>
            <w:pPr>
              <w:spacing w:after="0"/>
              <w:rPr>
                <w:sz w:val="20"/>
                <w:szCs w:val="20"/>
                <w:color w:val="auto"/>
              </w:rPr>
            </w:pPr>
            <w:r>
              <w:rPr>
                <w:rFonts w:ascii="Arial" w:cs="Arial" w:eastAsia="Arial" w:hAnsi="Arial"/>
                <w:sz w:val="18"/>
                <w:szCs w:val="18"/>
                <w:color w:val="auto"/>
              </w:rPr>
              <w:t>ARTICLE I</w:t>
            </w:r>
          </w:p>
        </w:tc>
        <w:tc>
          <w:tcPr>
            <w:tcW w:w="7280" w:type="dxa"/>
            <w:vAlign w:val="bottom"/>
          </w:tcPr>
          <w:p>
            <w:pPr>
              <w:ind w:left="40"/>
              <w:spacing w:after="0"/>
              <w:rPr>
                <w:sz w:val="20"/>
                <w:szCs w:val="20"/>
                <w:color w:val="auto"/>
              </w:rPr>
            </w:pPr>
            <w:r>
              <w:rPr>
                <w:rFonts w:ascii="Arial" w:cs="Arial" w:eastAsia="Arial" w:hAnsi="Arial"/>
                <w:sz w:val="18"/>
                <w:szCs w:val="18"/>
                <w:color w:val="auto"/>
              </w:rPr>
              <w:t>DEFINITIONS; RULES OF CONSTRUCTION; COMPUTATIONS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1.01.</w:t>
            </w:r>
          </w:p>
        </w:tc>
        <w:tc>
          <w:tcPr>
            <w:tcW w:w="7280" w:type="dxa"/>
            <w:vAlign w:val="bottom"/>
          </w:tcPr>
          <w:p>
            <w:pPr>
              <w:ind w:left="460"/>
              <w:spacing w:after="0"/>
              <w:rPr>
                <w:sz w:val="20"/>
                <w:szCs w:val="20"/>
                <w:color w:val="auto"/>
              </w:rPr>
            </w:pPr>
            <w:r>
              <w:rPr>
                <w:rFonts w:ascii="Arial" w:cs="Arial" w:eastAsia="Arial" w:hAnsi="Arial"/>
                <w:sz w:val="18"/>
                <w:szCs w:val="18"/>
                <w:color w:val="auto"/>
              </w:rPr>
              <w:t>Definitions</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1.02.</w:t>
            </w:r>
          </w:p>
        </w:tc>
        <w:tc>
          <w:tcPr>
            <w:tcW w:w="7280" w:type="dxa"/>
            <w:vAlign w:val="bottom"/>
          </w:tcPr>
          <w:p>
            <w:pPr>
              <w:ind w:left="460"/>
              <w:spacing w:after="0"/>
              <w:rPr>
                <w:sz w:val="20"/>
                <w:szCs w:val="20"/>
                <w:color w:val="auto"/>
              </w:rPr>
            </w:pPr>
            <w:r>
              <w:rPr>
                <w:rFonts w:ascii="Arial" w:cs="Arial" w:eastAsia="Arial" w:hAnsi="Arial"/>
                <w:sz w:val="18"/>
                <w:szCs w:val="18"/>
                <w:color w:val="auto"/>
              </w:rPr>
              <w:t>Rules of Construction</w:t>
            </w:r>
          </w:p>
        </w:tc>
        <w:tc>
          <w:tcPr>
            <w:tcW w:w="2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1.03.</w:t>
            </w:r>
          </w:p>
        </w:tc>
        <w:tc>
          <w:tcPr>
            <w:tcW w:w="7280" w:type="dxa"/>
            <w:vAlign w:val="bottom"/>
          </w:tcPr>
          <w:p>
            <w:pPr>
              <w:ind w:left="460"/>
              <w:spacing w:after="0"/>
              <w:rPr>
                <w:sz w:val="20"/>
                <w:szCs w:val="20"/>
                <w:color w:val="auto"/>
              </w:rPr>
            </w:pPr>
            <w:r>
              <w:rPr>
                <w:rFonts w:ascii="Arial" w:cs="Arial" w:eastAsia="Arial" w:hAnsi="Arial"/>
                <w:sz w:val="18"/>
                <w:szCs w:val="18"/>
                <w:color w:val="auto"/>
              </w:rPr>
              <w:t>Computation of Time Periods</w:t>
            </w:r>
          </w:p>
        </w:tc>
        <w:tc>
          <w:tcPr>
            <w:tcW w:w="24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1.04.</w:t>
            </w:r>
          </w:p>
        </w:tc>
        <w:tc>
          <w:tcPr>
            <w:tcW w:w="7280" w:type="dxa"/>
            <w:vAlign w:val="bottom"/>
          </w:tcPr>
          <w:p>
            <w:pPr>
              <w:ind w:left="460"/>
              <w:spacing w:after="0"/>
              <w:rPr>
                <w:sz w:val="20"/>
                <w:szCs w:val="20"/>
                <w:color w:val="auto"/>
              </w:rPr>
            </w:pPr>
            <w:r>
              <w:rPr>
                <w:rFonts w:ascii="Arial" w:cs="Arial" w:eastAsia="Arial" w:hAnsi="Arial"/>
                <w:sz w:val="18"/>
                <w:szCs w:val="18"/>
                <w:color w:val="auto"/>
              </w:rPr>
              <w:t>Collateral Value Calculation Procedures</w:t>
            </w:r>
          </w:p>
        </w:tc>
        <w:tc>
          <w:tcPr>
            <w:tcW w:w="24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II</w:t>
            </w:r>
          </w:p>
        </w:tc>
        <w:tc>
          <w:tcPr>
            <w:tcW w:w="7280" w:type="dxa"/>
            <w:vAlign w:val="bottom"/>
          </w:tcPr>
          <w:p>
            <w:pPr>
              <w:ind w:left="40"/>
              <w:spacing w:after="0"/>
              <w:rPr>
                <w:sz w:val="20"/>
                <w:szCs w:val="20"/>
                <w:color w:val="auto"/>
              </w:rPr>
            </w:pPr>
            <w:r>
              <w:rPr>
                <w:rFonts w:ascii="Arial" w:cs="Arial" w:eastAsia="Arial" w:hAnsi="Arial"/>
                <w:sz w:val="18"/>
                <w:szCs w:val="18"/>
                <w:color w:val="auto"/>
              </w:rPr>
              <w:t>ADVANCES</w:t>
            </w:r>
          </w:p>
        </w:tc>
        <w:tc>
          <w:tcPr>
            <w:tcW w:w="2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2.01.</w:t>
            </w:r>
          </w:p>
        </w:tc>
        <w:tc>
          <w:tcPr>
            <w:tcW w:w="7280" w:type="dxa"/>
            <w:vAlign w:val="bottom"/>
          </w:tcPr>
          <w:p>
            <w:pPr>
              <w:ind w:left="460"/>
              <w:spacing w:after="0"/>
              <w:rPr>
                <w:sz w:val="20"/>
                <w:szCs w:val="20"/>
                <w:color w:val="auto"/>
              </w:rPr>
            </w:pPr>
            <w:r>
              <w:rPr>
                <w:rFonts w:ascii="Arial" w:cs="Arial" w:eastAsia="Arial" w:hAnsi="Arial"/>
                <w:sz w:val="18"/>
                <w:szCs w:val="18"/>
                <w:color w:val="auto"/>
              </w:rPr>
              <w:t>Revolving Credit Facility</w:t>
            </w:r>
          </w:p>
        </w:tc>
        <w:tc>
          <w:tcPr>
            <w:tcW w:w="2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2.02.</w:t>
            </w:r>
          </w:p>
        </w:tc>
        <w:tc>
          <w:tcPr>
            <w:tcW w:w="7280" w:type="dxa"/>
            <w:vAlign w:val="bottom"/>
          </w:tcPr>
          <w:p>
            <w:pPr>
              <w:ind w:left="460"/>
              <w:spacing w:after="0"/>
              <w:rPr>
                <w:sz w:val="20"/>
                <w:szCs w:val="20"/>
                <w:color w:val="auto"/>
              </w:rPr>
            </w:pPr>
            <w:r>
              <w:rPr>
                <w:rFonts w:ascii="Arial" w:cs="Arial" w:eastAsia="Arial" w:hAnsi="Arial"/>
                <w:sz w:val="18"/>
                <w:szCs w:val="18"/>
                <w:color w:val="auto"/>
              </w:rPr>
              <w:t>Making of the Advances</w:t>
            </w:r>
          </w:p>
        </w:tc>
        <w:tc>
          <w:tcPr>
            <w:tcW w:w="2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2.03.</w:t>
            </w:r>
          </w:p>
        </w:tc>
        <w:tc>
          <w:tcPr>
            <w:tcW w:w="7280" w:type="dxa"/>
            <w:vAlign w:val="bottom"/>
          </w:tcPr>
          <w:p>
            <w:pPr>
              <w:ind w:left="460"/>
              <w:spacing w:after="0"/>
              <w:rPr>
                <w:sz w:val="20"/>
                <w:szCs w:val="20"/>
                <w:color w:val="auto"/>
              </w:rPr>
            </w:pPr>
            <w:r>
              <w:rPr>
                <w:rFonts w:ascii="Arial" w:cs="Arial" w:eastAsia="Arial" w:hAnsi="Arial"/>
                <w:sz w:val="18"/>
                <w:szCs w:val="18"/>
                <w:color w:val="auto"/>
              </w:rPr>
              <w:t>Evidence of Indebtedness</w:t>
            </w:r>
          </w:p>
        </w:tc>
        <w:tc>
          <w:tcPr>
            <w:tcW w:w="2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2.04.</w:t>
            </w:r>
          </w:p>
        </w:tc>
        <w:tc>
          <w:tcPr>
            <w:tcW w:w="7280" w:type="dxa"/>
            <w:vAlign w:val="bottom"/>
          </w:tcPr>
          <w:p>
            <w:pPr>
              <w:ind w:left="460"/>
              <w:spacing w:after="0"/>
              <w:rPr>
                <w:sz w:val="20"/>
                <w:szCs w:val="20"/>
                <w:color w:val="auto"/>
              </w:rPr>
            </w:pPr>
            <w:r>
              <w:rPr>
                <w:rFonts w:ascii="Arial" w:cs="Arial" w:eastAsia="Arial" w:hAnsi="Arial"/>
                <w:sz w:val="18"/>
                <w:szCs w:val="18"/>
                <w:color w:val="auto"/>
              </w:rPr>
              <w:t>Payment of Principal and 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2.05.</w:t>
            </w:r>
          </w:p>
        </w:tc>
        <w:tc>
          <w:tcPr>
            <w:tcW w:w="7280" w:type="dxa"/>
            <w:vAlign w:val="bottom"/>
          </w:tcPr>
          <w:p>
            <w:pPr>
              <w:ind w:left="460"/>
              <w:spacing w:after="0"/>
              <w:rPr>
                <w:sz w:val="20"/>
                <w:szCs w:val="20"/>
                <w:color w:val="auto"/>
              </w:rPr>
            </w:pPr>
            <w:r>
              <w:rPr>
                <w:rFonts w:ascii="Arial" w:cs="Arial" w:eastAsia="Arial" w:hAnsi="Arial"/>
                <w:sz w:val="18"/>
                <w:szCs w:val="18"/>
                <w:color w:val="auto"/>
              </w:rPr>
              <w:t>Prepayment of Advances</w:t>
            </w:r>
          </w:p>
        </w:tc>
        <w:tc>
          <w:tcPr>
            <w:tcW w:w="2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2.06.</w:t>
            </w:r>
          </w:p>
        </w:tc>
        <w:tc>
          <w:tcPr>
            <w:tcW w:w="7280" w:type="dxa"/>
            <w:vAlign w:val="bottom"/>
          </w:tcPr>
          <w:p>
            <w:pPr>
              <w:ind w:left="460"/>
              <w:spacing w:after="0"/>
              <w:rPr>
                <w:sz w:val="20"/>
                <w:szCs w:val="20"/>
                <w:color w:val="auto"/>
              </w:rPr>
            </w:pPr>
            <w:r>
              <w:rPr>
                <w:rFonts w:ascii="Arial" w:cs="Arial" w:eastAsia="Arial" w:hAnsi="Arial"/>
                <w:sz w:val="18"/>
                <w:szCs w:val="18"/>
                <w:color w:val="auto"/>
              </w:rPr>
              <w:t>Changes of Commitments</w:t>
            </w:r>
          </w:p>
        </w:tc>
        <w:tc>
          <w:tcPr>
            <w:tcW w:w="24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2.07.</w:t>
            </w:r>
          </w:p>
        </w:tc>
        <w:tc>
          <w:tcPr>
            <w:tcW w:w="7280" w:type="dxa"/>
            <w:vAlign w:val="bottom"/>
          </w:tcPr>
          <w:p>
            <w:pPr>
              <w:ind w:left="460"/>
              <w:spacing w:after="0"/>
              <w:rPr>
                <w:sz w:val="20"/>
                <w:szCs w:val="20"/>
                <w:color w:val="auto"/>
              </w:rPr>
            </w:pPr>
            <w:r>
              <w:rPr>
                <w:rFonts w:ascii="Arial" w:cs="Arial" w:eastAsia="Arial" w:hAnsi="Arial"/>
                <w:sz w:val="18"/>
                <w:szCs w:val="18"/>
                <w:color w:val="auto"/>
              </w:rPr>
              <w:t>Maximum Lawful Rate</w:t>
            </w:r>
          </w:p>
        </w:tc>
        <w:tc>
          <w:tcPr>
            <w:tcW w:w="24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2.08.</w:t>
            </w:r>
          </w:p>
        </w:tc>
        <w:tc>
          <w:tcPr>
            <w:tcW w:w="7280" w:type="dxa"/>
            <w:vAlign w:val="bottom"/>
          </w:tcPr>
          <w:p>
            <w:pPr>
              <w:ind w:left="460"/>
              <w:spacing w:after="0"/>
              <w:rPr>
                <w:sz w:val="20"/>
                <w:szCs w:val="20"/>
                <w:color w:val="auto"/>
              </w:rPr>
            </w:pPr>
            <w:r>
              <w:rPr>
                <w:rFonts w:ascii="Arial" w:cs="Arial" w:eastAsia="Arial" w:hAnsi="Arial"/>
                <w:sz w:val="18"/>
                <w:szCs w:val="18"/>
                <w:color w:val="auto"/>
              </w:rPr>
              <w:t>Several Obligations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2.09.</w:t>
            </w:r>
          </w:p>
        </w:tc>
        <w:tc>
          <w:tcPr>
            <w:tcW w:w="7280" w:type="dxa"/>
            <w:vAlign w:val="bottom"/>
          </w:tcPr>
          <w:p>
            <w:pPr>
              <w:ind w:left="460"/>
              <w:spacing w:after="0"/>
              <w:rPr>
                <w:sz w:val="20"/>
                <w:szCs w:val="20"/>
                <w:color w:val="auto"/>
              </w:rPr>
            </w:pPr>
            <w:r>
              <w:rPr>
                <w:rFonts w:ascii="Arial" w:cs="Arial" w:eastAsia="Arial" w:hAnsi="Arial"/>
                <w:sz w:val="18"/>
                <w:szCs w:val="18"/>
                <w:color w:val="auto"/>
              </w:rPr>
              <w:t>Increased Costs</w:t>
            </w:r>
          </w:p>
        </w:tc>
        <w:tc>
          <w:tcPr>
            <w:tcW w:w="2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2.10.</w:t>
            </w:r>
          </w:p>
        </w:tc>
        <w:tc>
          <w:tcPr>
            <w:tcW w:w="7280" w:type="dxa"/>
            <w:vAlign w:val="bottom"/>
          </w:tcPr>
          <w:p>
            <w:pPr>
              <w:ind w:left="460"/>
              <w:spacing w:after="0"/>
              <w:rPr>
                <w:sz w:val="20"/>
                <w:szCs w:val="20"/>
                <w:color w:val="auto"/>
              </w:rPr>
            </w:pPr>
            <w:r>
              <w:rPr>
                <w:rFonts w:ascii="Arial" w:cs="Arial" w:eastAsia="Arial" w:hAnsi="Arial"/>
                <w:sz w:val="18"/>
                <w:szCs w:val="18"/>
                <w:color w:val="auto"/>
              </w:rPr>
              <w:t>Compensation; Breakage Payments</w:t>
            </w:r>
          </w:p>
        </w:tc>
        <w:tc>
          <w:tcPr>
            <w:tcW w:w="24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2.11.</w:t>
            </w:r>
          </w:p>
        </w:tc>
        <w:tc>
          <w:tcPr>
            <w:tcW w:w="7280" w:type="dxa"/>
            <w:vAlign w:val="bottom"/>
          </w:tcPr>
          <w:p>
            <w:pPr>
              <w:ind w:left="460"/>
              <w:spacing w:after="0"/>
              <w:rPr>
                <w:sz w:val="20"/>
                <w:szCs w:val="20"/>
                <w:color w:val="auto"/>
              </w:rPr>
            </w:pPr>
            <w:r>
              <w:rPr>
                <w:rFonts w:ascii="Arial" w:cs="Arial" w:eastAsia="Arial" w:hAnsi="Arial"/>
                <w:sz w:val="18"/>
                <w:szCs w:val="18"/>
                <w:color w:val="auto"/>
              </w:rPr>
              <w:t>Illegality; Inability to Determine Rates</w:t>
            </w:r>
          </w:p>
        </w:tc>
        <w:tc>
          <w:tcPr>
            <w:tcW w:w="24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2.12.</w:t>
            </w:r>
          </w:p>
        </w:tc>
        <w:tc>
          <w:tcPr>
            <w:tcW w:w="7280" w:type="dxa"/>
            <w:vAlign w:val="bottom"/>
          </w:tcPr>
          <w:p>
            <w:pPr>
              <w:ind w:left="460"/>
              <w:spacing w:after="0"/>
              <w:rPr>
                <w:sz w:val="20"/>
                <w:szCs w:val="20"/>
                <w:color w:val="auto"/>
              </w:rPr>
            </w:pPr>
            <w:r>
              <w:rPr>
                <w:rFonts w:ascii="Arial" w:cs="Arial" w:eastAsia="Arial" w:hAnsi="Arial"/>
                <w:sz w:val="18"/>
                <w:szCs w:val="18"/>
                <w:color w:val="auto"/>
              </w:rPr>
              <w:t>Rescission or Return of Payment</w:t>
            </w:r>
          </w:p>
        </w:tc>
        <w:tc>
          <w:tcPr>
            <w:tcW w:w="2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2.13.</w:t>
            </w:r>
          </w:p>
        </w:tc>
        <w:tc>
          <w:tcPr>
            <w:tcW w:w="7280" w:type="dxa"/>
            <w:vAlign w:val="bottom"/>
          </w:tcPr>
          <w:p>
            <w:pPr>
              <w:ind w:left="460"/>
              <w:spacing w:after="0"/>
              <w:rPr>
                <w:sz w:val="20"/>
                <w:szCs w:val="20"/>
                <w:color w:val="auto"/>
              </w:rPr>
            </w:pPr>
            <w:r>
              <w:rPr>
                <w:rFonts w:ascii="Arial" w:cs="Arial" w:eastAsia="Arial" w:hAnsi="Arial"/>
                <w:sz w:val="18"/>
                <w:szCs w:val="18"/>
                <w:color w:val="auto"/>
              </w:rPr>
              <w:t>Post-Default 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2.14.</w:t>
            </w:r>
          </w:p>
        </w:tc>
        <w:tc>
          <w:tcPr>
            <w:tcW w:w="7280" w:type="dxa"/>
            <w:vAlign w:val="bottom"/>
          </w:tcPr>
          <w:p>
            <w:pPr>
              <w:ind w:left="460"/>
              <w:spacing w:after="0"/>
              <w:rPr>
                <w:sz w:val="20"/>
                <w:szCs w:val="20"/>
                <w:color w:val="auto"/>
              </w:rPr>
            </w:pPr>
            <w:r>
              <w:rPr>
                <w:rFonts w:ascii="Arial" w:cs="Arial" w:eastAsia="Arial" w:hAnsi="Arial"/>
                <w:sz w:val="18"/>
                <w:szCs w:val="18"/>
                <w:color w:val="auto"/>
              </w:rPr>
              <w:t>Payments Generally</w:t>
            </w:r>
          </w:p>
        </w:tc>
        <w:tc>
          <w:tcPr>
            <w:tcW w:w="2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2.15.</w:t>
            </w:r>
          </w:p>
        </w:tc>
        <w:tc>
          <w:tcPr>
            <w:tcW w:w="7280" w:type="dxa"/>
            <w:vAlign w:val="bottom"/>
          </w:tcPr>
          <w:p>
            <w:pPr>
              <w:ind w:left="460"/>
              <w:spacing w:after="0"/>
              <w:rPr>
                <w:sz w:val="20"/>
                <w:szCs w:val="20"/>
                <w:color w:val="auto"/>
              </w:rPr>
            </w:pPr>
            <w:r>
              <w:rPr>
                <w:rFonts w:ascii="Arial" w:cs="Arial" w:eastAsia="Arial" w:hAnsi="Arial"/>
                <w:sz w:val="18"/>
                <w:szCs w:val="18"/>
                <w:color w:val="auto"/>
              </w:rPr>
              <w:t>Increase in Facility Amount</w:t>
            </w:r>
          </w:p>
        </w:tc>
        <w:tc>
          <w:tcPr>
            <w:tcW w:w="2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III</w:t>
            </w:r>
          </w:p>
        </w:tc>
        <w:tc>
          <w:tcPr>
            <w:tcW w:w="7280" w:type="dxa"/>
            <w:vAlign w:val="bottom"/>
          </w:tcPr>
          <w:p>
            <w:pPr>
              <w:ind w:left="40"/>
              <w:spacing w:after="0"/>
              <w:rPr>
                <w:sz w:val="20"/>
                <w:szCs w:val="20"/>
                <w:color w:val="auto"/>
              </w:rPr>
            </w:pPr>
            <w:r>
              <w:rPr>
                <w:rFonts w:ascii="Arial" w:cs="Arial" w:eastAsia="Arial" w:hAnsi="Arial"/>
                <w:sz w:val="18"/>
                <w:szCs w:val="18"/>
                <w:color w:val="auto"/>
              </w:rPr>
              <w:t>CONDITIONS PRECEDENT</w:t>
            </w:r>
          </w:p>
        </w:tc>
        <w:tc>
          <w:tcPr>
            <w:tcW w:w="2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8"/>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3.01.</w:t>
            </w:r>
          </w:p>
        </w:tc>
        <w:tc>
          <w:tcPr>
            <w:tcW w:w="7280" w:type="dxa"/>
            <w:vAlign w:val="bottom"/>
          </w:tcPr>
          <w:p>
            <w:pPr>
              <w:ind w:left="460"/>
              <w:spacing w:after="0"/>
              <w:rPr>
                <w:sz w:val="20"/>
                <w:szCs w:val="20"/>
                <w:color w:val="auto"/>
              </w:rPr>
            </w:pPr>
            <w:r>
              <w:rPr>
                <w:rFonts w:ascii="Arial" w:cs="Arial" w:eastAsia="Arial" w:hAnsi="Arial"/>
                <w:sz w:val="18"/>
                <w:szCs w:val="18"/>
                <w:color w:val="auto"/>
              </w:rPr>
              <w:t>Reserved</w:t>
            </w:r>
          </w:p>
        </w:tc>
        <w:tc>
          <w:tcPr>
            <w:tcW w:w="2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3.02.</w:t>
            </w:r>
          </w:p>
        </w:tc>
        <w:tc>
          <w:tcPr>
            <w:tcW w:w="7280" w:type="dxa"/>
            <w:vAlign w:val="bottom"/>
          </w:tcPr>
          <w:p>
            <w:pPr>
              <w:ind w:left="460"/>
              <w:spacing w:after="0"/>
              <w:rPr>
                <w:sz w:val="20"/>
                <w:szCs w:val="20"/>
                <w:color w:val="auto"/>
              </w:rPr>
            </w:pPr>
            <w:r>
              <w:rPr>
                <w:rFonts w:ascii="Arial" w:cs="Arial" w:eastAsia="Arial" w:hAnsi="Arial"/>
                <w:sz w:val="18"/>
                <w:szCs w:val="18"/>
                <w:color w:val="auto"/>
              </w:rPr>
              <w:t>Conditions Precedent to Each Borrowing</w:t>
            </w:r>
          </w:p>
        </w:tc>
        <w:tc>
          <w:tcPr>
            <w:tcW w:w="2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3.03.</w:t>
            </w:r>
          </w:p>
        </w:tc>
        <w:tc>
          <w:tcPr>
            <w:tcW w:w="7280" w:type="dxa"/>
            <w:vAlign w:val="bottom"/>
          </w:tcPr>
          <w:p>
            <w:pPr>
              <w:ind w:left="460"/>
              <w:spacing w:after="0"/>
              <w:rPr>
                <w:sz w:val="20"/>
                <w:szCs w:val="20"/>
                <w:color w:val="auto"/>
              </w:rPr>
            </w:pPr>
            <w:r>
              <w:rPr>
                <w:rFonts w:ascii="Arial" w:cs="Arial" w:eastAsia="Arial" w:hAnsi="Arial"/>
                <w:sz w:val="18"/>
                <w:szCs w:val="18"/>
                <w:color w:val="auto"/>
              </w:rPr>
              <w:t>Conditions Precedent to Restatement Effective Date</w:t>
            </w:r>
          </w:p>
        </w:tc>
        <w:tc>
          <w:tcPr>
            <w:tcW w:w="2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IV</w:t>
            </w:r>
          </w:p>
        </w:tc>
        <w:tc>
          <w:tcPr>
            <w:tcW w:w="7280" w:type="dxa"/>
            <w:vAlign w:val="bottom"/>
          </w:tcPr>
          <w:p>
            <w:pPr>
              <w:ind w:left="40"/>
              <w:spacing w:after="0"/>
              <w:rPr>
                <w:sz w:val="20"/>
                <w:szCs w:val="20"/>
                <w:color w:val="auto"/>
              </w:rPr>
            </w:pPr>
            <w:r>
              <w:rPr>
                <w:rFonts w:ascii="Arial" w:cs="Arial" w:eastAsia="Arial" w:hAnsi="Arial"/>
                <w:sz w:val="18"/>
                <w:szCs w:val="18"/>
                <w:color w:val="auto"/>
              </w:rPr>
              <w:t>REPRESENTATIONS AND WARRANTIES</w:t>
            </w:r>
          </w:p>
        </w:tc>
        <w:tc>
          <w:tcPr>
            <w:tcW w:w="2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8"/>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4.01.</w:t>
            </w:r>
          </w:p>
        </w:tc>
        <w:tc>
          <w:tcPr>
            <w:tcW w:w="7280" w:type="dxa"/>
            <w:vAlign w:val="bottom"/>
          </w:tcPr>
          <w:p>
            <w:pPr>
              <w:ind w:left="460"/>
              <w:spacing w:after="0"/>
              <w:rPr>
                <w:sz w:val="20"/>
                <w:szCs w:val="20"/>
                <w:color w:val="auto"/>
              </w:rPr>
            </w:pPr>
            <w:r>
              <w:rPr>
                <w:rFonts w:ascii="Arial" w:cs="Arial" w:eastAsia="Arial" w:hAnsi="Arial"/>
                <w:sz w:val="18"/>
                <w:szCs w:val="18"/>
                <w:color w:val="auto"/>
              </w:rPr>
              <w:t>Representations and Warranties of the Borrower</w:t>
            </w:r>
          </w:p>
        </w:tc>
        <w:tc>
          <w:tcPr>
            <w:tcW w:w="2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4.02.</w:t>
            </w:r>
          </w:p>
        </w:tc>
        <w:tc>
          <w:tcPr>
            <w:tcW w:w="7280" w:type="dxa"/>
            <w:vAlign w:val="bottom"/>
          </w:tcPr>
          <w:p>
            <w:pPr>
              <w:ind w:left="460"/>
              <w:spacing w:after="0"/>
              <w:rPr>
                <w:sz w:val="20"/>
                <w:szCs w:val="20"/>
                <w:color w:val="auto"/>
              </w:rPr>
            </w:pPr>
            <w:r>
              <w:rPr>
                <w:rFonts w:ascii="Arial" w:cs="Arial" w:eastAsia="Arial" w:hAnsi="Arial"/>
                <w:sz w:val="18"/>
                <w:szCs w:val="18"/>
                <w:color w:val="auto"/>
              </w:rPr>
              <w:t>Representations and Warranties of the Collateral Manager</w:t>
            </w:r>
          </w:p>
        </w:tc>
        <w:tc>
          <w:tcPr>
            <w:tcW w:w="2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V</w:t>
            </w:r>
          </w:p>
        </w:tc>
        <w:tc>
          <w:tcPr>
            <w:tcW w:w="7280" w:type="dxa"/>
            <w:vAlign w:val="bottom"/>
          </w:tcPr>
          <w:p>
            <w:pPr>
              <w:ind w:left="40"/>
              <w:spacing w:after="0"/>
              <w:rPr>
                <w:sz w:val="20"/>
                <w:szCs w:val="20"/>
                <w:color w:val="auto"/>
              </w:rPr>
            </w:pPr>
            <w:r>
              <w:rPr>
                <w:rFonts w:ascii="Arial" w:cs="Arial" w:eastAsia="Arial" w:hAnsi="Arial"/>
                <w:sz w:val="18"/>
                <w:szCs w:val="18"/>
                <w:color w:val="auto"/>
              </w:rPr>
              <w:t>COVENANTS</w:t>
            </w:r>
          </w:p>
        </w:tc>
        <w:tc>
          <w:tcPr>
            <w:tcW w:w="2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5.01.</w:t>
            </w:r>
          </w:p>
        </w:tc>
        <w:tc>
          <w:tcPr>
            <w:tcW w:w="7280" w:type="dxa"/>
            <w:vAlign w:val="bottom"/>
          </w:tcPr>
          <w:p>
            <w:pPr>
              <w:ind w:left="460"/>
              <w:spacing w:after="0"/>
              <w:rPr>
                <w:sz w:val="20"/>
                <w:szCs w:val="20"/>
                <w:color w:val="auto"/>
              </w:rPr>
            </w:pPr>
            <w:r>
              <w:rPr>
                <w:rFonts w:ascii="Arial" w:cs="Arial" w:eastAsia="Arial" w:hAnsi="Arial"/>
                <w:sz w:val="18"/>
                <w:szCs w:val="18"/>
                <w:color w:val="auto"/>
              </w:rPr>
              <w:t>Affirmative Covenants of the Borrower</w:t>
            </w:r>
          </w:p>
        </w:tc>
        <w:tc>
          <w:tcPr>
            <w:tcW w:w="2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5.02.</w:t>
            </w:r>
          </w:p>
        </w:tc>
        <w:tc>
          <w:tcPr>
            <w:tcW w:w="7280" w:type="dxa"/>
            <w:vAlign w:val="bottom"/>
          </w:tcPr>
          <w:p>
            <w:pPr>
              <w:ind w:left="460"/>
              <w:spacing w:after="0"/>
              <w:rPr>
                <w:sz w:val="20"/>
                <w:szCs w:val="20"/>
                <w:color w:val="auto"/>
              </w:rPr>
            </w:pPr>
            <w:r>
              <w:rPr>
                <w:rFonts w:ascii="Arial" w:cs="Arial" w:eastAsia="Arial" w:hAnsi="Arial"/>
                <w:sz w:val="18"/>
                <w:szCs w:val="18"/>
                <w:color w:val="auto"/>
              </w:rPr>
              <w:t>Negative Covenants of the Borrower</w:t>
            </w:r>
          </w:p>
        </w:tc>
        <w:tc>
          <w:tcPr>
            <w:tcW w:w="24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5.03.</w:t>
            </w:r>
          </w:p>
        </w:tc>
        <w:tc>
          <w:tcPr>
            <w:tcW w:w="7280" w:type="dxa"/>
            <w:vAlign w:val="bottom"/>
          </w:tcPr>
          <w:p>
            <w:pPr>
              <w:ind w:left="460"/>
              <w:spacing w:after="0"/>
              <w:rPr>
                <w:sz w:val="20"/>
                <w:szCs w:val="20"/>
                <w:color w:val="auto"/>
              </w:rPr>
            </w:pPr>
            <w:r>
              <w:rPr>
                <w:rFonts w:ascii="Arial" w:cs="Arial" w:eastAsia="Arial" w:hAnsi="Arial"/>
                <w:sz w:val="18"/>
                <w:szCs w:val="18"/>
                <w:color w:val="auto"/>
              </w:rPr>
              <w:t>Affirmative Covenants of the Collateral Manager</w:t>
            </w:r>
          </w:p>
        </w:tc>
        <w:tc>
          <w:tcPr>
            <w:tcW w:w="2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5.04.</w:t>
            </w:r>
          </w:p>
        </w:tc>
        <w:tc>
          <w:tcPr>
            <w:tcW w:w="7280" w:type="dxa"/>
            <w:vAlign w:val="bottom"/>
          </w:tcPr>
          <w:p>
            <w:pPr>
              <w:ind w:left="460"/>
              <w:spacing w:after="0"/>
              <w:rPr>
                <w:sz w:val="20"/>
                <w:szCs w:val="20"/>
                <w:color w:val="auto"/>
              </w:rPr>
            </w:pPr>
            <w:r>
              <w:rPr>
                <w:rFonts w:ascii="Arial" w:cs="Arial" w:eastAsia="Arial" w:hAnsi="Arial"/>
                <w:sz w:val="18"/>
                <w:szCs w:val="18"/>
                <w:color w:val="auto"/>
              </w:rPr>
              <w:t>Negative Covenants of the Collateral Manager</w:t>
            </w:r>
          </w:p>
        </w:tc>
        <w:tc>
          <w:tcPr>
            <w:tcW w:w="24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1"/>
              </w:rPr>
              <w:t>Section 5.05.</w:t>
            </w:r>
          </w:p>
        </w:tc>
        <w:tc>
          <w:tcPr>
            <w:tcW w:w="7280" w:type="dxa"/>
            <w:vAlign w:val="bottom"/>
          </w:tcPr>
          <w:p>
            <w:pPr>
              <w:ind w:left="460"/>
              <w:spacing w:after="0"/>
              <w:rPr>
                <w:sz w:val="20"/>
                <w:szCs w:val="20"/>
                <w:color w:val="auto"/>
              </w:rPr>
            </w:pPr>
            <w:r>
              <w:rPr>
                <w:rFonts w:ascii="Arial" w:cs="Arial" w:eastAsia="Arial" w:hAnsi="Arial"/>
                <w:sz w:val="18"/>
                <w:szCs w:val="18"/>
                <w:color w:val="auto"/>
              </w:rPr>
              <w:t>Certain Undertakings Relating to Separateness</w:t>
            </w:r>
          </w:p>
        </w:tc>
        <w:tc>
          <w:tcPr>
            <w:tcW w:w="244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274" w:right="4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ARTICLE VI</w:t>
            </w:r>
          </w:p>
        </w:tc>
        <w:tc>
          <w:tcPr>
            <w:tcW w:w="808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15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18"/>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6.01.</w:t>
            </w:r>
          </w:p>
        </w:tc>
        <w:tc>
          <w:tcPr>
            <w:tcW w:w="8080" w:type="dxa"/>
            <w:vAlign w:val="bottom"/>
          </w:tcPr>
          <w:p>
            <w:pPr>
              <w:ind w:left="460"/>
              <w:spacing w:after="0"/>
              <w:rPr>
                <w:sz w:val="20"/>
                <w:szCs w:val="20"/>
                <w:color w:val="auto"/>
              </w:rPr>
            </w:pPr>
            <w:r>
              <w:rPr>
                <w:rFonts w:ascii="Arial" w:cs="Arial" w:eastAsia="Arial" w:hAnsi="Arial"/>
                <w:sz w:val="18"/>
                <w:szCs w:val="18"/>
                <w:color w:val="auto"/>
              </w:rPr>
              <w:t>Events of Default</w:t>
            </w:r>
          </w:p>
        </w:tc>
        <w:tc>
          <w:tcPr>
            <w:tcW w:w="15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6.02.</w:t>
            </w:r>
          </w:p>
        </w:tc>
        <w:tc>
          <w:tcPr>
            <w:tcW w:w="8080" w:type="dxa"/>
            <w:vAlign w:val="bottom"/>
          </w:tcPr>
          <w:p>
            <w:pPr>
              <w:ind w:left="460"/>
              <w:spacing w:after="0"/>
              <w:rPr>
                <w:sz w:val="20"/>
                <w:szCs w:val="20"/>
                <w:color w:val="auto"/>
              </w:rPr>
            </w:pPr>
            <w:r>
              <w:rPr>
                <w:rFonts w:ascii="Arial" w:cs="Arial" w:eastAsia="Arial" w:hAnsi="Arial"/>
                <w:sz w:val="18"/>
                <w:szCs w:val="18"/>
                <w:color w:val="auto"/>
              </w:rPr>
              <w:t>Collateral Manager Events of Default</w:t>
            </w:r>
          </w:p>
        </w:tc>
        <w:tc>
          <w:tcPr>
            <w:tcW w:w="15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VII</w:t>
            </w:r>
          </w:p>
        </w:tc>
        <w:tc>
          <w:tcPr>
            <w:tcW w:w="8080" w:type="dxa"/>
            <w:vAlign w:val="bottom"/>
          </w:tcPr>
          <w:p>
            <w:pPr>
              <w:ind w:left="40"/>
              <w:spacing w:after="0"/>
              <w:rPr>
                <w:sz w:val="20"/>
                <w:szCs w:val="20"/>
                <w:color w:val="auto"/>
              </w:rPr>
            </w:pPr>
            <w:r>
              <w:rPr>
                <w:rFonts w:ascii="Arial" w:cs="Arial" w:eastAsia="Arial" w:hAnsi="Arial"/>
                <w:sz w:val="18"/>
                <w:szCs w:val="18"/>
                <w:color w:val="auto"/>
              </w:rPr>
              <w:t>PLEDGE OF COLLATERAL; RIGHTS OF THE COLLATERAL AGENT</w:t>
            </w:r>
          </w:p>
        </w:tc>
        <w:tc>
          <w:tcPr>
            <w:tcW w:w="1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8"/>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7.01.</w:t>
            </w:r>
          </w:p>
        </w:tc>
        <w:tc>
          <w:tcPr>
            <w:tcW w:w="8080" w:type="dxa"/>
            <w:vAlign w:val="bottom"/>
          </w:tcPr>
          <w:p>
            <w:pPr>
              <w:ind w:left="460"/>
              <w:spacing w:after="0"/>
              <w:rPr>
                <w:sz w:val="20"/>
                <w:szCs w:val="20"/>
                <w:color w:val="auto"/>
              </w:rPr>
            </w:pPr>
            <w:r>
              <w:rPr>
                <w:rFonts w:ascii="Arial" w:cs="Arial" w:eastAsia="Arial" w:hAnsi="Arial"/>
                <w:sz w:val="18"/>
                <w:szCs w:val="18"/>
                <w:color w:val="auto"/>
              </w:rPr>
              <w:t>Grant of Security</w:t>
            </w:r>
          </w:p>
        </w:tc>
        <w:tc>
          <w:tcPr>
            <w:tcW w:w="1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7.02.</w:t>
            </w:r>
          </w:p>
        </w:tc>
        <w:tc>
          <w:tcPr>
            <w:tcW w:w="8080" w:type="dxa"/>
            <w:vAlign w:val="bottom"/>
          </w:tcPr>
          <w:p>
            <w:pPr>
              <w:ind w:left="460"/>
              <w:spacing w:after="0"/>
              <w:rPr>
                <w:sz w:val="20"/>
                <w:szCs w:val="20"/>
                <w:color w:val="auto"/>
              </w:rPr>
            </w:pPr>
            <w:r>
              <w:rPr>
                <w:rFonts w:ascii="Arial" w:cs="Arial" w:eastAsia="Arial" w:hAnsi="Arial"/>
                <w:sz w:val="18"/>
                <w:szCs w:val="18"/>
                <w:color w:val="auto"/>
              </w:rPr>
              <w:t>Release of Security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7.03.</w:t>
            </w:r>
          </w:p>
        </w:tc>
        <w:tc>
          <w:tcPr>
            <w:tcW w:w="8080" w:type="dxa"/>
            <w:vAlign w:val="bottom"/>
          </w:tcPr>
          <w:p>
            <w:pPr>
              <w:ind w:left="460"/>
              <w:spacing w:after="0"/>
              <w:rPr>
                <w:sz w:val="20"/>
                <w:szCs w:val="20"/>
                <w:color w:val="auto"/>
              </w:rPr>
            </w:pPr>
            <w:r>
              <w:rPr>
                <w:rFonts w:ascii="Arial" w:cs="Arial" w:eastAsia="Arial" w:hAnsi="Arial"/>
                <w:sz w:val="18"/>
                <w:szCs w:val="18"/>
                <w:color w:val="auto"/>
              </w:rPr>
              <w:t>Rights and Remedies</w:t>
            </w:r>
          </w:p>
        </w:tc>
        <w:tc>
          <w:tcPr>
            <w:tcW w:w="15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7.04.</w:t>
            </w:r>
          </w:p>
        </w:tc>
        <w:tc>
          <w:tcPr>
            <w:tcW w:w="8080" w:type="dxa"/>
            <w:vAlign w:val="bottom"/>
          </w:tcPr>
          <w:p>
            <w:pPr>
              <w:ind w:left="460"/>
              <w:spacing w:after="0"/>
              <w:rPr>
                <w:sz w:val="20"/>
                <w:szCs w:val="20"/>
                <w:color w:val="auto"/>
              </w:rPr>
            </w:pPr>
            <w:r>
              <w:rPr>
                <w:rFonts w:ascii="Arial" w:cs="Arial" w:eastAsia="Arial" w:hAnsi="Arial"/>
                <w:sz w:val="18"/>
                <w:szCs w:val="18"/>
                <w:color w:val="auto"/>
              </w:rPr>
              <w:t>Remedies Cumulative</w:t>
            </w:r>
          </w:p>
        </w:tc>
        <w:tc>
          <w:tcPr>
            <w:tcW w:w="1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7.05.</w:t>
            </w:r>
          </w:p>
        </w:tc>
        <w:tc>
          <w:tcPr>
            <w:tcW w:w="8080" w:type="dxa"/>
            <w:vAlign w:val="bottom"/>
          </w:tcPr>
          <w:p>
            <w:pPr>
              <w:ind w:left="460"/>
              <w:spacing w:after="0"/>
              <w:rPr>
                <w:sz w:val="20"/>
                <w:szCs w:val="20"/>
                <w:color w:val="auto"/>
              </w:rPr>
            </w:pPr>
            <w:r>
              <w:rPr>
                <w:rFonts w:ascii="Arial" w:cs="Arial" w:eastAsia="Arial" w:hAnsi="Arial"/>
                <w:sz w:val="18"/>
                <w:szCs w:val="18"/>
                <w:color w:val="auto"/>
              </w:rPr>
              <w:t>Related Documents</w:t>
            </w:r>
          </w:p>
        </w:tc>
        <w:tc>
          <w:tcPr>
            <w:tcW w:w="1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7.06.</w:t>
            </w:r>
          </w:p>
        </w:tc>
        <w:tc>
          <w:tcPr>
            <w:tcW w:w="8080" w:type="dxa"/>
            <w:vAlign w:val="bottom"/>
          </w:tcPr>
          <w:p>
            <w:pPr>
              <w:ind w:left="460"/>
              <w:spacing w:after="0"/>
              <w:rPr>
                <w:sz w:val="20"/>
                <w:szCs w:val="20"/>
                <w:color w:val="auto"/>
              </w:rPr>
            </w:pPr>
            <w:r>
              <w:rPr>
                <w:rFonts w:ascii="Arial" w:cs="Arial" w:eastAsia="Arial" w:hAnsi="Arial"/>
                <w:sz w:val="18"/>
                <w:szCs w:val="18"/>
                <w:color w:val="auto"/>
              </w:rPr>
              <w:t>Borrower Remains Liable</w:t>
            </w:r>
          </w:p>
        </w:tc>
        <w:tc>
          <w:tcPr>
            <w:tcW w:w="15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7.07.</w:t>
            </w:r>
          </w:p>
        </w:tc>
        <w:tc>
          <w:tcPr>
            <w:tcW w:w="8080" w:type="dxa"/>
            <w:vAlign w:val="bottom"/>
          </w:tcPr>
          <w:p>
            <w:pPr>
              <w:ind w:left="460"/>
              <w:spacing w:after="0"/>
              <w:rPr>
                <w:sz w:val="20"/>
                <w:szCs w:val="20"/>
                <w:color w:val="auto"/>
              </w:rPr>
            </w:pPr>
            <w:r>
              <w:rPr>
                <w:rFonts w:ascii="Arial" w:cs="Arial" w:eastAsia="Arial" w:hAnsi="Arial"/>
                <w:sz w:val="18"/>
                <w:szCs w:val="18"/>
                <w:color w:val="auto"/>
              </w:rPr>
              <w:t>Protection of Collateral</w:t>
            </w:r>
          </w:p>
        </w:tc>
        <w:tc>
          <w:tcPr>
            <w:tcW w:w="15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VIII</w:t>
            </w:r>
          </w:p>
        </w:tc>
        <w:tc>
          <w:tcPr>
            <w:tcW w:w="8080" w:type="dxa"/>
            <w:vAlign w:val="bottom"/>
          </w:tcPr>
          <w:p>
            <w:pPr>
              <w:ind w:left="40"/>
              <w:spacing w:after="0"/>
              <w:rPr>
                <w:sz w:val="20"/>
                <w:szCs w:val="20"/>
                <w:color w:val="auto"/>
              </w:rPr>
            </w:pPr>
            <w:r>
              <w:rPr>
                <w:rFonts w:ascii="Arial" w:cs="Arial" w:eastAsia="Arial" w:hAnsi="Arial"/>
                <w:sz w:val="18"/>
                <w:szCs w:val="18"/>
                <w:color w:val="auto"/>
              </w:rPr>
              <w:t>ACCOUNTS, ACCOUNTINGS AND RELEASES</w:t>
            </w:r>
          </w:p>
        </w:tc>
        <w:tc>
          <w:tcPr>
            <w:tcW w:w="1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18"/>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8.01.</w:t>
            </w:r>
          </w:p>
        </w:tc>
        <w:tc>
          <w:tcPr>
            <w:tcW w:w="8080" w:type="dxa"/>
            <w:vAlign w:val="bottom"/>
          </w:tcPr>
          <w:p>
            <w:pPr>
              <w:ind w:left="460"/>
              <w:spacing w:after="0"/>
              <w:rPr>
                <w:sz w:val="20"/>
                <w:szCs w:val="20"/>
                <w:color w:val="auto"/>
              </w:rPr>
            </w:pPr>
            <w:r>
              <w:rPr>
                <w:rFonts w:ascii="Arial" w:cs="Arial" w:eastAsia="Arial" w:hAnsi="Arial"/>
                <w:sz w:val="18"/>
                <w:szCs w:val="18"/>
                <w:color w:val="auto"/>
              </w:rPr>
              <w:t>Collection of Money</w:t>
            </w:r>
          </w:p>
        </w:tc>
        <w:tc>
          <w:tcPr>
            <w:tcW w:w="1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8.02.</w:t>
            </w:r>
          </w:p>
        </w:tc>
        <w:tc>
          <w:tcPr>
            <w:tcW w:w="8080" w:type="dxa"/>
            <w:vAlign w:val="bottom"/>
          </w:tcPr>
          <w:p>
            <w:pPr>
              <w:ind w:left="460"/>
              <w:spacing w:after="0"/>
              <w:rPr>
                <w:sz w:val="20"/>
                <w:szCs w:val="20"/>
                <w:color w:val="auto"/>
              </w:rPr>
            </w:pPr>
            <w:r>
              <w:rPr>
                <w:rFonts w:ascii="Arial" w:cs="Arial" w:eastAsia="Arial" w:hAnsi="Arial"/>
                <w:sz w:val="18"/>
                <w:szCs w:val="18"/>
                <w:color w:val="auto"/>
              </w:rPr>
              <w:t>Collection Account</w:t>
            </w:r>
          </w:p>
        </w:tc>
        <w:tc>
          <w:tcPr>
            <w:tcW w:w="1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8.03.</w:t>
            </w:r>
          </w:p>
        </w:tc>
        <w:tc>
          <w:tcPr>
            <w:tcW w:w="8080" w:type="dxa"/>
            <w:vAlign w:val="bottom"/>
          </w:tcPr>
          <w:p>
            <w:pPr>
              <w:ind w:left="460"/>
              <w:spacing w:after="0"/>
              <w:rPr>
                <w:sz w:val="20"/>
                <w:szCs w:val="20"/>
                <w:color w:val="auto"/>
              </w:rPr>
            </w:pPr>
            <w:r>
              <w:rPr>
                <w:rFonts w:ascii="Arial" w:cs="Arial" w:eastAsia="Arial" w:hAnsi="Arial"/>
                <w:sz w:val="18"/>
                <w:szCs w:val="18"/>
                <w:color w:val="auto"/>
              </w:rPr>
              <w:t>Transaction Accounts</w:t>
            </w:r>
          </w:p>
        </w:tc>
        <w:tc>
          <w:tcPr>
            <w:tcW w:w="1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8.04.</w:t>
            </w:r>
          </w:p>
        </w:tc>
        <w:tc>
          <w:tcPr>
            <w:tcW w:w="8080" w:type="dxa"/>
            <w:vAlign w:val="bottom"/>
          </w:tcPr>
          <w:p>
            <w:pPr>
              <w:ind w:left="460"/>
              <w:spacing w:after="0"/>
              <w:rPr>
                <w:sz w:val="20"/>
                <w:szCs w:val="20"/>
                <w:color w:val="auto"/>
              </w:rPr>
            </w:pPr>
            <w:r>
              <w:rPr>
                <w:rFonts w:ascii="Arial" w:cs="Arial" w:eastAsia="Arial" w:hAnsi="Arial"/>
                <w:sz w:val="18"/>
                <w:szCs w:val="18"/>
                <w:color w:val="auto"/>
              </w:rPr>
              <w:t>The Revolving Reserve Account; Fundings</w:t>
            </w:r>
          </w:p>
        </w:tc>
        <w:tc>
          <w:tcPr>
            <w:tcW w:w="1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8.05.</w:t>
            </w:r>
          </w:p>
        </w:tc>
        <w:tc>
          <w:tcPr>
            <w:tcW w:w="8080" w:type="dxa"/>
            <w:vAlign w:val="bottom"/>
          </w:tcPr>
          <w:p>
            <w:pPr>
              <w:ind w:left="460"/>
              <w:spacing w:after="0"/>
              <w:rPr>
                <w:sz w:val="20"/>
                <w:szCs w:val="20"/>
                <w:color w:val="auto"/>
              </w:rPr>
            </w:pPr>
            <w:r>
              <w:rPr>
                <w:rFonts w:ascii="Arial" w:cs="Arial" w:eastAsia="Arial" w:hAnsi="Arial"/>
                <w:sz w:val="18"/>
                <w:szCs w:val="18"/>
                <w:color w:val="auto"/>
              </w:rPr>
              <w:t>Reinvestment of Funds in Covered Accounts; Reports by Collateral Agent</w:t>
            </w:r>
          </w:p>
        </w:tc>
        <w:tc>
          <w:tcPr>
            <w:tcW w:w="1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8.06.</w:t>
            </w:r>
          </w:p>
        </w:tc>
        <w:tc>
          <w:tcPr>
            <w:tcW w:w="8080" w:type="dxa"/>
            <w:vAlign w:val="bottom"/>
          </w:tcPr>
          <w:p>
            <w:pPr>
              <w:ind w:left="460"/>
              <w:spacing w:after="0"/>
              <w:rPr>
                <w:sz w:val="20"/>
                <w:szCs w:val="20"/>
                <w:color w:val="auto"/>
              </w:rPr>
            </w:pPr>
            <w:r>
              <w:rPr>
                <w:rFonts w:ascii="Arial" w:cs="Arial" w:eastAsia="Arial" w:hAnsi="Arial"/>
                <w:sz w:val="18"/>
                <w:szCs w:val="18"/>
                <w:color w:val="auto"/>
              </w:rPr>
              <w:t>Accountings</w:t>
            </w:r>
          </w:p>
        </w:tc>
        <w:tc>
          <w:tcPr>
            <w:tcW w:w="1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8.07.</w:t>
            </w:r>
          </w:p>
        </w:tc>
        <w:tc>
          <w:tcPr>
            <w:tcW w:w="8080" w:type="dxa"/>
            <w:vAlign w:val="bottom"/>
          </w:tcPr>
          <w:p>
            <w:pPr>
              <w:ind w:left="460"/>
              <w:spacing w:after="0"/>
              <w:rPr>
                <w:sz w:val="20"/>
                <w:szCs w:val="20"/>
                <w:color w:val="auto"/>
              </w:rPr>
            </w:pPr>
            <w:r>
              <w:rPr>
                <w:rFonts w:ascii="Arial" w:cs="Arial" w:eastAsia="Arial" w:hAnsi="Arial"/>
                <w:sz w:val="18"/>
                <w:szCs w:val="18"/>
                <w:color w:val="auto"/>
              </w:rPr>
              <w:t>Release of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8.08.</w:t>
            </w:r>
          </w:p>
        </w:tc>
        <w:tc>
          <w:tcPr>
            <w:tcW w:w="8080" w:type="dxa"/>
            <w:vAlign w:val="bottom"/>
          </w:tcPr>
          <w:p>
            <w:pPr>
              <w:ind w:left="460"/>
              <w:spacing w:after="0"/>
              <w:rPr>
                <w:sz w:val="20"/>
                <w:szCs w:val="20"/>
                <w:color w:val="auto"/>
              </w:rPr>
            </w:pPr>
            <w:r>
              <w:rPr>
                <w:rFonts w:ascii="Arial" w:cs="Arial" w:eastAsia="Arial" w:hAnsi="Arial"/>
                <w:sz w:val="18"/>
                <w:szCs w:val="18"/>
                <w:color w:val="auto"/>
              </w:rPr>
              <w:t>Reports by Independent Accountants</w:t>
            </w:r>
          </w:p>
        </w:tc>
        <w:tc>
          <w:tcPr>
            <w:tcW w:w="15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8.09.</w:t>
            </w:r>
          </w:p>
        </w:tc>
        <w:tc>
          <w:tcPr>
            <w:tcW w:w="8080" w:type="dxa"/>
            <w:vAlign w:val="bottom"/>
          </w:tcPr>
          <w:p>
            <w:pPr>
              <w:ind w:left="460"/>
              <w:spacing w:after="0"/>
              <w:rPr>
                <w:sz w:val="20"/>
                <w:szCs w:val="20"/>
                <w:color w:val="auto"/>
              </w:rPr>
            </w:pPr>
            <w:r>
              <w:rPr>
                <w:rFonts w:ascii="Arial" w:cs="Arial" w:eastAsia="Arial" w:hAnsi="Arial"/>
                <w:sz w:val="18"/>
                <w:szCs w:val="18"/>
                <w:color w:val="auto"/>
              </w:rPr>
              <w:t>Covered Account Details</w:t>
            </w:r>
          </w:p>
        </w:tc>
        <w:tc>
          <w:tcPr>
            <w:tcW w:w="1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IX</w:t>
            </w:r>
          </w:p>
        </w:tc>
        <w:tc>
          <w:tcPr>
            <w:tcW w:w="8080" w:type="dxa"/>
            <w:vAlign w:val="bottom"/>
          </w:tcPr>
          <w:p>
            <w:pPr>
              <w:ind w:left="40"/>
              <w:spacing w:after="0"/>
              <w:rPr>
                <w:sz w:val="20"/>
                <w:szCs w:val="20"/>
                <w:color w:val="auto"/>
              </w:rPr>
            </w:pPr>
            <w:r>
              <w:rPr>
                <w:rFonts w:ascii="Arial" w:cs="Arial" w:eastAsia="Arial" w:hAnsi="Arial"/>
                <w:sz w:val="18"/>
                <w:szCs w:val="18"/>
                <w:color w:val="auto"/>
              </w:rPr>
              <w:t>APPLICATION OF MONIES</w:t>
            </w:r>
          </w:p>
        </w:tc>
        <w:tc>
          <w:tcPr>
            <w:tcW w:w="1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9.01.</w:t>
            </w:r>
          </w:p>
        </w:tc>
        <w:tc>
          <w:tcPr>
            <w:tcW w:w="8080" w:type="dxa"/>
            <w:vAlign w:val="bottom"/>
          </w:tcPr>
          <w:p>
            <w:pPr>
              <w:ind w:left="460"/>
              <w:spacing w:after="0"/>
              <w:rPr>
                <w:sz w:val="20"/>
                <w:szCs w:val="20"/>
                <w:color w:val="auto"/>
              </w:rPr>
            </w:pPr>
            <w:r>
              <w:rPr>
                <w:rFonts w:ascii="Arial" w:cs="Arial" w:eastAsia="Arial" w:hAnsi="Arial"/>
                <w:sz w:val="18"/>
                <w:szCs w:val="18"/>
                <w:color w:val="auto"/>
              </w:rPr>
              <w:t>Disbursements of Monies from Payment Account</w:t>
            </w:r>
          </w:p>
        </w:tc>
        <w:tc>
          <w:tcPr>
            <w:tcW w:w="1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X</w:t>
            </w:r>
          </w:p>
        </w:tc>
        <w:tc>
          <w:tcPr>
            <w:tcW w:w="8080" w:type="dxa"/>
            <w:vAlign w:val="bottom"/>
          </w:tcPr>
          <w:p>
            <w:pPr>
              <w:ind w:left="40"/>
              <w:spacing w:after="0"/>
              <w:rPr>
                <w:sz w:val="20"/>
                <w:szCs w:val="20"/>
                <w:color w:val="auto"/>
              </w:rPr>
            </w:pPr>
            <w:r>
              <w:rPr>
                <w:rFonts w:ascii="Arial" w:cs="Arial" w:eastAsia="Arial" w:hAnsi="Arial"/>
                <w:sz w:val="18"/>
                <w:szCs w:val="18"/>
                <w:color w:val="auto"/>
              </w:rPr>
              <w:t>SALE OF COLLATERAL LOANS; PURCHASE OF ADDITIONAL COLLATERAL LOANS</w:t>
            </w:r>
          </w:p>
        </w:tc>
        <w:tc>
          <w:tcPr>
            <w:tcW w:w="1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18"/>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10.01.</w:t>
            </w:r>
          </w:p>
        </w:tc>
        <w:tc>
          <w:tcPr>
            <w:tcW w:w="8080" w:type="dxa"/>
            <w:vAlign w:val="bottom"/>
          </w:tcPr>
          <w:p>
            <w:pPr>
              <w:ind w:left="460"/>
              <w:spacing w:after="0"/>
              <w:rPr>
                <w:sz w:val="20"/>
                <w:szCs w:val="20"/>
                <w:color w:val="auto"/>
              </w:rPr>
            </w:pPr>
            <w:r>
              <w:rPr>
                <w:rFonts w:ascii="Arial" w:cs="Arial" w:eastAsia="Arial" w:hAnsi="Arial"/>
                <w:sz w:val="18"/>
                <w:szCs w:val="18"/>
                <w:color w:val="auto"/>
              </w:rPr>
              <w:t>Sales of Collateral Loans</w:t>
            </w:r>
          </w:p>
        </w:tc>
        <w:tc>
          <w:tcPr>
            <w:tcW w:w="1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10.02.</w:t>
            </w:r>
          </w:p>
        </w:tc>
        <w:tc>
          <w:tcPr>
            <w:tcW w:w="8080" w:type="dxa"/>
            <w:vAlign w:val="bottom"/>
          </w:tcPr>
          <w:p>
            <w:pPr>
              <w:ind w:left="460"/>
              <w:spacing w:after="0"/>
              <w:rPr>
                <w:sz w:val="20"/>
                <w:szCs w:val="20"/>
                <w:color w:val="auto"/>
              </w:rPr>
            </w:pPr>
            <w:r>
              <w:rPr>
                <w:rFonts w:ascii="Arial" w:cs="Arial" w:eastAsia="Arial" w:hAnsi="Arial"/>
                <w:sz w:val="18"/>
                <w:szCs w:val="18"/>
                <w:color w:val="auto"/>
              </w:rPr>
              <w:t>Purchase of Additional Collateral Loans</w:t>
            </w:r>
          </w:p>
        </w:tc>
        <w:tc>
          <w:tcPr>
            <w:tcW w:w="1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10.03.</w:t>
            </w:r>
          </w:p>
        </w:tc>
        <w:tc>
          <w:tcPr>
            <w:tcW w:w="8080" w:type="dxa"/>
            <w:vAlign w:val="bottom"/>
          </w:tcPr>
          <w:p>
            <w:pPr>
              <w:ind w:left="460"/>
              <w:spacing w:after="0"/>
              <w:rPr>
                <w:sz w:val="20"/>
                <w:szCs w:val="20"/>
                <w:color w:val="auto"/>
              </w:rPr>
            </w:pPr>
            <w:r>
              <w:rPr>
                <w:rFonts w:ascii="Arial" w:cs="Arial" w:eastAsia="Arial" w:hAnsi="Arial"/>
                <w:sz w:val="18"/>
                <w:szCs w:val="18"/>
                <w:color w:val="auto"/>
              </w:rPr>
              <w:t>Substitution and Transfer of Loans</w:t>
            </w:r>
          </w:p>
        </w:tc>
        <w:tc>
          <w:tcPr>
            <w:tcW w:w="1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10.04.</w:t>
            </w:r>
          </w:p>
        </w:tc>
        <w:tc>
          <w:tcPr>
            <w:tcW w:w="8080" w:type="dxa"/>
            <w:vAlign w:val="bottom"/>
          </w:tcPr>
          <w:p>
            <w:pPr>
              <w:ind w:left="460"/>
              <w:spacing w:after="0"/>
              <w:rPr>
                <w:sz w:val="20"/>
                <w:szCs w:val="20"/>
                <w:color w:val="auto"/>
              </w:rPr>
            </w:pPr>
            <w:r>
              <w:rPr>
                <w:rFonts w:ascii="Arial" w:cs="Arial" w:eastAsia="Arial" w:hAnsi="Arial"/>
                <w:sz w:val="18"/>
                <w:szCs w:val="18"/>
                <w:color w:val="auto"/>
              </w:rPr>
              <w:t>Conditions Applicable to All Sale and Purchase Transactions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10.05.</w:t>
            </w:r>
          </w:p>
        </w:tc>
        <w:tc>
          <w:tcPr>
            <w:tcW w:w="8080" w:type="dxa"/>
            <w:vAlign w:val="bottom"/>
          </w:tcPr>
          <w:p>
            <w:pPr>
              <w:ind w:left="460"/>
              <w:spacing w:after="0"/>
              <w:rPr>
                <w:sz w:val="20"/>
                <w:szCs w:val="20"/>
                <w:color w:val="auto"/>
              </w:rPr>
            </w:pPr>
            <w:r>
              <w:rPr>
                <w:rFonts w:ascii="Arial" w:cs="Arial" w:eastAsia="Arial" w:hAnsi="Arial"/>
                <w:sz w:val="18"/>
                <w:szCs w:val="18"/>
                <w:color w:val="auto"/>
              </w:rPr>
              <w:t>Additional Equity Contributions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XI</w:t>
            </w:r>
          </w:p>
        </w:tc>
        <w:tc>
          <w:tcPr>
            <w:tcW w:w="8080" w:type="dxa"/>
            <w:vAlign w:val="bottom"/>
          </w:tcPr>
          <w:p>
            <w:pPr>
              <w:ind w:left="40"/>
              <w:spacing w:after="0"/>
              <w:rPr>
                <w:sz w:val="20"/>
                <w:szCs w:val="20"/>
                <w:color w:val="auto"/>
              </w:rPr>
            </w:pPr>
            <w:r>
              <w:rPr>
                <w:rFonts w:ascii="Arial" w:cs="Arial" w:eastAsia="Arial" w:hAnsi="Arial"/>
                <w:sz w:val="18"/>
                <w:szCs w:val="18"/>
                <w:color w:val="auto"/>
              </w:rPr>
              <w:t>ADMINISTRATION AND SERVICING OF CONTRACTS</w:t>
            </w:r>
          </w:p>
        </w:tc>
        <w:tc>
          <w:tcPr>
            <w:tcW w:w="1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18"/>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11.01.</w:t>
            </w:r>
          </w:p>
        </w:tc>
        <w:tc>
          <w:tcPr>
            <w:tcW w:w="8080" w:type="dxa"/>
            <w:vAlign w:val="bottom"/>
          </w:tcPr>
          <w:p>
            <w:pPr>
              <w:ind w:left="460"/>
              <w:spacing w:after="0"/>
              <w:rPr>
                <w:sz w:val="20"/>
                <w:szCs w:val="20"/>
                <w:color w:val="auto"/>
              </w:rPr>
            </w:pPr>
            <w:r>
              <w:rPr>
                <w:rFonts w:ascii="Arial" w:cs="Arial" w:eastAsia="Arial" w:hAnsi="Arial"/>
                <w:sz w:val="18"/>
                <w:szCs w:val="18"/>
                <w:color w:val="auto"/>
              </w:rPr>
              <w:t>Designation of the Collateral Manager</w:t>
            </w:r>
          </w:p>
        </w:tc>
        <w:tc>
          <w:tcPr>
            <w:tcW w:w="1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11.02.</w:t>
            </w:r>
          </w:p>
        </w:tc>
        <w:tc>
          <w:tcPr>
            <w:tcW w:w="8080" w:type="dxa"/>
            <w:vAlign w:val="bottom"/>
          </w:tcPr>
          <w:p>
            <w:pPr>
              <w:ind w:left="460"/>
              <w:spacing w:after="0"/>
              <w:rPr>
                <w:sz w:val="20"/>
                <w:szCs w:val="20"/>
                <w:color w:val="auto"/>
              </w:rPr>
            </w:pPr>
            <w:r>
              <w:rPr>
                <w:rFonts w:ascii="Arial" w:cs="Arial" w:eastAsia="Arial" w:hAnsi="Arial"/>
                <w:sz w:val="18"/>
                <w:szCs w:val="18"/>
                <w:color w:val="auto"/>
              </w:rPr>
              <w:t>Duties of the Collateral Manager</w:t>
            </w:r>
          </w:p>
        </w:tc>
        <w:tc>
          <w:tcPr>
            <w:tcW w:w="1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11.03.</w:t>
            </w:r>
          </w:p>
        </w:tc>
        <w:tc>
          <w:tcPr>
            <w:tcW w:w="8080" w:type="dxa"/>
            <w:vAlign w:val="bottom"/>
          </w:tcPr>
          <w:p>
            <w:pPr>
              <w:ind w:left="460"/>
              <w:spacing w:after="0"/>
              <w:rPr>
                <w:sz w:val="20"/>
                <w:szCs w:val="20"/>
                <w:color w:val="auto"/>
              </w:rPr>
            </w:pPr>
            <w:r>
              <w:rPr>
                <w:rFonts w:ascii="Arial" w:cs="Arial" w:eastAsia="Arial" w:hAnsi="Arial"/>
                <w:sz w:val="18"/>
                <w:szCs w:val="18"/>
                <w:color w:val="auto"/>
              </w:rPr>
              <w:t>Liability of the Collateral Manager; Indemnification of the Collateral Manager Persons</w:t>
            </w:r>
          </w:p>
        </w:tc>
        <w:tc>
          <w:tcPr>
            <w:tcW w:w="156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388" w:right="4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11.04.</w:t>
            </w:r>
          </w:p>
        </w:tc>
        <w:tc>
          <w:tcPr>
            <w:tcW w:w="7860" w:type="dxa"/>
            <w:vAlign w:val="bottom"/>
          </w:tcPr>
          <w:p>
            <w:pPr>
              <w:ind w:left="460"/>
              <w:spacing w:after="0"/>
              <w:rPr>
                <w:sz w:val="20"/>
                <w:szCs w:val="20"/>
                <w:color w:val="auto"/>
              </w:rPr>
            </w:pPr>
            <w:r>
              <w:rPr>
                <w:rFonts w:ascii="Arial" w:cs="Arial" w:eastAsia="Arial" w:hAnsi="Arial"/>
                <w:sz w:val="18"/>
                <w:szCs w:val="18"/>
                <w:color w:val="auto"/>
              </w:rPr>
              <w:t>Authorization of the Collateral Manager</w:t>
            </w:r>
          </w:p>
        </w:tc>
        <w:tc>
          <w:tcPr>
            <w:tcW w:w="17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11.05.</w:t>
            </w:r>
          </w:p>
        </w:tc>
        <w:tc>
          <w:tcPr>
            <w:tcW w:w="7860" w:type="dxa"/>
            <w:vAlign w:val="bottom"/>
          </w:tcPr>
          <w:p>
            <w:pPr>
              <w:ind w:left="460"/>
              <w:spacing w:after="0"/>
              <w:rPr>
                <w:sz w:val="20"/>
                <w:szCs w:val="20"/>
                <w:color w:val="auto"/>
              </w:rPr>
            </w:pPr>
            <w:r>
              <w:rPr>
                <w:rFonts w:ascii="Arial" w:cs="Arial" w:eastAsia="Arial" w:hAnsi="Arial"/>
                <w:sz w:val="18"/>
                <w:szCs w:val="18"/>
                <w:color w:val="auto"/>
              </w:rPr>
              <w:t>Realization Upon Defaulted Collateral Loans</w:t>
            </w:r>
          </w:p>
        </w:tc>
        <w:tc>
          <w:tcPr>
            <w:tcW w:w="17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11.06.</w:t>
            </w:r>
          </w:p>
        </w:tc>
        <w:tc>
          <w:tcPr>
            <w:tcW w:w="7860" w:type="dxa"/>
            <w:vAlign w:val="bottom"/>
          </w:tcPr>
          <w:p>
            <w:pPr>
              <w:ind w:left="460"/>
              <w:spacing w:after="0"/>
              <w:rPr>
                <w:sz w:val="20"/>
                <w:szCs w:val="20"/>
                <w:color w:val="auto"/>
              </w:rPr>
            </w:pPr>
            <w:r>
              <w:rPr>
                <w:rFonts w:ascii="Arial" w:cs="Arial" w:eastAsia="Arial" w:hAnsi="Arial"/>
                <w:sz w:val="18"/>
                <w:szCs w:val="18"/>
                <w:color w:val="auto"/>
              </w:rPr>
              <w:t>Collateral Management Compensation</w:t>
            </w:r>
          </w:p>
        </w:tc>
        <w:tc>
          <w:tcPr>
            <w:tcW w:w="17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11.07.</w:t>
            </w:r>
          </w:p>
        </w:tc>
        <w:tc>
          <w:tcPr>
            <w:tcW w:w="7860" w:type="dxa"/>
            <w:vAlign w:val="bottom"/>
          </w:tcPr>
          <w:p>
            <w:pPr>
              <w:ind w:left="460"/>
              <w:spacing w:after="0"/>
              <w:rPr>
                <w:sz w:val="20"/>
                <w:szCs w:val="20"/>
                <w:color w:val="auto"/>
              </w:rPr>
            </w:pPr>
            <w:r>
              <w:rPr>
                <w:rFonts w:ascii="Arial" w:cs="Arial" w:eastAsia="Arial" w:hAnsi="Arial"/>
                <w:sz w:val="18"/>
                <w:szCs w:val="18"/>
                <w:color w:val="auto"/>
              </w:rPr>
              <w:t>Payment of Certain Expenses by Collateral Manager</w:t>
            </w:r>
          </w:p>
        </w:tc>
        <w:tc>
          <w:tcPr>
            <w:tcW w:w="17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11.08.</w:t>
            </w:r>
          </w:p>
        </w:tc>
        <w:tc>
          <w:tcPr>
            <w:tcW w:w="7860" w:type="dxa"/>
            <w:vAlign w:val="bottom"/>
          </w:tcPr>
          <w:p>
            <w:pPr>
              <w:ind w:left="460"/>
              <w:spacing w:after="0"/>
              <w:rPr>
                <w:sz w:val="20"/>
                <w:szCs w:val="20"/>
                <w:color w:val="auto"/>
              </w:rPr>
            </w:pPr>
            <w:r>
              <w:rPr>
                <w:rFonts w:ascii="Arial" w:cs="Arial" w:eastAsia="Arial" w:hAnsi="Arial"/>
                <w:sz w:val="18"/>
                <w:szCs w:val="18"/>
                <w:color w:val="auto"/>
              </w:rPr>
              <w:t>The Collateral Manager Not to Resign; Assignment</w:t>
            </w:r>
          </w:p>
        </w:tc>
        <w:tc>
          <w:tcPr>
            <w:tcW w:w="17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11.09.</w:t>
            </w:r>
          </w:p>
        </w:tc>
        <w:tc>
          <w:tcPr>
            <w:tcW w:w="7860" w:type="dxa"/>
            <w:vAlign w:val="bottom"/>
          </w:tcPr>
          <w:p>
            <w:pPr>
              <w:ind w:left="460"/>
              <w:spacing w:after="0"/>
              <w:rPr>
                <w:sz w:val="20"/>
                <w:szCs w:val="20"/>
                <w:color w:val="auto"/>
              </w:rPr>
            </w:pPr>
            <w:r>
              <w:rPr>
                <w:rFonts w:ascii="Arial" w:cs="Arial" w:eastAsia="Arial" w:hAnsi="Arial"/>
                <w:sz w:val="18"/>
                <w:szCs w:val="18"/>
                <w:color w:val="auto"/>
              </w:rPr>
              <w:t>Appointment of Successor Collateral Manager</w:t>
            </w:r>
          </w:p>
        </w:tc>
        <w:tc>
          <w:tcPr>
            <w:tcW w:w="17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XII</w:t>
            </w:r>
          </w:p>
        </w:tc>
        <w:tc>
          <w:tcPr>
            <w:tcW w:w="7860" w:type="dxa"/>
            <w:vAlign w:val="bottom"/>
          </w:tcPr>
          <w:p>
            <w:pPr>
              <w:ind w:left="40"/>
              <w:spacing w:after="0"/>
              <w:rPr>
                <w:sz w:val="20"/>
                <w:szCs w:val="20"/>
                <w:color w:val="auto"/>
              </w:rPr>
            </w:pPr>
            <w:r>
              <w:rPr>
                <w:rFonts w:ascii="Arial" w:cs="Arial" w:eastAsia="Arial" w:hAnsi="Arial"/>
                <w:sz w:val="18"/>
                <w:szCs w:val="18"/>
                <w:color w:val="auto"/>
              </w:rPr>
              <w:t>THE AGENTS</w:t>
            </w:r>
          </w:p>
        </w:tc>
        <w:tc>
          <w:tcPr>
            <w:tcW w:w="17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18"/>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12.01.</w:t>
            </w:r>
          </w:p>
        </w:tc>
        <w:tc>
          <w:tcPr>
            <w:tcW w:w="7860" w:type="dxa"/>
            <w:vAlign w:val="bottom"/>
          </w:tcPr>
          <w:p>
            <w:pPr>
              <w:ind w:left="460"/>
              <w:spacing w:after="0"/>
              <w:rPr>
                <w:sz w:val="20"/>
                <w:szCs w:val="20"/>
                <w:color w:val="auto"/>
              </w:rPr>
            </w:pPr>
            <w:r>
              <w:rPr>
                <w:rFonts w:ascii="Arial" w:cs="Arial" w:eastAsia="Arial" w:hAnsi="Arial"/>
                <w:sz w:val="18"/>
                <w:szCs w:val="18"/>
                <w:color w:val="auto"/>
              </w:rPr>
              <w:t>Authorization and Action</w:t>
            </w:r>
          </w:p>
        </w:tc>
        <w:tc>
          <w:tcPr>
            <w:tcW w:w="17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12.02.</w:t>
            </w:r>
          </w:p>
        </w:tc>
        <w:tc>
          <w:tcPr>
            <w:tcW w:w="7860" w:type="dxa"/>
            <w:vAlign w:val="bottom"/>
          </w:tcPr>
          <w:p>
            <w:pPr>
              <w:ind w:left="460"/>
              <w:spacing w:after="0"/>
              <w:rPr>
                <w:sz w:val="20"/>
                <w:szCs w:val="20"/>
                <w:color w:val="auto"/>
              </w:rPr>
            </w:pPr>
            <w:r>
              <w:rPr>
                <w:rFonts w:ascii="Arial" w:cs="Arial" w:eastAsia="Arial" w:hAnsi="Arial"/>
                <w:sz w:val="18"/>
                <w:szCs w:val="18"/>
                <w:color w:val="auto"/>
              </w:rPr>
              <w:t>Delegation of Duties</w:t>
            </w:r>
          </w:p>
        </w:tc>
        <w:tc>
          <w:tcPr>
            <w:tcW w:w="17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12.03.</w:t>
            </w:r>
          </w:p>
        </w:tc>
        <w:tc>
          <w:tcPr>
            <w:tcW w:w="7860" w:type="dxa"/>
            <w:vAlign w:val="bottom"/>
          </w:tcPr>
          <w:p>
            <w:pPr>
              <w:ind w:left="460"/>
              <w:spacing w:after="0"/>
              <w:rPr>
                <w:sz w:val="20"/>
                <w:szCs w:val="20"/>
                <w:color w:val="auto"/>
              </w:rPr>
            </w:pPr>
            <w:r>
              <w:rPr>
                <w:rFonts w:ascii="Arial" w:cs="Arial" w:eastAsia="Arial" w:hAnsi="Arial"/>
                <w:sz w:val="18"/>
                <w:szCs w:val="18"/>
                <w:color w:val="auto"/>
              </w:rPr>
              <w:t>Agent’s Reliance, Etc.</w:t>
            </w:r>
          </w:p>
        </w:tc>
        <w:tc>
          <w:tcPr>
            <w:tcW w:w="17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12.04.</w:t>
            </w:r>
          </w:p>
        </w:tc>
        <w:tc>
          <w:tcPr>
            <w:tcW w:w="7860" w:type="dxa"/>
            <w:vAlign w:val="bottom"/>
          </w:tcPr>
          <w:p>
            <w:pPr>
              <w:ind w:left="460"/>
              <w:spacing w:after="0"/>
              <w:rPr>
                <w:sz w:val="20"/>
                <w:szCs w:val="20"/>
                <w:color w:val="auto"/>
              </w:rPr>
            </w:pPr>
            <w:r>
              <w:rPr>
                <w:rFonts w:ascii="Arial" w:cs="Arial" w:eastAsia="Arial" w:hAnsi="Arial"/>
                <w:sz w:val="18"/>
                <w:szCs w:val="18"/>
                <w:color w:val="auto"/>
              </w:rPr>
              <w:t>Indemnification</w:t>
            </w:r>
          </w:p>
        </w:tc>
        <w:tc>
          <w:tcPr>
            <w:tcW w:w="17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12.05.</w:t>
            </w:r>
          </w:p>
        </w:tc>
        <w:tc>
          <w:tcPr>
            <w:tcW w:w="7860" w:type="dxa"/>
            <w:vAlign w:val="bottom"/>
          </w:tcPr>
          <w:p>
            <w:pPr>
              <w:ind w:left="460"/>
              <w:spacing w:after="0"/>
              <w:rPr>
                <w:sz w:val="20"/>
                <w:szCs w:val="20"/>
                <w:color w:val="auto"/>
              </w:rPr>
            </w:pPr>
            <w:r>
              <w:rPr>
                <w:rFonts w:ascii="Arial" w:cs="Arial" w:eastAsia="Arial" w:hAnsi="Arial"/>
                <w:sz w:val="18"/>
                <w:szCs w:val="18"/>
                <w:color w:val="auto"/>
              </w:rPr>
              <w:t>Successor Agents</w:t>
            </w:r>
          </w:p>
        </w:tc>
        <w:tc>
          <w:tcPr>
            <w:tcW w:w="17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12.06.</w:t>
            </w:r>
          </w:p>
        </w:tc>
        <w:tc>
          <w:tcPr>
            <w:tcW w:w="7860" w:type="dxa"/>
            <w:vAlign w:val="bottom"/>
          </w:tcPr>
          <w:p>
            <w:pPr>
              <w:ind w:left="460"/>
              <w:spacing w:after="0"/>
              <w:rPr>
                <w:sz w:val="20"/>
                <w:szCs w:val="20"/>
                <w:color w:val="auto"/>
              </w:rPr>
            </w:pPr>
            <w:r>
              <w:rPr>
                <w:rFonts w:ascii="Arial" w:cs="Arial" w:eastAsia="Arial" w:hAnsi="Arial"/>
                <w:sz w:val="18"/>
                <w:szCs w:val="18"/>
                <w:color w:val="auto"/>
              </w:rPr>
              <w:t>Resignation of SunTrust Robinson Humphrey, Inc.</w:t>
            </w:r>
          </w:p>
        </w:tc>
        <w:tc>
          <w:tcPr>
            <w:tcW w:w="17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XIII</w:t>
            </w:r>
          </w:p>
        </w:tc>
        <w:tc>
          <w:tcPr>
            <w:tcW w:w="7860" w:type="dxa"/>
            <w:vAlign w:val="bottom"/>
          </w:tcPr>
          <w:p>
            <w:pPr>
              <w:ind w:left="40"/>
              <w:spacing w:after="0"/>
              <w:rPr>
                <w:sz w:val="20"/>
                <w:szCs w:val="20"/>
                <w:color w:val="auto"/>
              </w:rPr>
            </w:pPr>
            <w:r>
              <w:rPr>
                <w:rFonts w:ascii="Arial" w:cs="Arial" w:eastAsia="Arial" w:hAnsi="Arial"/>
                <w:sz w:val="18"/>
                <w:szCs w:val="18"/>
                <w:color w:val="auto"/>
              </w:rPr>
              <w:t>THE BACKUP COLLATERAL MANAGER</w:t>
            </w:r>
          </w:p>
        </w:tc>
        <w:tc>
          <w:tcPr>
            <w:tcW w:w="17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18"/>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13.01.</w:t>
            </w:r>
          </w:p>
        </w:tc>
        <w:tc>
          <w:tcPr>
            <w:tcW w:w="7860" w:type="dxa"/>
            <w:vAlign w:val="bottom"/>
          </w:tcPr>
          <w:p>
            <w:pPr>
              <w:ind w:left="460"/>
              <w:spacing w:after="0"/>
              <w:rPr>
                <w:sz w:val="20"/>
                <w:szCs w:val="20"/>
                <w:color w:val="auto"/>
              </w:rPr>
            </w:pPr>
            <w:r>
              <w:rPr>
                <w:rFonts w:ascii="Arial" w:cs="Arial" w:eastAsia="Arial" w:hAnsi="Arial"/>
                <w:sz w:val="18"/>
                <w:szCs w:val="18"/>
                <w:color w:val="auto"/>
              </w:rPr>
              <w:t>Duties of the Backup Collateral Manager</w:t>
            </w:r>
          </w:p>
        </w:tc>
        <w:tc>
          <w:tcPr>
            <w:tcW w:w="17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13.02.</w:t>
            </w:r>
          </w:p>
        </w:tc>
        <w:tc>
          <w:tcPr>
            <w:tcW w:w="7860" w:type="dxa"/>
            <w:vAlign w:val="bottom"/>
          </w:tcPr>
          <w:p>
            <w:pPr>
              <w:ind w:left="460"/>
              <w:spacing w:after="0"/>
              <w:rPr>
                <w:sz w:val="20"/>
                <w:szCs w:val="20"/>
                <w:color w:val="auto"/>
              </w:rPr>
            </w:pPr>
            <w:r>
              <w:rPr>
                <w:rFonts w:ascii="Arial" w:cs="Arial" w:eastAsia="Arial" w:hAnsi="Arial"/>
                <w:sz w:val="18"/>
                <w:szCs w:val="18"/>
                <w:color w:val="auto"/>
              </w:rPr>
              <w:t>Fees of Backup Collateral Manager</w:t>
            </w:r>
          </w:p>
        </w:tc>
        <w:tc>
          <w:tcPr>
            <w:tcW w:w="17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13.03.</w:t>
            </w:r>
          </w:p>
        </w:tc>
        <w:tc>
          <w:tcPr>
            <w:tcW w:w="7860" w:type="dxa"/>
            <w:vAlign w:val="bottom"/>
          </w:tcPr>
          <w:p>
            <w:pPr>
              <w:ind w:left="460"/>
              <w:spacing w:after="0"/>
              <w:rPr>
                <w:sz w:val="20"/>
                <w:szCs w:val="20"/>
                <w:color w:val="auto"/>
              </w:rPr>
            </w:pPr>
            <w:r>
              <w:rPr>
                <w:rFonts w:ascii="Arial" w:cs="Arial" w:eastAsia="Arial" w:hAnsi="Arial"/>
                <w:sz w:val="18"/>
                <w:szCs w:val="18"/>
                <w:color w:val="auto"/>
              </w:rPr>
              <w:t>Assumption of Servicing Duties</w:t>
            </w:r>
          </w:p>
        </w:tc>
        <w:tc>
          <w:tcPr>
            <w:tcW w:w="17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13.04.</w:t>
            </w:r>
          </w:p>
        </w:tc>
        <w:tc>
          <w:tcPr>
            <w:tcW w:w="7860" w:type="dxa"/>
            <w:vAlign w:val="bottom"/>
          </w:tcPr>
          <w:p>
            <w:pPr>
              <w:ind w:left="460"/>
              <w:spacing w:after="0"/>
              <w:rPr>
                <w:sz w:val="20"/>
                <w:szCs w:val="20"/>
                <w:color w:val="auto"/>
              </w:rPr>
            </w:pPr>
            <w:r>
              <w:rPr>
                <w:rFonts w:ascii="Arial" w:cs="Arial" w:eastAsia="Arial" w:hAnsi="Arial"/>
                <w:sz w:val="18"/>
                <w:szCs w:val="18"/>
                <w:color w:val="auto"/>
              </w:rPr>
              <w:t>Indemnity</w:t>
            </w:r>
          </w:p>
        </w:tc>
        <w:tc>
          <w:tcPr>
            <w:tcW w:w="17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13.05.</w:t>
            </w:r>
          </w:p>
        </w:tc>
        <w:tc>
          <w:tcPr>
            <w:tcW w:w="7860" w:type="dxa"/>
            <w:vAlign w:val="bottom"/>
          </w:tcPr>
          <w:p>
            <w:pPr>
              <w:ind w:left="460"/>
              <w:spacing w:after="0"/>
              <w:rPr>
                <w:sz w:val="20"/>
                <w:szCs w:val="20"/>
                <w:color w:val="auto"/>
              </w:rPr>
            </w:pPr>
            <w:r>
              <w:rPr>
                <w:rFonts w:ascii="Arial" w:cs="Arial" w:eastAsia="Arial" w:hAnsi="Arial"/>
                <w:sz w:val="18"/>
                <w:szCs w:val="18"/>
                <w:color w:val="auto"/>
              </w:rPr>
              <w:t>Additional Provisions Applicable to Backup Collateral Manager</w:t>
            </w:r>
          </w:p>
        </w:tc>
        <w:tc>
          <w:tcPr>
            <w:tcW w:w="17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13.06.</w:t>
            </w:r>
          </w:p>
        </w:tc>
        <w:tc>
          <w:tcPr>
            <w:tcW w:w="7860" w:type="dxa"/>
            <w:vAlign w:val="bottom"/>
          </w:tcPr>
          <w:p>
            <w:pPr>
              <w:ind w:left="460"/>
              <w:spacing w:after="0"/>
              <w:rPr>
                <w:sz w:val="20"/>
                <w:szCs w:val="20"/>
                <w:color w:val="auto"/>
              </w:rPr>
            </w:pPr>
            <w:r>
              <w:rPr>
                <w:rFonts w:ascii="Arial" w:cs="Arial" w:eastAsia="Arial" w:hAnsi="Arial"/>
                <w:sz w:val="18"/>
                <w:szCs w:val="18"/>
                <w:color w:val="auto"/>
              </w:rPr>
              <w:t>Resignation of the Backup Collateral Manager</w:t>
            </w:r>
          </w:p>
        </w:tc>
        <w:tc>
          <w:tcPr>
            <w:tcW w:w="17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XIV</w:t>
            </w:r>
          </w:p>
        </w:tc>
        <w:tc>
          <w:tcPr>
            <w:tcW w:w="7860" w:type="dxa"/>
            <w:vAlign w:val="bottom"/>
          </w:tcPr>
          <w:p>
            <w:pPr>
              <w:ind w:left="40"/>
              <w:spacing w:after="0"/>
              <w:rPr>
                <w:sz w:val="20"/>
                <w:szCs w:val="20"/>
                <w:color w:val="auto"/>
              </w:rPr>
            </w:pPr>
            <w:r>
              <w:rPr>
                <w:rFonts w:ascii="Arial" w:cs="Arial" w:eastAsia="Arial" w:hAnsi="Arial"/>
                <w:sz w:val="18"/>
                <w:szCs w:val="18"/>
                <w:color w:val="auto"/>
              </w:rPr>
              <w:t>THE CUSTODIAN</w:t>
            </w:r>
          </w:p>
        </w:tc>
        <w:tc>
          <w:tcPr>
            <w:tcW w:w="17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18"/>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14.01.</w:t>
            </w:r>
          </w:p>
        </w:tc>
        <w:tc>
          <w:tcPr>
            <w:tcW w:w="7860" w:type="dxa"/>
            <w:vAlign w:val="bottom"/>
          </w:tcPr>
          <w:p>
            <w:pPr>
              <w:ind w:left="460"/>
              <w:spacing w:after="0"/>
              <w:rPr>
                <w:sz w:val="20"/>
                <w:szCs w:val="20"/>
                <w:color w:val="auto"/>
              </w:rPr>
            </w:pPr>
            <w:r>
              <w:rPr>
                <w:rFonts w:ascii="Arial" w:cs="Arial" w:eastAsia="Arial" w:hAnsi="Arial"/>
                <w:sz w:val="18"/>
                <w:szCs w:val="18"/>
                <w:color w:val="auto"/>
              </w:rPr>
              <w:t>Designation of Custodian</w:t>
            </w:r>
          </w:p>
        </w:tc>
        <w:tc>
          <w:tcPr>
            <w:tcW w:w="17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14.02.</w:t>
            </w:r>
          </w:p>
        </w:tc>
        <w:tc>
          <w:tcPr>
            <w:tcW w:w="7860" w:type="dxa"/>
            <w:vAlign w:val="bottom"/>
          </w:tcPr>
          <w:p>
            <w:pPr>
              <w:ind w:left="460"/>
              <w:spacing w:after="0"/>
              <w:rPr>
                <w:sz w:val="20"/>
                <w:szCs w:val="20"/>
                <w:color w:val="auto"/>
              </w:rPr>
            </w:pPr>
            <w:r>
              <w:rPr>
                <w:rFonts w:ascii="Arial" w:cs="Arial" w:eastAsia="Arial" w:hAnsi="Arial"/>
                <w:sz w:val="18"/>
                <w:szCs w:val="18"/>
                <w:color w:val="auto"/>
              </w:rPr>
              <w:t>Duties of Custodian</w:t>
            </w:r>
          </w:p>
        </w:tc>
        <w:tc>
          <w:tcPr>
            <w:tcW w:w="17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14.03.</w:t>
            </w:r>
          </w:p>
        </w:tc>
        <w:tc>
          <w:tcPr>
            <w:tcW w:w="7860" w:type="dxa"/>
            <w:vAlign w:val="bottom"/>
          </w:tcPr>
          <w:p>
            <w:pPr>
              <w:ind w:left="460"/>
              <w:spacing w:after="0"/>
              <w:rPr>
                <w:sz w:val="20"/>
                <w:szCs w:val="20"/>
                <w:color w:val="auto"/>
              </w:rPr>
            </w:pPr>
            <w:r>
              <w:rPr>
                <w:rFonts w:ascii="Arial" w:cs="Arial" w:eastAsia="Arial" w:hAnsi="Arial"/>
                <w:sz w:val="18"/>
                <w:szCs w:val="18"/>
                <w:color w:val="auto"/>
              </w:rPr>
              <w:t>Merger or Consolidation</w:t>
            </w:r>
          </w:p>
        </w:tc>
        <w:tc>
          <w:tcPr>
            <w:tcW w:w="17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14.04.</w:t>
            </w:r>
          </w:p>
        </w:tc>
        <w:tc>
          <w:tcPr>
            <w:tcW w:w="7860" w:type="dxa"/>
            <w:vAlign w:val="bottom"/>
          </w:tcPr>
          <w:p>
            <w:pPr>
              <w:ind w:left="460"/>
              <w:spacing w:after="0"/>
              <w:rPr>
                <w:sz w:val="20"/>
                <w:szCs w:val="20"/>
                <w:color w:val="auto"/>
              </w:rPr>
            </w:pPr>
            <w:r>
              <w:rPr>
                <w:rFonts w:ascii="Arial" w:cs="Arial" w:eastAsia="Arial" w:hAnsi="Arial"/>
                <w:sz w:val="18"/>
                <w:szCs w:val="18"/>
                <w:color w:val="auto"/>
              </w:rPr>
              <w:t>Custodian Compensation</w:t>
            </w:r>
          </w:p>
        </w:tc>
        <w:tc>
          <w:tcPr>
            <w:tcW w:w="17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14.05.</w:t>
            </w:r>
          </w:p>
        </w:tc>
        <w:tc>
          <w:tcPr>
            <w:tcW w:w="7860" w:type="dxa"/>
            <w:vAlign w:val="bottom"/>
          </w:tcPr>
          <w:p>
            <w:pPr>
              <w:ind w:left="460"/>
              <w:spacing w:after="0"/>
              <w:rPr>
                <w:sz w:val="20"/>
                <w:szCs w:val="20"/>
                <w:color w:val="auto"/>
              </w:rPr>
            </w:pPr>
            <w:r>
              <w:rPr>
                <w:rFonts w:ascii="Arial" w:cs="Arial" w:eastAsia="Arial" w:hAnsi="Arial"/>
                <w:sz w:val="18"/>
                <w:szCs w:val="18"/>
                <w:color w:val="auto"/>
              </w:rPr>
              <w:t>Custodian Removal</w:t>
            </w:r>
          </w:p>
        </w:tc>
        <w:tc>
          <w:tcPr>
            <w:tcW w:w="17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14.06.</w:t>
            </w:r>
          </w:p>
        </w:tc>
        <w:tc>
          <w:tcPr>
            <w:tcW w:w="7860" w:type="dxa"/>
            <w:vAlign w:val="bottom"/>
          </w:tcPr>
          <w:p>
            <w:pPr>
              <w:ind w:left="460"/>
              <w:spacing w:after="0"/>
              <w:rPr>
                <w:sz w:val="20"/>
                <w:szCs w:val="20"/>
                <w:color w:val="auto"/>
              </w:rPr>
            </w:pPr>
            <w:r>
              <w:rPr>
                <w:rFonts w:ascii="Arial" w:cs="Arial" w:eastAsia="Arial" w:hAnsi="Arial"/>
                <w:sz w:val="18"/>
                <w:szCs w:val="18"/>
                <w:color w:val="auto"/>
              </w:rPr>
              <w:t>Limitation on Liability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14.07.</w:t>
            </w:r>
          </w:p>
        </w:tc>
        <w:tc>
          <w:tcPr>
            <w:tcW w:w="7860" w:type="dxa"/>
            <w:vAlign w:val="bottom"/>
          </w:tcPr>
          <w:p>
            <w:pPr>
              <w:ind w:left="460"/>
              <w:spacing w:after="0"/>
              <w:rPr>
                <w:sz w:val="20"/>
                <w:szCs w:val="20"/>
                <w:color w:val="auto"/>
              </w:rPr>
            </w:pPr>
            <w:r>
              <w:rPr>
                <w:rFonts w:ascii="Arial" w:cs="Arial" w:eastAsia="Arial" w:hAnsi="Arial"/>
                <w:sz w:val="18"/>
                <w:szCs w:val="18"/>
                <w:color w:val="auto"/>
              </w:rPr>
              <w:t>Resignation of the Custodian</w:t>
            </w:r>
          </w:p>
        </w:tc>
        <w:tc>
          <w:tcPr>
            <w:tcW w:w="17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14.08.</w:t>
            </w:r>
          </w:p>
        </w:tc>
        <w:tc>
          <w:tcPr>
            <w:tcW w:w="7860" w:type="dxa"/>
            <w:vAlign w:val="bottom"/>
          </w:tcPr>
          <w:p>
            <w:pPr>
              <w:ind w:left="460"/>
              <w:spacing w:after="0"/>
              <w:rPr>
                <w:sz w:val="20"/>
                <w:szCs w:val="20"/>
                <w:color w:val="auto"/>
              </w:rPr>
            </w:pPr>
            <w:r>
              <w:rPr>
                <w:rFonts w:ascii="Arial" w:cs="Arial" w:eastAsia="Arial" w:hAnsi="Arial"/>
                <w:sz w:val="18"/>
                <w:szCs w:val="18"/>
                <w:color w:val="auto"/>
              </w:rPr>
              <w:t>Release of Related Documents</w:t>
            </w:r>
          </w:p>
        </w:tc>
        <w:tc>
          <w:tcPr>
            <w:tcW w:w="17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14.09.</w:t>
            </w:r>
          </w:p>
        </w:tc>
        <w:tc>
          <w:tcPr>
            <w:tcW w:w="7860" w:type="dxa"/>
            <w:vAlign w:val="bottom"/>
          </w:tcPr>
          <w:p>
            <w:pPr>
              <w:ind w:left="460"/>
              <w:spacing w:after="0"/>
              <w:rPr>
                <w:sz w:val="20"/>
                <w:szCs w:val="20"/>
                <w:color w:val="auto"/>
              </w:rPr>
            </w:pPr>
            <w:r>
              <w:rPr>
                <w:rFonts w:ascii="Arial" w:cs="Arial" w:eastAsia="Arial" w:hAnsi="Arial"/>
                <w:sz w:val="18"/>
                <w:szCs w:val="18"/>
                <w:color w:val="auto"/>
              </w:rPr>
              <w:t>Return of Related Documents</w:t>
            </w:r>
          </w:p>
        </w:tc>
        <w:tc>
          <w:tcPr>
            <w:tcW w:w="17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14.10.</w:t>
            </w:r>
          </w:p>
        </w:tc>
        <w:tc>
          <w:tcPr>
            <w:tcW w:w="7860" w:type="dxa"/>
            <w:vAlign w:val="bottom"/>
          </w:tcPr>
          <w:p>
            <w:pPr>
              <w:ind w:left="460"/>
              <w:spacing w:after="0"/>
              <w:rPr>
                <w:sz w:val="20"/>
                <w:szCs w:val="20"/>
                <w:color w:val="auto"/>
              </w:rPr>
            </w:pPr>
            <w:r>
              <w:rPr>
                <w:rFonts w:ascii="Arial" w:cs="Arial" w:eastAsia="Arial" w:hAnsi="Arial"/>
                <w:sz w:val="18"/>
                <w:szCs w:val="18"/>
                <w:color w:val="auto"/>
              </w:rPr>
              <w:t>Access to Certain Documentation and Information Regarding the Collateral; Audits</w:t>
            </w:r>
          </w:p>
        </w:tc>
        <w:tc>
          <w:tcPr>
            <w:tcW w:w="17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14.11.</w:t>
            </w:r>
          </w:p>
        </w:tc>
        <w:tc>
          <w:tcPr>
            <w:tcW w:w="7860" w:type="dxa"/>
            <w:vAlign w:val="bottom"/>
          </w:tcPr>
          <w:p>
            <w:pPr>
              <w:ind w:left="460"/>
              <w:spacing w:after="0"/>
              <w:rPr>
                <w:sz w:val="20"/>
                <w:szCs w:val="20"/>
                <w:color w:val="auto"/>
              </w:rPr>
            </w:pPr>
            <w:r>
              <w:rPr>
                <w:rFonts w:ascii="Arial" w:cs="Arial" w:eastAsia="Arial" w:hAnsi="Arial"/>
                <w:sz w:val="18"/>
                <w:szCs w:val="18"/>
                <w:color w:val="auto"/>
              </w:rPr>
              <w:t>Representations and Warranties of the Custodian</w:t>
            </w:r>
          </w:p>
        </w:tc>
        <w:tc>
          <w:tcPr>
            <w:tcW w:w="17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14.12.</w:t>
            </w:r>
          </w:p>
        </w:tc>
        <w:tc>
          <w:tcPr>
            <w:tcW w:w="7860" w:type="dxa"/>
            <w:vAlign w:val="bottom"/>
          </w:tcPr>
          <w:p>
            <w:pPr>
              <w:ind w:left="460"/>
              <w:spacing w:after="0"/>
              <w:rPr>
                <w:sz w:val="20"/>
                <w:szCs w:val="20"/>
                <w:color w:val="auto"/>
              </w:rPr>
            </w:pPr>
            <w:r>
              <w:rPr>
                <w:rFonts w:ascii="Arial" w:cs="Arial" w:eastAsia="Arial" w:hAnsi="Arial"/>
                <w:sz w:val="18"/>
                <w:szCs w:val="18"/>
                <w:color w:val="auto"/>
              </w:rPr>
              <w:t>Covenants of the Custodian</w:t>
            </w:r>
          </w:p>
        </w:tc>
        <w:tc>
          <w:tcPr>
            <w:tcW w:w="17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XV</w:t>
            </w:r>
          </w:p>
        </w:tc>
        <w:tc>
          <w:tcPr>
            <w:tcW w:w="7860" w:type="dxa"/>
            <w:vAlign w:val="bottom"/>
          </w:tcPr>
          <w:p>
            <w:pPr>
              <w:ind w:left="40"/>
              <w:spacing w:after="0"/>
              <w:rPr>
                <w:sz w:val="20"/>
                <w:szCs w:val="20"/>
                <w:color w:val="auto"/>
              </w:rPr>
            </w:pPr>
            <w:r>
              <w:rPr>
                <w:rFonts w:ascii="Arial" w:cs="Arial" w:eastAsia="Arial" w:hAnsi="Arial"/>
                <w:sz w:val="18"/>
                <w:szCs w:val="18"/>
                <w:color w:val="auto"/>
              </w:rPr>
              <w:t>MISCELLANEOUS</w:t>
            </w:r>
          </w:p>
        </w:tc>
        <w:tc>
          <w:tcPr>
            <w:tcW w:w="17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18"/>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15.01.</w:t>
            </w:r>
          </w:p>
        </w:tc>
        <w:tc>
          <w:tcPr>
            <w:tcW w:w="7860" w:type="dxa"/>
            <w:vAlign w:val="bottom"/>
          </w:tcPr>
          <w:p>
            <w:pPr>
              <w:ind w:left="460"/>
              <w:spacing w:after="0"/>
              <w:rPr>
                <w:sz w:val="20"/>
                <w:szCs w:val="20"/>
                <w:color w:val="auto"/>
              </w:rPr>
            </w:pPr>
            <w:r>
              <w:rPr>
                <w:rFonts w:ascii="Arial" w:cs="Arial" w:eastAsia="Arial" w:hAnsi="Arial"/>
                <w:sz w:val="18"/>
                <w:szCs w:val="18"/>
                <w:color w:val="auto"/>
              </w:rPr>
              <w:t>No Waiver; Modifications in Writing</w:t>
            </w:r>
          </w:p>
        </w:tc>
        <w:tc>
          <w:tcPr>
            <w:tcW w:w="17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15.02.</w:t>
            </w:r>
          </w:p>
        </w:tc>
        <w:tc>
          <w:tcPr>
            <w:tcW w:w="7860" w:type="dxa"/>
            <w:vAlign w:val="bottom"/>
          </w:tcPr>
          <w:p>
            <w:pPr>
              <w:ind w:left="460"/>
              <w:spacing w:after="0"/>
              <w:rPr>
                <w:sz w:val="20"/>
                <w:szCs w:val="20"/>
                <w:color w:val="auto"/>
              </w:rPr>
            </w:pPr>
            <w:r>
              <w:rPr>
                <w:rFonts w:ascii="Arial" w:cs="Arial" w:eastAsia="Arial" w:hAnsi="Arial"/>
                <w:sz w:val="18"/>
                <w:szCs w:val="18"/>
                <w:color w:val="auto"/>
              </w:rPr>
              <w:t>Notices, Etc.</w:t>
            </w:r>
          </w:p>
        </w:tc>
        <w:tc>
          <w:tcPr>
            <w:tcW w:w="17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15.03.</w:t>
            </w:r>
          </w:p>
        </w:tc>
        <w:tc>
          <w:tcPr>
            <w:tcW w:w="7860" w:type="dxa"/>
            <w:vAlign w:val="bottom"/>
          </w:tcPr>
          <w:p>
            <w:pPr>
              <w:ind w:left="460"/>
              <w:spacing w:after="0"/>
              <w:rPr>
                <w:sz w:val="20"/>
                <w:szCs w:val="20"/>
                <w:color w:val="auto"/>
              </w:rPr>
            </w:pPr>
            <w:r>
              <w:rPr>
                <w:rFonts w:ascii="Arial" w:cs="Arial" w:eastAsia="Arial" w:hAnsi="Arial"/>
                <w:sz w:val="18"/>
                <w:szCs w:val="18"/>
                <w:color w:val="auto"/>
              </w:rPr>
              <w:t>Taxes</w:t>
            </w:r>
          </w:p>
        </w:tc>
        <w:tc>
          <w:tcPr>
            <w:tcW w:w="17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15.04.</w:t>
            </w:r>
          </w:p>
        </w:tc>
        <w:tc>
          <w:tcPr>
            <w:tcW w:w="7860" w:type="dxa"/>
            <w:vAlign w:val="bottom"/>
          </w:tcPr>
          <w:p>
            <w:pPr>
              <w:ind w:left="460"/>
              <w:spacing w:after="0"/>
              <w:rPr>
                <w:sz w:val="20"/>
                <w:szCs w:val="20"/>
                <w:color w:val="auto"/>
              </w:rPr>
            </w:pPr>
            <w:r>
              <w:rPr>
                <w:rFonts w:ascii="Arial" w:cs="Arial" w:eastAsia="Arial" w:hAnsi="Arial"/>
                <w:sz w:val="18"/>
                <w:szCs w:val="18"/>
                <w:color w:val="auto"/>
              </w:rPr>
              <w:t>Costs and Expenses; Indemnification</w:t>
            </w:r>
          </w:p>
        </w:tc>
        <w:tc>
          <w:tcPr>
            <w:tcW w:w="178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40"/>
          </w:cols>
          <w:pgMar w:left="320" w:top="280" w:right="4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15.05.</w:t>
            </w:r>
          </w:p>
        </w:tc>
        <w:tc>
          <w:tcPr>
            <w:tcW w:w="6180" w:type="dxa"/>
            <w:vAlign w:val="bottom"/>
          </w:tcPr>
          <w:p>
            <w:pPr>
              <w:ind w:left="260"/>
              <w:spacing w:after="0"/>
              <w:rPr>
                <w:sz w:val="20"/>
                <w:szCs w:val="20"/>
                <w:color w:val="auto"/>
              </w:rPr>
            </w:pPr>
            <w:r>
              <w:rPr>
                <w:rFonts w:ascii="Arial" w:cs="Arial" w:eastAsia="Arial" w:hAnsi="Arial"/>
                <w:sz w:val="18"/>
                <w:szCs w:val="18"/>
                <w:color w:val="auto"/>
              </w:rPr>
              <w:t>Execution in Counterparts</w:t>
            </w:r>
          </w:p>
        </w:tc>
        <w:tc>
          <w:tcPr>
            <w:tcW w:w="32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15.06.</w:t>
            </w:r>
          </w:p>
        </w:tc>
        <w:tc>
          <w:tcPr>
            <w:tcW w:w="6180" w:type="dxa"/>
            <w:vAlign w:val="bottom"/>
          </w:tcPr>
          <w:p>
            <w:pPr>
              <w:ind w:left="260"/>
              <w:spacing w:after="0"/>
              <w:rPr>
                <w:sz w:val="20"/>
                <w:szCs w:val="20"/>
                <w:color w:val="auto"/>
              </w:rPr>
            </w:pPr>
            <w:r>
              <w:rPr>
                <w:rFonts w:ascii="Arial" w:cs="Arial" w:eastAsia="Arial" w:hAnsi="Arial"/>
                <w:sz w:val="18"/>
                <w:szCs w:val="18"/>
                <w:color w:val="auto"/>
              </w:rPr>
              <w:t>Assignability</w:t>
            </w:r>
          </w:p>
        </w:tc>
        <w:tc>
          <w:tcPr>
            <w:tcW w:w="32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15.07.</w:t>
            </w:r>
          </w:p>
        </w:tc>
        <w:tc>
          <w:tcPr>
            <w:tcW w:w="6180" w:type="dxa"/>
            <w:vAlign w:val="bottom"/>
          </w:tcPr>
          <w:p>
            <w:pPr>
              <w:ind w:left="260"/>
              <w:spacing w:after="0"/>
              <w:rPr>
                <w:sz w:val="20"/>
                <w:szCs w:val="20"/>
                <w:color w:val="auto"/>
              </w:rPr>
            </w:pPr>
            <w:r>
              <w:rPr>
                <w:rFonts w:ascii="Arial" w:cs="Arial" w:eastAsia="Arial" w:hAnsi="Arial"/>
                <w:sz w:val="18"/>
                <w:szCs w:val="18"/>
                <w:color w:val="auto"/>
              </w:rPr>
              <w:t>Governing Law</w:t>
            </w:r>
          </w:p>
        </w:tc>
        <w:tc>
          <w:tcPr>
            <w:tcW w:w="32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15.08.</w:t>
            </w:r>
          </w:p>
        </w:tc>
        <w:tc>
          <w:tcPr>
            <w:tcW w:w="6180" w:type="dxa"/>
            <w:vAlign w:val="bottom"/>
          </w:tcPr>
          <w:p>
            <w:pPr>
              <w:ind w:left="260"/>
              <w:spacing w:after="0"/>
              <w:rPr>
                <w:sz w:val="20"/>
                <w:szCs w:val="20"/>
                <w:color w:val="auto"/>
              </w:rPr>
            </w:pPr>
            <w:r>
              <w:rPr>
                <w:rFonts w:ascii="Arial" w:cs="Arial" w:eastAsia="Arial" w:hAnsi="Arial"/>
                <w:sz w:val="18"/>
                <w:szCs w:val="18"/>
                <w:color w:val="auto"/>
              </w:rPr>
              <w:t>Severability of Provisions</w:t>
            </w:r>
          </w:p>
        </w:tc>
        <w:tc>
          <w:tcPr>
            <w:tcW w:w="32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15.09.</w:t>
            </w:r>
          </w:p>
        </w:tc>
        <w:tc>
          <w:tcPr>
            <w:tcW w:w="6180" w:type="dxa"/>
            <w:vAlign w:val="bottom"/>
          </w:tcPr>
          <w:p>
            <w:pPr>
              <w:ind w:left="260"/>
              <w:spacing w:after="0"/>
              <w:rPr>
                <w:sz w:val="20"/>
                <w:szCs w:val="20"/>
                <w:color w:val="auto"/>
              </w:rPr>
            </w:pPr>
            <w:r>
              <w:rPr>
                <w:rFonts w:ascii="Arial" w:cs="Arial" w:eastAsia="Arial" w:hAnsi="Arial"/>
                <w:sz w:val="18"/>
                <w:szCs w:val="18"/>
                <w:color w:val="auto"/>
              </w:rPr>
              <w:t>Confidentiality</w:t>
            </w:r>
          </w:p>
        </w:tc>
        <w:tc>
          <w:tcPr>
            <w:tcW w:w="32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15.10.</w:t>
            </w:r>
          </w:p>
        </w:tc>
        <w:tc>
          <w:tcPr>
            <w:tcW w:w="6180" w:type="dxa"/>
            <w:vAlign w:val="bottom"/>
          </w:tcPr>
          <w:p>
            <w:pPr>
              <w:ind w:left="260"/>
              <w:spacing w:after="0"/>
              <w:rPr>
                <w:sz w:val="20"/>
                <w:szCs w:val="20"/>
                <w:color w:val="auto"/>
              </w:rPr>
            </w:pPr>
            <w:r>
              <w:rPr>
                <w:rFonts w:ascii="Arial" w:cs="Arial" w:eastAsia="Arial" w:hAnsi="Arial"/>
                <w:sz w:val="18"/>
                <w:szCs w:val="18"/>
                <w:color w:val="auto"/>
              </w:rPr>
              <w:t>Merger</w:t>
            </w:r>
          </w:p>
        </w:tc>
        <w:tc>
          <w:tcPr>
            <w:tcW w:w="32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15.11.</w:t>
            </w:r>
          </w:p>
        </w:tc>
        <w:tc>
          <w:tcPr>
            <w:tcW w:w="6180" w:type="dxa"/>
            <w:vAlign w:val="bottom"/>
          </w:tcPr>
          <w:p>
            <w:pPr>
              <w:ind w:left="260"/>
              <w:spacing w:after="0"/>
              <w:rPr>
                <w:sz w:val="20"/>
                <w:szCs w:val="20"/>
                <w:color w:val="auto"/>
              </w:rPr>
            </w:pPr>
            <w:r>
              <w:rPr>
                <w:rFonts w:ascii="Arial" w:cs="Arial" w:eastAsia="Arial" w:hAnsi="Arial"/>
                <w:sz w:val="18"/>
                <w:szCs w:val="18"/>
                <w:color w:val="auto"/>
              </w:rPr>
              <w:t>Survival</w:t>
            </w:r>
          </w:p>
        </w:tc>
        <w:tc>
          <w:tcPr>
            <w:tcW w:w="32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15.12.</w:t>
            </w:r>
          </w:p>
        </w:tc>
        <w:tc>
          <w:tcPr>
            <w:tcW w:w="6180" w:type="dxa"/>
            <w:vAlign w:val="bottom"/>
          </w:tcPr>
          <w:p>
            <w:pPr>
              <w:ind w:left="260"/>
              <w:spacing w:after="0"/>
              <w:rPr>
                <w:sz w:val="20"/>
                <w:szCs w:val="20"/>
                <w:color w:val="auto"/>
              </w:rPr>
            </w:pPr>
            <w:r>
              <w:rPr>
                <w:rFonts w:ascii="Arial" w:cs="Arial" w:eastAsia="Arial" w:hAnsi="Arial"/>
                <w:sz w:val="18"/>
                <w:szCs w:val="18"/>
                <w:color w:val="auto"/>
              </w:rPr>
              <w:t>Submission to Jurisdiction; Waivers; Etc.</w:t>
            </w:r>
          </w:p>
        </w:tc>
        <w:tc>
          <w:tcPr>
            <w:tcW w:w="32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15.13.</w:t>
            </w:r>
          </w:p>
        </w:tc>
        <w:tc>
          <w:tcPr>
            <w:tcW w:w="6180" w:type="dxa"/>
            <w:vAlign w:val="bottom"/>
          </w:tcPr>
          <w:p>
            <w:pPr>
              <w:ind w:left="260"/>
              <w:spacing w:after="0"/>
              <w:rPr>
                <w:sz w:val="20"/>
                <w:szCs w:val="20"/>
                <w:color w:val="auto"/>
              </w:rPr>
            </w:pPr>
            <w:r>
              <w:rPr>
                <w:rFonts w:ascii="Arial" w:cs="Arial" w:eastAsia="Arial" w:hAnsi="Arial"/>
                <w:sz w:val="18"/>
                <w:szCs w:val="18"/>
                <w:color w:val="auto"/>
              </w:rPr>
              <w:t>Waiver of Jury Trial</w:t>
            </w:r>
          </w:p>
        </w:tc>
        <w:tc>
          <w:tcPr>
            <w:tcW w:w="32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15.14.</w:t>
            </w:r>
          </w:p>
        </w:tc>
        <w:tc>
          <w:tcPr>
            <w:tcW w:w="6180" w:type="dxa"/>
            <w:vAlign w:val="bottom"/>
          </w:tcPr>
          <w:p>
            <w:pPr>
              <w:ind w:left="260"/>
              <w:spacing w:after="0"/>
              <w:rPr>
                <w:sz w:val="20"/>
                <w:szCs w:val="20"/>
                <w:color w:val="auto"/>
              </w:rPr>
            </w:pPr>
            <w:r>
              <w:rPr>
                <w:rFonts w:ascii="Arial" w:cs="Arial" w:eastAsia="Arial" w:hAnsi="Arial"/>
                <w:sz w:val="18"/>
                <w:szCs w:val="18"/>
                <w:color w:val="auto"/>
              </w:rPr>
              <w:t>Service of Process</w:t>
            </w:r>
          </w:p>
        </w:tc>
        <w:tc>
          <w:tcPr>
            <w:tcW w:w="32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15.15.</w:t>
            </w:r>
          </w:p>
        </w:tc>
        <w:tc>
          <w:tcPr>
            <w:tcW w:w="6180" w:type="dxa"/>
            <w:vAlign w:val="bottom"/>
          </w:tcPr>
          <w:p>
            <w:pPr>
              <w:ind w:left="260"/>
              <w:spacing w:after="0"/>
              <w:rPr>
                <w:sz w:val="20"/>
                <w:szCs w:val="20"/>
                <w:color w:val="auto"/>
              </w:rPr>
            </w:pPr>
            <w:r>
              <w:rPr>
                <w:rFonts w:ascii="Arial" w:cs="Arial" w:eastAsia="Arial" w:hAnsi="Arial"/>
                <w:sz w:val="18"/>
                <w:szCs w:val="18"/>
                <w:color w:val="auto"/>
              </w:rPr>
              <w:t>Waiver of Setoff</w:t>
            </w:r>
          </w:p>
        </w:tc>
        <w:tc>
          <w:tcPr>
            <w:tcW w:w="32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15.16.</w:t>
            </w:r>
          </w:p>
        </w:tc>
        <w:tc>
          <w:tcPr>
            <w:tcW w:w="6180" w:type="dxa"/>
            <w:vAlign w:val="bottom"/>
          </w:tcPr>
          <w:p>
            <w:pPr>
              <w:ind w:left="260"/>
              <w:spacing w:after="0"/>
              <w:rPr>
                <w:sz w:val="20"/>
                <w:szCs w:val="20"/>
                <w:color w:val="auto"/>
              </w:rPr>
            </w:pPr>
            <w:r>
              <w:rPr>
                <w:rFonts w:ascii="Arial" w:cs="Arial" w:eastAsia="Arial" w:hAnsi="Arial"/>
                <w:sz w:val="18"/>
                <w:szCs w:val="18"/>
                <w:color w:val="auto"/>
              </w:rPr>
              <w:t>PATRIOT Act Notice</w:t>
            </w:r>
          </w:p>
        </w:tc>
        <w:tc>
          <w:tcPr>
            <w:tcW w:w="32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15.17.</w:t>
            </w:r>
          </w:p>
        </w:tc>
        <w:tc>
          <w:tcPr>
            <w:tcW w:w="6180" w:type="dxa"/>
            <w:vAlign w:val="bottom"/>
          </w:tcPr>
          <w:p>
            <w:pPr>
              <w:ind w:left="260"/>
              <w:spacing w:after="0"/>
              <w:rPr>
                <w:sz w:val="20"/>
                <w:szCs w:val="20"/>
                <w:color w:val="auto"/>
              </w:rPr>
            </w:pPr>
            <w:r>
              <w:rPr>
                <w:rFonts w:ascii="Arial" w:cs="Arial" w:eastAsia="Arial" w:hAnsi="Arial"/>
                <w:sz w:val="18"/>
                <w:szCs w:val="18"/>
                <w:color w:val="auto"/>
              </w:rPr>
              <w:t>Legal Holidays</w:t>
            </w:r>
          </w:p>
        </w:tc>
        <w:tc>
          <w:tcPr>
            <w:tcW w:w="32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15.18.</w:t>
            </w:r>
          </w:p>
        </w:tc>
        <w:tc>
          <w:tcPr>
            <w:tcW w:w="6180" w:type="dxa"/>
            <w:vAlign w:val="bottom"/>
          </w:tcPr>
          <w:p>
            <w:pPr>
              <w:ind w:left="260"/>
              <w:spacing w:after="0"/>
              <w:rPr>
                <w:sz w:val="20"/>
                <w:szCs w:val="20"/>
                <w:color w:val="auto"/>
              </w:rPr>
            </w:pPr>
            <w:r>
              <w:rPr>
                <w:rFonts w:ascii="Arial" w:cs="Arial" w:eastAsia="Arial" w:hAnsi="Arial"/>
                <w:sz w:val="18"/>
                <w:szCs w:val="18"/>
                <w:color w:val="auto"/>
              </w:rPr>
              <w:t>Non-Petition</w:t>
            </w:r>
          </w:p>
        </w:tc>
        <w:tc>
          <w:tcPr>
            <w:tcW w:w="32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15.19.</w:t>
            </w:r>
          </w:p>
        </w:tc>
        <w:tc>
          <w:tcPr>
            <w:tcW w:w="6180" w:type="dxa"/>
            <w:vAlign w:val="bottom"/>
          </w:tcPr>
          <w:p>
            <w:pPr>
              <w:ind w:left="260"/>
              <w:spacing w:after="0"/>
              <w:rPr>
                <w:sz w:val="20"/>
                <w:szCs w:val="20"/>
                <w:color w:val="auto"/>
              </w:rPr>
            </w:pPr>
            <w:r>
              <w:rPr>
                <w:rFonts w:ascii="Arial" w:cs="Arial" w:eastAsia="Arial" w:hAnsi="Arial"/>
                <w:sz w:val="18"/>
                <w:szCs w:val="18"/>
                <w:color w:val="auto"/>
              </w:rPr>
              <w:t>CP Conduit Provisions</w:t>
            </w:r>
          </w:p>
        </w:tc>
        <w:tc>
          <w:tcPr>
            <w:tcW w:w="32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15.20.</w:t>
            </w:r>
          </w:p>
        </w:tc>
        <w:tc>
          <w:tcPr>
            <w:tcW w:w="6180" w:type="dxa"/>
            <w:vAlign w:val="bottom"/>
          </w:tcPr>
          <w:p>
            <w:pPr>
              <w:ind w:left="260"/>
              <w:spacing w:after="0"/>
              <w:rPr>
                <w:sz w:val="20"/>
                <w:szCs w:val="20"/>
                <w:color w:val="auto"/>
              </w:rPr>
            </w:pPr>
            <w:r>
              <w:rPr>
                <w:rFonts w:ascii="Arial" w:cs="Arial" w:eastAsia="Arial" w:hAnsi="Arial"/>
                <w:sz w:val="18"/>
                <w:szCs w:val="18"/>
                <w:color w:val="auto"/>
              </w:rPr>
              <w:t>Third Party Beneficiary</w:t>
            </w:r>
          </w:p>
        </w:tc>
        <w:tc>
          <w:tcPr>
            <w:tcW w:w="32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Section 15.21.</w:t>
            </w:r>
          </w:p>
        </w:tc>
        <w:tc>
          <w:tcPr>
            <w:tcW w:w="6180" w:type="dxa"/>
            <w:vAlign w:val="bottom"/>
          </w:tcPr>
          <w:p>
            <w:pPr>
              <w:ind w:left="260"/>
              <w:spacing w:after="0"/>
              <w:rPr>
                <w:sz w:val="20"/>
                <w:szCs w:val="20"/>
                <w:color w:val="auto"/>
              </w:rPr>
            </w:pPr>
            <w:r>
              <w:rPr>
                <w:rFonts w:ascii="Arial" w:cs="Arial" w:eastAsia="Arial" w:hAnsi="Arial"/>
                <w:sz w:val="18"/>
                <w:szCs w:val="18"/>
                <w:color w:val="auto"/>
              </w:rPr>
              <w:t>Amendment and Restatement</w:t>
            </w:r>
          </w:p>
        </w:tc>
        <w:tc>
          <w:tcPr>
            <w:tcW w:w="3260" w:type="dxa"/>
            <w:vAlign w:val="bottom"/>
          </w:tcPr>
          <w:p>
            <w:pPr>
              <w:jc w:val="right"/>
              <w:spacing w:after="0"/>
              <w:rPr>
                <w:sz w:val="20"/>
                <w:szCs w:val="20"/>
                <w:color w:val="auto"/>
              </w:rPr>
            </w:pPr>
            <w:r>
              <w:rPr>
                <w:rFonts w:ascii="Arial" w:cs="Arial" w:eastAsia="Arial" w:hAnsi="Arial"/>
                <w:sz w:val="18"/>
                <w:szCs w:val="18"/>
                <w:color w:val="auto"/>
              </w:rPr>
              <w:t>142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700"/>
          </w:cols>
          <w:pgMar w:left="760" w:top="280" w:right="439" w:bottom="1440" w:gutter="0" w:footer="0" w:header="0"/>
        </w:sectPr>
      </w:pPr>
    </w:p>
    <w:bookmarkStart w:id="47" w:name="page48"/>
    <w:bookmarkEnd w:id="47"/>
    <w:p>
      <w:pPr>
        <w:ind w:left="5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SCHEDULES</w:t>
      </w:r>
    </w:p>
    <w:p>
      <w:pPr>
        <w:sectPr>
          <w:pgSz w:w="11900" w:h="16838" w:orient="portrait"/>
          <w:cols w:equalWidth="0" w:num="1">
            <w:col w:w="10139"/>
          </w:cols>
          <w:pgMar w:left="320" w:top="280" w:right="1440"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Schedule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Schedule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9</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Schedule 10</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Initial Commitments and Percentages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Forms of Monthly Report and Payment Date Report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Initial Collateral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Moody’s Industry Classifications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Notice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Covered Account Details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Diversity Score Calculation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Moody’s Rating Criteria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S&amp;P Rating Criteria</w:t>
      </w:r>
    </w:p>
    <w:p>
      <w:pPr>
        <w:spacing w:after="0" w:line="165" w:lineRule="exact"/>
        <w:rPr>
          <w:sz w:val="20"/>
          <w:szCs w:val="20"/>
          <w:color w:val="auto"/>
        </w:rPr>
      </w:pPr>
    </w:p>
    <w:p>
      <w:pPr>
        <w:sectPr>
          <w:pgSz w:w="11900" w:h="16838" w:orient="portrait"/>
          <w:cols w:equalWidth="0" w:num="2">
            <w:col w:w="880" w:space="380"/>
            <w:col w:w="8879"/>
          </w:cols>
          <w:pgMar w:left="320" w:top="280" w:right="1440" w:bottom="1440" w:gutter="0" w:footer="0" w:header="0"/>
          <w:type w:val="continuous"/>
        </w:sectPr>
      </w:pPr>
    </w:p>
    <w:p>
      <w:pPr>
        <w:ind w:left="5220"/>
        <w:spacing w:after="0"/>
        <w:rPr>
          <w:sz w:val="20"/>
          <w:szCs w:val="20"/>
          <w:color w:val="auto"/>
        </w:rPr>
      </w:pPr>
      <w:r>
        <w:rPr>
          <w:rFonts w:ascii="Arial" w:cs="Arial" w:eastAsia="Arial" w:hAnsi="Arial"/>
          <w:sz w:val="16"/>
          <w:szCs w:val="16"/>
          <w:color w:val="auto"/>
        </w:rPr>
        <w:t>EXHIBITS</w:t>
      </w:r>
    </w:p>
    <w:p>
      <w:pPr>
        <w:sectPr>
          <w:pgSz w:w="11900" w:h="16838" w:orient="portrait"/>
          <w:cols w:equalWidth="0" w:num="1">
            <w:col w:w="10139"/>
          </w:cols>
          <w:pgMar w:left="320" w:top="280" w:right="1440" w:bottom="1440" w:gutter="0" w:footer="0" w:header="0"/>
          <w:type w:val="continuous"/>
        </w:sectPr>
      </w:pP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Exhibit A Exhibit B Exhibit C Exhibit D Exhibit E Exhibit F Exhibit G Exhibit H Exhibit I</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Form of Excess Interest Proceeds Estimate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Form of Notice of Borrowing (with attached form of Borrowing Base Calculation)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Prepayment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Account Control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Facility Amount Increase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Release of Related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Matrix Adjustment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Restatement Effective Date Closing Certificate</w:t>
      </w:r>
    </w:p>
    <w:p>
      <w:pPr>
        <w:spacing w:after="0" w:line="150" w:lineRule="exact"/>
        <w:rPr>
          <w:sz w:val="20"/>
          <w:szCs w:val="20"/>
          <w:color w:val="auto"/>
        </w:rPr>
      </w:pPr>
    </w:p>
    <w:p>
      <w:pPr>
        <w:sectPr>
          <w:pgSz w:w="11900" w:h="16838" w:orient="portrait"/>
          <w:cols w:equalWidth="0" w:num="2">
            <w:col w:w="700" w:space="560"/>
            <w:col w:w="8879"/>
          </w:cols>
          <w:pgMar w:left="320" w:top="280" w:right="1440" w:bottom="1440" w:gutter="0" w:footer="0" w:header="0"/>
          <w:type w:val="continuous"/>
        </w:sectPr>
      </w:pPr>
    </w:p>
    <w:p>
      <w:pPr>
        <w:ind w:left="5520"/>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0139"/>
          </w:cols>
          <w:pgMar w:left="320" w:top="280" w:right="1440" w:bottom="1440" w:gutter="0" w:footer="0" w:header="0"/>
          <w:type w:val="continuous"/>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AND RESTATED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REVOLVING CREDIT AND SECURITY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 AND</w:t>
      </w:r>
      <w:r>
        <w:rPr>
          <w:rFonts w:ascii="Arial" w:cs="Arial" w:eastAsia="Arial" w:hAnsi="Arial"/>
          <w:sz w:val="18"/>
          <w:szCs w:val="18"/>
          <w:color w:val="auto"/>
        </w:rPr>
        <w:t xml:space="preserve"> 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dated as of May 14, 2012 among 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w:t>
      </w:r>
      <w:r>
        <w:rPr>
          <w:rFonts w:ascii="Arial" w:cs="Arial" w:eastAsia="Arial" w:hAnsi="Arial"/>
          <w:sz w:val="13"/>
          <w:szCs w:val="13"/>
          <w:color w:val="auto"/>
        </w:rPr>
        <w:t>UNDING</w:t>
      </w:r>
      <w:r>
        <w:rPr>
          <w:rFonts w:ascii="Arial" w:cs="Arial" w:eastAsia="Arial" w:hAnsi="Arial"/>
          <w:sz w:val="16"/>
          <w:szCs w:val="16"/>
          <w:color w:val="auto"/>
        </w:rPr>
        <w:t xml:space="preserve"> I, LLC, a Delaware limited liability company, as borrower (together with its permitted successors and assigns, the </w:t>
      </w:r>
      <w:r>
        <w:rPr>
          <w:rFonts w:ascii="Arial" w:cs="Arial" w:eastAsia="Arial" w:hAnsi="Arial"/>
          <w:sz w:val="16"/>
          <w:szCs w:val="16"/>
          <w:i w:val="1"/>
          <w:iCs w:val="1"/>
          <w:color w:val="auto"/>
        </w:rPr>
        <w:t>“Borrower”</w:t>
      </w:r>
      <w:r>
        <w:rPr>
          <w:rFonts w:ascii="Arial" w:cs="Arial" w:eastAsia="Arial" w:hAnsi="Arial"/>
          <w:sz w:val="16"/>
          <w:szCs w:val="16"/>
          <w:color w:val="auto"/>
        </w:rPr>
        <w:t>); P</w:t>
      </w:r>
      <w:r>
        <w:rPr>
          <w:rFonts w:ascii="Arial" w:cs="Arial" w:eastAsia="Arial" w:hAnsi="Arial"/>
          <w:sz w:val="13"/>
          <w:szCs w:val="13"/>
          <w:color w:val="auto"/>
        </w:rPr>
        <w:t>ENNANT</w:t>
      </w:r>
      <w:r>
        <w:rPr>
          <w:rFonts w:ascii="Arial" w:cs="Arial" w:eastAsia="Arial" w:hAnsi="Arial"/>
          <w:sz w:val="16"/>
          <w:szCs w:val="16"/>
          <w:color w:val="auto"/>
        </w:rPr>
        <w:t>P</w:t>
      </w:r>
      <w:r>
        <w:rPr>
          <w:rFonts w:ascii="Arial" w:cs="Arial" w:eastAsia="Arial" w:hAnsi="Arial"/>
          <w:sz w:val="13"/>
          <w:szCs w:val="13"/>
          <w:color w:val="auto"/>
        </w:rPr>
        <w:t>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w:t>
      </w:r>
      <w:r>
        <w:rPr>
          <w:rFonts w:ascii="Arial" w:cs="Arial" w:eastAsia="Arial" w:hAnsi="Arial"/>
          <w:sz w:val="13"/>
          <w:szCs w:val="13"/>
          <w:color w:val="auto"/>
        </w:rPr>
        <w:t>NVESTMENT</w:t>
      </w:r>
      <w:r>
        <w:rPr>
          <w:rFonts w:ascii="Arial" w:cs="Arial" w:eastAsia="Arial" w:hAnsi="Arial"/>
          <w:sz w:val="16"/>
          <w:szCs w:val="16"/>
          <w:color w:val="auto"/>
        </w:rPr>
        <w:t xml:space="preserve"> A</w:t>
      </w:r>
      <w:r>
        <w:rPr>
          <w:rFonts w:ascii="Arial" w:cs="Arial" w:eastAsia="Arial" w:hAnsi="Arial"/>
          <w:sz w:val="13"/>
          <w:szCs w:val="13"/>
          <w:color w:val="auto"/>
        </w:rPr>
        <w:t>DVISERS</w:t>
      </w:r>
      <w:r>
        <w:rPr>
          <w:rFonts w:ascii="Arial" w:cs="Arial" w:eastAsia="Arial" w:hAnsi="Arial"/>
          <w:sz w:val="16"/>
          <w:szCs w:val="16"/>
          <w:color w:val="auto"/>
        </w:rPr>
        <w:t>, LLC, a Delaware limited liability company, as the collateral manager (together with its permitted successors and assigns,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“Collateral Manager”</w:t>
      </w:r>
      <w:r>
        <w:rPr>
          <w:rFonts w:ascii="Arial" w:cs="Arial" w:eastAsia="Arial" w:hAnsi="Arial"/>
          <w:sz w:val="16"/>
          <w:szCs w:val="16"/>
          <w:color w:val="auto"/>
        </w:rPr>
        <w:t>), the L</w:t>
      </w:r>
      <w:r>
        <w:rPr>
          <w:rFonts w:ascii="Arial" w:cs="Arial" w:eastAsia="Arial" w:hAnsi="Arial"/>
          <w:sz w:val="13"/>
          <w:szCs w:val="13"/>
          <w:color w:val="auto"/>
        </w:rPr>
        <w:t>ENDERS</w:t>
      </w:r>
      <w:r>
        <w:rPr>
          <w:rFonts w:ascii="Arial" w:cs="Arial" w:eastAsia="Arial" w:hAnsi="Arial"/>
          <w:sz w:val="16"/>
          <w:szCs w:val="16"/>
          <w:i w:val="1"/>
          <w:iCs w:val="1"/>
          <w:color w:val="auto"/>
        </w:rPr>
        <w:t xml:space="preserve"> </w:t>
      </w:r>
      <w:r>
        <w:rPr>
          <w:rFonts w:ascii="Arial" w:cs="Arial" w:eastAsia="Arial" w:hAnsi="Arial"/>
          <w:sz w:val="16"/>
          <w:szCs w:val="16"/>
          <w:color w:val="auto"/>
        </w:rPr>
        <w:t>from time to time party hereto; S</w:t>
      </w:r>
      <w:r>
        <w:rPr>
          <w:rFonts w:ascii="Arial" w:cs="Arial" w:eastAsia="Arial" w:hAnsi="Arial"/>
          <w:sz w:val="13"/>
          <w:szCs w:val="13"/>
          <w:color w:val="auto"/>
        </w:rPr>
        <w:t>UN</w:t>
      </w:r>
      <w:r>
        <w:rPr>
          <w:rFonts w:ascii="Arial" w:cs="Arial" w:eastAsia="Arial" w:hAnsi="Arial"/>
          <w:sz w:val="16"/>
          <w:szCs w:val="16"/>
          <w:color w:val="auto"/>
        </w:rPr>
        <w:t>T</w:t>
      </w:r>
      <w:r>
        <w:rPr>
          <w:rFonts w:ascii="Arial" w:cs="Arial" w:eastAsia="Arial" w:hAnsi="Arial"/>
          <w:sz w:val="13"/>
          <w:szCs w:val="13"/>
          <w:color w:val="auto"/>
        </w:rPr>
        <w:t>RUST</w:t>
      </w:r>
      <w:r>
        <w:rPr>
          <w:rFonts w:ascii="Arial" w:cs="Arial" w:eastAsia="Arial" w:hAnsi="Arial"/>
          <w:sz w:val="16"/>
          <w:szCs w:val="16"/>
          <w:i w:val="1"/>
          <w:iCs w:val="1"/>
          <w:color w:val="auto"/>
        </w:rPr>
        <w:t xml:space="preserve"> </w:t>
      </w:r>
      <w:r>
        <w:rPr>
          <w:rFonts w:ascii="Arial" w:cs="Arial" w:eastAsia="Arial" w:hAnsi="Arial"/>
          <w:sz w:val="16"/>
          <w:szCs w:val="16"/>
          <w:color w:val="auto"/>
        </w:rPr>
        <w:t>B</w:t>
      </w:r>
      <w:r>
        <w:rPr>
          <w:rFonts w:ascii="Arial" w:cs="Arial" w:eastAsia="Arial" w:hAnsi="Arial"/>
          <w:sz w:val="13"/>
          <w:szCs w:val="13"/>
          <w:color w:val="auto"/>
        </w:rPr>
        <w:t>ANK</w:t>
      </w:r>
      <w:r>
        <w:rPr>
          <w:rFonts w:ascii="Arial" w:cs="Arial" w:eastAsia="Arial" w:hAnsi="Arial"/>
          <w:sz w:val="16"/>
          <w:szCs w:val="16"/>
          <w:color w:val="auto"/>
        </w:rPr>
        <w:t>, as administrative agent for the Secured Parties (as hereinafter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defined) (in such 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U.S. B</w:t>
      </w:r>
      <w:r>
        <w:rPr>
          <w:rFonts w:ascii="Arial" w:cs="Arial" w:eastAsia="Arial" w:hAnsi="Arial"/>
          <w:sz w:val="13"/>
          <w:szCs w:val="13"/>
          <w:color w:val="auto"/>
        </w:rPr>
        <w:t>ANK</w:t>
      </w:r>
      <w:r>
        <w:rPr>
          <w:rFonts w:ascii="Arial" w:cs="Arial" w:eastAsia="Arial" w:hAnsi="Arial"/>
          <w:sz w:val="16"/>
          <w:szCs w:val="16"/>
          <w:color w:val="auto"/>
        </w:rPr>
        <w:t xml:space="preserve"> N</w:t>
      </w:r>
      <w:r>
        <w:rPr>
          <w:rFonts w:ascii="Arial" w:cs="Arial" w:eastAsia="Arial" w:hAnsi="Arial"/>
          <w:sz w:val="13"/>
          <w:szCs w:val="13"/>
          <w:color w:val="auto"/>
        </w:rPr>
        <w:t>ATIONAL</w:t>
      </w:r>
      <w:r>
        <w:rPr>
          <w:rFonts w:ascii="Arial" w:cs="Arial" w:eastAsia="Arial" w:hAnsi="Arial"/>
          <w:sz w:val="16"/>
          <w:szCs w:val="16"/>
          <w:color w:val="auto"/>
        </w:rPr>
        <w:t xml:space="preserve"> A</w:t>
      </w:r>
      <w:r>
        <w:rPr>
          <w:rFonts w:ascii="Arial" w:cs="Arial" w:eastAsia="Arial" w:hAnsi="Arial"/>
          <w:sz w:val="13"/>
          <w:szCs w:val="13"/>
          <w:color w:val="auto"/>
        </w:rPr>
        <w:t>SSOCIATION</w:t>
      </w:r>
      <w:r>
        <w:rPr>
          <w:rFonts w:ascii="Arial" w:cs="Arial" w:eastAsia="Arial" w:hAnsi="Arial"/>
          <w:sz w:val="16"/>
          <w:szCs w:val="16"/>
          <w:color w:val="auto"/>
        </w:rPr>
        <w:t>, as collateral agent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Secured Parties (as hereinafter defined) (in such capacity, together with its successors and assigns, the </w:t>
      </w:r>
      <w:r>
        <w:rPr>
          <w:rFonts w:ascii="Arial" w:cs="Arial" w:eastAsia="Arial" w:hAnsi="Arial"/>
          <w:sz w:val="16"/>
          <w:szCs w:val="16"/>
          <w:i w:val="1"/>
          <w:iCs w:val="1"/>
          <w:color w:val="auto"/>
        </w:rPr>
        <w:t>“Collateral Agent”</w:t>
      </w:r>
      <w:r>
        <w:rPr>
          <w:rFonts w:ascii="Arial" w:cs="Arial" w:eastAsia="Arial" w:hAnsi="Arial"/>
          <w:sz w:val="16"/>
          <w:szCs w:val="16"/>
          <w:color w:val="auto"/>
        </w:rPr>
        <w:t>); U.S. B</w:t>
      </w:r>
      <w:r>
        <w:rPr>
          <w:rFonts w:ascii="Arial" w:cs="Arial" w:eastAsia="Arial" w:hAnsi="Arial"/>
          <w:sz w:val="13"/>
          <w:szCs w:val="13"/>
          <w:color w:val="auto"/>
        </w:rPr>
        <w:t>ANK</w:t>
      </w:r>
      <w:r>
        <w:rPr>
          <w:rFonts w:ascii="Arial" w:cs="Arial" w:eastAsia="Arial" w:hAnsi="Arial"/>
          <w:sz w:val="16"/>
          <w:szCs w:val="16"/>
          <w:color w:val="auto"/>
        </w:rPr>
        <w:t xml:space="preserve"> N</w:t>
      </w:r>
      <w:r>
        <w:rPr>
          <w:rFonts w:ascii="Arial" w:cs="Arial" w:eastAsia="Arial" w:hAnsi="Arial"/>
          <w:sz w:val="13"/>
          <w:szCs w:val="13"/>
          <w:color w:val="auto"/>
        </w:rPr>
        <w:t>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SSOCIATION</w:t>
      </w:r>
      <w:r>
        <w:rPr>
          <w:rFonts w:ascii="Arial" w:cs="Arial" w:eastAsia="Arial" w:hAnsi="Arial"/>
          <w:sz w:val="16"/>
          <w:szCs w:val="16"/>
          <w:color w:val="auto"/>
        </w:rPr>
        <w:t xml:space="preserve">, as custodian (in such capacity, together with its successors and assigns, the </w:t>
      </w:r>
      <w:r>
        <w:rPr>
          <w:rFonts w:ascii="Arial" w:cs="Arial" w:eastAsia="Arial" w:hAnsi="Arial"/>
          <w:sz w:val="16"/>
          <w:szCs w:val="16"/>
          <w:i w:val="1"/>
          <w:iCs w:val="1"/>
          <w:color w:val="auto"/>
        </w:rPr>
        <w:t>“Custodian”</w:t>
      </w:r>
      <w:r>
        <w:rPr>
          <w:rFonts w:ascii="Arial" w:cs="Arial" w:eastAsia="Arial" w:hAnsi="Arial"/>
          <w:sz w:val="16"/>
          <w:szCs w:val="16"/>
          <w:color w:val="auto"/>
        </w:rPr>
        <w:t>); U.S. B</w:t>
      </w:r>
      <w:r>
        <w:rPr>
          <w:rFonts w:ascii="Arial" w:cs="Arial" w:eastAsia="Arial" w:hAnsi="Arial"/>
          <w:sz w:val="13"/>
          <w:szCs w:val="13"/>
          <w:color w:val="auto"/>
        </w:rPr>
        <w:t>ANK</w:t>
      </w:r>
      <w:r>
        <w:rPr>
          <w:rFonts w:ascii="Arial" w:cs="Arial" w:eastAsia="Arial" w:hAnsi="Arial"/>
          <w:sz w:val="16"/>
          <w:szCs w:val="16"/>
          <w:color w:val="auto"/>
        </w:rPr>
        <w:t xml:space="preserve"> N</w:t>
      </w:r>
      <w:r>
        <w:rPr>
          <w:rFonts w:ascii="Arial" w:cs="Arial" w:eastAsia="Arial" w:hAnsi="Arial"/>
          <w:sz w:val="13"/>
          <w:szCs w:val="13"/>
          <w:color w:val="auto"/>
        </w:rPr>
        <w:t>ATIONAL</w:t>
      </w:r>
      <w:r>
        <w:rPr>
          <w:rFonts w:ascii="Arial" w:cs="Arial" w:eastAsia="Arial" w:hAnsi="Arial"/>
          <w:sz w:val="16"/>
          <w:szCs w:val="16"/>
          <w:color w:val="auto"/>
        </w:rPr>
        <w:t xml:space="preserve"> A</w:t>
      </w:r>
      <w:r>
        <w:rPr>
          <w:rFonts w:ascii="Arial" w:cs="Arial" w:eastAsia="Arial" w:hAnsi="Arial"/>
          <w:sz w:val="13"/>
          <w:szCs w:val="13"/>
          <w:color w:val="auto"/>
        </w:rPr>
        <w:t>SSOCIATION</w:t>
      </w:r>
      <w:r>
        <w:rPr>
          <w:rFonts w:ascii="Arial" w:cs="Arial" w:eastAsia="Arial" w:hAnsi="Arial"/>
          <w:sz w:val="16"/>
          <w:szCs w:val="16"/>
          <w:color w:val="auto"/>
        </w:rPr>
        <w:t>, as collateral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administrator (in such capacity, together with its successors and assigns, the </w:t>
      </w:r>
      <w:r>
        <w:rPr>
          <w:rFonts w:ascii="Arial" w:cs="Arial" w:eastAsia="Arial" w:hAnsi="Arial"/>
          <w:sz w:val="16"/>
          <w:szCs w:val="16"/>
          <w:i w:val="1"/>
          <w:iCs w:val="1"/>
          <w:color w:val="auto"/>
        </w:rPr>
        <w:t>“Collateral Administrator”</w:t>
      </w:r>
      <w:r>
        <w:rPr>
          <w:rFonts w:ascii="Arial" w:cs="Arial" w:eastAsia="Arial" w:hAnsi="Arial"/>
          <w:sz w:val="16"/>
          <w:szCs w:val="16"/>
          <w:color w:val="auto"/>
        </w:rPr>
        <w:t>); and U.S. B</w:t>
      </w:r>
      <w:r>
        <w:rPr>
          <w:rFonts w:ascii="Arial" w:cs="Arial" w:eastAsia="Arial" w:hAnsi="Arial"/>
          <w:sz w:val="13"/>
          <w:szCs w:val="13"/>
          <w:color w:val="auto"/>
        </w:rPr>
        <w:t>ANK</w:t>
      </w:r>
      <w:r>
        <w:rPr>
          <w:rFonts w:ascii="Arial" w:cs="Arial" w:eastAsia="Arial" w:hAnsi="Arial"/>
          <w:sz w:val="16"/>
          <w:szCs w:val="16"/>
          <w:color w:val="auto"/>
        </w:rPr>
        <w:t xml:space="preserve"> N</w:t>
      </w:r>
      <w:r>
        <w:rPr>
          <w:rFonts w:ascii="Arial" w:cs="Arial" w:eastAsia="Arial" w:hAnsi="Arial"/>
          <w:sz w:val="13"/>
          <w:szCs w:val="13"/>
          <w:color w:val="auto"/>
        </w:rPr>
        <w:t>ATIONAL</w:t>
      </w:r>
      <w:r>
        <w:rPr>
          <w:rFonts w:ascii="Arial" w:cs="Arial" w:eastAsia="Arial" w:hAnsi="Arial"/>
          <w:sz w:val="16"/>
          <w:szCs w:val="16"/>
          <w:color w:val="auto"/>
        </w:rPr>
        <w:t xml:space="preserve"> A</w:t>
      </w:r>
      <w:r>
        <w:rPr>
          <w:rFonts w:ascii="Arial" w:cs="Arial" w:eastAsia="Arial" w:hAnsi="Arial"/>
          <w:sz w:val="13"/>
          <w:szCs w:val="13"/>
          <w:color w:val="auto"/>
        </w:rPr>
        <w:t>SSOCIATION</w:t>
      </w:r>
      <w:r>
        <w:rPr>
          <w:rFonts w:ascii="Arial" w:cs="Arial" w:eastAsia="Arial" w:hAnsi="Arial"/>
          <w:sz w:val="16"/>
          <w:szCs w:val="16"/>
          <w:color w:val="auto"/>
        </w:rPr>
        <w:t>, as backup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collateral manager (in such capacity, together with its successors and assigns, the </w:t>
      </w:r>
      <w:r>
        <w:rPr>
          <w:rFonts w:ascii="Arial" w:cs="Arial" w:eastAsia="Arial" w:hAnsi="Arial"/>
          <w:sz w:val="18"/>
          <w:szCs w:val="18"/>
          <w:i w:val="1"/>
          <w:iCs w:val="1"/>
          <w:color w:val="auto"/>
        </w:rPr>
        <w:t>“Backup Collateral Manager”</w:t>
      </w:r>
      <w:r>
        <w:rPr>
          <w:rFonts w:ascii="Arial" w:cs="Arial" w:eastAsia="Arial" w:hAnsi="Arial"/>
          <w:sz w:val="18"/>
          <w:szCs w:val="18"/>
          <w:color w:val="auto"/>
        </w:rPr>
        <w:t>).</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WITNESSETH:</w:t>
      </w:r>
    </w:p>
    <w:p>
      <w:pPr>
        <w:spacing w:after="0" w:line="177" w:lineRule="exact"/>
        <w:rPr>
          <w:sz w:val="20"/>
          <w:szCs w:val="20"/>
          <w:color w:val="auto"/>
        </w:rPr>
      </w:pPr>
    </w:p>
    <w:p>
      <w:pPr>
        <w:jc w:val="both"/>
        <w:ind w:right="200" w:firstLine="449"/>
        <w:spacing w:after="0" w:line="259" w:lineRule="auto"/>
        <w:rPr>
          <w:sz w:val="20"/>
          <w:szCs w:val="20"/>
          <w:color w:val="auto"/>
        </w:rPr>
      </w:pPr>
      <w:r>
        <w:rPr>
          <w:rFonts w:ascii="Arial" w:cs="Arial" w:eastAsia="Arial" w:hAnsi="Arial"/>
          <w:sz w:val="18"/>
          <w:szCs w:val="18"/>
          <w:color w:val="auto"/>
        </w:rPr>
        <w:t xml:space="preserve">WHEREAS, the Borrower, the Collateral Manager, the Administrative Agent, the Collateral Agent, the Custodian, the Lenders and Backup Collateral Manager have previously entered into that certain Revolving Credit and Security Agreement dated as of June 23, 2011 (as amended, restated, supplemented and otherwise modified from time to time, the </w:t>
      </w:r>
      <w:r>
        <w:rPr>
          <w:rFonts w:ascii="Arial" w:cs="Arial" w:eastAsia="Arial" w:hAnsi="Arial"/>
          <w:sz w:val="18"/>
          <w:szCs w:val="18"/>
          <w:i w:val="1"/>
          <w:iCs w:val="1"/>
          <w:color w:val="auto"/>
        </w:rPr>
        <w:t>“Original Agreement”</w:t>
      </w:r>
      <w:r>
        <w:rPr>
          <w:rFonts w:ascii="Arial" w:cs="Arial" w:eastAsia="Arial" w:hAnsi="Arial"/>
          <w:sz w:val="18"/>
          <w:szCs w:val="18"/>
          <w:color w:val="auto"/>
        </w:rPr>
        <w:t>);</w:t>
      </w:r>
    </w:p>
    <w:p>
      <w:pPr>
        <w:spacing w:after="0" w:line="140" w:lineRule="exact"/>
        <w:rPr>
          <w:sz w:val="20"/>
          <w:szCs w:val="20"/>
          <w:color w:val="auto"/>
        </w:rPr>
      </w:pPr>
    </w:p>
    <w:p>
      <w:pPr>
        <w:ind w:firstLine="449"/>
        <w:spacing w:after="0" w:line="331" w:lineRule="auto"/>
        <w:rPr>
          <w:sz w:val="20"/>
          <w:szCs w:val="20"/>
          <w:color w:val="auto"/>
        </w:rPr>
      </w:pPr>
      <w:r>
        <w:rPr>
          <w:rFonts w:ascii="Arial" w:cs="Arial" w:eastAsia="Arial" w:hAnsi="Arial"/>
          <w:sz w:val="16"/>
          <w:szCs w:val="16"/>
          <w:color w:val="auto"/>
        </w:rPr>
        <w:t>WHEREAS, contemporaneously with the execution of this Agreement, Three Pillars Funding, LLC has assigned its interest in the outstanding Advances made under the Original Agreement and all of its rights and obligations under the Original Agreement to SunTrust Bank;</w:t>
      </w:r>
    </w:p>
    <w:p>
      <w:pPr>
        <w:spacing w:after="0" w:line="8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WHEREAS, subject to and upon the terms and conditions set forth herein, the parties hereto desire to (i) remove Swingline Advances, (ii) make certain other amendments to the Original Agreement and (iii) for the sake of clarity and convenience, amend and restate the Original Agreement in the form of this Agreement in its entirety;</w:t>
      </w:r>
    </w:p>
    <w:p>
      <w:pPr>
        <w:spacing w:after="0" w:line="140"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WHEREAS, the Borrower desires that the Lenders make advances on a revolving basis to the Borrower on the terms and subject to the conditions set forth in this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each Lender is willing to make such advances to the Borrower on the terms and subject to the conditions set forth in this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and of the mutual covenants herein contained, the parties hereto agree as follows:</w:t>
      </w:r>
    </w:p>
    <w:p>
      <w:pPr>
        <w:sectPr>
          <w:pgSz w:w="11900" w:h="16838" w:orient="portrait"/>
          <w:cols w:equalWidth="0" w:num="1">
            <w:col w:w="11180"/>
          </w:cols>
          <w:pgMar w:left="320" w:top="274" w:right="399" w:bottom="1440" w:gutter="0" w:footer="0" w:header="0"/>
        </w:sectPr>
      </w:pPr>
    </w:p>
    <w:bookmarkStart w:id="49" w:name="page50"/>
    <w:bookmarkEnd w:id="49"/>
    <w:p>
      <w:pPr>
        <w:ind w:left="47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w:t>
      </w:r>
    </w:p>
    <w:p>
      <w:pPr>
        <w:spacing w:after="0" w:line="171" w:lineRule="exact"/>
        <w:rPr>
          <w:sz w:val="20"/>
          <w:szCs w:val="20"/>
          <w:color w:val="auto"/>
        </w:rPr>
      </w:pPr>
    </w:p>
    <w:p>
      <w:pPr>
        <w:ind w:left="2603"/>
        <w:spacing w:after="0"/>
        <w:rPr>
          <w:sz w:val="20"/>
          <w:szCs w:val="20"/>
          <w:color w:val="auto"/>
        </w:rPr>
      </w:pPr>
      <w:r>
        <w:rPr>
          <w:rFonts w:ascii="Arial" w:cs="Arial" w:eastAsia="Arial" w:hAnsi="Arial"/>
          <w:sz w:val="18"/>
          <w:szCs w:val="18"/>
          <w:b w:val="1"/>
          <w:bCs w:val="1"/>
          <w:color w:val="auto"/>
        </w:rPr>
        <w:t>DEFINITIONS; RULES OF CONSTRUCTION; COMPUTATIONS</w:t>
      </w:r>
    </w:p>
    <w:p>
      <w:pPr>
        <w:spacing w:after="0" w:line="177"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Section 1.01. Definitions</w:t>
      </w:r>
      <w:r>
        <w:rPr>
          <w:rFonts w:ascii="Arial" w:cs="Arial" w:eastAsia="Arial" w:hAnsi="Arial"/>
          <w:sz w:val="18"/>
          <w:szCs w:val="18"/>
          <w:color w:val="auto"/>
        </w:rPr>
        <w:t>. As used in this Agreement, the following terms shall have the meanings indicated:</w:t>
      </w:r>
    </w:p>
    <w:p>
      <w:pPr>
        <w:spacing w:after="0" w:line="90" w:lineRule="exact"/>
        <w:rPr>
          <w:sz w:val="20"/>
          <w:szCs w:val="20"/>
          <w:color w:val="auto"/>
        </w:rPr>
      </w:pPr>
    </w:p>
    <w:p>
      <w:pPr>
        <w:ind w:left="3" w:firstLine="431"/>
        <w:spacing w:after="0" w:line="259" w:lineRule="auto"/>
        <w:rPr>
          <w:sz w:val="20"/>
          <w:szCs w:val="20"/>
          <w:color w:val="auto"/>
        </w:rPr>
      </w:pPr>
      <w:r>
        <w:rPr>
          <w:rFonts w:ascii="Arial" w:cs="Arial" w:eastAsia="Arial" w:hAnsi="Arial"/>
          <w:sz w:val="18"/>
          <w:szCs w:val="18"/>
          <w:i w:val="1"/>
          <w:iCs w:val="1"/>
          <w:color w:val="auto"/>
        </w:rPr>
        <w:t xml:space="preserve">“ABL Facility” </w:t>
      </w:r>
      <w:r>
        <w:rPr>
          <w:rFonts w:ascii="Arial" w:cs="Arial" w:eastAsia="Arial" w:hAnsi="Arial"/>
          <w:sz w:val="18"/>
          <w:szCs w:val="18"/>
          <w:color w:val="auto"/>
        </w:rPr>
        <w:t>means a lending facility pursuant to which the loans thereunder are secured by a perfected, first priority security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inventory, machinery, equipment, or periodic revenues, where such collateral security consists of assets generated or acquired by the related Obligor in its business.</w:t>
      </w:r>
    </w:p>
    <w:p>
      <w:pPr>
        <w:spacing w:after="0" w:line="59" w:lineRule="exact"/>
        <w:rPr>
          <w:sz w:val="20"/>
          <w:szCs w:val="20"/>
          <w:color w:val="auto"/>
        </w:rPr>
      </w:pPr>
    </w:p>
    <w:p>
      <w:pPr>
        <w:ind w:left="423"/>
        <w:spacing w:after="0"/>
        <w:rPr>
          <w:sz w:val="20"/>
          <w:szCs w:val="20"/>
          <w:color w:val="auto"/>
        </w:rPr>
      </w:pPr>
      <w:r>
        <w:rPr>
          <w:rFonts w:ascii="Arial" w:cs="Arial" w:eastAsia="Arial" w:hAnsi="Arial"/>
          <w:sz w:val="18"/>
          <w:szCs w:val="18"/>
          <w:i w:val="1"/>
          <w:iCs w:val="1"/>
          <w:color w:val="auto"/>
        </w:rPr>
        <w:t xml:space="preserve">“Account Control Agreement” </w:t>
      </w:r>
      <w:r>
        <w:rPr>
          <w:rFonts w:ascii="Arial" w:cs="Arial" w:eastAsia="Arial" w:hAnsi="Arial"/>
          <w:sz w:val="18"/>
          <w:szCs w:val="18"/>
          <w:color w:val="auto"/>
        </w:rPr>
        <w:t>means an agreement in substantially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E</w:t>
      </w:r>
      <w:r>
        <w:rPr>
          <w:rFonts w:ascii="Arial" w:cs="Arial" w:eastAsia="Arial" w:hAnsi="Arial"/>
          <w:sz w:val="18"/>
          <w:szCs w:val="18"/>
          <w:i w:val="1"/>
          <w:iCs w:val="1"/>
          <w:color w:val="auto"/>
        </w:rPr>
        <w:t xml:space="preserve"> </w:t>
      </w:r>
      <w:r>
        <w:rPr>
          <w:rFonts w:ascii="Arial" w:cs="Arial" w:eastAsia="Arial" w:hAnsi="Arial"/>
          <w:sz w:val="18"/>
          <w:szCs w:val="18"/>
          <w:color w:val="auto"/>
        </w:rPr>
        <w:t>hereto.</w:t>
      </w:r>
    </w:p>
    <w:p>
      <w:pPr>
        <w:spacing w:after="0" w:line="90" w:lineRule="exact"/>
        <w:rPr>
          <w:sz w:val="20"/>
          <w:szCs w:val="20"/>
          <w:color w:val="auto"/>
        </w:rPr>
      </w:pPr>
    </w:p>
    <w:p>
      <w:pPr>
        <w:ind w:left="423"/>
        <w:spacing w:after="0"/>
        <w:rPr>
          <w:sz w:val="20"/>
          <w:szCs w:val="20"/>
          <w:color w:val="auto"/>
        </w:rPr>
      </w:pPr>
      <w:r>
        <w:rPr>
          <w:rFonts w:ascii="Arial" w:cs="Arial" w:eastAsia="Arial" w:hAnsi="Arial"/>
          <w:sz w:val="16"/>
          <w:szCs w:val="16"/>
          <w:i w:val="1"/>
          <w:iCs w:val="1"/>
          <w:color w:val="auto"/>
        </w:rPr>
        <w:t xml:space="preserve">“Adjusted Eurodollar Rate” </w:t>
      </w:r>
      <w:r>
        <w:rPr>
          <w:rFonts w:ascii="Arial" w:cs="Arial" w:eastAsia="Arial" w:hAnsi="Arial"/>
          <w:sz w:val="16"/>
          <w:szCs w:val="16"/>
          <w:color w:val="auto"/>
        </w:rPr>
        <w:t>means, for any Interest Accrual Period, an interest rate</w:t>
      </w:r>
      <w:r>
        <w:rPr>
          <w:rFonts w:ascii="Arial" w:cs="Arial" w:eastAsia="Arial" w:hAnsi="Arial"/>
          <w:sz w:val="16"/>
          <w:szCs w:val="16"/>
          <w:i w:val="1"/>
          <w:iCs w:val="1"/>
          <w:color w:val="auto"/>
        </w:rPr>
        <w:t xml:space="preserve"> per annum </w:t>
      </w:r>
      <w:r>
        <w:rPr>
          <w:rFonts w:ascii="Arial" w:cs="Arial" w:eastAsia="Arial" w:hAnsi="Arial"/>
          <w:sz w:val="16"/>
          <w:szCs w:val="16"/>
          <w:color w:val="auto"/>
        </w:rPr>
        <w:t>equal to a fraction, expressed as a percentage,</w:t>
      </w:r>
    </w:p>
    <w:p>
      <w:pPr>
        <w:spacing w:after="0" w:line="38" w:lineRule="exact"/>
        <w:rPr>
          <w:sz w:val="20"/>
          <w:szCs w:val="20"/>
          <w:color w:val="auto"/>
        </w:rPr>
      </w:pPr>
    </w:p>
    <w:p>
      <w:pPr>
        <w:ind w:left="3" w:right="320" w:hanging="3"/>
        <w:spacing w:after="0" w:line="260" w:lineRule="auto"/>
        <w:tabs>
          <w:tab w:leader="none" w:pos="2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numerator of which is equal to the LIBOR Rate for such Interest Accrual Period and (ii) the denominator of which is equal to 100%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Eurodollar Reserve Percentage for such Interest Accrual Period.</w:t>
      </w:r>
    </w:p>
    <w:p>
      <w:pPr>
        <w:spacing w:after="0" w:line="58" w:lineRule="exact"/>
        <w:rPr>
          <w:sz w:val="20"/>
          <w:szCs w:val="20"/>
          <w:color w:val="auto"/>
        </w:rPr>
      </w:pPr>
    </w:p>
    <w:p>
      <w:pPr>
        <w:ind w:left="423"/>
        <w:spacing w:after="0"/>
        <w:rPr>
          <w:sz w:val="20"/>
          <w:szCs w:val="20"/>
          <w:color w:val="auto"/>
        </w:rPr>
      </w:pPr>
      <w:r>
        <w:rPr>
          <w:rFonts w:ascii="Arial" w:cs="Arial" w:eastAsia="Arial" w:hAnsi="Arial"/>
          <w:sz w:val="18"/>
          <w:szCs w:val="18"/>
          <w:i w:val="1"/>
          <w:iCs w:val="1"/>
          <w:color w:val="auto"/>
        </w:rPr>
        <w:t xml:space="preserve">“Administrative Agent” </w:t>
      </w:r>
      <w:r>
        <w:rPr>
          <w:rFonts w:ascii="Arial" w:cs="Arial" w:eastAsia="Arial" w:hAnsi="Arial"/>
          <w:sz w:val="18"/>
          <w:szCs w:val="18"/>
          <w:color w:val="auto"/>
        </w:rPr>
        <w:t>has the meaning assigned to such term in the introduction to this Agreement.</w:t>
      </w:r>
    </w:p>
    <w:p>
      <w:pPr>
        <w:spacing w:after="0" w:line="90" w:lineRule="exact"/>
        <w:rPr>
          <w:sz w:val="20"/>
          <w:szCs w:val="20"/>
          <w:color w:val="auto"/>
        </w:rPr>
      </w:pPr>
    </w:p>
    <w:p>
      <w:pPr>
        <w:ind w:left="3" w:right="500" w:firstLine="431"/>
        <w:spacing w:after="0" w:line="268" w:lineRule="auto"/>
        <w:rPr>
          <w:sz w:val="20"/>
          <w:szCs w:val="20"/>
          <w:color w:val="auto"/>
        </w:rPr>
      </w:pPr>
      <w:r>
        <w:rPr>
          <w:rFonts w:ascii="Arial" w:cs="Arial" w:eastAsia="Arial" w:hAnsi="Arial"/>
          <w:sz w:val="18"/>
          <w:szCs w:val="18"/>
          <w:i w:val="1"/>
          <w:iCs w:val="1"/>
          <w:color w:val="auto"/>
        </w:rPr>
        <w:t xml:space="preserve">“Administrative Agent Fee Letter” </w:t>
      </w:r>
      <w:r>
        <w:rPr>
          <w:rFonts w:ascii="Arial" w:cs="Arial" w:eastAsia="Arial" w:hAnsi="Arial"/>
          <w:sz w:val="18"/>
          <w:szCs w:val="18"/>
          <w:color w:val="auto"/>
        </w:rPr>
        <w:t>means that certain fee letter, dated as of the date hereof, by and among the Administrative Agent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w:t>
      </w:r>
    </w:p>
    <w:p>
      <w:pPr>
        <w:spacing w:after="0" w:line="51" w:lineRule="exact"/>
        <w:rPr>
          <w:sz w:val="20"/>
          <w:szCs w:val="20"/>
          <w:color w:val="auto"/>
        </w:rPr>
      </w:pPr>
    </w:p>
    <w:p>
      <w:pPr>
        <w:ind w:left="423"/>
        <w:spacing w:after="0"/>
        <w:rPr>
          <w:sz w:val="20"/>
          <w:szCs w:val="20"/>
          <w:color w:val="auto"/>
        </w:rPr>
      </w:pPr>
      <w:r>
        <w:rPr>
          <w:rFonts w:ascii="Arial" w:cs="Arial" w:eastAsia="Arial" w:hAnsi="Arial"/>
          <w:sz w:val="18"/>
          <w:szCs w:val="18"/>
          <w:i w:val="1"/>
          <w:iCs w:val="1"/>
          <w:color w:val="auto"/>
        </w:rPr>
        <w:t xml:space="preserve">“Administrative Expense Cap” </w:t>
      </w:r>
      <w:r>
        <w:rPr>
          <w:rFonts w:ascii="Arial" w:cs="Arial" w:eastAsia="Arial" w:hAnsi="Arial"/>
          <w:sz w:val="18"/>
          <w:szCs w:val="18"/>
          <w:color w:val="auto"/>
        </w:rPr>
        <w:t>means, for any rolling 12-month period, an amount equal to $150,000.</w:t>
      </w:r>
    </w:p>
    <w:p>
      <w:pPr>
        <w:spacing w:after="0" w:line="90" w:lineRule="exact"/>
        <w:rPr>
          <w:sz w:val="20"/>
          <w:szCs w:val="20"/>
          <w:color w:val="auto"/>
        </w:rPr>
      </w:pPr>
    </w:p>
    <w:p>
      <w:pPr>
        <w:ind w:left="3" w:firstLine="431"/>
        <w:spacing w:after="0" w:line="268" w:lineRule="auto"/>
        <w:rPr>
          <w:sz w:val="20"/>
          <w:szCs w:val="20"/>
          <w:color w:val="auto"/>
        </w:rPr>
      </w:pP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means the fees and expenses (including indemnities) and other amounts of the Borrower due or accrued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Payment Date and payable in the following order:</w:t>
      </w:r>
    </w:p>
    <w:p>
      <w:pPr>
        <w:spacing w:after="0" w:line="51" w:lineRule="exact"/>
        <w:rPr>
          <w:sz w:val="20"/>
          <w:szCs w:val="20"/>
          <w:color w:val="auto"/>
        </w:rPr>
      </w:pPr>
    </w:p>
    <w:p>
      <w:pPr>
        <w:ind w:left="443" w:right="260" w:firstLine="420"/>
        <w:spacing w:after="0" w:line="259" w:lineRule="auto"/>
        <w:tabs>
          <w:tab w:leader="none" w:pos="109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Collateral Agent, the Collateral Administrator, the Backup Collateral Manager, Securities Intermediary and the Custodian,</w:t>
      </w:r>
      <w:r>
        <w:rPr>
          <w:rFonts w:ascii="Arial" w:cs="Arial" w:eastAsia="Arial" w:hAnsi="Arial"/>
          <w:sz w:val="18"/>
          <w:szCs w:val="18"/>
          <w:i w:val="1"/>
          <w:iCs w:val="1"/>
          <w:color w:val="auto"/>
        </w:rPr>
        <w:t xml:space="preserve"> </w:t>
      </w:r>
      <w:r>
        <w:rPr>
          <w:rFonts w:ascii="Arial" w:cs="Arial" w:eastAsia="Arial" w:hAnsi="Arial"/>
          <w:sz w:val="18"/>
          <w:szCs w:val="18"/>
          <w:color w:val="auto"/>
        </w:rPr>
        <w:t>any amounts payable pursuant to the Collateral Agent Fee Letter, the Backup Collateral Manager Fee Letter, the Custodian Fee Letter, the Collateral Administration Agreement, this Agreement and the other Facility Documents;</w:t>
      </w:r>
    </w:p>
    <w:p>
      <w:pPr>
        <w:spacing w:after="0" w:line="58" w:lineRule="exact"/>
        <w:rPr>
          <w:rFonts w:ascii="Arial" w:cs="Arial" w:eastAsia="Arial" w:hAnsi="Arial"/>
          <w:sz w:val="18"/>
          <w:szCs w:val="18"/>
          <w:color w:val="auto"/>
        </w:rPr>
      </w:pPr>
    </w:p>
    <w:p>
      <w:pPr>
        <w:ind w:left="1103" w:hanging="240"/>
        <w:spacing w:after="0"/>
        <w:tabs>
          <w:tab w:leader="none" w:pos="1103"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Administrative Agent for fees and accrued expenses;</w:t>
      </w:r>
    </w:p>
    <w:p>
      <w:pPr>
        <w:spacing w:after="0" w:line="90" w:lineRule="exact"/>
        <w:rPr>
          <w:rFonts w:ascii="Arial" w:cs="Arial" w:eastAsia="Arial" w:hAnsi="Arial"/>
          <w:sz w:val="18"/>
          <w:szCs w:val="18"/>
          <w:color w:val="auto"/>
        </w:rPr>
      </w:pPr>
    </w:p>
    <w:p>
      <w:pPr>
        <w:ind w:left="443" w:right="100" w:firstLine="420"/>
        <w:spacing w:after="0" w:line="268" w:lineRule="auto"/>
        <w:tabs>
          <w:tab w:leader="none" w:pos="109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Collateral Manager for expenses (including indemnities) incurred by the Collateral Manager in connection with the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provided under this Agreement and as further described in </w:t>
      </w:r>
      <w:r>
        <w:rPr>
          <w:rFonts w:ascii="Arial" w:cs="Arial" w:eastAsia="Arial" w:hAnsi="Arial"/>
          <w:sz w:val="18"/>
          <w:szCs w:val="18"/>
          <w:u w:val="single" w:color="auto"/>
          <w:color w:val="auto"/>
        </w:rPr>
        <w:t>Sections 11.03, 11.07 and 11.09</w:t>
      </w:r>
      <w:r>
        <w:rPr>
          <w:rFonts w:ascii="Arial" w:cs="Arial" w:eastAsia="Arial" w:hAnsi="Arial"/>
          <w:sz w:val="18"/>
          <w:szCs w:val="18"/>
          <w:color w:val="auto"/>
        </w:rPr>
        <w:t>; and</w:t>
      </w:r>
    </w:p>
    <w:p>
      <w:pPr>
        <w:spacing w:after="0" w:line="118"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3"/>
          </w:cols>
          <w:pgMar w:left="777" w:top="274" w:right="359" w:bottom="1440" w:gutter="0" w:footer="0" w:header="0"/>
        </w:sectPr>
      </w:pPr>
    </w:p>
    <w:bookmarkStart w:id="50" w:name="page51"/>
    <w:bookmarkEnd w:id="50"/>
    <w:p>
      <w:pPr>
        <w:ind w:left="1560" w:hanging="240"/>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fourth</w:t>
      </w:r>
      <w:r>
        <w:rPr>
          <w:rFonts w:ascii="Arial" w:cs="Arial" w:eastAsia="Arial" w:hAnsi="Arial"/>
          <w:sz w:val="18"/>
          <w:szCs w:val="18"/>
          <w:color w:val="auto"/>
        </w:rPr>
        <w:t>, on a</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basis, to:</w:t>
      </w:r>
    </w:p>
    <w:p>
      <w:pPr>
        <w:spacing w:after="0" w:line="90" w:lineRule="exact"/>
        <w:rPr>
          <w:rFonts w:ascii="Arial" w:cs="Arial" w:eastAsia="Arial" w:hAnsi="Arial"/>
          <w:sz w:val="18"/>
          <w:szCs w:val="18"/>
          <w:color w:val="auto"/>
        </w:rPr>
      </w:pPr>
    </w:p>
    <w:p>
      <w:pPr>
        <w:ind w:left="1460" w:right="440" w:firstLine="399"/>
        <w:spacing w:after="0" w:line="268" w:lineRule="auto"/>
        <w:tabs>
          <w:tab w:leader="none" w:pos="20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Independent Accountants, agents (other than the Collateral Manager) and counsel of the Borrower for fees and expenses related to the Collateral and the Facility Documents;</w:t>
      </w:r>
    </w:p>
    <w:p>
      <w:pPr>
        <w:spacing w:after="0" w:line="50" w:lineRule="exact"/>
        <w:rPr>
          <w:rFonts w:ascii="Arial" w:cs="Arial" w:eastAsia="Arial" w:hAnsi="Arial"/>
          <w:sz w:val="18"/>
          <w:szCs w:val="18"/>
          <w:color w:val="auto"/>
        </w:rPr>
      </w:pPr>
    </w:p>
    <w:p>
      <w:pPr>
        <w:ind w:left="1460" w:right="320" w:firstLine="399"/>
        <w:spacing w:after="0" w:line="268" w:lineRule="auto"/>
        <w:tabs>
          <w:tab w:leader="none" w:pos="210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Rating Agencies for fees and expenses in connection with the rating of (or provision of credit estimates in respect of) any Collateral Loans;</w:t>
      </w:r>
    </w:p>
    <w:p>
      <w:pPr>
        <w:spacing w:after="0" w:line="50" w:lineRule="exact"/>
        <w:rPr>
          <w:rFonts w:ascii="Arial" w:cs="Arial" w:eastAsia="Arial" w:hAnsi="Arial"/>
          <w:sz w:val="18"/>
          <w:szCs w:val="18"/>
          <w:color w:val="auto"/>
        </w:rPr>
      </w:pPr>
    </w:p>
    <w:p>
      <w:pPr>
        <w:ind w:left="1460" w:right="460" w:firstLine="399"/>
        <w:spacing w:after="0" w:line="268" w:lineRule="auto"/>
        <w:tabs>
          <w:tab w:leader="none" w:pos="215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other Person in respect of any other fees or expenses permitted under or incurred pursuant to or in connection with the Facility Documents; and</w:t>
      </w:r>
    </w:p>
    <w:p>
      <w:pPr>
        <w:spacing w:after="0" w:line="50" w:lineRule="exact"/>
        <w:rPr>
          <w:rFonts w:ascii="Arial" w:cs="Arial" w:eastAsia="Arial" w:hAnsi="Arial"/>
          <w:sz w:val="18"/>
          <w:szCs w:val="18"/>
          <w:color w:val="auto"/>
        </w:rPr>
      </w:pPr>
    </w:p>
    <w:p>
      <w:pPr>
        <w:ind w:left="1460" w:right="40" w:firstLine="399"/>
        <w:spacing w:after="0" w:line="268" w:lineRule="auto"/>
        <w:tabs>
          <w:tab w:leader="none" w:pos="21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Lenders and the Agents (or related indemnified parties) for fees, expenses and other amounts payable by the Borrower under any Facility Document;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for the avoidance of doubt, amounts that are expressly payable to any Person under the Priority of Payments in respect of an amount that is stated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payable as an amount other than as Administrative Expenses (including, without limitation, interest and principal, other amounts owing in respect of the Advances and the Commitments, the Senior Collateral Management Fees and the Subordinated Collateral Management Fees) shall not constitute Administrative Expenses.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“Advances”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“Affected Person” </w:t>
      </w:r>
      <w:r>
        <w:rPr>
          <w:rFonts w:ascii="Arial" w:cs="Arial" w:eastAsia="Arial" w:hAnsi="Arial"/>
          <w:sz w:val="16"/>
          <w:szCs w:val="16"/>
          <w:color w:val="auto"/>
        </w:rPr>
        <w:t>means (i) each Lender and each of its Affiliates, (ii) any Liquidity Bank and (iii) any assignee or participant of any Lender.</w:t>
      </w:r>
    </w:p>
    <w:p>
      <w:pPr>
        <w:spacing w:after="0" w:line="113" w:lineRule="exact"/>
        <w:rPr>
          <w:sz w:val="20"/>
          <w:szCs w:val="20"/>
          <w:color w:val="auto"/>
        </w:rPr>
      </w:pPr>
    </w:p>
    <w:p>
      <w:pPr>
        <w:ind w:left="460" w:right="140" w:firstLine="431"/>
        <w:spacing w:after="0" w:line="256"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in respect of a referenced Person, another Person Controlling, Controlled by or under common Control with such referenced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Person;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a Person shall not be deemed to be an “</w:t>
      </w:r>
      <w:r>
        <w:rPr>
          <w:rFonts w:ascii="Arial" w:cs="Arial" w:eastAsia="Arial" w:hAnsi="Arial"/>
          <w:sz w:val="18"/>
          <w:szCs w:val="18"/>
          <w:i w:val="1"/>
          <w:iCs w:val="1"/>
          <w:color w:val="auto"/>
        </w:rPr>
        <w:t>Affiliate</w:t>
      </w:r>
      <w:r>
        <w:rPr>
          <w:rFonts w:ascii="Arial" w:cs="Arial" w:eastAsia="Arial" w:hAnsi="Arial"/>
          <w:sz w:val="18"/>
          <w:szCs w:val="18"/>
          <w:color w:val="auto"/>
        </w:rPr>
        <w:t>” of an Obligor solely because it is under the common ownership or control of the same financial sponsor or affiliate thereof as such Obligor (except if any such Person or Obligor provides collateral under, guarantees or otherwise supports the obligations of the other such Person or Obligor).</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“Agents” </w:t>
      </w:r>
      <w:r>
        <w:rPr>
          <w:rFonts w:ascii="Arial" w:cs="Arial" w:eastAsia="Arial" w:hAnsi="Arial"/>
          <w:sz w:val="18"/>
          <w:szCs w:val="18"/>
          <w:color w:val="auto"/>
        </w:rPr>
        <w:t>means, collectively, the Administrative Agent and the Collateral Agent.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“Agent’s Account” </w:t>
      </w:r>
      <w:r>
        <w:rPr>
          <w:rFonts w:ascii="Arial" w:cs="Arial" w:eastAsia="Arial" w:hAnsi="Arial"/>
          <w:sz w:val="16"/>
          <w:szCs w:val="16"/>
          <w:color w:val="auto"/>
        </w:rPr>
        <w:t>means SunTrust Bank, Atlanta, GA, ABA #061000104, Account to be credited: STB Agency Services Operating Account,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number: 1000022220783, Attn: Doug Weltz, Ref: PennantPark Floating Rate Funding I, LLC.</w:t>
      </w:r>
    </w:p>
    <w:p>
      <w:pPr>
        <w:spacing w:after="0" w:line="84" w:lineRule="exact"/>
        <w:rPr>
          <w:sz w:val="20"/>
          <w:szCs w:val="20"/>
          <w:color w:val="auto"/>
        </w:rPr>
      </w:pPr>
    </w:p>
    <w:p>
      <w:pPr>
        <w:ind w:left="460" w:right="20" w:firstLine="431"/>
        <w:spacing w:after="0" w:line="259" w:lineRule="auto"/>
        <w:rPr>
          <w:sz w:val="20"/>
          <w:szCs w:val="20"/>
          <w:color w:val="auto"/>
        </w:rPr>
      </w:pPr>
      <w:r>
        <w:rPr>
          <w:rFonts w:ascii="Arial" w:cs="Arial" w:eastAsia="Arial" w:hAnsi="Arial"/>
          <w:sz w:val="18"/>
          <w:szCs w:val="18"/>
          <w:i w:val="1"/>
          <w:iCs w:val="1"/>
          <w:color w:val="auto"/>
        </w:rPr>
        <w:t xml:space="preserve">“Aggregate Collateral Balance” </w:t>
      </w:r>
      <w:r>
        <w:rPr>
          <w:rFonts w:ascii="Arial" w:cs="Arial" w:eastAsia="Arial" w:hAnsi="Arial"/>
          <w:sz w:val="18"/>
          <w:szCs w:val="18"/>
          <w:color w:val="auto"/>
        </w:rPr>
        <w:t>means, at any time, the sum of: (a) the Assigned Value of all Collateral Loans (other than Ineligible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aggregate unfunded commitments of all Delayed Drawdown Collateral Loans (other than Ineligible Collateral Loans) and Revolving Collateral Loans (other than Ineligible Collateral Loans).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80" w:right="359" w:bottom="1440" w:gutter="0" w:footer="0" w:header="0"/>
        </w:sectPr>
      </w:pPr>
    </w:p>
    <w:bookmarkStart w:id="51" w:name="page52"/>
    <w:bookmarkEnd w:id="51"/>
    <w:p>
      <w:pPr>
        <w:ind w:left="4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“Aggregate Funded Spread” </w:t>
      </w:r>
      <w:r>
        <w:rPr>
          <w:rFonts w:ascii="Arial" w:cs="Arial" w:eastAsia="Arial" w:hAnsi="Arial"/>
          <w:sz w:val="18"/>
          <w:szCs w:val="18"/>
          <w:color w:val="auto"/>
        </w:rPr>
        <w:t>means, as of any date, the sum of:</w:t>
      </w:r>
    </w:p>
    <w:p>
      <w:pPr>
        <w:spacing w:after="0" w:line="90" w:lineRule="exact"/>
        <w:rPr>
          <w:sz w:val="20"/>
          <w:szCs w:val="20"/>
          <w:color w:val="auto"/>
        </w:rPr>
      </w:pPr>
    </w:p>
    <w:p>
      <w:pPr>
        <w:ind w:left="440" w:right="20" w:firstLine="420"/>
        <w:spacing w:after="0" w:line="306" w:lineRule="auto"/>
        <w:tabs>
          <w:tab w:leader="none" w:pos="1092"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in the case of each Floating Rate Obligation (excluding any Floor Obligation) that bears interest at a spread over an index (including any London interbank offered rate based index), (i) the excess of the sum of such spread and such index </w:t>
      </w:r>
      <w:r>
        <w:rPr>
          <w:rFonts w:ascii="Arial" w:cs="Arial" w:eastAsia="Arial" w:hAnsi="Arial"/>
          <w:sz w:val="16"/>
          <w:szCs w:val="16"/>
          <w:i w:val="1"/>
          <w:iCs w:val="1"/>
          <w:color w:val="auto"/>
        </w:rPr>
        <w:t>over</w:t>
      </w:r>
      <w:r>
        <w:rPr>
          <w:rFonts w:ascii="Arial" w:cs="Arial" w:eastAsia="Arial" w:hAnsi="Arial"/>
          <w:sz w:val="16"/>
          <w:szCs w:val="16"/>
          <w:color w:val="auto"/>
        </w:rPr>
        <w:t xml:space="preserve"> Specified LIBOR as then in effect (which spread or excess may be expressed as a negative percentage)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Principal Balance of such Collateral Loan; and</w:t>
      </w:r>
    </w:p>
    <w:p>
      <w:pPr>
        <w:spacing w:after="0" w:line="25" w:lineRule="exact"/>
        <w:rPr>
          <w:rFonts w:ascii="Arial" w:cs="Arial" w:eastAsia="Arial" w:hAnsi="Arial"/>
          <w:sz w:val="16"/>
          <w:szCs w:val="16"/>
          <w:color w:val="auto"/>
        </w:rPr>
      </w:pPr>
    </w:p>
    <w:p>
      <w:pPr>
        <w:ind w:left="440" w:right="160" w:firstLine="420"/>
        <w:spacing w:after="0" w:line="259" w:lineRule="auto"/>
        <w:tabs>
          <w:tab w:leader="none" w:pos="11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 the case of each Floor Obligation, (i) the excess of the interest rate on such Floor Obligation (including any interest rate spread) as of such date </w:t>
      </w:r>
      <w:r>
        <w:rPr>
          <w:rFonts w:ascii="Arial" w:cs="Arial" w:eastAsia="Arial" w:hAnsi="Arial"/>
          <w:sz w:val="18"/>
          <w:szCs w:val="18"/>
          <w:i w:val="1"/>
          <w:iCs w:val="1"/>
          <w:color w:val="auto"/>
        </w:rPr>
        <w:t>over</w:t>
      </w:r>
      <w:r>
        <w:rPr>
          <w:rFonts w:ascii="Arial" w:cs="Arial" w:eastAsia="Arial" w:hAnsi="Arial"/>
          <w:sz w:val="18"/>
          <w:szCs w:val="18"/>
          <w:color w:val="auto"/>
        </w:rPr>
        <w:t xml:space="preserve"> Specified LIBOR as then in effect (which spread or excess may be expressed as a negative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Principal Balance of each such Collateral Loan.</w:t>
      </w:r>
    </w:p>
    <w:p>
      <w:pPr>
        <w:spacing w:after="0" w:line="59" w:lineRule="exact"/>
        <w:rPr>
          <w:sz w:val="20"/>
          <w:szCs w:val="20"/>
          <w:color w:val="auto"/>
        </w:rPr>
      </w:pPr>
    </w:p>
    <w:p>
      <w:pPr>
        <w:ind w:right="120" w:firstLine="431"/>
        <w:spacing w:after="0" w:line="268" w:lineRule="auto"/>
        <w:rPr>
          <w:sz w:val="20"/>
          <w:szCs w:val="20"/>
          <w:color w:val="auto"/>
        </w:rPr>
      </w:pPr>
      <w:r>
        <w:rPr>
          <w:rFonts w:ascii="Arial" w:cs="Arial" w:eastAsia="Arial" w:hAnsi="Arial"/>
          <w:sz w:val="18"/>
          <w:szCs w:val="18"/>
          <w:i w:val="1"/>
          <w:iCs w:val="1"/>
          <w:color w:val="auto"/>
        </w:rPr>
        <w:t xml:space="preserve">“Aggregate Principal Balance” </w:t>
      </w:r>
      <w:r>
        <w:rPr>
          <w:rFonts w:ascii="Arial" w:cs="Arial" w:eastAsia="Arial" w:hAnsi="Arial"/>
          <w:sz w:val="18"/>
          <w:szCs w:val="18"/>
          <w:color w:val="auto"/>
        </w:rPr>
        <w:t>means, when used with respect to all or a portion of the Collateral Loans, the sum of the Principal Balances of all</w:t>
      </w:r>
      <w:r>
        <w:rPr>
          <w:rFonts w:ascii="Arial" w:cs="Arial" w:eastAsia="Arial" w:hAnsi="Arial"/>
          <w:sz w:val="18"/>
          <w:szCs w:val="18"/>
          <w:i w:val="1"/>
          <w:iCs w:val="1"/>
          <w:color w:val="auto"/>
        </w:rPr>
        <w:t xml:space="preserve"> </w:t>
      </w:r>
      <w:r>
        <w:rPr>
          <w:rFonts w:ascii="Arial" w:cs="Arial" w:eastAsia="Arial" w:hAnsi="Arial"/>
          <w:sz w:val="18"/>
          <w:szCs w:val="18"/>
          <w:color w:val="auto"/>
        </w:rPr>
        <w:t>or of such portion of such Collateral Loans.</w:t>
      </w:r>
    </w:p>
    <w:p>
      <w:pPr>
        <w:spacing w:after="0" w:line="51" w:lineRule="exact"/>
        <w:rPr>
          <w:sz w:val="20"/>
          <w:szCs w:val="20"/>
          <w:color w:val="auto"/>
        </w:rPr>
      </w:pPr>
    </w:p>
    <w:p>
      <w:pPr>
        <w:ind w:right="100" w:firstLine="431"/>
        <w:spacing w:after="0" w:line="306" w:lineRule="auto"/>
        <w:rPr>
          <w:sz w:val="20"/>
          <w:szCs w:val="20"/>
          <w:color w:val="auto"/>
        </w:rPr>
      </w:pPr>
      <w:r>
        <w:rPr>
          <w:rFonts w:ascii="Arial" w:cs="Arial" w:eastAsia="Arial" w:hAnsi="Arial"/>
          <w:sz w:val="16"/>
          <w:szCs w:val="16"/>
          <w:i w:val="1"/>
          <w:iCs w:val="1"/>
          <w:color w:val="auto"/>
        </w:rPr>
        <w:t xml:space="preserve">“Aggregate Unfunded Spread” </w:t>
      </w:r>
      <w:r>
        <w:rPr>
          <w:rFonts w:ascii="Arial" w:cs="Arial" w:eastAsia="Arial" w:hAnsi="Arial"/>
          <w:sz w:val="16"/>
          <w:szCs w:val="16"/>
          <w:color w:val="auto"/>
        </w:rPr>
        <w:t>means, as of any date, the sum of the products obtained by multiplying (a) for each Delayed Drawdown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Loan and Revolving Collateral Loan, the related commitment fee or other analogous fees (expressed at a per annum rate) then in effect as of such date and (b) the undrawn commitments of each such Delayed Drawdown Collateral Loan and Revolving Collateral Loan as of such date.</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“Agreement” </w:t>
      </w:r>
      <w:r>
        <w:rPr>
          <w:rFonts w:ascii="Arial" w:cs="Arial" w:eastAsia="Arial" w:hAnsi="Arial"/>
          <w:sz w:val="18"/>
          <w:szCs w:val="18"/>
          <w:color w:val="auto"/>
        </w:rPr>
        <w:t>means this Amended and Restated Revolving Credit and Security Agreement.</w:t>
      </w:r>
    </w:p>
    <w:p>
      <w:pPr>
        <w:spacing w:after="0" w:line="90" w:lineRule="exact"/>
        <w:rPr>
          <w:sz w:val="20"/>
          <w:szCs w:val="20"/>
          <w:color w:val="auto"/>
        </w:rPr>
      </w:pPr>
    </w:p>
    <w:p>
      <w:pPr>
        <w:ind w:firstLine="431"/>
        <w:spacing w:after="0" w:line="259" w:lineRule="auto"/>
        <w:rPr>
          <w:sz w:val="20"/>
          <w:szCs w:val="20"/>
          <w:color w:val="auto"/>
        </w:rPr>
      </w:pPr>
      <w:r>
        <w:rPr>
          <w:rFonts w:ascii="Arial" w:cs="Arial" w:eastAsia="Arial" w:hAnsi="Arial"/>
          <w:sz w:val="18"/>
          <w:szCs w:val="18"/>
          <w:i w:val="1"/>
          <w:iCs w:val="1"/>
          <w:color w:val="auto"/>
        </w:rPr>
        <w:t xml:space="preserve">“Alternative Rate” </w:t>
      </w:r>
      <w:r>
        <w:rPr>
          <w:rFonts w:ascii="Arial" w:cs="Arial" w:eastAsia="Arial" w:hAnsi="Arial"/>
          <w:sz w:val="18"/>
          <w:szCs w:val="18"/>
          <w:color w:val="auto"/>
        </w:rPr>
        <w:t>means an interest rate</w:t>
      </w:r>
      <w:r>
        <w:rPr>
          <w:rFonts w:ascii="Arial" w:cs="Arial" w:eastAsia="Arial" w:hAnsi="Arial"/>
          <w:sz w:val="18"/>
          <w:szCs w:val="18"/>
          <w:i w:val="1"/>
          <w:iCs w:val="1"/>
          <w:color w:val="auto"/>
        </w:rPr>
        <w:t xml:space="preserve"> per annum </w:t>
      </w:r>
      <w:r>
        <w:rPr>
          <w:rFonts w:ascii="Arial" w:cs="Arial" w:eastAsia="Arial" w:hAnsi="Arial"/>
          <w:sz w:val="18"/>
          <w:szCs w:val="18"/>
          <w:color w:val="auto"/>
        </w:rPr>
        <w:t>equal to (i) if a Eurodollar Disruption Event has occurred and is continuing or an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has occurred and is continuing (and has not otherwise been waived by the Lenders pursuant to the terms hereof), the Base Rate, or (ii) in all other cases, the Adjusted Eurodollar Rate.</w:t>
      </w:r>
    </w:p>
    <w:p>
      <w:pPr>
        <w:spacing w:after="0" w:line="59" w:lineRule="exact"/>
        <w:rPr>
          <w:sz w:val="20"/>
          <w:szCs w:val="20"/>
          <w:color w:val="auto"/>
        </w:rPr>
      </w:pPr>
    </w:p>
    <w:p>
      <w:pPr>
        <w:ind w:right="100" w:firstLine="431"/>
        <w:spacing w:after="0" w:line="268" w:lineRule="auto"/>
        <w:rPr>
          <w:sz w:val="20"/>
          <w:szCs w:val="20"/>
          <w:color w:val="auto"/>
        </w:rPr>
      </w:pPr>
      <w:r>
        <w:rPr>
          <w:rFonts w:ascii="Arial" w:cs="Arial" w:eastAsia="Arial" w:hAnsi="Arial"/>
          <w:sz w:val="18"/>
          <w:szCs w:val="18"/>
          <w:i w:val="1"/>
          <w:iCs w:val="1"/>
          <w:color w:val="auto"/>
        </w:rPr>
        <w:t xml:space="preserve">“Applicable Law” </w:t>
      </w:r>
      <w:r>
        <w:rPr>
          <w:rFonts w:ascii="Arial" w:cs="Arial" w:eastAsia="Arial" w:hAnsi="Arial"/>
          <w:sz w:val="18"/>
          <w:szCs w:val="18"/>
          <w:color w:val="auto"/>
        </w:rPr>
        <w:t>means any Law of any Governmental Authority, including all Federal and state banking or securities laws, to which the Person</w:t>
      </w:r>
      <w:r>
        <w:rPr>
          <w:rFonts w:ascii="Arial" w:cs="Arial" w:eastAsia="Arial" w:hAnsi="Arial"/>
          <w:sz w:val="18"/>
          <w:szCs w:val="18"/>
          <w:i w:val="1"/>
          <w:iCs w:val="1"/>
          <w:color w:val="auto"/>
        </w:rPr>
        <w:t xml:space="preserve"> </w:t>
      </w:r>
      <w:r>
        <w:rPr>
          <w:rFonts w:ascii="Arial" w:cs="Arial" w:eastAsia="Arial" w:hAnsi="Arial"/>
          <w:sz w:val="18"/>
          <w:szCs w:val="18"/>
          <w:color w:val="auto"/>
        </w:rPr>
        <w:t>in question is subject or by which it or any of its assets or properties are bound.</w:t>
      </w:r>
    </w:p>
    <w:p>
      <w:pPr>
        <w:spacing w:after="0" w:line="51" w:lineRule="exact"/>
        <w:rPr>
          <w:sz w:val="20"/>
          <w:szCs w:val="20"/>
          <w:color w:val="auto"/>
        </w:rPr>
      </w:pPr>
    </w:p>
    <w:p>
      <w:pPr>
        <w:ind w:right="380" w:firstLine="431"/>
        <w:spacing w:after="0" w:line="331" w:lineRule="auto"/>
        <w:rPr>
          <w:sz w:val="20"/>
          <w:szCs w:val="20"/>
          <w:color w:val="auto"/>
        </w:rPr>
      </w:pPr>
      <w:r>
        <w:rPr>
          <w:rFonts w:ascii="Arial" w:cs="Arial" w:eastAsia="Arial" w:hAnsi="Arial"/>
          <w:sz w:val="16"/>
          <w:szCs w:val="16"/>
          <w:i w:val="1"/>
          <w:iCs w:val="1"/>
          <w:color w:val="auto"/>
        </w:rPr>
        <w:t xml:space="preserve">“Applicable Margin” </w:t>
      </w:r>
      <w:r>
        <w:rPr>
          <w:rFonts w:ascii="Arial" w:cs="Arial" w:eastAsia="Arial" w:hAnsi="Arial"/>
          <w:sz w:val="16"/>
          <w:szCs w:val="16"/>
          <w:color w:val="auto"/>
        </w:rPr>
        <w:t>means (a) during the Reinvestment Period, 2.25%</w:t>
      </w:r>
      <w:r>
        <w:rPr>
          <w:rFonts w:ascii="Arial" w:cs="Arial" w:eastAsia="Arial" w:hAnsi="Arial"/>
          <w:sz w:val="16"/>
          <w:szCs w:val="16"/>
          <w:i w:val="1"/>
          <w:iCs w:val="1"/>
          <w:color w:val="auto"/>
        </w:rPr>
        <w:t xml:space="preserve"> per annum</w:t>
      </w:r>
      <w:r>
        <w:rPr>
          <w:rFonts w:ascii="Arial" w:cs="Arial" w:eastAsia="Arial" w:hAnsi="Arial"/>
          <w:sz w:val="16"/>
          <w:szCs w:val="16"/>
          <w:color w:val="auto"/>
        </w:rPr>
        <w:t>; and (b) after the Reinvestment Period, 4.25%</w:t>
      </w:r>
      <w:r>
        <w:rPr>
          <w:rFonts w:ascii="Arial" w:cs="Arial" w:eastAsia="Arial" w:hAnsi="Arial"/>
          <w:sz w:val="16"/>
          <w:szCs w:val="16"/>
          <w:i w:val="1"/>
          <w:iCs w:val="1"/>
          <w:color w:val="auto"/>
        </w:rPr>
        <w:t xml:space="preserve"> per annum</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provided,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that, upon the occurrence and continuation of an Event of Default, the Applicable Margin shall be 4.75%</w:t>
      </w:r>
      <w:r>
        <w:rPr>
          <w:rFonts w:ascii="Arial" w:cs="Arial" w:eastAsia="Arial" w:hAnsi="Arial"/>
          <w:sz w:val="16"/>
          <w:szCs w:val="16"/>
          <w:i w:val="1"/>
          <w:iCs w:val="1"/>
          <w:color w:val="auto"/>
        </w:rPr>
        <w:t xml:space="preserve"> per annum</w:t>
      </w:r>
      <w:r>
        <w:rPr>
          <w:rFonts w:ascii="Arial" w:cs="Arial" w:eastAsia="Arial" w:hAnsi="Arial"/>
          <w:sz w:val="16"/>
          <w:szCs w:val="16"/>
          <w:color w:val="auto"/>
        </w:rPr>
        <w:t>.</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“Appraisal” </w:t>
      </w:r>
      <w:r>
        <w:rPr>
          <w:rFonts w:ascii="Arial" w:cs="Arial" w:eastAsia="Arial" w:hAnsi="Arial"/>
          <w:sz w:val="18"/>
          <w:szCs w:val="18"/>
          <w:color w:val="auto"/>
        </w:rPr>
        <w:t>means:</w:t>
      </w:r>
    </w:p>
    <w:p>
      <w:pPr>
        <w:spacing w:after="0" w:line="90" w:lineRule="exact"/>
        <w:rPr>
          <w:sz w:val="20"/>
          <w:szCs w:val="20"/>
          <w:color w:val="auto"/>
        </w:rPr>
      </w:pPr>
    </w:p>
    <w:p>
      <w:pPr>
        <w:ind w:left="440" w:right="100" w:firstLine="420"/>
        <w:spacing w:after="0" w:line="298" w:lineRule="auto"/>
        <w:tabs>
          <w:tab w:leader="none" w:pos="1092"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 respect to any Defaulted Collateral Loan, an appraisal of the assets securing such Defaulted Collateral Loan that is conducted by an Approved Appraisal Firm on the basis of the fair market value of such assets (that is, the price that would be paid by a willing buyer to a willing seller of such assets in an expedited sale on an arm’s-length basis), which may be in the form of an update or reaffirmation by an Approved Appraisal Firm of an Appraisal of such Defaulted Collateral Loan previously performed by an Approved Appraisal Firm; and</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780" w:top="280" w:right="339" w:bottom="1440" w:gutter="0" w:footer="0" w:header="0"/>
        </w:sectPr>
      </w:pPr>
    </w:p>
    <w:bookmarkStart w:id="52" w:name="page53"/>
    <w:bookmarkEnd w:id="52"/>
    <w:p>
      <w:pPr>
        <w:ind w:left="443" w:right="20" w:firstLine="420"/>
        <w:spacing w:after="0" w:line="259" w:lineRule="auto"/>
        <w:tabs>
          <w:tab w:leader="none" w:pos="1105"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any Collateral Loan (other than a Defaulted Collateral Loan), an appraisal of such Collateral Loan that is conducted by an Approved Appraisal Firm, which may be in the form of an update or reaffirmation by an Approved Appraisal Firm of an Appraisal of such Collateral Loan previously performed by an Approved Appraisal Firm.</w:t>
      </w:r>
    </w:p>
    <w:p>
      <w:pPr>
        <w:spacing w:after="0" w:line="59" w:lineRule="exact"/>
        <w:rPr>
          <w:sz w:val="20"/>
          <w:szCs w:val="20"/>
          <w:color w:val="auto"/>
        </w:rPr>
      </w:pPr>
    </w:p>
    <w:p>
      <w:pPr>
        <w:ind w:left="423"/>
        <w:spacing w:after="0"/>
        <w:rPr>
          <w:sz w:val="20"/>
          <w:szCs w:val="20"/>
          <w:color w:val="auto"/>
        </w:rPr>
      </w:pPr>
      <w:r>
        <w:rPr>
          <w:rFonts w:ascii="Arial" w:cs="Arial" w:eastAsia="Arial" w:hAnsi="Arial"/>
          <w:sz w:val="16"/>
          <w:szCs w:val="16"/>
          <w:i w:val="1"/>
          <w:iCs w:val="1"/>
          <w:color w:val="auto"/>
        </w:rPr>
        <w:t xml:space="preserve">“Approved Appraisal Firm” </w:t>
      </w:r>
      <w:r>
        <w:rPr>
          <w:rFonts w:ascii="Arial" w:cs="Arial" w:eastAsia="Arial" w:hAnsi="Arial"/>
          <w:sz w:val="16"/>
          <w:szCs w:val="16"/>
          <w:color w:val="auto"/>
        </w:rPr>
        <w:t>means (a) an independent appraisal firm recognized as being experienced in conducting valuations of secured loans or</w:t>
      </w:r>
    </w:p>
    <w:p>
      <w:pPr>
        <w:spacing w:after="0" w:line="38" w:lineRule="exact"/>
        <w:rPr>
          <w:sz w:val="20"/>
          <w:szCs w:val="20"/>
          <w:color w:val="auto"/>
        </w:rPr>
      </w:pPr>
    </w:p>
    <w:p>
      <w:pPr>
        <w:ind w:left="3" w:hanging="3"/>
        <w:spacing w:after="0" w:line="260" w:lineRule="auto"/>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independent financial adviser of recognized standing retained by the Borrower, the Collateral Manager or the agent or lenders under any Collateral Loan, in each case as consented to by the Administrative Agent.</w:t>
      </w:r>
    </w:p>
    <w:p>
      <w:pPr>
        <w:spacing w:after="0" w:line="58" w:lineRule="exact"/>
        <w:rPr>
          <w:sz w:val="20"/>
          <w:szCs w:val="20"/>
          <w:color w:val="auto"/>
        </w:rPr>
      </w:pPr>
    </w:p>
    <w:p>
      <w:pPr>
        <w:ind w:left="3" w:firstLine="431"/>
        <w:spacing w:after="0" w:line="288" w:lineRule="auto"/>
        <w:rPr>
          <w:sz w:val="20"/>
          <w:szCs w:val="20"/>
          <w:color w:val="auto"/>
        </w:rPr>
      </w:pPr>
      <w:r>
        <w:rPr>
          <w:rFonts w:ascii="Arial" w:cs="Arial" w:eastAsia="Arial" w:hAnsi="Arial"/>
          <w:sz w:val="16"/>
          <w:szCs w:val="16"/>
          <w:i w:val="1"/>
          <w:iCs w:val="1"/>
          <w:color w:val="auto"/>
        </w:rPr>
        <w:t xml:space="preserve">“Assigned Value” </w:t>
      </w:r>
      <w:r>
        <w:rPr>
          <w:rFonts w:ascii="Arial" w:cs="Arial" w:eastAsia="Arial" w:hAnsi="Arial"/>
          <w:sz w:val="16"/>
          <w:szCs w:val="16"/>
          <w:color w:val="auto"/>
        </w:rPr>
        <w:t>means, for any Collateral Loan, the value of the Collateral Loan as reflected on the books and records of the Collateral Manager,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subject to a maximum Assigned Value of the lesser of (i) 100% of the Collateral Loan’s Principal Balance and (ii) the purchase price initially paid by the BDC or the Borrower for such Collateral Loan,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xml:space="preserve"> that at any time following an Assigned Value Adjustment Event, the Assigned Value may be determined by the Administrative Agent acting in its reasonable discretion, </w:t>
      </w:r>
      <w:r>
        <w:rPr>
          <w:rFonts w:ascii="Arial" w:cs="Arial" w:eastAsia="Arial" w:hAnsi="Arial"/>
          <w:sz w:val="16"/>
          <w:szCs w:val="16"/>
          <w:i w:val="1"/>
          <w:iCs w:val="1"/>
          <w:u w:val="single" w:color="auto"/>
          <w:color w:val="auto"/>
        </w:rPr>
        <w:t>provided, further,</w:t>
      </w:r>
      <w:r>
        <w:rPr>
          <w:rFonts w:ascii="Arial" w:cs="Arial" w:eastAsia="Arial" w:hAnsi="Arial"/>
          <w:sz w:val="16"/>
          <w:szCs w:val="16"/>
          <w:color w:val="auto"/>
        </w:rPr>
        <w:t xml:space="preserve"> that the Assigned Value of any Collateral Loan shall not be less than the lowest price quoted by a nationally recognized service selected by the Administrative Agent. In the event the Borrower disputes any Assigned Value which has been determined by the Administrative Agent, the Borrower may, at the Borrower’s expense, retain a nationally recognized valuation firm to value such Collateral Loan and if such nationally recognized valuation firm’s Assigned Value is higher than the Assigned Value determined by the Administrative Agent, such nationally recognized valuation firm’s Assigned Value shall be the Assigned Value with respect to such Collateral Loan.</w:t>
      </w:r>
    </w:p>
    <w:p>
      <w:pPr>
        <w:spacing w:after="0" w:line="38" w:lineRule="exact"/>
        <w:rPr>
          <w:sz w:val="20"/>
          <w:szCs w:val="20"/>
          <w:color w:val="auto"/>
        </w:rPr>
      </w:pPr>
    </w:p>
    <w:p>
      <w:pPr>
        <w:ind w:left="423"/>
        <w:spacing w:after="0"/>
        <w:rPr>
          <w:sz w:val="20"/>
          <w:szCs w:val="20"/>
          <w:color w:val="auto"/>
        </w:rPr>
      </w:pPr>
      <w:r>
        <w:rPr>
          <w:rFonts w:ascii="Arial" w:cs="Arial" w:eastAsia="Arial" w:hAnsi="Arial"/>
          <w:sz w:val="18"/>
          <w:szCs w:val="18"/>
          <w:i w:val="1"/>
          <w:iCs w:val="1"/>
          <w:color w:val="auto"/>
        </w:rPr>
        <w:t xml:space="preserve">“Assigned Value Adjustment Event” </w:t>
      </w:r>
      <w:r>
        <w:rPr>
          <w:rFonts w:ascii="Arial" w:cs="Arial" w:eastAsia="Arial" w:hAnsi="Arial"/>
          <w:sz w:val="18"/>
          <w:szCs w:val="18"/>
          <w:color w:val="auto"/>
        </w:rPr>
        <w:t>means, for any Collateral Loan, the occurrence of any of the following:</w:t>
      </w:r>
    </w:p>
    <w:p>
      <w:pPr>
        <w:spacing w:after="0" w:line="90" w:lineRule="exact"/>
        <w:rPr>
          <w:sz w:val="20"/>
          <w:szCs w:val="20"/>
          <w:color w:val="auto"/>
        </w:rPr>
      </w:pPr>
    </w:p>
    <w:p>
      <w:pPr>
        <w:ind w:left="1103" w:hanging="240"/>
        <w:spacing w:after="0"/>
        <w:tabs>
          <w:tab w:leader="none" w:pos="1103"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Obligor payment default on such Collateral Loan past any applicable cure periods provided under the applicable loan documents;</w:t>
      </w:r>
    </w:p>
    <w:p>
      <w:pPr>
        <w:spacing w:after="0" w:line="113" w:lineRule="exact"/>
        <w:rPr>
          <w:rFonts w:ascii="Arial" w:cs="Arial" w:eastAsia="Arial" w:hAnsi="Arial"/>
          <w:sz w:val="16"/>
          <w:szCs w:val="16"/>
          <w:color w:val="auto"/>
        </w:rPr>
      </w:pPr>
    </w:p>
    <w:p>
      <w:pPr>
        <w:ind w:left="443" w:right="80" w:firstLine="420"/>
        <w:spacing w:after="0" w:line="259" w:lineRule="auto"/>
        <w:tabs>
          <w:tab w:leader="none" w:pos="11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default has occurred with respect to such Collateral Loan for which the Borrower (or the Administrative Agent or Required Lenders pursuant the Related Documents, as applicable) has elected to exercise any of its rights and remedies under the Related Documents or any other applicable loan documents;</w:t>
      </w:r>
    </w:p>
    <w:p>
      <w:pPr>
        <w:spacing w:after="0" w:line="58" w:lineRule="exact"/>
        <w:rPr>
          <w:rFonts w:ascii="Arial" w:cs="Arial" w:eastAsia="Arial" w:hAnsi="Arial"/>
          <w:sz w:val="18"/>
          <w:szCs w:val="18"/>
          <w:color w:val="auto"/>
        </w:rPr>
      </w:pPr>
    </w:p>
    <w:p>
      <w:pPr>
        <w:ind w:left="1103" w:hanging="240"/>
        <w:spacing w:after="0"/>
        <w:tabs>
          <w:tab w:leader="none" w:pos="110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Borrower enters into a Material Modification with respect to such Collateral Loan; or</w:t>
      </w:r>
    </w:p>
    <w:p>
      <w:pPr>
        <w:spacing w:after="0" w:line="90" w:lineRule="exact"/>
        <w:rPr>
          <w:rFonts w:ascii="Arial" w:cs="Arial" w:eastAsia="Arial" w:hAnsi="Arial"/>
          <w:sz w:val="18"/>
          <w:szCs w:val="18"/>
          <w:color w:val="auto"/>
        </w:rPr>
      </w:pPr>
    </w:p>
    <w:p>
      <w:pPr>
        <w:ind w:left="1103" w:hanging="240"/>
        <w:spacing w:after="0"/>
        <w:tabs>
          <w:tab w:leader="none" w:pos="110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Insolvency Event occurs with respect to the Obligor of such Collateral Loan.</w:t>
      </w:r>
    </w:p>
    <w:p>
      <w:pPr>
        <w:spacing w:after="0" w:line="158"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3"/>
          </w:cols>
          <w:pgMar w:left="777" w:top="280" w:right="359" w:bottom="1440" w:gutter="0" w:footer="0" w:header="0"/>
        </w:sectPr>
      </w:pPr>
    </w:p>
    <w:bookmarkStart w:id="53" w:name="page54"/>
    <w:bookmarkEnd w:id="53"/>
    <w:p>
      <w:pPr>
        <w:ind w:right="180" w:firstLine="431"/>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“Assignment and Acceptance” </w:t>
      </w:r>
      <w:r>
        <w:rPr>
          <w:rFonts w:ascii="Arial" w:cs="Arial" w:eastAsia="Arial" w:hAnsi="Arial"/>
          <w:sz w:val="18"/>
          <w:szCs w:val="18"/>
          <w:color w:val="auto"/>
        </w:rPr>
        <w:t>means an Assignment and Acceptance in substantially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i w:val="1"/>
          <w:iCs w:val="1"/>
          <w:color w:val="auto"/>
        </w:rPr>
        <w:t xml:space="preserve"> </w:t>
      </w:r>
      <w:r>
        <w:rPr>
          <w:rFonts w:ascii="Arial" w:cs="Arial" w:eastAsia="Arial" w:hAnsi="Arial"/>
          <w:sz w:val="18"/>
          <w:szCs w:val="18"/>
          <w:color w:val="auto"/>
        </w:rPr>
        <w:t>hereto, entered into by a Lender, an</w:t>
      </w:r>
      <w:r>
        <w:rPr>
          <w:rFonts w:ascii="Arial" w:cs="Arial" w:eastAsia="Arial" w:hAnsi="Arial"/>
          <w:sz w:val="18"/>
          <w:szCs w:val="18"/>
          <w:i w:val="1"/>
          <w:iCs w:val="1"/>
          <w:color w:val="auto"/>
        </w:rPr>
        <w:t xml:space="preserve"> </w:t>
      </w:r>
      <w:r>
        <w:rPr>
          <w:rFonts w:ascii="Arial" w:cs="Arial" w:eastAsia="Arial" w:hAnsi="Arial"/>
          <w:sz w:val="18"/>
          <w:szCs w:val="18"/>
          <w:color w:val="auto"/>
        </w:rPr>
        <w:t>assignee, the Administrative Agent and, if applicable, the Borrower.</w:t>
      </w:r>
    </w:p>
    <w:p>
      <w:pPr>
        <w:spacing w:after="0" w:line="51" w:lineRule="exact"/>
        <w:rPr>
          <w:sz w:val="20"/>
          <w:szCs w:val="20"/>
          <w:color w:val="auto"/>
        </w:rPr>
      </w:pPr>
    </w:p>
    <w:p>
      <w:pPr>
        <w:ind w:right="60" w:firstLine="431"/>
        <w:spacing w:after="0" w:line="268" w:lineRule="auto"/>
        <w:rPr>
          <w:sz w:val="20"/>
          <w:szCs w:val="20"/>
          <w:color w:val="auto"/>
        </w:rPr>
      </w:pPr>
      <w:r>
        <w:rPr>
          <w:rFonts w:ascii="Arial" w:cs="Arial" w:eastAsia="Arial" w:hAnsi="Arial"/>
          <w:sz w:val="18"/>
          <w:szCs w:val="18"/>
          <w:i w:val="1"/>
          <w:iCs w:val="1"/>
          <w:color w:val="auto"/>
        </w:rPr>
        <w:t xml:space="preserve">“Backup Collateral Manager” </w:t>
      </w:r>
      <w:r>
        <w:rPr>
          <w:rFonts w:ascii="Arial" w:cs="Arial" w:eastAsia="Arial" w:hAnsi="Arial"/>
          <w:sz w:val="18"/>
          <w:szCs w:val="18"/>
          <w:color w:val="auto"/>
        </w:rPr>
        <w:t>means U.S. Bank National Association, a national banking association, and any successor thereto appointed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51" w:lineRule="exact"/>
        <w:rPr>
          <w:sz w:val="20"/>
          <w:szCs w:val="20"/>
          <w:color w:val="auto"/>
        </w:rPr>
      </w:pPr>
    </w:p>
    <w:p>
      <w:pPr>
        <w:ind w:right="360" w:firstLine="431"/>
        <w:spacing w:after="0" w:line="331" w:lineRule="auto"/>
        <w:rPr>
          <w:sz w:val="20"/>
          <w:szCs w:val="20"/>
          <w:color w:val="auto"/>
        </w:rPr>
      </w:pPr>
      <w:r>
        <w:rPr>
          <w:rFonts w:ascii="Arial" w:cs="Arial" w:eastAsia="Arial" w:hAnsi="Arial"/>
          <w:sz w:val="16"/>
          <w:szCs w:val="16"/>
          <w:i w:val="1"/>
          <w:iCs w:val="1"/>
          <w:color w:val="auto"/>
        </w:rPr>
        <w:t xml:space="preserve">“Backup Collateral Manager Fee Letter” </w:t>
      </w:r>
      <w:r>
        <w:rPr>
          <w:rFonts w:ascii="Arial" w:cs="Arial" w:eastAsia="Arial" w:hAnsi="Arial"/>
          <w:sz w:val="16"/>
          <w:szCs w:val="16"/>
          <w:color w:val="auto"/>
        </w:rPr>
        <w:t>means the Collateral Agent Fee Letter, setting forth the fees payable by the Borrower,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to the Backup Collateral Manager in connection with the transactions contemplated by this Agreement.</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Backup Collateral Manager Indemnified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13.04</w:t>
      </w:r>
      <w:r>
        <w:rPr>
          <w:rFonts w:ascii="Arial" w:cs="Arial" w:eastAsia="Arial" w:hAnsi="Arial"/>
          <w:sz w:val="18"/>
          <w:szCs w:val="18"/>
          <w:color w:val="auto"/>
        </w:rPr>
        <w:t xml:space="preserve"> hereof.</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“Bankruptcy Code” </w:t>
      </w:r>
      <w:r>
        <w:rPr>
          <w:rFonts w:ascii="Arial" w:cs="Arial" w:eastAsia="Arial" w:hAnsi="Arial"/>
          <w:sz w:val="18"/>
          <w:szCs w:val="18"/>
          <w:color w:val="auto"/>
        </w:rPr>
        <w:t>means the United States Bankruptcy Code, as amended.</w:t>
      </w:r>
    </w:p>
    <w:p>
      <w:pPr>
        <w:spacing w:after="0" w:line="90" w:lineRule="exact"/>
        <w:rPr>
          <w:sz w:val="20"/>
          <w:szCs w:val="20"/>
          <w:color w:val="auto"/>
        </w:rPr>
      </w:pPr>
    </w:p>
    <w:p>
      <w:pPr>
        <w:ind w:right="20" w:firstLine="431"/>
        <w:spacing w:after="0" w:line="294" w:lineRule="auto"/>
        <w:rPr>
          <w:sz w:val="20"/>
          <w:szCs w:val="20"/>
          <w:color w:val="auto"/>
        </w:rPr>
      </w:pPr>
      <w:r>
        <w:rPr>
          <w:rFonts w:ascii="Arial" w:cs="Arial" w:eastAsia="Arial" w:hAnsi="Arial"/>
          <w:sz w:val="16"/>
          <w:szCs w:val="16"/>
          <w:i w:val="1"/>
          <w:iCs w:val="1"/>
          <w:color w:val="auto"/>
        </w:rPr>
        <w:t xml:space="preserve">“Base Rate” </w:t>
      </w:r>
      <w:r>
        <w:rPr>
          <w:rFonts w:ascii="Arial" w:cs="Arial" w:eastAsia="Arial" w:hAnsi="Arial"/>
          <w:sz w:val="16"/>
          <w:szCs w:val="16"/>
          <w:color w:val="auto"/>
        </w:rPr>
        <w:t>means, on any date, a fluctuating interest rate</w:t>
      </w:r>
      <w:r>
        <w:rPr>
          <w:rFonts w:ascii="Arial" w:cs="Arial" w:eastAsia="Arial" w:hAnsi="Arial"/>
          <w:sz w:val="16"/>
          <w:szCs w:val="16"/>
          <w:i w:val="1"/>
          <w:iCs w:val="1"/>
          <w:color w:val="auto"/>
        </w:rPr>
        <w:t xml:space="preserve"> per annum </w:t>
      </w:r>
      <w:r>
        <w:rPr>
          <w:rFonts w:ascii="Arial" w:cs="Arial" w:eastAsia="Arial" w:hAnsi="Arial"/>
          <w:sz w:val="16"/>
          <w:szCs w:val="16"/>
          <w:color w:val="auto"/>
        </w:rPr>
        <w:t>equal to the highest of (a) the Prime Rate, (b) the Federal Funds Rate</w:t>
      </w:r>
      <w:r>
        <w:rPr>
          <w:rFonts w:ascii="Arial" w:cs="Arial" w:eastAsia="Arial" w:hAnsi="Arial"/>
          <w:sz w:val="16"/>
          <w:szCs w:val="16"/>
          <w:i w:val="1"/>
          <w:iCs w:val="1"/>
          <w:color w:val="auto"/>
        </w:rPr>
        <w:t xml:space="preserve"> plus </w:t>
      </w:r>
      <w:r>
        <w:rPr>
          <w:rFonts w:ascii="Arial" w:cs="Arial" w:eastAsia="Arial" w:hAnsi="Arial"/>
          <w:sz w:val="16"/>
          <w:szCs w:val="16"/>
          <w:color w:val="auto"/>
        </w:rPr>
        <w:t xml:space="preserve">0.50%, and (c) the one-month LIBOR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solely to the extent an Event of Default has occurred and is continuing, 1.0%. The Base Rate is a reference rate and does not necessarily represent the lowest or best rate actually charged to any customer of any Agent or any Lender. Interest calculated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will be determined based on a year of 365 days or 366 days, as applicable, and actual days elapsed. Interest calculated pursuant to </w:t>
      </w:r>
      <w:r>
        <w:rPr>
          <w:rFonts w:ascii="Arial" w:cs="Arial" w:eastAsia="Arial" w:hAnsi="Arial"/>
          <w:sz w:val="16"/>
          <w:szCs w:val="16"/>
          <w:u w:val="single" w:color="auto"/>
          <w:color w:val="auto"/>
        </w:rPr>
        <w:t>clauses (b) and (c)</w:t>
      </w:r>
      <w:r>
        <w:rPr>
          <w:rFonts w:ascii="Arial" w:cs="Arial" w:eastAsia="Arial" w:hAnsi="Arial"/>
          <w:sz w:val="16"/>
          <w:szCs w:val="16"/>
          <w:color w:val="auto"/>
        </w:rPr>
        <w:t xml:space="preserve"> above will be determined based on a year of 360 days and actual days elapsed.</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“BDC” </w:t>
      </w:r>
      <w:r>
        <w:rPr>
          <w:rFonts w:ascii="Arial" w:cs="Arial" w:eastAsia="Arial" w:hAnsi="Arial"/>
          <w:sz w:val="18"/>
          <w:szCs w:val="18"/>
          <w:color w:val="auto"/>
        </w:rPr>
        <w:t>means PennantPark Floating Rate Capital Ltd., a Maryland corporation.</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“Borrower” </w:t>
      </w:r>
      <w:r>
        <w:rPr>
          <w:rFonts w:ascii="Arial" w:cs="Arial" w:eastAsia="Arial" w:hAnsi="Arial"/>
          <w:sz w:val="18"/>
          <w:szCs w:val="18"/>
          <w:color w:val="auto"/>
        </w:rPr>
        <w:t>has the meaning assigned to such term in the introduction to this Agreement.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“Borrower LLC Agreement” </w:t>
      </w:r>
      <w:r>
        <w:rPr>
          <w:rFonts w:ascii="Arial" w:cs="Arial" w:eastAsia="Arial" w:hAnsi="Arial"/>
          <w:sz w:val="16"/>
          <w:szCs w:val="16"/>
          <w:color w:val="auto"/>
        </w:rPr>
        <w:t>means the Limited Liability Company Operating Agreement of the Borrower, dated as of June 23, 2011.</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“Borrowing”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90" w:lineRule="exact"/>
        <w:rPr>
          <w:sz w:val="20"/>
          <w:szCs w:val="20"/>
          <w:color w:val="auto"/>
        </w:rPr>
      </w:pPr>
    </w:p>
    <w:p>
      <w:pPr>
        <w:ind w:right="380" w:firstLine="431"/>
        <w:spacing w:after="0" w:line="268" w:lineRule="auto"/>
        <w:rPr>
          <w:sz w:val="20"/>
          <w:szCs w:val="20"/>
          <w:color w:val="auto"/>
        </w:rPr>
      </w:pPr>
      <w:r>
        <w:rPr>
          <w:rFonts w:ascii="Arial" w:cs="Arial" w:eastAsia="Arial" w:hAnsi="Arial"/>
          <w:sz w:val="18"/>
          <w:szCs w:val="18"/>
          <w:i w:val="1"/>
          <w:iCs w:val="1"/>
          <w:color w:val="auto"/>
        </w:rPr>
        <w:t xml:space="preserve">“Borrowing Base” </w:t>
      </w:r>
      <w:r>
        <w:rPr>
          <w:rFonts w:ascii="Arial" w:cs="Arial" w:eastAsia="Arial" w:hAnsi="Arial"/>
          <w:sz w:val="18"/>
          <w:szCs w:val="18"/>
          <w:color w:val="auto"/>
        </w:rPr>
        <w:t>means, at any time, (a) the Aggregate Collateral Balance (calculated only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(a)</w:t>
      </w:r>
      <w:r>
        <w:rPr>
          <w:rFonts w:ascii="Arial" w:cs="Arial" w:eastAsia="Arial" w:hAnsi="Arial"/>
          <w:sz w:val="18"/>
          <w:szCs w:val="18"/>
          <w:i w:val="1"/>
          <w:iCs w:val="1"/>
          <w:color w:val="auto"/>
        </w:rPr>
        <w:t xml:space="preserve"> </w:t>
      </w:r>
      <w:r>
        <w:rPr>
          <w:rFonts w:ascii="Arial" w:cs="Arial" w:eastAsia="Arial" w:hAnsi="Arial"/>
          <w:sz w:val="18"/>
          <w:szCs w:val="18"/>
          <w:color w:val="auto"/>
        </w:rPr>
        <w:t>of such definition),</w:t>
      </w:r>
      <w:r>
        <w:rPr>
          <w:rFonts w:ascii="Arial" w:cs="Arial" w:eastAsia="Arial" w:hAnsi="Arial"/>
          <w:sz w:val="18"/>
          <w:szCs w:val="18"/>
          <w:i w:val="1"/>
          <w:iCs w:val="1"/>
          <w:color w:val="auto"/>
        </w:rPr>
        <w:t xml:space="preserve"> minus </w:t>
      </w:r>
      <w:r>
        <w:rPr>
          <w:rFonts w:ascii="Arial" w:cs="Arial" w:eastAsia="Arial" w:hAnsi="Arial"/>
          <w:sz w:val="18"/>
          <w:szCs w:val="18"/>
          <w:color w:val="auto"/>
        </w:rPr>
        <w:t>(b) any Excess Concentration Amounts.</w:t>
      </w:r>
    </w:p>
    <w:p>
      <w:pPr>
        <w:spacing w:after="0" w:line="51" w:lineRule="exact"/>
        <w:rPr>
          <w:sz w:val="20"/>
          <w:szCs w:val="20"/>
          <w:color w:val="auto"/>
        </w:rPr>
      </w:pPr>
    </w:p>
    <w:p>
      <w:pPr>
        <w:jc w:val="both"/>
        <w:ind w:firstLine="431"/>
        <w:spacing w:after="0" w:line="306" w:lineRule="auto"/>
        <w:rPr>
          <w:sz w:val="20"/>
          <w:szCs w:val="20"/>
          <w:color w:val="auto"/>
        </w:rPr>
      </w:pPr>
      <w:r>
        <w:rPr>
          <w:rFonts w:ascii="Arial" w:cs="Arial" w:eastAsia="Arial" w:hAnsi="Arial"/>
          <w:sz w:val="16"/>
          <w:szCs w:val="16"/>
          <w:i w:val="1"/>
          <w:iCs w:val="1"/>
          <w:color w:val="auto"/>
        </w:rPr>
        <w:t xml:space="preserve">“Borrowing Base Calculation Statement” </w:t>
      </w:r>
      <w:r>
        <w:rPr>
          <w:rFonts w:ascii="Arial" w:cs="Arial" w:eastAsia="Arial" w:hAnsi="Arial"/>
          <w:sz w:val="16"/>
          <w:szCs w:val="16"/>
          <w:color w:val="auto"/>
        </w:rPr>
        <w:t>means a statement in substantially the form attached to the form of Notice of Borrowing attached hereto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w:t>
      </w:r>
      <w:r>
        <w:rPr>
          <w:rFonts w:ascii="Arial" w:cs="Arial" w:eastAsia="Arial" w:hAnsi="Arial"/>
          <w:sz w:val="16"/>
          <w:szCs w:val="16"/>
          <w:u w:val="single" w:color="auto"/>
          <w:color w:val="auto"/>
        </w:rPr>
        <w:t>Exhibit B</w:t>
      </w:r>
      <w:r>
        <w:rPr>
          <w:rFonts w:ascii="Arial" w:cs="Arial" w:eastAsia="Arial" w:hAnsi="Arial"/>
          <w:sz w:val="16"/>
          <w:szCs w:val="16"/>
          <w:color w:val="auto"/>
        </w:rPr>
        <w:t>, as such form of Borrowing Base Calculation Statement may be modified by the Administrative Agent from time to time to the extent such form does not, in the good faith opinion of the Administrative Agent, accurately reflect the calculation of the Borrowing Base required hereunder.</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“Borrowing Date” </w:t>
      </w:r>
      <w:r>
        <w:rPr>
          <w:rFonts w:ascii="Arial" w:cs="Arial" w:eastAsia="Arial" w:hAnsi="Arial"/>
          <w:sz w:val="18"/>
          <w:szCs w:val="18"/>
          <w:color w:val="auto"/>
        </w:rPr>
        <w:t>means the date of a Borrowing.</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0"/>
          </w:cols>
          <w:pgMar w:left="780" w:top="280" w:right="399" w:bottom="1440" w:gutter="0" w:footer="0" w:header="0"/>
        </w:sectPr>
      </w:pPr>
    </w:p>
    <w:bookmarkStart w:id="54" w:name="page55"/>
    <w:bookmarkEnd w:id="54"/>
    <w:p>
      <w:pPr>
        <w:ind w:firstLine="431"/>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“Business Day” </w:t>
      </w:r>
      <w:r>
        <w:rPr>
          <w:rFonts w:ascii="Arial" w:cs="Arial" w:eastAsia="Arial" w:hAnsi="Arial"/>
          <w:sz w:val="16"/>
          <w:szCs w:val="16"/>
          <w:color w:val="auto"/>
        </w:rPr>
        <w:t>means any day other than a Saturday or Sunday,</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(i) days on which banks are authorized or required to close in</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New York, Minneapolis, Minnesota, Florence, South Carolina, or Atlanta, Georgia, (ii) days on which the Depository Trust Company or commercial paper markets in the United States are closed, and, (iii) if the applicable Business Day relates to the advance or continuation of, or conversion into, or payment of an Advance bearing interest at the LIBOR Rate or the determination of the LIBOR Rate, days on which banks are dealing in U.S. Dollar deposits in the interbank eurodollar market in London, England are closed, shall not constitute Business Days.</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means Dollars immediately available on the day in question.</w:t>
      </w:r>
    </w:p>
    <w:p>
      <w:pPr>
        <w:spacing w:after="0" w:line="90" w:lineRule="exact"/>
        <w:rPr>
          <w:sz w:val="20"/>
          <w:szCs w:val="20"/>
          <w:color w:val="auto"/>
        </w:rPr>
      </w:pPr>
    </w:p>
    <w:p>
      <w:pPr>
        <w:ind w:right="160" w:firstLine="431"/>
        <w:spacing w:after="0" w:line="268" w:lineRule="auto"/>
        <w:rPr>
          <w:sz w:val="20"/>
          <w:szCs w:val="20"/>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means the indictment for or conviction of any crime of dishonesty or moral turpitude or any act or omission that would constitute gross</w:t>
      </w:r>
      <w:r>
        <w:rPr>
          <w:rFonts w:ascii="Arial" w:cs="Arial" w:eastAsia="Arial" w:hAnsi="Arial"/>
          <w:sz w:val="18"/>
          <w:szCs w:val="18"/>
          <w:i w:val="1"/>
          <w:iCs w:val="1"/>
          <w:color w:val="auto"/>
        </w:rPr>
        <w:t xml:space="preserve"> </w:t>
      </w:r>
      <w:r>
        <w:rPr>
          <w:rFonts w:ascii="Arial" w:cs="Arial" w:eastAsia="Arial" w:hAnsi="Arial"/>
          <w:sz w:val="18"/>
          <w:szCs w:val="18"/>
          <w:color w:val="auto"/>
        </w:rPr>
        <w:t>negligence, bad faith or willful misconduct.</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“Certificated Security” </w:t>
      </w:r>
      <w:r>
        <w:rPr>
          <w:rFonts w:ascii="Arial" w:cs="Arial" w:eastAsia="Arial" w:hAnsi="Arial"/>
          <w:sz w:val="18"/>
          <w:szCs w:val="18"/>
          <w:color w:val="auto"/>
        </w:rPr>
        <w:t>has the meaning specified in Section 8-102(a)(4) of the UCC.</w:t>
      </w:r>
    </w:p>
    <w:p>
      <w:pPr>
        <w:spacing w:after="0" w:line="90" w:lineRule="exact"/>
        <w:rPr>
          <w:sz w:val="20"/>
          <w:szCs w:val="20"/>
          <w:color w:val="auto"/>
        </w:rPr>
      </w:pPr>
    </w:p>
    <w:p>
      <w:pPr>
        <w:ind w:right="160" w:firstLine="431"/>
        <w:spacing w:after="0" w:line="331"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at any time, the occurrence of one of the following events: (1) the BDC fails to own 100% of the equity interests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Borrower at any time; or (2) the Collateral Manager fails to exercise the power to direct the management and policies of the Borrower.</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“Clearing Agency” </w:t>
      </w:r>
      <w:r>
        <w:rPr>
          <w:rFonts w:ascii="Arial" w:cs="Arial" w:eastAsia="Arial" w:hAnsi="Arial"/>
          <w:sz w:val="18"/>
          <w:szCs w:val="18"/>
          <w:color w:val="auto"/>
        </w:rPr>
        <w:t>means an organization registered as a “clearing agency” pursuant to Section 17A of the Exchange Act.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“Clearing Corporation” </w:t>
      </w:r>
      <w:r>
        <w:rPr>
          <w:rFonts w:ascii="Arial" w:cs="Arial" w:eastAsia="Arial" w:hAnsi="Arial"/>
          <w:sz w:val="16"/>
          <w:szCs w:val="16"/>
          <w:color w:val="auto"/>
        </w:rPr>
        <w:t>means each entity included within the meaning of “clearing corporation” under Section 8-102(a)(5) of the UCC.</w:t>
      </w:r>
    </w:p>
    <w:p>
      <w:pPr>
        <w:spacing w:after="0" w:line="113" w:lineRule="exact"/>
        <w:rPr>
          <w:sz w:val="20"/>
          <w:szCs w:val="20"/>
          <w:color w:val="auto"/>
        </w:rPr>
      </w:pPr>
    </w:p>
    <w:p>
      <w:pPr>
        <w:jc w:val="both"/>
        <w:ind w:right="60" w:firstLine="431"/>
        <w:spacing w:after="0" w:line="259" w:lineRule="auto"/>
        <w:rPr>
          <w:sz w:val="20"/>
          <w:szCs w:val="20"/>
          <w:color w:val="auto"/>
        </w:rPr>
      </w:pPr>
      <w:r>
        <w:rPr>
          <w:rFonts w:ascii="Arial" w:cs="Arial" w:eastAsia="Arial" w:hAnsi="Arial"/>
          <w:sz w:val="18"/>
          <w:szCs w:val="18"/>
          <w:i w:val="1"/>
          <w:iCs w:val="1"/>
          <w:color w:val="auto"/>
        </w:rPr>
        <w:t xml:space="preserve">“Clearing Corporation Security” </w:t>
      </w:r>
      <w:r>
        <w:rPr>
          <w:rFonts w:ascii="Arial" w:cs="Arial" w:eastAsia="Arial" w:hAnsi="Arial"/>
          <w:sz w:val="18"/>
          <w:szCs w:val="18"/>
          <w:color w:val="auto"/>
        </w:rPr>
        <w:t>means securities which are in the custody of or maintained on the books of a Clearing Corporation or a nominee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control of a Clearing Corporation and, if they are Certificated Securities in registered form, properly endorsed to or registered in the name of the Clearing Corporation or such nominee.</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“Closing Date” </w:t>
      </w:r>
      <w:r>
        <w:rPr>
          <w:rFonts w:ascii="Arial" w:cs="Arial" w:eastAsia="Arial" w:hAnsi="Arial"/>
          <w:sz w:val="18"/>
          <w:szCs w:val="18"/>
          <w:color w:val="auto"/>
        </w:rPr>
        <w:t>means June 23, 2011.</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from time to time, or any successor statute.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“Collateral”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“Collateral Administration Agreement” </w:t>
      </w:r>
      <w:r>
        <w:rPr>
          <w:rFonts w:ascii="Arial" w:cs="Arial" w:eastAsia="Arial" w:hAnsi="Arial"/>
          <w:sz w:val="16"/>
          <w:szCs w:val="16"/>
          <w:color w:val="auto"/>
        </w:rPr>
        <w:t>means that certain Collateral Administration Agreement, dated as of June 23, 2011 by and among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the Collateral Manager and the Borrower.</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“Collateral Administrator” </w:t>
      </w:r>
      <w:r>
        <w:rPr>
          <w:rFonts w:ascii="Arial" w:cs="Arial" w:eastAsia="Arial" w:hAnsi="Arial"/>
          <w:sz w:val="16"/>
          <w:szCs w:val="16"/>
          <w:color w:val="auto"/>
        </w:rPr>
        <w:t>means U.S. Bank National Association, and any successor thereto under the Collateral Administration Agreement.</w:t>
      </w:r>
    </w:p>
    <w:p>
      <w:pPr>
        <w:spacing w:after="0" w:line="18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0"/>
          </w:cols>
          <w:pgMar w:left="780" w:top="280" w:right="359" w:bottom="1440" w:gutter="0" w:footer="0" w:header="0"/>
        </w:sectPr>
      </w:pPr>
    </w:p>
    <w:bookmarkStart w:id="55" w:name="page56"/>
    <w:bookmarkEnd w:id="55"/>
    <w:p>
      <w:pPr>
        <w:ind w:left="4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“Collateral Agent” </w:t>
      </w:r>
      <w:r>
        <w:rPr>
          <w:rFonts w:ascii="Arial" w:cs="Arial" w:eastAsia="Arial" w:hAnsi="Arial"/>
          <w:sz w:val="18"/>
          <w:szCs w:val="18"/>
          <w:color w:val="auto"/>
        </w:rPr>
        <w:t>has the meaning assigned to such term in the introduction to this Agreement.</w:t>
      </w:r>
    </w:p>
    <w:p>
      <w:pPr>
        <w:spacing w:after="0" w:line="90" w:lineRule="exact"/>
        <w:rPr>
          <w:sz w:val="20"/>
          <w:szCs w:val="20"/>
          <w:color w:val="auto"/>
        </w:rPr>
      </w:pPr>
    </w:p>
    <w:p>
      <w:pPr>
        <w:ind w:right="320" w:firstLine="431"/>
        <w:spacing w:after="0" w:line="256" w:lineRule="auto"/>
        <w:rPr>
          <w:sz w:val="20"/>
          <w:szCs w:val="20"/>
          <w:color w:val="auto"/>
        </w:rPr>
      </w:pPr>
      <w:r>
        <w:rPr>
          <w:rFonts w:ascii="Arial" w:cs="Arial" w:eastAsia="Arial" w:hAnsi="Arial"/>
          <w:sz w:val="18"/>
          <w:szCs w:val="18"/>
          <w:i w:val="1"/>
          <w:iCs w:val="1"/>
          <w:color w:val="auto"/>
        </w:rPr>
        <w:t xml:space="preserve">“Collateral Agent Fee Letter” </w:t>
      </w:r>
      <w:r>
        <w:rPr>
          <w:rFonts w:ascii="Arial" w:cs="Arial" w:eastAsia="Arial" w:hAnsi="Arial"/>
          <w:sz w:val="18"/>
          <w:szCs w:val="18"/>
          <w:color w:val="auto"/>
        </w:rPr>
        <w:t>means the fee letter, dated as of the date hereof, among the Collateral Agent, the Custodian, U.S. Bank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as Securities Intermediary under the Account Control Agreement, the Backup Collateral Manager, the Collateral Administrator, the Borrower and the Collateral Manager setting forth the fees payable by the Borrower to the Collateral Agent in connection with the transactions contemplated by this Agreement and other Facility Documents.</w:t>
      </w:r>
    </w:p>
    <w:p>
      <w:pPr>
        <w:spacing w:after="0" w:line="62" w:lineRule="exact"/>
        <w:rPr>
          <w:sz w:val="20"/>
          <w:szCs w:val="20"/>
          <w:color w:val="auto"/>
        </w:rPr>
      </w:pPr>
    </w:p>
    <w:p>
      <w:pPr>
        <w:ind w:right="60" w:firstLine="431"/>
        <w:spacing w:after="0" w:line="298" w:lineRule="auto"/>
        <w:rPr>
          <w:sz w:val="20"/>
          <w:szCs w:val="20"/>
          <w:color w:val="auto"/>
        </w:rPr>
      </w:pPr>
      <w:r>
        <w:rPr>
          <w:rFonts w:ascii="Arial" w:cs="Arial" w:eastAsia="Arial" w:hAnsi="Arial"/>
          <w:sz w:val="16"/>
          <w:szCs w:val="16"/>
          <w:i w:val="1"/>
          <w:iCs w:val="1"/>
          <w:color w:val="auto"/>
        </w:rPr>
        <w:t xml:space="preserve">“Collateral Interest Amount” </w:t>
      </w:r>
      <w:r>
        <w:rPr>
          <w:rFonts w:ascii="Arial" w:cs="Arial" w:eastAsia="Arial" w:hAnsi="Arial"/>
          <w:sz w:val="16"/>
          <w:szCs w:val="16"/>
          <w:color w:val="auto"/>
        </w:rPr>
        <w:t>means, as of any date of determination, without duplication, the aggregate amount of Interest Proceeds that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or that is expected to be received (other than Interest Proceeds expected to be received from Ineligible Collateral Loans and Non-Cash Paying PIK Loans, in each case unless actually received), in each case during the Collection Period (and, if such Collection Period does not end on a Business Day, the next succeeding Business Day) in which such date of determination occurs.</w:t>
      </w:r>
    </w:p>
    <w:p>
      <w:pPr>
        <w:spacing w:after="0" w:line="31" w:lineRule="exact"/>
        <w:rPr>
          <w:sz w:val="20"/>
          <w:szCs w:val="20"/>
          <w:color w:val="auto"/>
        </w:rPr>
      </w:pPr>
    </w:p>
    <w:p>
      <w:pPr>
        <w:ind w:right="180" w:firstLine="431"/>
        <w:spacing w:after="0" w:line="298" w:lineRule="auto"/>
        <w:rPr>
          <w:sz w:val="20"/>
          <w:szCs w:val="20"/>
          <w:color w:val="auto"/>
        </w:rPr>
      </w:pPr>
      <w:r>
        <w:rPr>
          <w:rFonts w:ascii="Arial" w:cs="Arial" w:eastAsia="Arial" w:hAnsi="Arial"/>
          <w:sz w:val="16"/>
          <w:szCs w:val="16"/>
          <w:i w:val="1"/>
          <w:iCs w:val="1"/>
          <w:color w:val="auto"/>
        </w:rPr>
        <w:t xml:space="preserve">“Collateral Loan” </w:t>
      </w:r>
      <w:r>
        <w:rPr>
          <w:rFonts w:ascii="Arial" w:cs="Arial" w:eastAsia="Arial" w:hAnsi="Arial"/>
          <w:sz w:val="16"/>
          <w:szCs w:val="16"/>
          <w:color w:val="auto"/>
        </w:rPr>
        <w:t>means a loan, debt obligation, debt security or Participation Interest that meets each of the following criteria at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acquisition thereof by the Borrower (or its binding commitment to acquire the same),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for purposes of determining whether a Collateral Loan constitutes an Ineligible Collateral Loan at any time after the acquisition thereof by the Borrower (or its binding commitment to do the same), the criteria set forth in </w:t>
      </w:r>
      <w:r>
        <w:rPr>
          <w:rFonts w:ascii="Arial" w:cs="Arial" w:eastAsia="Arial" w:hAnsi="Arial"/>
          <w:sz w:val="16"/>
          <w:szCs w:val="16"/>
          <w:u w:val="single" w:color="auto"/>
          <w:color w:val="auto"/>
        </w:rPr>
        <w:t>clauses (k) and (p)</w:t>
      </w:r>
      <w:r>
        <w:rPr>
          <w:rFonts w:ascii="Arial" w:cs="Arial" w:eastAsia="Arial" w:hAnsi="Arial"/>
          <w:sz w:val="16"/>
          <w:szCs w:val="16"/>
          <w:color w:val="auto"/>
        </w:rPr>
        <w:t xml:space="preserve"> shall continue to be evaluated solely as of the date of acquisition thereof:</w:t>
      </w:r>
    </w:p>
    <w:p>
      <w:pPr>
        <w:spacing w:after="0" w:line="31" w:lineRule="exact"/>
        <w:rPr>
          <w:sz w:val="20"/>
          <w:szCs w:val="20"/>
          <w:color w:val="auto"/>
        </w:rPr>
      </w:pPr>
    </w:p>
    <w:p>
      <w:pPr>
        <w:ind w:left="1100" w:hanging="240"/>
        <w:spacing w:after="0"/>
        <w:tabs>
          <w:tab w:leader="none" w:pos="11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an Eligible First Lien Obligation, Senior B Loan Obligation, or an Eligible Second Lien Obligation;</w:t>
      </w:r>
    </w:p>
    <w:p>
      <w:pPr>
        <w:spacing w:after="0" w:line="90" w:lineRule="exact"/>
        <w:rPr>
          <w:rFonts w:ascii="Arial" w:cs="Arial" w:eastAsia="Arial" w:hAnsi="Arial"/>
          <w:sz w:val="18"/>
          <w:szCs w:val="18"/>
          <w:color w:val="auto"/>
        </w:rPr>
      </w:pPr>
    </w:p>
    <w:p>
      <w:pPr>
        <w:ind w:left="1100" w:hanging="240"/>
        <w:spacing w:after="0"/>
        <w:tabs>
          <w:tab w:leader="none" w:pos="11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permits the purchase thereof by or assignment thereof to the Borrower and the pledge to the Collateral Agent;</w:t>
      </w:r>
    </w:p>
    <w:p>
      <w:pPr>
        <w:spacing w:after="0" w:line="90" w:lineRule="exact"/>
        <w:rPr>
          <w:rFonts w:ascii="Arial" w:cs="Arial" w:eastAsia="Arial" w:hAnsi="Arial"/>
          <w:sz w:val="18"/>
          <w:szCs w:val="18"/>
          <w:color w:val="auto"/>
        </w:rPr>
      </w:pPr>
    </w:p>
    <w:p>
      <w:pPr>
        <w:ind w:left="1100" w:hanging="240"/>
        <w:spacing w:after="0"/>
        <w:tabs>
          <w:tab w:leader="none" w:pos="11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denominated and payable in Dollars;</w:t>
      </w:r>
    </w:p>
    <w:p>
      <w:pPr>
        <w:spacing w:after="0" w:line="90" w:lineRule="exact"/>
        <w:rPr>
          <w:rFonts w:ascii="Arial" w:cs="Arial" w:eastAsia="Arial" w:hAnsi="Arial"/>
          <w:sz w:val="18"/>
          <w:szCs w:val="18"/>
          <w:color w:val="auto"/>
        </w:rPr>
      </w:pPr>
    </w:p>
    <w:p>
      <w:pPr>
        <w:ind w:left="1100" w:hanging="240"/>
        <w:spacing w:after="0"/>
        <w:tabs>
          <w:tab w:leader="none" w:pos="1100" w:val="left"/>
        </w:tabs>
        <w:numPr>
          <w:ilvl w:val="1"/>
          <w:numId w:val="25"/>
        </w:numPr>
        <w:rPr>
          <w:rFonts w:ascii="Arial" w:cs="Arial" w:eastAsia="Arial" w:hAnsi="Arial"/>
          <w:sz w:val="15"/>
          <w:szCs w:val="15"/>
          <w:color w:val="auto"/>
        </w:rPr>
      </w:pPr>
      <w:r>
        <w:rPr>
          <w:rFonts w:ascii="Arial" w:cs="Arial" w:eastAsia="Arial" w:hAnsi="Arial"/>
          <w:sz w:val="15"/>
          <w:szCs w:val="15"/>
          <w:color w:val="auto"/>
        </w:rPr>
        <w:t>is an obligation of an obligor organized or incorporated in (i) the United States (or any state, territory or possession thereof) or Canada, or</w:t>
      </w:r>
    </w:p>
    <w:p>
      <w:pPr>
        <w:spacing w:after="0" w:line="49" w:lineRule="exact"/>
        <w:rPr>
          <w:rFonts w:ascii="Arial" w:cs="Arial" w:eastAsia="Arial" w:hAnsi="Arial"/>
          <w:sz w:val="15"/>
          <w:szCs w:val="15"/>
          <w:color w:val="auto"/>
        </w:rPr>
      </w:pPr>
    </w:p>
    <w:p>
      <w:pPr>
        <w:ind w:left="700" w:hanging="254"/>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Netherlands Antilles, Bermuda, the Cayman Islands, the British Virgin Islands, the Channel Islands, the Isle of Man or the Netherlands</w:t>
      </w:r>
    </w:p>
    <w:p>
      <w:pPr>
        <w:spacing w:after="0" w:line="32" w:lineRule="exact"/>
        <w:rPr>
          <w:sz w:val="20"/>
          <w:szCs w:val="20"/>
          <w:color w:val="auto"/>
        </w:rPr>
      </w:pPr>
    </w:p>
    <w:p>
      <w:pPr>
        <w:ind w:left="440" w:right="1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in the case of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that in the Collateral Manager’s good faith estimate, a substantial portion of the assets, revenues or operations supporting such Collateral Loan are directly or through subsidiaries located in, or are obligations of obligors organized or incorporated in, the jurisdictions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63" w:lineRule="exact"/>
        <w:rPr>
          <w:sz w:val="20"/>
          <w:szCs w:val="20"/>
          <w:color w:val="auto"/>
        </w:rPr>
      </w:pPr>
    </w:p>
    <w:p>
      <w:pPr>
        <w:ind w:left="440" w:right="700" w:firstLine="420"/>
        <w:spacing w:after="0" w:line="268" w:lineRule="auto"/>
        <w:tabs>
          <w:tab w:leader="none" w:pos="10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not (i) a Defaulted Collateral Loan, (ii) a Non-Cash Paying PIK Loan, (iii) a Credit Risk Collateral Loan, or (iv) a Delinquent Collateral Loan;</w:t>
      </w:r>
    </w:p>
    <w:p>
      <w:pPr>
        <w:spacing w:after="0" w:line="50" w:lineRule="exact"/>
        <w:rPr>
          <w:rFonts w:ascii="Arial" w:cs="Arial" w:eastAsia="Arial" w:hAnsi="Arial"/>
          <w:sz w:val="18"/>
          <w:szCs w:val="18"/>
          <w:color w:val="auto"/>
        </w:rPr>
      </w:pPr>
    </w:p>
    <w:p>
      <w:pPr>
        <w:ind w:left="1080" w:hanging="220"/>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not a Zero Coupon Obligation;</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80"/>
          </w:cols>
          <w:pgMar w:left="780" w:top="280" w:right="339" w:bottom="1440" w:gutter="0" w:footer="0" w:header="0"/>
        </w:sectPr>
      </w:pPr>
    </w:p>
    <w:bookmarkStart w:id="56" w:name="page57"/>
    <w:bookmarkEnd w:id="56"/>
    <w:p>
      <w:pPr>
        <w:ind w:left="440" w:hanging="240"/>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not a Structured Finance Obligation, a finance lease or chattel paper;</w:t>
      </w:r>
    </w:p>
    <w:p>
      <w:pPr>
        <w:spacing w:after="0" w:line="90" w:lineRule="exact"/>
        <w:rPr>
          <w:rFonts w:ascii="Arial" w:cs="Arial" w:eastAsia="Arial" w:hAnsi="Arial"/>
          <w:sz w:val="18"/>
          <w:szCs w:val="18"/>
          <w:color w:val="auto"/>
        </w:rPr>
      </w:pPr>
    </w:p>
    <w:p>
      <w:pPr>
        <w:ind w:left="-220" w:right="240" w:firstLine="420"/>
        <w:spacing w:after="0" w:line="268" w:lineRule="auto"/>
        <w:tabs>
          <w:tab w:leader="none" w:pos="4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not subject to material non-credit related risk (such as a Collateral Loan the payment of which is expressly contingent upon the non-occurrence of a catastrophe), as determined by the Collateral Manager in good faith;</w:t>
      </w:r>
    </w:p>
    <w:p>
      <w:pPr>
        <w:spacing w:after="0" w:line="50" w:lineRule="exact"/>
        <w:rPr>
          <w:rFonts w:ascii="Arial" w:cs="Arial" w:eastAsia="Arial" w:hAnsi="Arial"/>
          <w:sz w:val="18"/>
          <w:szCs w:val="18"/>
          <w:color w:val="auto"/>
        </w:rPr>
      </w:pPr>
    </w:p>
    <w:p>
      <w:pPr>
        <w:ind w:left="-220" w:firstLine="420"/>
        <w:spacing w:after="0" w:line="268" w:lineRule="auto"/>
        <w:tabs>
          <w:tab w:leader="none" w:pos="4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portion thereof (including any conversion option, exchange option, warrant or other component thereof) is exchangeable or convertible into equity at the option of the Obligor;</w:t>
      </w:r>
    </w:p>
    <w:p>
      <w:pPr>
        <w:spacing w:after="0" w:line="50" w:lineRule="exact"/>
        <w:rPr>
          <w:rFonts w:ascii="Arial" w:cs="Arial" w:eastAsia="Arial" w:hAnsi="Arial"/>
          <w:sz w:val="18"/>
          <w:szCs w:val="18"/>
          <w:color w:val="auto"/>
        </w:rPr>
      </w:pPr>
    </w:p>
    <w:p>
      <w:pPr>
        <w:ind w:left="-220" w:right="60" w:firstLine="420"/>
        <w:spacing w:after="0" w:line="256" w:lineRule="auto"/>
        <w:tabs>
          <w:tab w:leader="none" w:pos="4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is not an Equity Security and does not provide for mandatory or optional conversion or exchange into an Equity Security;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acquisition of an instrument that otherwise qualifies as a Collateral Loan, together with a warrant or other similar instrument that may be converted or exchanged for an Equity Security (other than Margin Stock), will not cause the former instrument to lose its eligibility as a Collateral Loan;</w:t>
      </w:r>
    </w:p>
    <w:p>
      <w:pPr>
        <w:spacing w:after="0" w:line="61" w:lineRule="exact"/>
        <w:rPr>
          <w:rFonts w:ascii="Arial" w:cs="Arial" w:eastAsia="Arial" w:hAnsi="Arial"/>
          <w:sz w:val="18"/>
          <w:szCs w:val="18"/>
          <w:color w:val="auto"/>
        </w:rPr>
      </w:pPr>
    </w:p>
    <w:p>
      <w:pPr>
        <w:ind w:left="440" w:hanging="240"/>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not the subject of an offer and has not been called for redemption;</w:t>
      </w:r>
    </w:p>
    <w:p>
      <w:pPr>
        <w:spacing w:after="0" w:line="90" w:lineRule="exact"/>
        <w:rPr>
          <w:rFonts w:ascii="Arial" w:cs="Arial" w:eastAsia="Arial" w:hAnsi="Arial"/>
          <w:sz w:val="18"/>
          <w:szCs w:val="18"/>
          <w:color w:val="auto"/>
        </w:rPr>
      </w:pPr>
    </w:p>
    <w:p>
      <w:pPr>
        <w:ind w:left="-220" w:right="180" w:firstLine="420"/>
        <w:spacing w:after="0" w:line="259" w:lineRule="auto"/>
        <w:tabs>
          <w:tab w:leader="none" w:pos="4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does not constitute Margin Stock and no part of the proceeds of such loan or debt security or any other extension of credit made thereunder will be used to purchase or carry any Margin Stock or to extend credit to others for the purpose of purchasing or carrying any Margin Stock;</w:t>
      </w:r>
    </w:p>
    <w:p>
      <w:pPr>
        <w:spacing w:after="0" w:line="58" w:lineRule="exact"/>
        <w:rPr>
          <w:rFonts w:ascii="Arial" w:cs="Arial" w:eastAsia="Arial" w:hAnsi="Arial"/>
          <w:sz w:val="18"/>
          <w:szCs w:val="18"/>
          <w:color w:val="auto"/>
        </w:rPr>
      </w:pPr>
    </w:p>
    <w:p>
      <w:pPr>
        <w:ind w:left="-220" w:right="60" w:firstLine="420"/>
        <w:spacing w:after="0" w:line="268" w:lineRule="auto"/>
        <w:tabs>
          <w:tab w:leader="none" w:pos="4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does not subject the Borrower to withholding tax unless the Obligor is required to make “gross-up” payments constituting 100% of such withholding tax;</w:t>
      </w:r>
    </w:p>
    <w:p>
      <w:pPr>
        <w:spacing w:after="0" w:line="50" w:lineRule="exact"/>
        <w:rPr>
          <w:rFonts w:ascii="Arial" w:cs="Arial" w:eastAsia="Arial" w:hAnsi="Arial"/>
          <w:sz w:val="18"/>
          <w:szCs w:val="18"/>
          <w:color w:val="auto"/>
        </w:rPr>
      </w:pPr>
    </w:p>
    <w:p>
      <w:pPr>
        <w:ind w:left="440" w:hanging="240"/>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provides for the full principal balance to be payable in cash at or prior to its maturity;</w:t>
      </w:r>
    </w:p>
    <w:p>
      <w:pPr>
        <w:spacing w:after="0" w:line="90" w:lineRule="exact"/>
        <w:rPr>
          <w:rFonts w:ascii="Arial" w:cs="Arial" w:eastAsia="Arial" w:hAnsi="Arial"/>
          <w:sz w:val="18"/>
          <w:szCs w:val="18"/>
          <w:color w:val="auto"/>
        </w:rPr>
      </w:pPr>
    </w:p>
    <w:p>
      <w:pPr>
        <w:jc w:val="both"/>
        <w:ind w:left="-220" w:right="220" w:firstLine="420"/>
        <w:spacing w:after="0" w:line="306" w:lineRule="auto"/>
        <w:tabs>
          <w:tab w:leader="none" w:pos="442"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such Collateral Loan is a Participation Interest, then such Participation Interest is acquired from a Selling Institution incorporated or organized under the laws of the United States (or any state thereof) which has (or such Selling Institution is guaranteed by an Affiliate having) a long term rating of at least “A/A2” and a short term rating of at least “A-2/P2” by S&amp;P and Moody’s, respectively;</w:t>
      </w:r>
    </w:p>
    <w:p>
      <w:pPr>
        <w:spacing w:after="0" w:line="25" w:lineRule="exact"/>
        <w:rPr>
          <w:rFonts w:ascii="Arial" w:cs="Arial" w:eastAsia="Arial" w:hAnsi="Arial"/>
          <w:sz w:val="16"/>
          <w:szCs w:val="16"/>
          <w:color w:val="auto"/>
        </w:rPr>
      </w:pPr>
    </w:p>
    <w:p>
      <w:pPr>
        <w:ind w:left="440" w:hanging="240"/>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has an Obligor with a trailing twelve-month EBITDA of at least than $5,000,000;</w:t>
      </w:r>
    </w:p>
    <w:p>
      <w:pPr>
        <w:spacing w:after="0" w:line="90" w:lineRule="exact"/>
        <w:rPr>
          <w:rFonts w:ascii="Arial" w:cs="Arial" w:eastAsia="Arial" w:hAnsi="Arial"/>
          <w:sz w:val="18"/>
          <w:szCs w:val="18"/>
          <w:color w:val="auto"/>
        </w:rPr>
      </w:pPr>
    </w:p>
    <w:p>
      <w:pPr>
        <w:ind w:left="440" w:hanging="240"/>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has an original term to maturity of not more than seven (7) years;</w:t>
      </w:r>
    </w:p>
    <w:p>
      <w:pPr>
        <w:spacing w:after="0" w:line="90" w:lineRule="exact"/>
        <w:rPr>
          <w:rFonts w:ascii="Arial" w:cs="Arial" w:eastAsia="Arial" w:hAnsi="Arial"/>
          <w:sz w:val="18"/>
          <w:szCs w:val="18"/>
          <w:color w:val="auto"/>
        </w:rPr>
      </w:pPr>
    </w:p>
    <w:p>
      <w:pPr>
        <w:ind w:left="420" w:hanging="220"/>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provides for payment of interest at least semi-annually;</w:t>
      </w:r>
    </w:p>
    <w:p>
      <w:pPr>
        <w:spacing w:after="0" w:line="90" w:lineRule="exact"/>
        <w:rPr>
          <w:rFonts w:ascii="Arial" w:cs="Arial" w:eastAsia="Arial" w:hAnsi="Arial"/>
          <w:sz w:val="18"/>
          <w:szCs w:val="18"/>
          <w:color w:val="auto"/>
        </w:rPr>
      </w:pPr>
    </w:p>
    <w:p>
      <w:pPr>
        <w:ind w:left="-220" w:right="540" w:firstLine="420"/>
        <w:spacing w:after="0" w:line="268" w:lineRule="auto"/>
        <w:tabs>
          <w:tab w:leader="none" w:pos="422"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has not been the subject of a Material Modification after the date of the acquisition by the Borrower (or its binding commitment to acquire the same) (unless such Collateral Loan constitutes a Restructured Loan);</w:t>
      </w:r>
    </w:p>
    <w:p>
      <w:pPr>
        <w:spacing w:after="0" w:line="11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20"/>
          </w:cols>
          <w:pgMar w:left="1440" w:top="280" w:right="339" w:bottom="1440" w:gutter="0" w:footer="0" w:header="0"/>
        </w:sectPr>
      </w:pPr>
    </w:p>
    <w:bookmarkStart w:id="57" w:name="page58"/>
    <w:bookmarkEnd w:id="57"/>
    <w:p>
      <w:pPr>
        <w:ind w:left="443" w:right="440" w:firstLine="420"/>
        <w:spacing w:after="0" w:line="268" w:lineRule="auto"/>
        <w:tabs>
          <w:tab w:leader="none" w:pos="1066"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not an obligation (other than a Revolving Collateral Loan or a Delayed Drawdown Collateral Loan) pursuant to which any future advances or payments to the Obligor may be required to be made by the Borrower;</w:t>
      </w:r>
    </w:p>
    <w:p>
      <w:pPr>
        <w:spacing w:after="0" w:line="50" w:lineRule="exact"/>
        <w:rPr>
          <w:rFonts w:ascii="Arial" w:cs="Arial" w:eastAsia="Arial" w:hAnsi="Arial"/>
          <w:sz w:val="18"/>
          <w:szCs w:val="18"/>
          <w:color w:val="auto"/>
        </w:rPr>
      </w:pPr>
    </w:p>
    <w:p>
      <w:pPr>
        <w:ind w:left="443" w:right="660" w:firstLine="420"/>
        <w:spacing w:after="0" w:line="268" w:lineRule="auto"/>
        <w:tabs>
          <w:tab w:leader="none" w:pos="11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cause the Borrower or the pool of assets to be required to be registered as an investment company under the Investment Company Act;</w:t>
      </w:r>
    </w:p>
    <w:p>
      <w:pPr>
        <w:spacing w:after="0" w:line="50" w:lineRule="exact"/>
        <w:rPr>
          <w:rFonts w:ascii="Arial" w:cs="Arial" w:eastAsia="Arial" w:hAnsi="Arial"/>
          <w:sz w:val="18"/>
          <w:szCs w:val="18"/>
          <w:color w:val="auto"/>
        </w:rPr>
      </w:pPr>
    </w:p>
    <w:p>
      <w:pPr>
        <w:ind w:left="1103" w:hanging="240"/>
        <w:spacing w:after="0"/>
        <w:tabs>
          <w:tab w:leader="none" w:pos="11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not a Covenant Lite Loan;</w:t>
      </w:r>
    </w:p>
    <w:p>
      <w:pPr>
        <w:spacing w:after="0" w:line="90" w:lineRule="exact"/>
        <w:rPr>
          <w:rFonts w:ascii="Arial" w:cs="Arial" w:eastAsia="Arial" w:hAnsi="Arial"/>
          <w:sz w:val="18"/>
          <w:szCs w:val="18"/>
          <w:color w:val="auto"/>
        </w:rPr>
      </w:pPr>
    </w:p>
    <w:p>
      <w:pPr>
        <w:ind w:left="1143" w:hanging="280"/>
        <w:spacing w:after="0"/>
        <w:tabs>
          <w:tab w:leader="none" w:pos="11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not primarily secured by real estate; and</w:t>
      </w:r>
    </w:p>
    <w:p>
      <w:pPr>
        <w:spacing w:after="0" w:line="90" w:lineRule="exact"/>
        <w:rPr>
          <w:rFonts w:ascii="Arial" w:cs="Arial" w:eastAsia="Arial" w:hAnsi="Arial"/>
          <w:sz w:val="18"/>
          <w:szCs w:val="18"/>
          <w:color w:val="auto"/>
        </w:rPr>
      </w:pPr>
    </w:p>
    <w:p>
      <w:pPr>
        <w:ind w:left="443" w:right="380" w:firstLine="420"/>
        <w:spacing w:after="0" w:line="331" w:lineRule="auto"/>
        <w:tabs>
          <w:tab w:leader="none" w:pos="11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if evidenced by a note or other instrument, such note or other instrument has been delivered to the Custodian in accordance with the provisions of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hereof (or will be delivered within ten (10) Business Days, as set forth in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hereof).</w:t>
      </w:r>
    </w:p>
    <w:p>
      <w:pPr>
        <w:spacing w:after="0" w:line="6" w:lineRule="exact"/>
        <w:rPr>
          <w:sz w:val="20"/>
          <w:szCs w:val="20"/>
          <w:color w:val="auto"/>
        </w:rPr>
      </w:pPr>
    </w:p>
    <w:p>
      <w:pPr>
        <w:ind w:left="423"/>
        <w:spacing w:after="0"/>
        <w:rPr>
          <w:sz w:val="20"/>
          <w:szCs w:val="20"/>
          <w:color w:val="auto"/>
        </w:rPr>
      </w:pPr>
      <w:r>
        <w:rPr>
          <w:rFonts w:ascii="Arial" w:cs="Arial" w:eastAsia="Arial" w:hAnsi="Arial"/>
          <w:sz w:val="16"/>
          <w:szCs w:val="16"/>
          <w:i w:val="1"/>
          <w:iCs w:val="1"/>
          <w:color w:val="auto"/>
        </w:rPr>
        <w:t xml:space="preserve">“Collateral Management Fees” </w:t>
      </w:r>
      <w:r>
        <w:rPr>
          <w:rFonts w:ascii="Arial" w:cs="Arial" w:eastAsia="Arial" w:hAnsi="Arial"/>
          <w:sz w:val="16"/>
          <w:szCs w:val="16"/>
          <w:color w:val="auto"/>
        </w:rPr>
        <w:t>means, collectively, Senior Collateral Management Fees and Subordinated Collateral Management Fees.</w:t>
      </w:r>
    </w:p>
    <w:p>
      <w:pPr>
        <w:spacing w:after="0" w:line="113" w:lineRule="exact"/>
        <w:rPr>
          <w:sz w:val="20"/>
          <w:szCs w:val="20"/>
          <w:color w:val="auto"/>
        </w:rPr>
      </w:pPr>
    </w:p>
    <w:p>
      <w:pPr>
        <w:ind w:left="423"/>
        <w:spacing w:after="0"/>
        <w:rPr>
          <w:sz w:val="20"/>
          <w:szCs w:val="20"/>
          <w:color w:val="auto"/>
        </w:rPr>
      </w:pPr>
      <w:r>
        <w:rPr>
          <w:rFonts w:ascii="Arial" w:cs="Arial" w:eastAsia="Arial" w:hAnsi="Arial"/>
          <w:sz w:val="16"/>
          <w:szCs w:val="16"/>
          <w:i w:val="1"/>
          <w:iCs w:val="1"/>
          <w:color w:val="auto"/>
        </w:rPr>
        <w:t xml:space="preserve">“Collateral Management Standard” </w:t>
      </w:r>
      <w:r>
        <w:rPr>
          <w:rFonts w:ascii="Arial" w:cs="Arial" w:eastAsia="Arial" w:hAnsi="Arial"/>
          <w:sz w:val="16"/>
          <w:szCs w:val="16"/>
          <w:color w:val="auto"/>
        </w:rPr>
        <w:t>means, with respect to any Collateral Loans included in the Collateral, to service and administer such</w:t>
      </w:r>
    </w:p>
    <w:p>
      <w:pPr>
        <w:spacing w:after="0" w:line="38" w:lineRule="exact"/>
        <w:rPr>
          <w:sz w:val="20"/>
          <w:szCs w:val="20"/>
          <w:color w:val="auto"/>
        </w:rPr>
      </w:pPr>
    </w:p>
    <w:p>
      <w:pPr>
        <w:ind w:left="3"/>
        <w:spacing w:after="0"/>
        <w:rPr>
          <w:sz w:val="20"/>
          <w:szCs w:val="20"/>
          <w:color w:val="auto"/>
        </w:rPr>
      </w:pPr>
      <w:r>
        <w:rPr>
          <w:rFonts w:ascii="Arial" w:cs="Arial" w:eastAsia="Arial" w:hAnsi="Arial"/>
          <w:sz w:val="16"/>
          <w:szCs w:val="16"/>
          <w:color w:val="auto"/>
        </w:rPr>
        <w:t>Collateral Loans in accordance with the Related Documents and all customary and usual servicing practices (a) which are consistent with the higher of:</w:t>
      </w:r>
    </w:p>
    <w:p>
      <w:pPr>
        <w:spacing w:after="0" w:line="32" w:lineRule="exact"/>
        <w:rPr>
          <w:sz w:val="20"/>
          <w:szCs w:val="20"/>
          <w:color w:val="auto"/>
        </w:rPr>
      </w:pPr>
    </w:p>
    <w:p>
      <w:pPr>
        <w:jc w:val="center"/>
        <w:ind w:left="3" w:hanging="3"/>
        <w:spacing w:after="0" w:line="300" w:lineRule="auto"/>
        <w:tabs>
          <w:tab w:leader="none" w:pos="213" w:val="left"/>
        </w:tabs>
        <w:numPr>
          <w:ilvl w:val="0"/>
          <w:numId w:val="30"/>
        </w:numPr>
        <w:rPr>
          <w:rFonts w:ascii="Arial" w:cs="Arial" w:eastAsia="Arial" w:hAnsi="Arial"/>
          <w:sz w:val="15"/>
          <w:szCs w:val="15"/>
          <w:color w:val="auto"/>
        </w:rPr>
      </w:pPr>
      <w:r>
        <w:rPr>
          <w:rFonts w:ascii="Arial" w:cs="Arial" w:eastAsia="Arial" w:hAnsi="Arial"/>
          <w:sz w:val="15"/>
          <w:szCs w:val="15"/>
          <w:color w:val="auto"/>
        </w:rPr>
        <w:t xml:space="preserve">the customary and usual servicing practices that a prudent loan investor or lender would use in servicing loans like the Collateral Loans for its own account, and (ii) the same care, skill, prudence and diligence with which the Collateral Manager services and administers loans for its own account or for the account of others; (b) to the extent not inconsistent with </w:t>
      </w:r>
      <w:r>
        <w:rPr>
          <w:rFonts w:ascii="Arial" w:cs="Arial" w:eastAsia="Arial" w:hAnsi="Arial"/>
          <w:sz w:val="15"/>
          <w:szCs w:val="15"/>
          <w:u w:val="single" w:color="auto"/>
          <w:color w:val="auto"/>
        </w:rPr>
        <w:t>clause (a)</w:t>
      </w:r>
      <w:r>
        <w:rPr>
          <w:rFonts w:ascii="Arial" w:cs="Arial" w:eastAsia="Arial" w:hAnsi="Arial"/>
          <w:sz w:val="15"/>
          <w:szCs w:val="15"/>
          <w:color w:val="auto"/>
        </w:rPr>
        <w:t>, with a view to maximize the value of the Collateral Loans; and (c) without regard to: (i) any relationship that the Collateral Manager or any Affiliate of the Collateral Manager may have with any Obligor or any Affiliate of any Obligor,</w:t>
      </w:r>
    </w:p>
    <w:p>
      <w:pPr>
        <w:spacing w:after="0" w:line="1" w:lineRule="exact"/>
        <w:rPr>
          <w:rFonts w:ascii="Arial" w:cs="Arial" w:eastAsia="Arial" w:hAnsi="Arial"/>
          <w:sz w:val="15"/>
          <w:szCs w:val="15"/>
          <w:color w:val="auto"/>
        </w:rPr>
      </w:pPr>
    </w:p>
    <w:p>
      <w:pPr>
        <w:ind w:left="3" w:right="20" w:hanging="3"/>
        <w:spacing w:after="0" w:line="292" w:lineRule="auto"/>
        <w:tabs>
          <w:tab w:leader="none" w:pos="26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Collateral Manager’s obligations to incur servicing and administrative expenses with respect to a Collateral Loan, (iii) the Collateral Manager’s right to receive compensation for its services hereunder or with respect to any particular transaction, (iv) the ownership by the Collateral Manager or any Affiliate thereof of any retained interest or one or more loans of the same class as any Collateral Loans, (v) the ownership, servicing or management for others by the Collateral Manager of any other loans or property by the Collateral Manager, or (vi) any relationship that the Collateral Manager or any Affiliate of the Collateral Manager may have with any holder of other loans of the Obligor with respect to such Collateral Loans.</w:t>
      </w:r>
    </w:p>
    <w:p>
      <w:pPr>
        <w:spacing w:after="0" w:line="35" w:lineRule="exact"/>
        <w:rPr>
          <w:sz w:val="20"/>
          <w:szCs w:val="20"/>
          <w:color w:val="auto"/>
        </w:rPr>
      </w:pPr>
    </w:p>
    <w:p>
      <w:pPr>
        <w:ind w:left="423"/>
        <w:spacing w:after="0"/>
        <w:rPr>
          <w:sz w:val="20"/>
          <w:szCs w:val="20"/>
          <w:color w:val="auto"/>
        </w:rPr>
      </w:pPr>
      <w:r>
        <w:rPr>
          <w:rFonts w:ascii="Arial" w:cs="Arial" w:eastAsia="Arial" w:hAnsi="Arial"/>
          <w:sz w:val="18"/>
          <w:szCs w:val="18"/>
          <w:i w:val="1"/>
          <w:iCs w:val="1"/>
          <w:color w:val="auto"/>
        </w:rPr>
        <w:t xml:space="preserve">“Collateral Manager” </w:t>
      </w:r>
      <w:r>
        <w:rPr>
          <w:rFonts w:ascii="Arial" w:cs="Arial" w:eastAsia="Arial" w:hAnsi="Arial"/>
          <w:sz w:val="18"/>
          <w:szCs w:val="18"/>
          <w:color w:val="auto"/>
        </w:rPr>
        <w:t>has the meaning assigned to such term in the introduction of this Agreement.</w:t>
      </w:r>
    </w:p>
    <w:p>
      <w:pPr>
        <w:spacing w:after="0" w:line="90" w:lineRule="exact"/>
        <w:rPr>
          <w:sz w:val="20"/>
          <w:szCs w:val="20"/>
          <w:color w:val="auto"/>
        </w:rPr>
      </w:pPr>
    </w:p>
    <w:p>
      <w:pPr>
        <w:ind w:left="423"/>
        <w:spacing w:after="0"/>
        <w:rPr>
          <w:sz w:val="20"/>
          <w:szCs w:val="20"/>
          <w:color w:val="auto"/>
        </w:rPr>
      </w:pPr>
      <w:r>
        <w:rPr>
          <w:rFonts w:ascii="Arial" w:cs="Arial" w:eastAsia="Arial" w:hAnsi="Arial"/>
          <w:sz w:val="18"/>
          <w:szCs w:val="18"/>
          <w:i w:val="1"/>
          <w:iCs w:val="1"/>
          <w:color w:val="auto"/>
        </w:rPr>
        <w:t xml:space="preserve">“Collateral Manager Event of Default” </w:t>
      </w:r>
      <w:r>
        <w:rPr>
          <w:rFonts w:ascii="Arial" w:cs="Arial" w:eastAsia="Arial" w:hAnsi="Arial"/>
          <w:sz w:val="18"/>
          <w:szCs w:val="18"/>
          <w:color w:val="auto"/>
        </w:rPr>
        <w:t>means the occurrence of any of the events, acts or circumstances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58" w:lineRule="exact"/>
        <w:rPr>
          <w:sz w:val="20"/>
          <w:szCs w:val="20"/>
          <w:color w:val="auto"/>
        </w:rPr>
      </w:pPr>
    </w:p>
    <w:p>
      <w:pPr>
        <w:jc w:val="center"/>
        <w:ind w:right="397"/>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43"/>
          </w:cols>
          <w:pgMar w:left="777" w:top="280" w:right="379" w:bottom="1440" w:gutter="0" w:footer="0" w:header="0"/>
        </w:sectPr>
      </w:pPr>
    </w:p>
    <w:bookmarkStart w:id="58" w:name="page59"/>
    <w:bookmarkEnd w:id="58"/>
    <w:p>
      <w:pPr>
        <w:ind w:left="4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“Collateral Manager Replacement Event” </w:t>
      </w:r>
      <w:r>
        <w:rPr>
          <w:rFonts w:ascii="Arial" w:cs="Arial" w:eastAsia="Arial" w:hAnsi="Arial"/>
          <w:sz w:val="18"/>
          <w:szCs w:val="18"/>
          <w:color w:val="auto"/>
        </w:rPr>
        <w:t>means the occurrence of any of the following events:</w:t>
      </w:r>
    </w:p>
    <w:p>
      <w:pPr>
        <w:spacing w:after="0" w:line="90" w:lineRule="exact"/>
        <w:rPr>
          <w:sz w:val="20"/>
          <w:szCs w:val="20"/>
          <w:color w:val="auto"/>
        </w:rPr>
      </w:pPr>
    </w:p>
    <w:p>
      <w:pPr>
        <w:ind w:left="1100" w:hanging="240"/>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Default Ratio shall exceed 10.0%; or</w:t>
      </w:r>
    </w:p>
    <w:p>
      <w:pPr>
        <w:spacing w:after="0" w:line="90" w:lineRule="exact"/>
        <w:rPr>
          <w:rFonts w:ascii="Arial" w:cs="Arial" w:eastAsia="Arial" w:hAnsi="Arial"/>
          <w:sz w:val="18"/>
          <w:szCs w:val="18"/>
          <w:color w:val="auto"/>
        </w:rPr>
      </w:pPr>
    </w:p>
    <w:p>
      <w:pPr>
        <w:ind w:left="1100" w:hanging="240"/>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Delinquency Ratio shall exceed 10.0%.</w:t>
      </w:r>
    </w:p>
    <w:p>
      <w:pPr>
        <w:spacing w:after="0" w:line="90" w:lineRule="exact"/>
        <w:rPr>
          <w:sz w:val="20"/>
          <w:szCs w:val="20"/>
          <w:color w:val="auto"/>
        </w:rPr>
      </w:pPr>
    </w:p>
    <w:p>
      <w:pPr>
        <w:ind w:right="180" w:firstLine="431"/>
        <w:spacing w:after="0" w:line="268" w:lineRule="auto"/>
        <w:rPr>
          <w:sz w:val="20"/>
          <w:szCs w:val="20"/>
          <w:color w:val="auto"/>
        </w:rPr>
      </w:pPr>
      <w:r>
        <w:rPr>
          <w:rFonts w:ascii="Arial" w:cs="Arial" w:eastAsia="Arial" w:hAnsi="Arial"/>
          <w:sz w:val="18"/>
          <w:szCs w:val="18"/>
          <w:i w:val="1"/>
          <w:iCs w:val="1"/>
          <w:color w:val="auto"/>
        </w:rPr>
        <w:t xml:space="preserve">“Collection Account” </w:t>
      </w:r>
      <w:r>
        <w:rPr>
          <w:rFonts w:ascii="Arial" w:cs="Arial" w:eastAsia="Arial" w:hAnsi="Arial"/>
          <w:sz w:val="18"/>
          <w:szCs w:val="18"/>
          <w:color w:val="auto"/>
        </w:rPr>
        <w:t>means the trust account established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color w:val="auto"/>
        </w:rPr>
        <w:t>, which includes the Principal Collection Subaccount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Collection Subaccount.</w:t>
      </w:r>
    </w:p>
    <w:p>
      <w:pPr>
        <w:spacing w:after="0" w:line="51" w:lineRule="exact"/>
        <w:rPr>
          <w:sz w:val="20"/>
          <w:szCs w:val="20"/>
          <w:color w:val="auto"/>
        </w:rPr>
      </w:pPr>
    </w:p>
    <w:p>
      <w:pPr>
        <w:ind w:right="100" w:firstLine="431"/>
        <w:spacing w:after="0" w:line="294" w:lineRule="auto"/>
        <w:rPr>
          <w:sz w:val="20"/>
          <w:szCs w:val="20"/>
          <w:color w:val="auto"/>
        </w:rPr>
      </w:pPr>
      <w:r>
        <w:rPr>
          <w:rFonts w:ascii="Arial" w:cs="Arial" w:eastAsia="Arial" w:hAnsi="Arial"/>
          <w:sz w:val="16"/>
          <w:szCs w:val="16"/>
          <w:i w:val="1"/>
          <w:iCs w:val="1"/>
          <w:color w:val="auto"/>
        </w:rPr>
        <w:t xml:space="preserve">“Collection Period” </w:t>
      </w:r>
      <w:r>
        <w:rPr>
          <w:rFonts w:ascii="Arial" w:cs="Arial" w:eastAsia="Arial" w:hAnsi="Arial"/>
          <w:sz w:val="16"/>
          <w:szCs w:val="16"/>
          <w:color w:val="auto"/>
        </w:rPr>
        <w:t>means, with respect to any Payment Date, the period commencing immediately following the prior Collection Period (or on</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Date, in the case of the Collection Period relating to the first Payment Date) and ending on the last day of the month prior to the month in which such Payment Date occurs (or, if such last day of the month is not a Business Day, the next succeeding Business Day) or, in the case of the final Collection Period preceding the Final Maturity Date or the final Collection Period preceding an optional prepayment in whole of the Advances, ending on the day preceding the Final Maturity Date or the date of such prepayment, respectively.</w:t>
      </w:r>
    </w:p>
    <w:p>
      <w:pPr>
        <w:spacing w:after="0" w:line="34" w:lineRule="exact"/>
        <w:rPr>
          <w:sz w:val="20"/>
          <w:szCs w:val="20"/>
          <w:color w:val="auto"/>
        </w:rPr>
      </w:pPr>
    </w:p>
    <w:p>
      <w:pPr>
        <w:jc w:val="both"/>
        <w:ind w:right="340" w:firstLine="431"/>
        <w:spacing w:after="0" w:line="256" w:lineRule="auto"/>
        <w:rPr>
          <w:sz w:val="20"/>
          <w:szCs w:val="20"/>
          <w:color w:val="auto"/>
        </w:rPr>
      </w:pPr>
      <w:r>
        <w:rPr>
          <w:rFonts w:ascii="Arial" w:cs="Arial" w:eastAsia="Arial" w:hAnsi="Arial"/>
          <w:sz w:val="18"/>
          <w:szCs w:val="18"/>
          <w:i w:val="1"/>
          <w:iCs w:val="1"/>
          <w:color w:val="auto"/>
        </w:rPr>
        <w:t xml:space="preserve">“Collections” </w:t>
      </w:r>
      <w:r>
        <w:rPr>
          <w:rFonts w:ascii="Arial" w:cs="Arial" w:eastAsia="Arial" w:hAnsi="Arial"/>
          <w:sz w:val="18"/>
          <w:szCs w:val="18"/>
          <w:color w:val="auto"/>
        </w:rPr>
        <w:t>means all cash collections, distributions, payments and other amounts received, and to be received by the Borrower,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in respect of any Collateral Loans constituting Collateral, including all principal, interest, fees, distributions and redemption and withdrawal proceeds payable to the Borrower under or in connection with any such Collateral Loans and all Proceeds from any sale or disposition of any such Collateral Loans.</w:t>
      </w:r>
    </w:p>
    <w:p>
      <w:pPr>
        <w:spacing w:after="0" w:line="62" w:lineRule="exact"/>
        <w:rPr>
          <w:sz w:val="20"/>
          <w:szCs w:val="20"/>
          <w:color w:val="auto"/>
        </w:rPr>
      </w:pPr>
    </w:p>
    <w:p>
      <w:pPr>
        <w:ind w:firstLine="431"/>
        <w:spacing w:after="0" w:line="294" w:lineRule="auto"/>
        <w:rPr>
          <w:sz w:val="20"/>
          <w:szCs w:val="20"/>
          <w:color w:val="auto"/>
        </w:rPr>
      </w:pPr>
      <w:r>
        <w:rPr>
          <w:rFonts w:ascii="Arial" w:cs="Arial" w:eastAsia="Arial" w:hAnsi="Arial"/>
          <w:sz w:val="16"/>
          <w:szCs w:val="16"/>
          <w:i w:val="1"/>
          <w:iCs w:val="1"/>
          <w:color w:val="auto"/>
        </w:rPr>
        <w:t xml:space="preserve">“Commitment” </w:t>
      </w:r>
      <w:r>
        <w:rPr>
          <w:rFonts w:ascii="Arial" w:cs="Arial" w:eastAsia="Arial" w:hAnsi="Arial"/>
          <w:sz w:val="16"/>
          <w:szCs w:val="16"/>
          <w:color w:val="auto"/>
        </w:rPr>
        <w:t>means, as to each Lender, the obligation of such Lender to make, on and subject to the terms and conditions hereof, Advances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Borrower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in an aggregate principal amount at any one time outstanding for such Lender up to but not exceeding the amount set forth opposite the name of such Lender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or in the Assignment and Acceptance pursuant to which such Lender shall have assumed its Commitment, as applicable, as such amount may be reduced from time to time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or increased or reduced from time to time pursuant to assignments effected in accordance with </w:t>
      </w:r>
      <w:r>
        <w:rPr>
          <w:rFonts w:ascii="Arial" w:cs="Arial" w:eastAsia="Arial" w:hAnsi="Arial"/>
          <w:sz w:val="16"/>
          <w:szCs w:val="16"/>
          <w:u w:val="single" w:color="auto"/>
          <w:color w:val="auto"/>
        </w:rPr>
        <w:t>Section 15.06(a)</w:t>
      </w:r>
      <w:r>
        <w:rPr>
          <w:rFonts w:ascii="Arial" w:cs="Arial" w:eastAsia="Arial" w:hAnsi="Arial"/>
          <w:sz w:val="16"/>
          <w:szCs w:val="16"/>
          <w:color w:val="auto"/>
        </w:rPr>
        <w:t>.</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“Commitment Fees” </w:t>
      </w:r>
      <w:r>
        <w:rPr>
          <w:rFonts w:ascii="Arial" w:cs="Arial" w:eastAsia="Arial" w:hAnsi="Arial"/>
          <w:sz w:val="18"/>
          <w:szCs w:val="18"/>
          <w:color w:val="auto"/>
        </w:rPr>
        <w:t>has the meaning assigned to such term in the Lender Fee Letter.</w:t>
      </w:r>
    </w:p>
    <w:p>
      <w:pPr>
        <w:spacing w:after="0" w:line="90" w:lineRule="exact"/>
        <w:rPr>
          <w:sz w:val="20"/>
          <w:szCs w:val="20"/>
          <w:color w:val="auto"/>
        </w:rPr>
      </w:pPr>
    </w:p>
    <w:p>
      <w:pPr>
        <w:ind w:right="400" w:firstLine="431"/>
        <w:spacing w:after="0" w:line="331" w:lineRule="auto"/>
        <w:rPr>
          <w:sz w:val="20"/>
          <w:szCs w:val="20"/>
          <w:color w:val="auto"/>
        </w:rPr>
      </w:pPr>
      <w:r>
        <w:rPr>
          <w:rFonts w:ascii="Arial" w:cs="Arial" w:eastAsia="Arial" w:hAnsi="Arial"/>
          <w:sz w:val="16"/>
          <w:szCs w:val="16"/>
          <w:i w:val="1"/>
          <w:iCs w:val="1"/>
          <w:color w:val="auto"/>
        </w:rPr>
        <w:t xml:space="preserve">“Commitment Termination Date” </w:t>
      </w:r>
      <w:r>
        <w:rPr>
          <w:rFonts w:ascii="Arial" w:cs="Arial" w:eastAsia="Arial" w:hAnsi="Arial"/>
          <w:sz w:val="16"/>
          <w:szCs w:val="16"/>
          <w:color w:val="auto"/>
        </w:rPr>
        <w:t>means the last day of the Reinvestment Period;</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if the Commitment Termination Date would</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not be a Business Day, then the Commitment Termination Date shall be the immediately succeeding Business Day.</w:t>
      </w:r>
    </w:p>
    <w:p>
      <w:pPr>
        <w:spacing w:after="0" w:line="7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00"/>
          </w:cols>
          <w:pgMar w:left="780" w:top="280" w:right="419" w:bottom="1440" w:gutter="0" w:footer="0" w:header="0"/>
        </w:sectPr>
      </w:pPr>
    </w:p>
    <w:bookmarkStart w:id="59" w:name="page60"/>
    <w:bookmarkEnd w:id="59"/>
    <w:p>
      <w:pPr>
        <w:ind w:firstLine="431"/>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“Concentration Limitations” </w:t>
      </w:r>
      <w:r>
        <w:rPr>
          <w:rFonts w:ascii="Arial" w:cs="Arial" w:eastAsia="Arial" w:hAnsi="Arial"/>
          <w:sz w:val="16"/>
          <w:szCs w:val="16"/>
          <w:color w:val="auto"/>
        </w:rPr>
        <w:t>means, as of any date of determination, the following limitations applied to the Aggregate Collateral Balance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Loans owned (or, in relation to a proposed purchase of a Collateral Loan, proposed to be owned) by the Borrower, and calculated as a percentage of (i) the Facility Amount until the date on which the Aggregate Collateral Balance of all the Collateral Loans exceeds the Facility Amount, and (ii) at all times thereafter, the Aggregate Collateral Balance of all the Collateral Loans (unless otherwise specified pursuant to </w:t>
      </w:r>
      <w:r>
        <w:rPr>
          <w:rFonts w:ascii="Arial" w:cs="Arial" w:eastAsia="Arial" w:hAnsi="Arial"/>
          <w:sz w:val="16"/>
          <w:szCs w:val="16"/>
          <w:u w:val="single" w:color="auto"/>
          <w:color w:val="auto"/>
        </w:rPr>
        <w:t>Section 1.04(m)</w:t>
      </w:r>
      <w:r>
        <w:rPr>
          <w:rFonts w:ascii="Arial" w:cs="Arial" w:eastAsia="Arial" w:hAnsi="Arial"/>
          <w:sz w:val="16"/>
          <w:szCs w:val="16"/>
          <w:color w:val="auto"/>
        </w:rPr>
        <w:t xml:space="preserve">), and in each case in accordance with the procedures set forth in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34" w:lineRule="exact"/>
        <w:rPr>
          <w:sz w:val="20"/>
          <w:szCs w:val="20"/>
          <w:color w:val="auto"/>
        </w:rPr>
      </w:pPr>
    </w:p>
    <w:p>
      <w:pPr>
        <w:ind w:left="440" w:right="280" w:firstLine="420"/>
        <w:spacing w:after="0" w:line="268" w:lineRule="auto"/>
        <w:tabs>
          <w:tab w:leader="none" w:pos="10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more than the percentage limitation specified in the “Maximum Loan Types” column of the Matrix (based on the combination of Matrix Inputs that are then applicable) consists of Eligible Second Lien Obligations;</w:t>
      </w:r>
    </w:p>
    <w:p>
      <w:pPr>
        <w:spacing w:after="0" w:line="50" w:lineRule="exact"/>
        <w:rPr>
          <w:rFonts w:ascii="Arial" w:cs="Arial" w:eastAsia="Arial" w:hAnsi="Arial"/>
          <w:sz w:val="18"/>
          <w:szCs w:val="18"/>
          <w:color w:val="auto"/>
        </w:rPr>
      </w:pPr>
    </w:p>
    <w:p>
      <w:pPr>
        <w:ind w:left="440" w:right="260" w:firstLine="420"/>
        <w:spacing w:after="0" w:line="331" w:lineRule="auto"/>
        <w:tabs>
          <w:tab w:leader="none" w:pos="11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not more than the percentage limitation specified in the “Maximum Loan Types” column of the Matrix (based on the combination of Matrix Inputs that are then applicable) consists collectively of Eligible Second Lien Obligations and Senior B Loan Obligations;</w:t>
      </w:r>
    </w:p>
    <w:p>
      <w:pPr>
        <w:spacing w:after="0" w:line="5" w:lineRule="exact"/>
        <w:rPr>
          <w:rFonts w:ascii="Arial" w:cs="Arial" w:eastAsia="Arial" w:hAnsi="Arial"/>
          <w:sz w:val="16"/>
          <w:szCs w:val="16"/>
          <w:color w:val="auto"/>
        </w:rPr>
      </w:pPr>
    </w:p>
    <w:p>
      <w:pPr>
        <w:ind w:left="1100" w:hanging="240"/>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more than 10.00% consists of Fixed Rate Obligations;</w:t>
      </w:r>
    </w:p>
    <w:p>
      <w:pPr>
        <w:spacing w:after="0" w:line="90" w:lineRule="exact"/>
        <w:rPr>
          <w:rFonts w:ascii="Arial" w:cs="Arial" w:eastAsia="Arial" w:hAnsi="Arial"/>
          <w:sz w:val="18"/>
          <w:szCs w:val="18"/>
          <w:color w:val="auto"/>
        </w:rPr>
      </w:pPr>
    </w:p>
    <w:p>
      <w:pPr>
        <w:ind w:left="1100" w:hanging="240"/>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more than 5.00% consists of DIP Collateral Obligations;</w:t>
      </w:r>
    </w:p>
    <w:p>
      <w:pPr>
        <w:spacing w:after="0" w:line="90" w:lineRule="exact"/>
        <w:rPr>
          <w:rFonts w:ascii="Arial" w:cs="Arial" w:eastAsia="Arial" w:hAnsi="Arial"/>
          <w:sz w:val="18"/>
          <w:szCs w:val="18"/>
          <w:color w:val="auto"/>
        </w:rPr>
      </w:pPr>
    </w:p>
    <w:p>
      <w:pPr>
        <w:ind w:left="440" w:right="20" w:firstLine="420"/>
        <w:spacing w:after="0" w:line="259" w:lineRule="auto"/>
        <w:tabs>
          <w:tab w:leader="none" w:pos="10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more than the percentage limitation specified in the “Maximum Obligor” column of the Matrix (based on the combination of Matrix Inputs that are then applicable) consists of obligations of the Obligor which, together with the Affiliates thereof, is the Obligor of the largest percentage of the Aggregate Collateral Balance of all the Collateral Loans;</w:t>
      </w:r>
    </w:p>
    <w:p>
      <w:pPr>
        <w:spacing w:after="0" w:line="58" w:lineRule="exact"/>
        <w:rPr>
          <w:rFonts w:ascii="Arial" w:cs="Arial" w:eastAsia="Arial" w:hAnsi="Arial"/>
          <w:sz w:val="18"/>
          <w:szCs w:val="18"/>
          <w:color w:val="auto"/>
        </w:rPr>
      </w:pPr>
    </w:p>
    <w:p>
      <w:pPr>
        <w:jc w:val="both"/>
        <w:ind w:left="440" w:right="40" w:firstLine="420"/>
        <w:spacing w:after="0" w:line="306" w:lineRule="auto"/>
        <w:tabs>
          <w:tab w:leader="none" w:pos="1072"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not more than the percentage limitation specified in the “Maximum Obligor” column of the Matrix (based on the combination of Matrix Inputs that are then applicable) consists of obligations of any Obligor which, together with the Affiliates thereof, is an Obligor with the 2nd, 3rd, 4th, 5th or 6th largest percentage of the Aggregate Collateral Balance of all the Collateral Loans;</w:t>
      </w:r>
    </w:p>
    <w:p>
      <w:pPr>
        <w:spacing w:after="0" w:line="25" w:lineRule="exact"/>
        <w:rPr>
          <w:rFonts w:ascii="Arial" w:cs="Arial" w:eastAsia="Arial" w:hAnsi="Arial"/>
          <w:sz w:val="16"/>
          <w:szCs w:val="16"/>
          <w:color w:val="auto"/>
        </w:rPr>
      </w:pPr>
    </w:p>
    <w:p>
      <w:pPr>
        <w:ind w:left="440" w:right="20" w:firstLine="420"/>
        <w:spacing w:after="0" w:line="259" w:lineRule="auto"/>
        <w:tabs>
          <w:tab w:leader="none" w:pos="11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not more than the percentage limitation specified in the “Maximum Obligor” column of the Matrix (based on the combination of Matrix Inputs that are then applicable) consists of obligations of any Obligor and any Affiliates thereof which is not described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above;</w:t>
      </w:r>
    </w:p>
    <w:p>
      <w:pPr>
        <w:spacing w:after="0" w:line="58" w:lineRule="exact"/>
        <w:rPr>
          <w:rFonts w:ascii="Arial" w:cs="Arial" w:eastAsia="Arial" w:hAnsi="Arial"/>
          <w:sz w:val="18"/>
          <w:szCs w:val="18"/>
          <w:color w:val="auto"/>
        </w:rPr>
      </w:pPr>
    </w:p>
    <w:p>
      <w:pPr>
        <w:ind w:left="440" w:right="220" w:firstLine="420"/>
        <w:spacing w:after="0" w:line="268" w:lineRule="auto"/>
        <w:tabs>
          <w:tab w:leader="none" w:pos="11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more than 10.00% consists of Collateral Loans whose Obligors are organized or incorporated outside of the United States (or any state, territory or possession thereof);</w:t>
      </w:r>
    </w:p>
    <w:p>
      <w:pPr>
        <w:spacing w:after="0" w:line="50" w:lineRule="exact"/>
        <w:rPr>
          <w:rFonts w:ascii="Arial" w:cs="Arial" w:eastAsia="Arial" w:hAnsi="Arial"/>
          <w:sz w:val="18"/>
          <w:szCs w:val="18"/>
          <w:color w:val="auto"/>
        </w:rPr>
      </w:pPr>
    </w:p>
    <w:p>
      <w:pPr>
        <w:ind w:left="1060" w:hanging="20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more than 15.00% consists collectively of Revolving Collateral Loans and Delayed Drawdown Collateral Loans;</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80"/>
          </w:cols>
          <w:pgMar w:left="780" w:top="280" w:right="439" w:bottom="1440" w:gutter="0" w:footer="0" w:header="0"/>
        </w:sectPr>
      </w:pPr>
    </w:p>
    <w:bookmarkStart w:id="60" w:name="page61"/>
    <w:bookmarkEnd w:id="60"/>
    <w:p>
      <w:pPr>
        <w:ind w:left="620" w:hanging="200"/>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more than (1) 30.00% consists of Collateral Loans with Obligors in the “Healthcare &amp; Pharmaceuticals” Moody’s Industry</w:t>
      </w:r>
    </w:p>
    <w:p>
      <w:pPr>
        <w:spacing w:after="0" w:line="38"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Classification,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(A) not more than 20.00% of the Collateral Loans may consist of Collateral Loans with Obligors in the “healthcare facilities” subcategory of the “Healthcare &amp; Pharmaceuticals” Moody’s Industry Classification (as determined in accordance with the Credit and Collection Policies), and (B) not more than 20.00% of the Collateral Loans may consist of Collateral Loans with Obligors in the “other healthcare” subcategory of the “Healthcare &amp; Pharmaceuticals” Moody’s Industry Classification (as determined in accordance with the Credit and Collection Policies), (2) 20.00% consists of Collateral Loans with Obligors in the largest Moody’s Industry Classification (measured as the Moody’s Industry Classification with the largest percentage of the Aggregate Collateral Balance of all the Collateral Loans and excluding the “Healthcare &amp; Pharmaceuticals” Moody’s Industry Classification),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if more than 15.00% consists of Collateral Loans in either the “healthcare facilities” subcategory or the “other healthcare” subcategory of the “Healthcare &amp; Pharmaceuticals” Moody’s Industry Classification (each as determined in accordance with the Credit and Collection Policies) then this </w:t>
      </w:r>
      <w:r>
        <w:rPr>
          <w:rFonts w:ascii="Arial" w:cs="Arial" w:eastAsia="Arial" w:hAnsi="Arial"/>
          <w:sz w:val="16"/>
          <w:szCs w:val="16"/>
          <w:u w:val="single" w:color="auto"/>
          <w:color w:val="auto"/>
        </w:rPr>
        <w:t>subclause (2)</w:t>
      </w:r>
      <w:r>
        <w:rPr>
          <w:rFonts w:ascii="Arial" w:cs="Arial" w:eastAsia="Arial" w:hAnsi="Arial"/>
          <w:sz w:val="16"/>
          <w:szCs w:val="16"/>
          <w:color w:val="auto"/>
        </w:rPr>
        <w:t xml:space="preserve"> shall not apply and </w:t>
      </w:r>
      <w:r>
        <w:rPr>
          <w:rFonts w:ascii="Arial" w:cs="Arial" w:eastAsia="Arial" w:hAnsi="Arial"/>
          <w:sz w:val="16"/>
          <w:szCs w:val="16"/>
          <w:u w:val="single" w:color="auto"/>
          <w:color w:val="auto"/>
        </w:rPr>
        <w:t>subclause (3)</w:t>
      </w:r>
      <w:r>
        <w:rPr>
          <w:rFonts w:ascii="Arial" w:cs="Arial" w:eastAsia="Arial" w:hAnsi="Arial"/>
          <w:sz w:val="16"/>
          <w:szCs w:val="16"/>
          <w:color w:val="auto"/>
        </w:rPr>
        <w:t xml:space="preserve"> shall govern the largest Moody’s Industry Classification, and (3) 15.00% consists of Collateral Loans with Obligors in any other Moody’s Industry Classification;</w:t>
      </w:r>
    </w:p>
    <w:p>
      <w:pPr>
        <w:spacing w:after="0" w:line="42" w:lineRule="exact"/>
        <w:rPr>
          <w:rFonts w:ascii="Arial" w:cs="Arial" w:eastAsia="Arial" w:hAnsi="Arial"/>
          <w:sz w:val="16"/>
          <w:szCs w:val="16"/>
          <w:color w:val="auto"/>
        </w:rPr>
      </w:pPr>
    </w:p>
    <w:p>
      <w:pPr>
        <w:ind w:right="580" w:firstLine="420"/>
        <w:spacing w:after="0" w:line="268" w:lineRule="auto"/>
        <w:tabs>
          <w:tab w:leader="none" w:pos="6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more than 3.00% consists of Collateral Loans a portion of the consideration for which consists of warrants to purchase Equity Securities;</w:t>
      </w:r>
    </w:p>
    <w:p>
      <w:pPr>
        <w:spacing w:after="0" w:line="50" w:lineRule="exact"/>
        <w:rPr>
          <w:rFonts w:ascii="Arial" w:cs="Arial" w:eastAsia="Arial" w:hAnsi="Arial"/>
          <w:sz w:val="18"/>
          <w:szCs w:val="18"/>
          <w:color w:val="auto"/>
        </w:rPr>
      </w:pPr>
    </w:p>
    <w:p>
      <w:pPr>
        <w:ind w:left="620" w:hanging="200"/>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more than 5.00% consists of Current Pay Obligations;</w:t>
      </w:r>
    </w:p>
    <w:p>
      <w:pPr>
        <w:spacing w:after="0" w:line="90" w:lineRule="exact"/>
        <w:rPr>
          <w:rFonts w:ascii="Arial" w:cs="Arial" w:eastAsia="Arial" w:hAnsi="Arial"/>
          <w:sz w:val="18"/>
          <w:szCs w:val="18"/>
          <w:color w:val="auto"/>
        </w:rPr>
      </w:pPr>
    </w:p>
    <w:p>
      <w:pPr>
        <w:ind w:left="720" w:hanging="300"/>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more than 15.00% consists of Collateral Loans that pay interest less frequently than quarterly;</w:t>
      </w:r>
    </w:p>
    <w:p>
      <w:pPr>
        <w:spacing w:after="0" w:line="90" w:lineRule="exact"/>
        <w:rPr>
          <w:rFonts w:ascii="Arial" w:cs="Arial" w:eastAsia="Arial" w:hAnsi="Arial"/>
          <w:sz w:val="18"/>
          <w:szCs w:val="18"/>
          <w:color w:val="auto"/>
        </w:rPr>
      </w:pPr>
    </w:p>
    <w:p>
      <w:pPr>
        <w:ind w:firstLine="420"/>
        <w:spacing w:after="0" w:line="268" w:lineRule="auto"/>
        <w:tabs>
          <w:tab w:leader="none" w:pos="6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more than (i) 15.00% for the 12 months following the Closing Date, and (ii) 7.50% at all times thereafter, consists of Single Covenant Obligations;</w:t>
      </w:r>
    </w:p>
    <w:p>
      <w:pPr>
        <w:spacing w:after="0" w:line="50" w:lineRule="exact"/>
        <w:rPr>
          <w:rFonts w:ascii="Arial" w:cs="Arial" w:eastAsia="Arial" w:hAnsi="Arial"/>
          <w:sz w:val="18"/>
          <w:szCs w:val="18"/>
          <w:color w:val="auto"/>
        </w:rPr>
      </w:pPr>
    </w:p>
    <w:p>
      <w:pPr>
        <w:ind w:left="660" w:hanging="240"/>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more than 3.00% consists of PIK Loans;</w:t>
      </w:r>
    </w:p>
    <w:p>
      <w:pPr>
        <w:spacing w:after="0" w:line="90" w:lineRule="exact"/>
        <w:rPr>
          <w:rFonts w:ascii="Arial" w:cs="Arial" w:eastAsia="Arial" w:hAnsi="Arial"/>
          <w:sz w:val="18"/>
          <w:szCs w:val="18"/>
          <w:color w:val="auto"/>
        </w:rPr>
      </w:pPr>
    </w:p>
    <w:p>
      <w:pPr>
        <w:ind w:left="660" w:hanging="240"/>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more than 5.0% consists of Participation Interests;</w:t>
      </w:r>
    </w:p>
    <w:p>
      <w:pPr>
        <w:spacing w:after="0" w:line="90" w:lineRule="exact"/>
        <w:rPr>
          <w:rFonts w:ascii="Arial" w:cs="Arial" w:eastAsia="Arial" w:hAnsi="Arial"/>
          <w:sz w:val="18"/>
          <w:szCs w:val="18"/>
          <w:color w:val="auto"/>
        </w:rPr>
      </w:pPr>
    </w:p>
    <w:p>
      <w:pPr>
        <w:ind w:right="260" w:firstLine="420"/>
        <w:spacing w:after="0" w:line="331" w:lineRule="auto"/>
        <w:tabs>
          <w:tab w:leader="none" w:pos="6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not more than 15.0% consists of LBO Loans that, at the closing of such LBO Loan, have an Obligor with a Net Worth to Total Capital Ratio of less than 25.0%, calculated on a pro forma basis after giving effect to the acquisition and financing contemplated by such LBO Loan;</w:t>
      </w:r>
    </w:p>
    <w:p>
      <w:pPr>
        <w:spacing w:after="0" w:line="5" w:lineRule="exact"/>
        <w:rPr>
          <w:rFonts w:ascii="Arial" w:cs="Arial" w:eastAsia="Arial" w:hAnsi="Arial"/>
          <w:sz w:val="16"/>
          <w:szCs w:val="16"/>
          <w:color w:val="auto"/>
        </w:rPr>
      </w:pPr>
    </w:p>
    <w:p>
      <w:pPr>
        <w:ind w:right="120" w:firstLine="420"/>
        <w:spacing w:after="0" w:line="256"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to the extent the addition of a Collateral Loan causes the Weighted Average Floating Spread to fall below the minimum Weighted Average Floating Spread set forth in the “Minimum Weighted Average Spread” column of the Matrix (based on the combination of Matrix Inputs that are then applicable), the portion of the Aggregate Collateral Balance attributable to all such Collateral Loans calculated pursuant to </w:t>
      </w:r>
      <w:r>
        <w:rPr>
          <w:rFonts w:ascii="Arial" w:cs="Arial" w:eastAsia="Arial" w:hAnsi="Arial"/>
          <w:sz w:val="18"/>
          <w:szCs w:val="18"/>
          <w:u w:val="single" w:color="auto"/>
          <w:color w:val="auto"/>
        </w:rPr>
        <w:t>Section 1.04(g)</w:t>
      </w:r>
      <w:r>
        <w:rPr>
          <w:rFonts w:ascii="Arial" w:cs="Arial" w:eastAsia="Arial" w:hAnsi="Arial"/>
          <w:sz w:val="18"/>
          <w:szCs w:val="18"/>
          <w:color w:val="auto"/>
        </w:rPr>
        <w:t xml:space="preserve"> hereof;</w:t>
      </w:r>
    </w:p>
    <w:p>
      <w:pPr>
        <w:spacing w:after="0" w:line="1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340"/>
          </w:cols>
          <w:pgMar w:left="1220" w:top="280" w:right="339" w:bottom="1440" w:gutter="0" w:footer="0" w:header="0"/>
        </w:sectPr>
      </w:pPr>
    </w:p>
    <w:bookmarkStart w:id="61" w:name="page62"/>
    <w:bookmarkEnd w:id="61"/>
    <w:p>
      <w:pPr>
        <w:ind w:left="-220" w:right="280" w:firstLine="420"/>
        <w:spacing w:after="0" w:line="268" w:lineRule="auto"/>
        <w:tabs>
          <w:tab w:leader="none" w:pos="422"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extent the addition of a Collateral Loan causes the Weighted Average Coupon to fall below 8.00%, the portion of the Aggregate Collateral Balance attributable to all such Collateral Loans calculated pursuant to </w:t>
      </w:r>
      <w:r>
        <w:rPr>
          <w:rFonts w:ascii="Arial" w:cs="Arial" w:eastAsia="Arial" w:hAnsi="Arial"/>
          <w:sz w:val="18"/>
          <w:szCs w:val="18"/>
          <w:u w:val="single" w:color="auto"/>
          <w:color w:val="auto"/>
        </w:rPr>
        <w:t>Section 1.04(g)</w:t>
      </w:r>
      <w:r>
        <w:rPr>
          <w:rFonts w:ascii="Arial" w:cs="Arial" w:eastAsia="Arial" w:hAnsi="Arial"/>
          <w:sz w:val="18"/>
          <w:szCs w:val="18"/>
          <w:color w:val="auto"/>
        </w:rPr>
        <w:t xml:space="preserve"> hereof;</w:t>
      </w:r>
    </w:p>
    <w:p>
      <w:pPr>
        <w:spacing w:after="0" w:line="50" w:lineRule="exact"/>
        <w:rPr>
          <w:rFonts w:ascii="Arial" w:cs="Arial" w:eastAsia="Arial" w:hAnsi="Arial"/>
          <w:sz w:val="18"/>
          <w:szCs w:val="18"/>
          <w:color w:val="auto"/>
        </w:rPr>
      </w:pPr>
    </w:p>
    <w:p>
      <w:pPr>
        <w:ind w:left="-220" w:right="40" w:firstLine="420"/>
        <w:spacing w:after="0" w:line="268" w:lineRule="auto"/>
        <w:tabs>
          <w:tab w:leader="none" w:pos="403"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to the extent the addition of a Collateral Loan causes the Weighted Average Life to be greater than 6.0 years, the portion of the Aggregate Collateral Balance attributable to all such Collateral Loans calculated pursuant to </w:t>
      </w:r>
      <w:r>
        <w:rPr>
          <w:rFonts w:ascii="Arial" w:cs="Arial" w:eastAsia="Arial" w:hAnsi="Arial"/>
          <w:sz w:val="18"/>
          <w:szCs w:val="18"/>
          <w:u w:val="single" w:color="auto"/>
          <w:color w:val="auto"/>
        </w:rPr>
        <w:t>Section 1.04(g)</w:t>
      </w:r>
      <w:r>
        <w:rPr>
          <w:rFonts w:ascii="Arial" w:cs="Arial" w:eastAsia="Arial" w:hAnsi="Arial"/>
          <w:sz w:val="18"/>
          <w:szCs w:val="18"/>
          <w:color w:val="auto"/>
        </w:rPr>
        <w:t xml:space="preserve"> hereof;</w:t>
      </w:r>
    </w:p>
    <w:p>
      <w:pPr>
        <w:spacing w:after="0" w:line="50" w:lineRule="exact"/>
        <w:rPr>
          <w:rFonts w:ascii="Arial" w:cs="Arial" w:eastAsia="Arial" w:hAnsi="Arial"/>
          <w:sz w:val="18"/>
          <w:szCs w:val="18"/>
          <w:color w:val="auto"/>
        </w:rPr>
      </w:pPr>
    </w:p>
    <w:p>
      <w:pPr>
        <w:ind w:left="440" w:hanging="240"/>
        <w:spacing w:after="0"/>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 more than 15.0% consists of Collateral Loans that have an Obligor with a trailing twelve-month EBITDA of less than $15,000,000;</w:t>
      </w:r>
    </w:p>
    <w:p>
      <w:pPr>
        <w:spacing w:after="0" w:line="113" w:lineRule="exact"/>
        <w:rPr>
          <w:rFonts w:ascii="Arial" w:cs="Arial" w:eastAsia="Arial" w:hAnsi="Arial"/>
          <w:sz w:val="16"/>
          <w:szCs w:val="16"/>
          <w:color w:val="auto"/>
        </w:rPr>
      </w:pPr>
    </w:p>
    <w:p>
      <w:pPr>
        <w:ind w:left="-220" w:firstLine="420"/>
        <w:spacing w:after="0" w:line="290" w:lineRule="auto"/>
        <w:tabs>
          <w:tab w:leader="none" w:pos="442"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not more than 15.0% consists of Collateral Loans (other than Uni-Tranche Loans) that have an Obligor with a trailing twelve-month senior debt to EBITDA ratio of greater than 3.75x,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xml:space="preserve">, that with respect to any Collateral Loans (other than Uni-Tranche Loans) that have an Obligor with a trailing twelve-month EBITDA of less than $20,000,000, this Concentration Limitation will be measured based on and apply as a limitation to Collateral Loans (other than Uni-Tranche Loans) with a trailing twelve-month senior debt to EBITDA ratio of greater than 3.00x, and </w:t>
      </w:r>
      <w:r>
        <w:rPr>
          <w:rFonts w:ascii="Arial" w:cs="Arial" w:eastAsia="Arial" w:hAnsi="Arial"/>
          <w:sz w:val="16"/>
          <w:szCs w:val="16"/>
          <w:i w:val="1"/>
          <w:iCs w:val="1"/>
          <w:u w:val="single" w:color="auto"/>
          <w:color w:val="auto"/>
        </w:rPr>
        <w:t>provided, further,</w:t>
      </w:r>
      <w:r>
        <w:rPr>
          <w:rFonts w:ascii="Arial" w:cs="Arial" w:eastAsia="Arial" w:hAnsi="Arial"/>
          <w:sz w:val="16"/>
          <w:szCs w:val="16"/>
          <w:color w:val="auto"/>
        </w:rPr>
        <w:t xml:space="preserve"> that, notwithstanding the foregoing proviso, with respect to any Collateral Loans (other than Uni-Tranche Loans) that have an Obligor that is a Special Obligor, this Concentration Limitation will be measured based on and apply as a limitation to Collateral Loans (other than Uni-Tranche Loans) with a trailing twelve-month senior debt to EBITDA ratio of greater than 4.75x;</w:t>
      </w:r>
    </w:p>
    <w:p>
      <w:pPr>
        <w:spacing w:after="0" w:line="36" w:lineRule="exact"/>
        <w:rPr>
          <w:rFonts w:ascii="Arial" w:cs="Arial" w:eastAsia="Arial" w:hAnsi="Arial"/>
          <w:sz w:val="16"/>
          <w:szCs w:val="16"/>
          <w:color w:val="auto"/>
        </w:rPr>
      </w:pPr>
    </w:p>
    <w:p>
      <w:pPr>
        <w:ind w:left="-220" w:firstLine="420"/>
        <w:spacing w:after="0" w:line="291" w:lineRule="auto"/>
        <w:tabs>
          <w:tab w:leader="none" w:pos="481"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not more than 15.0% consists of Collateral Loans that have an Obligor with a trailing twelve-month total debt to EBITDA ratio of greater than 5.25x,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xml:space="preserve">, that with respect to any Collateral Loans that have an Obligor with a trailing twelve-month EBITDA of less than $20,000,000 this Concentration Limitation will be measured based on and apply as a limitation to Collateral Loans with a trailing twelve-month total debt to EBITDA ratio of greater than 4.00x, and </w:t>
      </w:r>
      <w:r>
        <w:rPr>
          <w:rFonts w:ascii="Arial" w:cs="Arial" w:eastAsia="Arial" w:hAnsi="Arial"/>
          <w:sz w:val="16"/>
          <w:szCs w:val="16"/>
          <w:i w:val="1"/>
          <w:iCs w:val="1"/>
          <w:u w:val="single" w:color="auto"/>
          <w:color w:val="auto"/>
        </w:rPr>
        <w:t>provided, further,</w:t>
      </w:r>
      <w:r>
        <w:rPr>
          <w:rFonts w:ascii="Arial" w:cs="Arial" w:eastAsia="Arial" w:hAnsi="Arial"/>
          <w:sz w:val="16"/>
          <w:szCs w:val="16"/>
          <w:color w:val="auto"/>
        </w:rPr>
        <w:t xml:space="preserve"> that, notwithstanding the foregoing proviso, with respect to any Collateral Loans that have an Obligor that is a Special Obligor, this Concentration Limitation will be measured based on and apply as a limitation to Collateral Loans with a trailing twelve-month total debt to EBITDA ratio of greater than 6.25x;</w:t>
      </w:r>
    </w:p>
    <w:p>
      <w:pPr>
        <w:spacing w:after="0" w:line="38" w:lineRule="exact"/>
        <w:rPr>
          <w:rFonts w:ascii="Arial" w:cs="Arial" w:eastAsia="Arial" w:hAnsi="Arial"/>
          <w:sz w:val="16"/>
          <w:szCs w:val="16"/>
          <w:color w:val="auto"/>
        </w:rPr>
      </w:pPr>
    </w:p>
    <w:p>
      <w:pPr>
        <w:ind w:left="-220" w:right="80" w:firstLine="420"/>
        <w:spacing w:after="0" w:line="290" w:lineRule="auto"/>
        <w:tabs>
          <w:tab w:leader="none" w:pos="442"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not more than 15.0% of the Collateral Loans which constitute Uni-Tranche Loans consists of Collateral Loans that have an Obligor with a trailing twelve-month total debt to EBITDA ratio of greater than 4.25x,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xml:space="preserve">, that with respect to any Collateral Loans that constitute Uni-Tranche Loans and that have an Obligor with a trailing twelve-month EBITDA of less than $20,000,000 this Concentration Limitation will be measured based on and apply as a limitation to Collateral Loans which constitute Uni-Tranche Loans that have a trailing twelve-month total debt to EBITDA ratio of greater than 3.50x, and </w:t>
      </w:r>
      <w:r>
        <w:rPr>
          <w:rFonts w:ascii="Arial" w:cs="Arial" w:eastAsia="Arial" w:hAnsi="Arial"/>
          <w:sz w:val="16"/>
          <w:szCs w:val="16"/>
          <w:i w:val="1"/>
          <w:iCs w:val="1"/>
          <w:u w:val="single" w:color="auto"/>
          <w:color w:val="auto"/>
        </w:rPr>
        <w:t>provided, further,</w:t>
      </w:r>
      <w:r>
        <w:rPr>
          <w:rFonts w:ascii="Arial" w:cs="Arial" w:eastAsia="Arial" w:hAnsi="Arial"/>
          <w:sz w:val="16"/>
          <w:szCs w:val="16"/>
          <w:color w:val="auto"/>
        </w:rPr>
        <w:t xml:space="preserve"> that, notwithstanding the foregoing proviso, with respect to any Collateral Loans that have an Obligor that is a Special Obligor, this Concentration Limitation will be measured based on and apply as a limitation to Collateral Loans with a trailing twelve-month total debt to EBITDA ratio of greater than 5.25x;</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100"/>
          </w:cols>
          <w:pgMar w:left="1440" w:top="280"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with respect to the calculations of the ratios set forth in the foregoing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clauses (u), (v), (w) and (x):</w:t>
      </w:r>
    </w:p>
    <w:p>
      <w:pPr>
        <w:spacing w:after="0" w:line="90" w:lineRule="exact"/>
        <w:rPr>
          <w:sz w:val="20"/>
          <w:szCs w:val="20"/>
          <w:color w:val="auto"/>
        </w:rPr>
      </w:pPr>
    </w:p>
    <w:p>
      <w:pPr>
        <w:ind w:left="1000" w:right="240" w:firstLine="399"/>
        <w:spacing w:after="0" w:line="298" w:lineRule="auto"/>
        <w:tabs>
          <w:tab w:leader="none" w:pos="16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case of an Obligor that has acquired a business (whether through an asset acquisition, a merger or otherwise), the trailing twelve-month debt to EBITDA ratio(s) shall be calculated based on the trailing twelve-month EBITDA figures for the consolidated business, after giving pro forma effect to the transactions resulting in such acquisition, plus the results of any portion of such trailing twelve-month period elapsing after the date of such acquisition;</w:t>
      </w:r>
    </w:p>
    <w:p>
      <w:pPr>
        <w:spacing w:after="0" w:line="31" w:lineRule="exact"/>
        <w:rPr>
          <w:rFonts w:ascii="Arial" w:cs="Arial" w:eastAsia="Arial" w:hAnsi="Arial"/>
          <w:sz w:val="16"/>
          <w:szCs w:val="16"/>
          <w:color w:val="auto"/>
        </w:rPr>
      </w:pPr>
    </w:p>
    <w:p>
      <w:pPr>
        <w:ind w:left="1000" w:right="180" w:firstLine="399"/>
        <w:spacing w:after="0" w:line="306" w:lineRule="auto"/>
        <w:tabs>
          <w:tab w:leader="none" w:pos="1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if an Obligor does not have trailing twelve-month EBITDA figures due to the fact that it has not been in existence for twelve months (and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is not applicable), then the trailing twelve-month debt to EBITDA ratio(s) shall be calculated based on any available trailing EBITDA figures and projected EBITDA for the remainder of the twelve-month period; and</w:t>
      </w:r>
    </w:p>
    <w:p>
      <w:pPr>
        <w:spacing w:after="0" w:line="25" w:lineRule="exact"/>
        <w:rPr>
          <w:rFonts w:ascii="Arial" w:cs="Arial" w:eastAsia="Arial" w:hAnsi="Arial"/>
          <w:sz w:val="16"/>
          <w:szCs w:val="16"/>
          <w:color w:val="auto"/>
        </w:rPr>
      </w:pPr>
    </w:p>
    <w:p>
      <w:pPr>
        <w:ind w:left="1000" w:right="60" w:firstLine="399"/>
        <w:spacing w:after="0" w:line="335" w:lineRule="auto"/>
        <w:tabs>
          <w:tab w:leader="none" w:pos="1698"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for any Collateral Loan, each such ratio shall be calculated in accordance with the corresponding ratio in the underlying Related Documents for such Collateral Loan,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that if any Collateral Loan does not have a corresponding ratio in the underlying Related Documents applicable to such Collateral Loan, such ratio shall not be calculated on a basis that takes into account any Unrestricted Cash.</w:t>
      </w:r>
    </w:p>
    <w:p>
      <w:pPr>
        <w:spacing w:after="0" w:line="7" w:lineRule="exact"/>
        <w:rPr>
          <w:sz w:val="20"/>
          <w:szCs w:val="20"/>
          <w:color w:val="auto"/>
        </w:rPr>
      </w:pPr>
    </w:p>
    <w:p>
      <w:pPr>
        <w:ind w:firstLine="431"/>
        <w:spacing w:after="0" w:line="290" w:lineRule="auto"/>
        <w:rPr>
          <w:sz w:val="20"/>
          <w:szCs w:val="20"/>
          <w:color w:val="auto"/>
        </w:rPr>
      </w:pPr>
      <w:r>
        <w:rPr>
          <w:rFonts w:ascii="Arial" w:cs="Arial" w:eastAsia="Arial" w:hAnsi="Arial"/>
          <w:sz w:val="16"/>
          <w:szCs w:val="16"/>
          <w:i w:val="1"/>
          <w:iCs w:val="1"/>
          <w:color w:val="auto"/>
        </w:rPr>
        <w:t xml:space="preserve">“Consolidated EBITDA” </w:t>
      </w:r>
      <w:r>
        <w:rPr>
          <w:rFonts w:ascii="Arial" w:cs="Arial" w:eastAsia="Arial" w:hAnsi="Arial"/>
          <w:sz w:val="16"/>
          <w:szCs w:val="16"/>
          <w:color w:val="auto"/>
        </w:rPr>
        <w:t>means, for any period, for the Collateral Manager and its subsidiaries on a consolidated basis, an amount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consolidated net income for such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(a) the following, to the extent deducted in calculating such consolidated net income: (i) consolidated interest charges for such period, (ii) the provision for federal, state, local and foreign income taxes payable by the Collateral Manager and its subsidiaries for such period, (iii) depreciation and amortization expense and (iv) other non-recurring expenses of the Collateral Manager and its subsidiaries reducing such consolidated net income which do not represent a cash item in such period or any future period and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following to the extent included in calculating such consolidated net income: (i) federal, state, local and foreign income tax credits of the Collateral Manager and its subsidiaries for such period and (ii) all non-cash items increasing consolidated net income for such period.</w:t>
      </w:r>
    </w:p>
    <w:p>
      <w:pPr>
        <w:spacing w:after="0" w:line="37" w:lineRule="exact"/>
        <w:rPr>
          <w:sz w:val="20"/>
          <w:szCs w:val="20"/>
          <w:color w:val="auto"/>
        </w:rPr>
      </w:pPr>
    </w:p>
    <w:p>
      <w:pPr>
        <w:ind w:firstLine="431"/>
        <w:spacing w:after="0" w:line="298" w:lineRule="auto"/>
        <w:rPr>
          <w:sz w:val="20"/>
          <w:szCs w:val="20"/>
          <w:color w:val="auto"/>
        </w:rPr>
      </w:pPr>
      <w:r>
        <w:rPr>
          <w:rFonts w:ascii="Arial" w:cs="Arial" w:eastAsia="Arial" w:hAnsi="Arial"/>
          <w:sz w:val="16"/>
          <w:szCs w:val="16"/>
          <w:i w:val="1"/>
          <w:iCs w:val="1"/>
          <w:color w:val="auto"/>
        </w:rPr>
        <w:t xml:space="preserve">“Consolidated Funded Indebtedness” </w:t>
      </w:r>
      <w:r>
        <w:rPr>
          <w:rFonts w:ascii="Arial" w:cs="Arial" w:eastAsia="Arial" w:hAnsi="Arial"/>
          <w:sz w:val="16"/>
          <w:szCs w:val="16"/>
          <w:color w:val="auto"/>
        </w:rPr>
        <w:t>means, as of any date of determination, for the Collateral Manager and its subsidiaries on a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basis, the sum of (a) the outstanding principal amount of all obligations, whether current or long-term, for borrowed money and all obligations evidenced by bonds, debentures, notes, loan agreements or other similar instruments, (b) all purchase money indebtedness, (c) all direct obligations arising under letters of credit (including standby and commercial), bankers’ acceptances, bank guaranties, surety bonds and</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60"/>
          </w:cols>
          <w:pgMar w:left="780" w:top="280" w:right="359" w:bottom="1440" w:gutter="0" w:footer="0" w:header="0"/>
        </w:sectPr>
      </w:pPr>
    </w:p>
    <w:bookmarkStart w:id="63" w:name="page64"/>
    <w:bookmarkEnd w:id="63"/>
    <w:p>
      <w:pPr>
        <w:ind w:left="3"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similar instruments, (d) all obligations in respect of the deferred purchase price of property or services (other than trade accounts payable in the ordinary course of business), (e) attributable indebtedness in respect of capital leases and synthetic lease obligations, (f) without duplication, all guarantees with respect to outstanding indebtedness of the types specified in </w:t>
      </w:r>
      <w:r>
        <w:rPr>
          <w:rFonts w:ascii="Arial" w:cs="Arial" w:eastAsia="Arial" w:hAnsi="Arial"/>
          <w:sz w:val="16"/>
          <w:szCs w:val="16"/>
          <w:u w:val="single" w:color="auto"/>
          <w:color w:val="auto"/>
        </w:rPr>
        <w:t>clauses (a) through (e)</w:t>
      </w:r>
      <w:r>
        <w:rPr>
          <w:rFonts w:ascii="Arial" w:cs="Arial" w:eastAsia="Arial" w:hAnsi="Arial"/>
          <w:sz w:val="16"/>
          <w:szCs w:val="16"/>
          <w:color w:val="auto"/>
        </w:rPr>
        <w:t xml:space="preserve"> above of persons other than the Collateral Manager or any subsidiary, and (g) all indebtedness of the types referred to in </w:t>
      </w:r>
      <w:r>
        <w:rPr>
          <w:rFonts w:ascii="Arial" w:cs="Arial" w:eastAsia="Arial" w:hAnsi="Arial"/>
          <w:sz w:val="16"/>
          <w:szCs w:val="16"/>
          <w:u w:val="single" w:color="auto"/>
          <w:color w:val="auto"/>
        </w:rPr>
        <w:t>clauses (a) through (f)</w:t>
      </w:r>
      <w:r>
        <w:rPr>
          <w:rFonts w:ascii="Arial" w:cs="Arial" w:eastAsia="Arial" w:hAnsi="Arial"/>
          <w:sz w:val="16"/>
          <w:szCs w:val="16"/>
          <w:color w:val="auto"/>
        </w:rPr>
        <w:t xml:space="preserve"> above of any partnership or joint venture (other than a joint venture that is itself a corporation or limited liability company) in which the Collateral Manager or a subsidiary is a general partner or joint venturer, unless such indebtedness is expressly made non-recourse to the Collateral Manager or such subsidiary.</w:t>
      </w:r>
    </w:p>
    <w:p>
      <w:pPr>
        <w:spacing w:after="0" w:line="39" w:lineRule="exact"/>
        <w:rPr>
          <w:sz w:val="20"/>
          <w:szCs w:val="20"/>
          <w:color w:val="auto"/>
        </w:rPr>
      </w:pPr>
    </w:p>
    <w:p>
      <w:pPr>
        <w:ind w:left="3" w:right="480" w:firstLine="431"/>
        <w:spacing w:after="0" w:line="268" w:lineRule="auto"/>
        <w:rPr>
          <w:sz w:val="20"/>
          <w:szCs w:val="20"/>
          <w:color w:val="auto"/>
        </w:rPr>
      </w:pPr>
      <w:r>
        <w:rPr>
          <w:rFonts w:ascii="Arial" w:cs="Arial" w:eastAsia="Arial" w:hAnsi="Arial"/>
          <w:sz w:val="18"/>
          <w:szCs w:val="18"/>
          <w:i w:val="1"/>
          <w:iCs w:val="1"/>
          <w:color w:val="auto"/>
        </w:rPr>
        <w:t xml:space="preserve">“Consolidated Leverage Ratio” </w:t>
      </w:r>
      <w:r>
        <w:rPr>
          <w:rFonts w:ascii="Arial" w:cs="Arial" w:eastAsia="Arial" w:hAnsi="Arial"/>
          <w:sz w:val="18"/>
          <w:szCs w:val="18"/>
          <w:color w:val="auto"/>
        </w:rPr>
        <w:t>means, as of any date of determination, the ratio of (a) Consolidated Funded Indebtedness as of such date</w:t>
      </w:r>
      <w:r>
        <w:rPr>
          <w:rFonts w:ascii="Arial" w:cs="Arial" w:eastAsia="Arial" w:hAnsi="Arial"/>
          <w:sz w:val="18"/>
          <w:szCs w:val="18"/>
          <w:i w:val="1"/>
          <w:iCs w:val="1"/>
          <w:color w:val="auto"/>
        </w:rPr>
        <w:t xml:space="preserve"> to </w:t>
      </w:r>
      <w:r>
        <w:rPr>
          <w:rFonts w:ascii="Arial" w:cs="Arial" w:eastAsia="Arial" w:hAnsi="Arial"/>
          <w:sz w:val="18"/>
          <w:szCs w:val="18"/>
          <w:color w:val="auto"/>
        </w:rPr>
        <w:t>(b) Consolidated EBITDA for the period of the four fiscal quarters most recently ended.</w:t>
      </w:r>
    </w:p>
    <w:p>
      <w:pPr>
        <w:spacing w:after="0" w:line="51" w:lineRule="exact"/>
        <w:rPr>
          <w:sz w:val="20"/>
          <w:szCs w:val="20"/>
          <w:color w:val="auto"/>
        </w:rPr>
      </w:pPr>
    </w:p>
    <w:p>
      <w:pPr>
        <w:ind w:left="3" w:right="280" w:firstLine="431"/>
        <w:spacing w:after="0" w:line="294" w:lineRule="auto"/>
        <w:rPr>
          <w:sz w:val="20"/>
          <w:szCs w:val="20"/>
          <w:color w:val="auto"/>
        </w:rPr>
      </w:pPr>
      <w:r>
        <w:rPr>
          <w:rFonts w:ascii="Arial" w:cs="Arial" w:eastAsia="Arial" w:hAnsi="Arial"/>
          <w:sz w:val="16"/>
          <w:szCs w:val="16"/>
          <w:i w:val="1"/>
          <w:iCs w:val="1"/>
          <w:color w:val="auto"/>
        </w:rPr>
        <w:t xml:space="preserve">“Constituent Documents” </w:t>
      </w:r>
      <w:r>
        <w:rPr>
          <w:rFonts w:ascii="Arial" w:cs="Arial" w:eastAsia="Arial" w:hAnsi="Arial"/>
          <w:sz w:val="16"/>
          <w:szCs w:val="16"/>
          <w:color w:val="auto"/>
        </w:rPr>
        <w:t>means in respect of any Person, the certificate or articles of formation or organization, the limited liability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operating agreement, partnership agreement, joint venture agreement or other applicable agreement of formation or organization (or equivalent or comparable constituent documents) and other 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34" w:lineRule="exact"/>
        <w:rPr>
          <w:sz w:val="20"/>
          <w:szCs w:val="20"/>
          <w:color w:val="auto"/>
        </w:rPr>
      </w:pPr>
    </w:p>
    <w:p>
      <w:pPr>
        <w:ind w:left="3" w:right="100" w:firstLine="431"/>
        <w:spacing w:after="0" w:line="356" w:lineRule="auto"/>
        <w:rPr>
          <w:sz w:val="20"/>
          <w:szCs w:val="20"/>
          <w:color w:val="auto"/>
        </w:rPr>
      </w:pPr>
      <w:r>
        <w:rPr>
          <w:rFonts w:ascii="Arial" w:cs="Arial" w:eastAsia="Arial" w:hAnsi="Arial"/>
          <w:sz w:val="15"/>
          <w:szCs w:val="15"/>
          <w:i w:val="1"/>
          <w:iCs w:val="1"/>
          <w:color w:val="auto"/>
        </w:rPr>
        <w:t xml:space="preserve">“Control” </w:t>
      </w:r>
      <w:r>
        <w:rPr>
          <w:rFonts w:ascii="Arial" w:cs="Arial" w:eastAsia="Arial" w:hAnsi="Arial"/>
          <w:sz w:val="15"/>
          <w:szCs w:val="15"/>
          <w:color w:val="auto"/>
        </w:rPr>
        <w:t>means the direct or indirect possession of the power to direct or cause the direction of the management or policies of a Person, whether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through ownership, by contract, arrangement or understanding, or otherwise. </w:t>
      </w:r>
      <w:r>
        <w:rPr>
          <w:rFonts w:ascii="Arial" w:cs="Arial" w:eastAsia="Arial" w:hAnsi="Arial"/>
          <w:sz w:val="15"/>
          <w:szCs w:val="15"/>
          <w:i w:val="1"/>
          <w:iCs w:val="1"/>
          <w:color w:val="auto"/>
        </w:rPr>
        <w:t>“Controlled”</w:t>
      </w:r>
      <w:r>
        <w:rPr>
          <w:rFonts w:ascii="Arial" w:cs="Arial" w:eastAsia="Arial" w:hAnsi="Arial"/>
          <w:sz w:val="15"/>
          <w:szCs w:val="15"/>
          <w:color w:val="auto"/>
        </w:rPr>
        <w:t xml:space="preserve"> and </w:t>
      </w:r>
      <w:r>
        <w:rPr>
          <w:rFonts w:ascii="Arial" w:cs="Arial" w:eastAsia="Arial" w:hAnsi="Arial"/>
          <w:sz w:val="15"/>
          <w:szCs w:val="15"/>
          <w:i w:val="1"/>
          <w:iCs w:val="1"/>
          <w:color w:val="auto"/>
        </w:rPr>
        <w:t>“Controlling”</w:t>
      </w:r>
      <w:r>
        <w:rPr>
          <w:rFonts w:ascii="Arial" w:cs="Arial" w:eastAsia="Arial" w:hAnsi="Arial"/>
          <w:sz w:val="15"/>
          <w:szCs w:val="15"/>
          <w:color w:val="auto"/>
        </w:rPr>
        <w:t xml:space="preserve"> have the meaning correlative thereto.</w:t>
      </w:r>
    </w:p>
    <w:p>
      <w:pPr>
        <w:spacing w:after="0" w:line="1" w:lineRule="exact"/>
        <w:rPr>
          <w:sz w:val="20"/>
          <w:szCs w:val="20"/>
          <w:color w:val="auto"/>
        </w:rPr>
      </w:pPr>
    </w:p>
    <w:p>
      <w:pPr>
        <w:jc w:val="both"/>
        <w:ind w:left="3" w:right="80" w:firstLine="431"/>
        <w:spacing w:after="0" w:line="259" w:lineRule="auto"/>
        <w:rPr>
          <w:sz w:val="20"/>
          <w:szCs w:val="20"/>
          <w:color w:val="auto"/>
        </w:rPr>
      </w:pPr>
      <w:r>
        <w:rPr>
          <w:rFonts w:ascii="Arial" w:cs="Arial" w:eastAsia="Arial" w:hAnsi="Arial"/>
          <w:sz w:val="18"/>
          <w:szCs w:val="18"/>
          <w:i w:val="1"/>
          <w:iCs w:val="1"/>
          <w:color w:val="auto"/>
        </w:rPr>
        <w:t xml:space="preserve">“Corporate Trust Office” </w:t>
      </w:r>
      <w:r>
        <w:rPr>
          <w:rFonts w:ascii="Arial" w:cs="Arial" w:eastAsia="Arial" w:hAnsi="Arial"/>
          <w:sz w:val="18"/>
          <w:szCs w:val="18"/>
          <w:color w:val="auto"/>
        </w:rPr>
        <w:t>means the applicable designated corporate trust office of the Collateral Agent and the Collateral Administrator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hereto or such other address within the United States as the Collateral Agent and the Collateral Administrator may designate from time to time by notice to the Administrative Agent.</w:t>
      </w:r>
    </w:p>
    <w:p>
      <w:pPr>
        <w:spacing w:after="0" w:line="59" w:lineRule="exact"/>
        <w:rPr>
          <w:sz w:val="20"/>
          <w:szCs w:val="20"/>
          <w:color w:val="auto"/>
        </w:rPr>
      </w:pPr>
    </w:p>
    <w:p>
      <w:pPr>
        <w:ind w:left="3" w:right="200" w:firstLine="431"/>
        <w:spacing w:after="0" w:line="283" w:lineRule="auto"/>
        <w:rPr>
          <w:sz w:val="20"/>
          <w:szCs w:val="20"/>
          <w:color w:val="auto"/>
        </w:rPr>
      </w:pPr>
      <w:r>
        <w:rPr>
          <w:rFonts w:ascii="Arial" w:cs="Arial" w:eastAsia="Arial" w:hAnsi="Arial"/>
          <w:sz w:val="16"/>
          <w:szCs w:val="16"/>
          <w:i w:val="1"/>
          <w:iCs w:val="1"/>
          <w:color w:val="auto"/>
        </w:rPr>
        <w:t xml:space="preserve">“Covenant Lite Loan” </w:t>
      </w:r>
      <w:r>
        <w:rPr>
          <w:rFonts w:ascii="Arial" w:cs="Arial" w:eastAsia="Arial" w:hAnsi="Arial"/>
          <w:sz w:val="16"/>
          <w:szCs w:val="16"/>
          <w:color w:val="auto"/>
        </w:rPr>
        <w:t>means a Collateral Loan that either (i) does not require the Obligor to comply with at least one of the following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covenants during each reporting period applicable to such Collateral Loan, whether or not any action by, or event relating to, the Obligor has occurred: maximum leverage, maximum senior leverage, minimum fixed charge coverage, minimum tangible net worth, minimum net worth, minimum debt service coverage, minimum interest coverage, maximum capital expenditures, minimum EBITDA, or other customary financial covenants, or</w:t>
      </w:r>
    </w:p>
    <w:p>
      <w:pPr>
        <w:spacing w:after="0" w:line="3" w:lineRule="exact"/>
        <w:rPr>
          <w:sz w:val="20"/>
          <w:szCs w:val="20"/>
          <w:color w:val="auto"/>
        </w:rPr>
      </w:pPr>
    </w:p>
    <w:p>
      <w:pPr>
        <w:ind w:left="3" w:hanging="3"/>
        <w:spacing w:after="0" w:line="253" w:lineRule="auto"/>
        <w:tabs>
          <w:tab w:leader="none" w:pos="2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does not require the Obligor to comply with at least two of the following financial covenants during each reporting period applicable to such Collateral Loan, whether or not any action by, or event relating to, the Obligor has occurred: maximum leverage, maximum senior leverage, minimum fixed charge coverage, minimum tangible net worth, minimum net worth, minimum debt service coverage, minimum interest coverage, maximum capital expenditures, minimum EBITDA, or other customary financial covenants, and (B) has an outstanding principal balance of (and unfunded commitments in respect of) less than $500,000,000.</w:t>
      </w:r>
    </w:p>
    <w:p>
      <w:pPr>
        <w:spacing w:after="0" w:line="131"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83"/>
          </w:cols>
          <w:pgMar w:left="777" w:top="280" w:right="339" w:bottom="1440" w:gutter="0" w:footer="0" w:header="0"/>
        </w:sectPr>
      </w:pPr>
    </w:p>
    <w:bookmarkStart w:id="64" w:name="page65"/>
    <w:bookmarkEnd w:id="64"/>
    <w:p>
      <w:pPr>
        <w:ind w:left="4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“Coverage Test” </w:t>
      </w:r>
      <w:r>
        <w:rPr>
          <w:rFonts w:ascii="Arial" w:cs="Arial" w:eastAsia="Arial" w:hAnsi="Arial"/>
          <w:sz w:val="18"/>
          <w:szCs w:val="18"/>
          <w:color w:val="auto"/>
        </w:rPr>
        <w:t>means each of (i) the Maximum Advance Rate Test and (ii) the Interest Coverage Ratio Test.</w:t>
      </w:r>
    </w:p>
    <w:p>
      <w:pPr>
        <w:spacing w:after="0" w:line="90" w:lineRule="exact"/>
        <w:rPr>
          <w:sz w:val="20"/>
          <w:szCs w:val="20"/>
          <w:color w:val="auto"/>
        </w:rPr>
      </w:pPr>
    </w:p>
    <w:p>
      <w:pPr>
        <w:ind w:right="360" w:firstLine="431"/>
        <w:spacing w:after="0" w:line="268" w:lineRule="auto"/>
        <w:rPr>
          <w:sz w:val="20"/>
          <w:szCs w:val="20"/>
          <w:color w:val="auto"/>
        </w:rPr>
      </w:pPr>
      <w:r>
        <w:rPr>
          <w:rFonts w:ascii="Arial" w:cs="Arial" w:eastAsia="Arial" w:hAnsi="Arial"/>
          <w:sz w:val="18"/>
          <w:szCs w:val="18"/>
          <w:i w:val="1"/>
          <w:iCs w:val="1"/>
          <w:color w:val="auto"/>
        </w:rPr>
        <w:t xml:space="preserve">“Covered Account” </w:t>
      </w:r>
      <w:r>
        <w:rPr>
          <w:rFonts w:ascii="Arial" w:cs="Arial" w:eastAsia="Arial" w:hAnsi="Arial"/>
          <w:sz w:val="18"/>
          <w:szCs w:val="18"/>
          <w:color w:val="auto"/>
        </w:rPr>
        <w:t>means each of the Collection Account (including the Interest Collection Subaccount and Principal Collection Subaccount</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the Payment Account, the Revolving Reserve Account and the Custodial Account.</w:t>
      </w:r>
    </w:p>
    <w:p>
      <w:pPr>
        <w:spacing w:after="0" w:line="51" w:lineRule="exact"/>
        <w:rPr>
          <w:sz w:val="20"/>
          <w:szCs w:val="20"/>
          <w:color w:val="auto"/>
        </w:rPr>
      </w:pPr>
    </w:p>
    <w:p>
      <w:pPr>
        <w:ind w:right="140" w:firstLine="431"/>
        <w:spacing w:after="0" w:line="268" w:lineRule="auto"/>
        <w:rPr>
          <w:sz w:val="20"/>
          <w:szCs w:val="20"/>
          <w:color w:val="auto"/>
        </w:rPr>
      </w:pPr>
      <w:r>
        <w:rPr>
          <w:rFonts w:ascii="Arial" w:cs="Arial" w:eastAsia="Arial" w:hAnsi="Arial"/>
          <w:sz w:val="18"/>
          <w:szCs w:val="18"/>
          <w:i w:val="1"/>
          <w:iCs w:val="1"/>
          <w:color w:val="auto"/>
        </w:rPr>
        <w:t xml:space="preserve">“CP Conduit” </w:t>
      </w:r>
      <w:r>
        <w:rPr>
          <w:rFonts w:ascii="Arial" w:cs="Arial" w:eastAsia="Arial" w:hAnsi="Arial"/>
          <w:sz w:val="18"/>
          <w:szCs w:val="18"/>
          <w:color w:val="auto"/>
        </w:rPr>
        <w:t>means any multi-seller asset-backed commercial paper conduit established to use the direct or indirect proceeds of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notes to finance financial assets and that is a Lender.</w:t>
      </w:r>
    </w:p>
    <w:p>
      <w:pPr>
        <w:spacing w:after="0" w:line="51" w:lineRule="exact"/>
        <w:rPr>
          <w:sz w:val="20"/>
          <w:szCs w:val="20"/>
          <w:color w:val="auto"/>
        </w:rPr>
      </w:pPr>
    </w:p>
    <w:p>
      <w:pPr>
        <w:ind w:firstLine="431"/>
        <w:spacing w:after="0" w:line="285" w:lineRule="auto"/>
        <w:rPr>
          <w:sz w:val="20"/>
          <w:szCs w:val="20"/>
          <w:color w:val="auto"/>
        </w:rPr>
      </w:pPr>
      <w:r>
        <w:rPr>
          <w:rFonts w:ascii="Arial" w:cs="Arial" w:eastAsia="Arial" w:hAnsi="Arial"/>
          <w:sz w:val="16"/>
          <w:szCs w:val="16"/>
          <w:i w:val="1"/>
          <w:iCs w:val="1"/>
          <w:color w:val="auto"/>
        </w:rPr>
        <w:t xml:space="preserve">“CP Rate” </w:t>
      </w:r>
      <w:r>
        <w:rPr>
          <w:rFonts w:ascii="Arial" w:cs="Arial" w:eastAsia="Arial" w:hAnsi="Arial"/>
          <w:sz w:val="16"/>
          <w:szCs w:val="16"/>
          <w:color w:val="auto"/>
        </w:rPr>
        <w:t>means, with respect to any CP Conduit for any day during any Interest Accrual Period, the per annum rate equivalent to (a) the rate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(expressed as a percentage and an interest yield equivalent and calculated on the basis of a 360-day year) or, if more than one rate, the weighted average thereof, paid or payable by such CP Conduit from time to time as interest on or otherwise in respect of the commercial paper notes issued by such CP Conduit that are allocated, in whole or in part, by such CP Conduit’s agent to fund the purchase or maintenance of the Advances outstanding made by such CP Conduit (and which may also, in the case of a pool-funded conduit CP Conduit, be allocated in part to the funding of other assets of such CP Conduit and which commercial paper notes need not mature on the last day of any Interest Accrual Period) during such Interest Accrual Period as determined by such CP Conduit’s agent, which rates shall reflect and give effect to (i) certain documentation and transaction costs (including, without limitation, dealer and placement agent commissions, and incremental carrying costs incurred with respect to commercial paper notes maturing on dates other than those on which corresponding funds are received by such CP Conduit) associated with the issuance of the CP Conduit’s commercial paper notes, and (ii) other borrowings by such CP Conduit, including borrowings to fund small or odd dollar amounts that are not easily accommodated in the commercial paper market, to the extent such amounts are allocated, in whole or in part, by the CP Conduit’s agent to fund such CP Conduit’s purchase or maintenance of the Advances outstanding made by such CP Conduit during such Interest Accrual Period;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if any component of such rate is a discount rate, in calculating the applicable “CP Rate” for such day, such CP Conduit’s agent shall for such component use the rate resulting from converting such discount rate to an interest bearing equivalent rate </w:t>
      </w:r>
      <w:r>
        <w:rPr>
          <w:rFonts w:ascii="Arial" w:cs="Arial" w:eastAsia="Arial" w:hAnsi="Arial"/>
          <w:sz w:val="16"/>
          <w:szCs w:val="16"/>
          <w:i w:val="1"/>
          <w:iCs w:val="1"/>
          <w:color w:val="auto"/>
        </w:rPr>
        <w:t>per annum</w:t>
      </w:r>
      <w:r>
        <w:rPr>
          <w:rFonts w:ascii="Arial" w:cs="Arial" w:eastAsia="Arial" w:hAnsi="Arial"/>
          <w:sz w:val="16"/>
          <w:szCs w:val="16"/>
          <w:color w:val="auto"/>
        </w:rPr>
        <w:t>.</w:t>
      </w:r>
    </w:p>
    <w:p>
      <w:pPr>
        <w:spacing w:after="0" w:line="46" w:lineRule="exact"/>
        <w:rPr>
          <w:sz w:val="20"/>
          <w:szCs w:val="20"/>
          <w:color w:val="auto"/>
        </w:rPr>
      </w:pPr>
    </w:p>
    <w:p>
      <w:pPr>
        <w:ind w:right="140" w:firstLine="431"/>
        <w:spacing w:after="0" w:line="268" w:lineRule="auto"/>
        <w:rPr>
          <w:sz w:val="20"/>
          <w:szCs w:val="20"/>
          <w:color w:val="auto"/>
        </w:rPr>
      </w:pPr>
      <w:r>
        <w:rPr>
          <w:rFonts w:ascii="Arial" w:cs="Arial" w:eastAsia="Arial" w:hAnsi="Arial"/>
          <w:sz w:val="18"/>
          <w:szCs w:val="18"/>
          <w:i w:val="1"/>
          <w:iCs w:val="1"/>
          <w:color w:val="auto"/>
        </w:rPr>
        <w:t xml:space="preserve">“Credit and Collection Policies” </w:t>
      </w:r>
      <w:r>
        <w:rPr>
          <w:rFonts w:ascii="Arial" w:cs="Arial" w:eastAsia="Arial" w:hAnsi="Arial"/>
          <w:sz w:val="18"/>
          <w:szCs w:val="18"/>
          <w:color w:val="auto"/>
        </w:rPr>
        <w:t>means the PennantPark Floating Rate Ltd Policies and Procedures dated as of May 9, 2011, as amended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terms hereof.</w:t>
      </w:r>
    </w:p>
    <w:p>
      <w:pPr>
        <w:spacing w:after="0" w:line="51" w:lineRule="exact"/>
        <w:rPr>
          <w:sz w:val="20"/>
          <w:szCs w:val="20"/>
          <w:color w:val="auto"/>
        </w:rPr>
      </w:pPr>
    </w:p>
    <w:p>
      <w:pPr>
        <w:ind w:right="180" w:firstLine="431"/>
        <w:spacing w:after="0" w:line="298" w:lineRule="auto"/>
        <w:rPr>
          <w:sz w:val="20"/>
          <w:szCs w:val="20"/>
          <w:color w:val="auto"/>
        </w:rPr>
      </w:pPr>
      <w:r>
        <w:rPr>
          <w:rFonts w:ascii="Arial" w:cs="Arial" w:eastAsia="Arial" w:hAnsi="Arial"/>
          <w:sz w:val="16"/>
          <w:szCs w:val="16"/>
          <w:i w:val="1"/>
          <w:iCs w:val="1"/>
          <w:color w:val="auto"/>
        </w:rPr>
        <w:t xml:space="preserve">“Credit Risk Collateral Loan” </w:t>
      </w:r>
      <w:r>
        <w:rPr>
          <w:rFonts w:ascii="Arial" w:cs="Arial" w:eastAsia="Arial" w:hAnsi="Arial"/>
          <w:sz w:val="16"/>
          <w:szCs w:val="16"/>
          <w:color w:val="auto"/>
        </w:rPr>
        <w:t>means any Collateral Loan that in the Collateral Manager’s commercially reasonable business judgment (i) has a</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risk of declining in credit quality and, with a lapse of time, becoming a Defaulted Collateral Loan, and (ii) as a result of one or more factors including but not limited to credit quality, has a significant risk of declining in market price (but not including any such decline experienced by the market generally as a result of interest rate movement, general economic conditions or similar factors.</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60"/>
          </w:cols>
          <w:pgMar w:left="780" w:top="280" w:right="359" w:bottom="1440" w:gutter="0" w:footer="0" w:header="0"/>
        </w:sectPr>
      </w:pPr>
    </w:p>
    <w:bookmarkStart w:id="65" w:name="page66"/>
    <w:bookmarkEnd w:id="65"/>
    <w:p>
      <w:pPr>
        <w:ind w:left="4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“Current Pay Obligation” </w:t>
      </w:r>
      <w:r>
        <w:rPr>
          <w:rFonts w:ascii="Arial" w:cs="Arial" w:eastAsia="Arial" w:hAnsi="Arial"/>
          <w:sz w:val="18"/>
          <w:szCs w:val="18"/>
          <w:color w:val="auto"/>
        </w:rPr>
        <w:t>means any Collateral Loan that would otherwise be a Defaulted Collateral Loan but as to which:</w:t>
      </w:r>
    </w:p>
    <w:p>
      <w:pPr>
        <w:spacing w:after="0" w:line="90" w:lineRule="exact"/>
        <w:rPr>
          <w:sz w:val="20"/>
          <w:szCs w:val="20"/>
          <w:color w:val="auto"/>
        </w:rPr>
      </w:pPr>
    </w:p>
    <w:p>
      <w:pPr>
        <w:ind w:left="440" w:right="420" w:firstLine="420"/>
        <w:spacing w:after="0" w:line="256" w:lineRule="auto"/>
        <w:tabs>
          <w:tab w:leader="none" w:pos="10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default has occurred and is continuing with respect to the payment of interest and any contractual principal (if any) and the most recent interest and contractual principal payment due (if any) was paid in cash, and the Collateral Manager reasonably expects that the next interest payment due will be paid in cash on the scheduled payment date (which judgment shall not be called into question as a result of subsequent events); and</w:t>
      </w:r>
    </w:p>
    <w:p>
      <w:pPr>
        <w:spacing w:after="0" w:line="61" w:lineRule="exact"/>
        <w:rPr>
          <w:rFonts w:ascii="Arial" w:cs="Arial" w:eastAsia="Arial" w:hAnsi="Arial"/>
          <w:sz w:val="18"/>
          <w:szCs w:val="18"/>
          <w:color w:val="auto"/>
        </w:rPr>
      </w:pPr>
    </w:p>
    <w:p>
      <w:pPr>
        <w:ind w:left="440" w:right="140" w:firstLine="420"/>
        <w:spacing w:after="0" w:line="259" w:lineRule="auto"/>
        <w:tabs>
          <w:tab w:leader="none" w:pos="11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Obligor of such Collateral Loan is subject to a bankruptcy proceeding and if the related bankruptcy court has authorized any payments due and payable on such Collateral Loan, all interest payments and scheduled distributions of principal authorized by such bankruptcy court have been paid by such Obligor of such Collateral Loan.</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“Custodial Account” </w:t>
      </w:r>
      <w:r>
        <w:rPr>
          <w:rFonts w:ascii="Arial" w:cs="Arial" w:eastAsia="Arial" w:hAnsi="Arial"/>
          <w:sz w:val="18"/>
          <w:szCs w:val="18"/>
          <w:color w:val="auto"/>
        </w:rPr>
        <w:t>means the custodial account established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8.03(b)</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“Custodian” </w:t>
      </w:r>
      <w:r>
        <w:rPr>
          <w:rFonts w:ascii="Arial" w:cs="Arial" w:eastAsia="Arial" w:hAnsi="Arial"/>
          <w:sz w:val="16"/>
          <w:szCs w:val="16"/>
          <w:color w:val="auto"/>
        </w:rPr>
        <w:t>means U.S. Bank National Association, a national banking association, and any successor thereto appointed under this Agreement.</w:t>
      </w:r>
    </w:p>
    <w:p>
      <w:pPr>
        <w:spacing w:after="0" w:line="113" w:lineRule="exact"/>
        <w:rPr>
          <w:sz w:val="20"/>
          <w:szCs w:val="20"/>
          <w:color w:val="auto"/>
        </w:rPr>
      </w:pPr>
    </w:p>
    <w:p>
      <w:pPr>
        <w:ind w:right="680" w:firstLine="431"/>
        <w:spacing w:after="0" w:line="268" w:lineRule="auto"/>
        <w:rPr>
          <w:sz w:val="20"/>
          <w:szCs w:val="20"/>
          <w:color w:val="auto"/>
        </w:rPr>
      </w:pPr>
      <w:r>
        <w:rPr>
          <w:rFonts w:ascii="Arial" w:cs="Arial" w:eastAsia="Arial" w:hAnsi="Arial"/>
          <w:sz w:val="18"/>
          <w:szCs w:val="18"/>
          <w:i w:val="1"/>
          <w:iCs w:val="1"/>
          <w:color w:val="auto"/>
        </w:rPr>
        <w:t xml:space="preserve">“Custodian Fee Letter” </w:t>
      </w:r>
      <w:r>
        <w:rPr>
          <w:rFonts w:ascii="Arial" w:cs="Arial" w:eastAsia="Arial" w:hAnsi="Arial"/>
          <w:sz w:val="18"/>
          <w:szCs w:val="18"/>
          <w:color w:val="auto"/>
        </w:rPr>
        <w:t>means the Collateral Agent Fee Letter setting forth the fees payable by the Borrower to, among other parties,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Custodian in connection with the transactions contemplated by this Agreement.</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“Custodian Termination Notice” </w:t>
      </w:r>
      <w:r>
        <w:rPr>
          <w:rFonts w:ascii="Arial" w:cs="Arial" w:eastAsia="Arial" w:hAnsi="Arial"/>
          <w:sz w:val="18"/>
          <w:szCs w:val="18"/>
          <w:color w:val="auto"/>
        </w:rPr>
        <w:t>is defined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14.05</w:t>
      </w:r>
      <w:r>
        <w:rPr>
          <w:rFonts w:ascii="Arial" w:cs="Arial" w:eastAsia="Arial" w:hAnsi="Arial"/>
          <w:sz w:val="18"/>
          <w:szCs w:val="18"/>
          <w:i w:val="1"/>
          <w:iCs w:val="1"/>
          <w:color w:val="auto"/>
        </w:rPr>
        <w:t xml:space="preserve"> </w:t>
      </w:r>
      <w:r>
        <w:rPr>
          <w:rFonts w:ascii="Arial" w:cs="Arial" w:eastAsia="Arial" w:hAnsi="Arial"/>
          <w:sz w:val="18"/>
          <w:szCs w:val="18"/>
          <w:color w:val="auto"/>
        </w:rPr>
        <w:t>hereof.</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“Data File</w:t>
      </w:r>
      <w:r>
        <w:rPr>
          <w:rFonts w:ascii="Arial" w:cs="Arial" w:eastAsia="Arial" w:hAnsi="Arial"/>
          <w:sz w:val="18"/>
          <w:szCs w:val="18"/>
          <w:color w:val="auto"/>
        </w:rPr>
        <w:t>” 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which, with the passage of time, the giving of notice, or both, would constitute an Event of Default.</w:t>
      </w:r>
    </w:p>
    <w:p>
      <w:pPr>
        <w:spacing w:after="0" w:line="90" w:lineRule="exact"/>
        <w:rPr>
          <w:sz w:val="20"/>
          <w:szCs w:val="20"/>
          <w:color w:val="auto"/>
        </w:rPr>
      </w:pPr>
    </w:p>
    <w:p>
      <w:pPr>
        <w:ind w:firstLine="431"/>
        <w:spacing w:after="0" w:line="306" w:lineRule="auto"/>
        <w:rPr>
          <w:sz w:val="20"/>
          <w:szCs w:val="20"/>
          <w:color w:val="auto"/>
        </w:rPr>
      </w:pPr>
      <w:r>
        <w:rPr>
          <w:rFonts w:ascii="Arial" w:cs="Arial" w:eastAsia="Arial" w:hAnsi="Arial"/>
          <w:sz w:val="16"/>
          <w:szCs w:val="16"/>
          <w:i w:val="1"/>
          <w:iCs w:val="1"/>
          <w:color w:val="auto"/>
        </w:rPr>
        <w:t xml:space="preserve">“Default Ratio” </w:t>
      </w:r>
      <w:r>
        <w:rPr>
          <w:rFonts w:ascii="Arial" w:cs="Arial" w:eastAsia="Arial" w:hAnsi="Arial"/>
          <w:sz w:val="16"/>
          <w:szCs w:val="16"/>
          <w:color w:val="auto"/>
        </w:rPr>
        <w:t>means, on any date of determination, the annualized ratio (expressed as a percentage) equal to (a) the product of (i) the sum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Defaulted Balances of all Collateral Loans that became Defaulted Collateral Loans during the previous twelve (12) calendar months,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weighted average Aggregate Principal Balance of all Collateral Loans during the previous twelve (12) calendar months.</w:t>
      </w:r>
    </w:p>
    <w:p>
      <w:pPr>
        <w:spacing w:after="0" w:line="25" w:lineRule="exact"/>
        <w:rPr>
          <w:sz w:val="20"/>
          <w:szCs w:val="20"/>
          <w:color w:val="auto"/>
        </w:rPr>
      </w:pPr>
    </w:p>
    <w:p>
      <w:pPr>
        <w:ind w:right="40" w:firstLine="431"/>
        <w:spacing w:after="0" w:line="268" w:lineRule="auto"/>
        <w:rPr>
          <w:sz w:val="20"/>
          <w:szCs w:val="20"/>
          <w:color w:val="auto"/>
        </w:rPr>
      </w:pPr>
      <w:r>
        <w:rPr>
          <w:rFonts w:ascii="Arial" w:cs="Arial" w:eastAsia="Arial" w:hAnsi="Arial"/>
          <w:sz w:val="18"/>
          <w:szCs w:val="18"/>
          <w:i w:val="1"/>
          <w:iCs w:val="1"/>
          <w:color w:val="auto"/>
        </w:rPr>
        <w:t xml:space="preserve">“Defaulted Balance” </w:t>
      </w:r>
      <w:r>
        <w:rPr>
          <w:rFonts w:ascii="Arial" w:cs="Arial" w:eastAsia="Arial" w:hAnsi="Arial"/>
          <w:sz w:val="18"/>
          <w:szCs w:val="18"/>
          <w:color w:val="auto"/>
        </w:rPr>
        <w:t>means, with respect to any Defaulted Collateral Loan, (i) the Principal Balance of such Defaulted Collateral Loan</w:t>
      </w:r>
      <w:r>
        <w:rPr>
          <w:rFonts w:ascii="Arial" w:cs="Arial" w:eastAsia="Arial" w:hAnsi="Arial"/>
          <w:sz w:val="18"/>
          <w:szCs w:val="18"/>
          <w:i w:val="1"/>
          <w:iCs w:val="1"/>
          <w:color w:val="auto"/>
        </w:rPr>
        <w:t xml:space="preserve"> multiplied by </w:t>
      </w:r>
      <w:r>
        <w:rPr>
          <w:rFonts w:ascii="Arial" w:cs="Arial" w:eastAsia="Arial" w:hAnsi="Arial"/>
          <w:sz w:val="18"/>
          <w:szCs w:val="18"/>
          <w:color w:val="auto"/>
        </w:rPr>
        <w:t>(ii) 1</w:t>
      </w:r>
      <w:r>
        <w:rPr>
          <w:rFonts w:ascii="Arial" w:cs="Arial" w:eastAsia="Arial" w:hAnsi="Arial"/>
          <w:sz w:val="18"/>
          <w:szCs w:val="18"/>
          <w:i w:val="1"/>
          <w:iCs w:val="1"/>
          <w:color w:val="auto"/>
        </w:rPr>
        <w:t xml:space="preserve"> minus </w:t>
      </w:r>
      <w:r>
        <w:rPr>
          <w:rFonts w:ascii="Arial" w:cs="Arial" w:eastAsia="Arial" w:hAnsi="Arial"/>
          <w:sz w:val="18"/>
          <w:szCs w:val="18"/>
          <w:color w:val="auto"/>
        </w:rPr>
        <w:t>the applicable Recovery Rate for such Defaulted Collateral Loan.</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40"/>
          </w:cols>
          <w:pgMar w:left="780" w:top="280" w:right="379" w:bottom="1440" w:gutter="0" w:footer="0" w:header="0"/>
        </w:sectPr>
      </w:pPr>
    </w:p>
    <w:bookmarkStart w:id="66" w:name="page67"/>
    <w:bookmarkEnd w:id="66"/>
    <w:p>
      <w:pPr>
        <w:ind w:left="8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“Defaulted Collateral Loan” </w:t>
      </w:r>
      <w:r>
        <w:rPr>
          <w:rFonts w:ascii="Arial" w:cs="Arial" w:eastAsia="Arial" w:hAnsi="Arial"/>
          <w:sz w:val="18"/>
          <w:szCs w:val="18"/>
          <w:color w:val="auto"/>
        </w:rPr>
        <w:t>means any Collateral Loan as to which any of the following occurs:</w:t>
      </w:r>
    </w:p>
    <w:p>
      <w:pPr>
        <w:spacing w:after="0" w:line="90" w:lineRule="exact"/>
        <w:rPr>
          <w:sz w:val="20"/>
          <w:szCs w:val="20"/>
          <w:color w:val="auto"/>
        </w:rPr>
      </w:pPr>
    </w:p>
    <w:p>
      <w:pPr>
        <w:ind w:left="900" w:right="220" w:firstLine="420"/>
        <w:spacing w:after="0" w:line="268" w:lineRule="auto"/>
        <w:tabs>
          <w:tab w:leader="none" w:pos="15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default as to all or any portion of one or more payments of principal and/or interest has occurred with respect to such Collateral Loan for a period of thirty (30) Business Days or more past the applicable due date;</w:t>
      </w:r>
    </w:p>
    <w:p>
      <w:pPr>
        <w:spacing w:after="0" w:line="50" w:lineRule="exact"/>
        <w:rPr>
          <w:rFonts w:ascii="Arial" w:cs="Arial" w:eastAsia="Arial" w:hAnsi="Arial"/>
          <w:sz w:val="18"/>
          <w:szCs w:val="18"/>
          <w:color w:val="auto"/>
        </w:rPr>
      </w:pPr>
    </w:p>
    <w:p>
      <w:pPr>
        <w:ind w:left="900" w:right="140" w:firstLine="420"/>
        <w:spacing w:after="0" w:line="306" w:lineRule="auto"/>
        <w:tabs>
          <w:tab w:leader="none" w:pos="15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default as to all or any portion of one or more payments of principal and/or interest has occurred in relation to any other obligation for borrowed money of the related Obligor in excess of the applicable cross-default threshold in the applicable Related Documents (giving effect to any grace period applicable thereto but in no event exceeding ten (10) Business Days past the applicable due date);</w:t>
      </w:r>
    </w:p>
    <w:p>
      <w:pPr>
        <w:spacing w:after="0" w:line="25" w:lineRule="exact"/>
        <w:rPr>
          <w:rFonts w:ascii="Arial" w:cs="Arial" w:eastAsia="Arial" w:hAnsi="Arial"/>
          <w:sz w:val="16"/>
          <w:szCs w:val="16"/>
          <w:color w:val="auto"/>
        </w:rPr>
      </w:pPr>
    </w:p>
    <w:p>
      <w:pPr>
        <w:ind w:left="900" w:firstLine="420"/>
        <w:spacing w:after="0" w:line="259" w:lineRule="auto"/>
        <w:tabs>
          <w:tab w:leader="none" w:pos="15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in the case of a DIP Collateral Loan, the related Obligor of such Collateral Loan has, or others have, instituted proceedings to have such Obligor adjudicated as bankrupt or insolvent or placed into receivership and such proceedings have not been stayed or dismissed, or such Obligor has filed for protection under Chapter 11 of the Bankruptcy Code;</w:t>
      </w:r>
    </w:p>
    <w:p>
      <w:pPr>
        <w:spacing w:after="0" w:line="58" w:lineRule="exact"/>
        <w:rPr>
          <w:rFonts w:ascii="Arial" w:cs="Arial" w:eastAsia="Arial" w:hAnsi="Arial"/>
          <w:sz w:val="18"/>
          <w:szCs w:val="18"/>
          <w:color w:val="auto"/>
        </w:rPr>
      </w:pPr>
    </w:p>
    <w:p>
      <w:pPr>
        <w:ind w:left="1560" w:hanging="240"/>
        <w:spacing w:after="0"/>
        <w:tabs>
          <w:tab w:leader="none" w:pos="1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occurrence of a Material Modification with respect to such Collateral Loan;</w:t>
      </w:r>
    </w:p>
    <w:p>
      <w:pPr>
        <w:spacing w:after="0" w:line="90" w:lineRule="exact"/>
        <w:rPr>
          <w:rFonts w:ascii="Arial" w:cs="Arial" w:eastAsia="Arial" w:hAnsi="Arial"/>
          <w:sz w:val="18"/>
          <w:szCs w:val="18"/>
          <w:color w:val="auto"/>
        </w:rPr>
      </w:pPr>
    </w:p>
    <w:p>
      <w:pPr>
        <w:ind w:left="900" w:right="40" w:firstLine="420"/>
        <w:spacing w:after="0" w:line="254" w:lineRule="auto"/>
        <w:tabs>
          <w:tab w:leader="none" w:pos="15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Related Documents with respect to such Collateral Loan are amended, modified or waived due to the Obligor’s inability to pay principal or interest or otherwise in response to any credit deterioration of such Obligor (as determined by the Collateral Manager in its reasonable discretion), or the BDC or any Affiliate thereof has made or acquired a debt obligation of the related Obligor for the purpose of enabling such Obligor to pay principal and interest on such Collateral Loan and to avoid a payment default thereunder;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a loan made to refinance one or more Collateral Loans in the ordinary course of business shall not constitute a loan made to avoid a payment default under this </w:t>
      </w:r>
      <w:r>
        <w:rPr>
          <w:rFonts w:ascii="Arial" w:cs="Arial" w:eastAsia="Arial" w:hAnsi="Arial"/>
          <w:sz w:val="18"/>
          <w:szCs w:val="18"/>
          <w:u w:val="single" w:color="auto"/>
          <w:color w:val="auto"/>
        </w:rPr>
        <w:t>clause (e)</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900" w:right="260" w:firstLine="420"/>
        <w:spacing w:after="0" w:line="259" w:lineRule="auto"/>
        <w:tabs>
          <w:tab w:leader="none" w:pos="15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Collateral Manager has determined in accordance with the Collateral Management Standard and the Credit and Collection Policies that such Collateral Loan shall be placed on “non-accrual” status or “not collectible”, or any or all of the principal amount due under such Collateral Loan is reduced or forgiven;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any Defaulted Collateral Loan that subsequently becomes a Restructured Loan shall no longer constitute a Defaulted Collateral Loan hereunder.</w:t>
      </w:r>
    </w:p>
    <w:p>
      <w:pPr>
        <w:spacing w:after="0" w:line="113" w:lineRule="exact"/>
        <w:rPr>
          <w:sz w:val="20"/>
          <w:szCs w:val="20"/>
          <w:color w:val="auto"/>
        </w:rPr>
      </w:pPr>
    </w:p>
    <w:p>
      <w:pPr>
        <w:ind w:left="460" w:right="20" w:firstLine="431"/>
        <w:spacing w:after="0" w:line="294" w:lineRule="auto"/>
        <w:rPr>
          <w:sz w:val="20"/>
          <w:szCs w:val="20"/>
          <w:color w:val="auto"/>
        </w:rPr>
      </w:pPr>
      <w:r>
        <w:rPr>
          <w:rFonts w:ascii="Arial" w:cs="Arial" w:eastAsia="Arial" w:hAnsi="Arial"/>
          <w:sz w:val="16"/>
          <w:szCs w:val="16"/>
          <w:i w:val="1"/>
          <w:iCs w:val="1"/>
          <w:color w:val="auto"/>
        </w:rPr>
        <w:t xml:space="preserve">“Delayed Drawdown Collateral Loan” </w:t>
      </w:r>
      <w:r>
        <w:rPr>
          <w:rFonts w:ascii="Arial" w:cs="Arial" w:eastAsia="Arial" w:hAnsi="Arial"/>
          <w:sz w:val="16"/>
          <w:szCs w:val="16"/>
          <w:color w:val="auto"/>
        </w:rPr>
        <w:t>means a Collateral Loan that (a) requires the Borrower to make one or more future advances to the Obligor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the Related Documents, (b) specifies a maximum amount that can be borrowed on one or more fixed borrowing dates, and (c) does not permit the re-borrowing of any amount previously repaid by the Obligor thereunder;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any such Collateral Loan will be a Delayed Drawdown Collateral Loan only to the extent of undrawn commitments and solely until all commitments by the Borrower to make advances on such Collateral Loan to the borrower under the Related Documents expire or are terminated or are reduced to zero.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80" w:right="339" w:bottom="1440" w:gutter="0" w:footer="0" w:header="0"/>
        </w:sectPr>
      </w:pPr>
    </w:p>
    <w:bookmarkStart w:id="67" w:name="page68"/>
    <w:bookmarkEnd w:id="67"/>
    <w:p>
      <w:pPr>
        <w:jc w:val="both"/>
        <w:ind w:right="180" w:firstLine="431"/>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“Delinquency Ratio” </w:t>
      </w:r>
      <w:r>
        <w:rPr>
          <w:rFonts w:ascii="Arial" w:cs="Arial" w:eastAsia="Arial" w:hAnsi="Arial"/>
          <w:sz w:val="18"/>
          <w:szCs w:val="18"/>
          <w:color w:val="auto"/>
        </w:rPr>
        <w:t>means, on any date of determination, the annualized ratio (expressed as a percentage) equal to (a) the Aggregate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Balance of all Collateral Loans that are Delinquent Collateral Loans,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Aggregate Principal Balance of all Collateral Loans as of such date.</w:t>
      </w:r>
    </w:p>
    <w:p>
      <w:pPr>
        <w:spacing w:after="0" w:line="59" w:lineRule="exact"/>
        <w:rPr>
          <w:sz w:val="20"/>
          <w:szCs w:val="20"/>
          <w:color w:val="auto"/>
        </w:rPr>
      </w:pPr>
    </w:p>
    <w:p>
      <w:pPr>
        <w:ind w:right="20" w:firstLine="431"/>
        <w:spacing w:after="0" w:line="259" w:lineRule="auto"/>
        <w:rPr>
          <w:sz w:val="20"/>
          <w:szCs w:val="20"/>
          <w:color w:val="auto"/>
        </w:rPr>
      </w:pPr>
      <w:r>
        <w:rPr>
          <w:rFonts w:ascii="Arial" w:cs="Arial" w:eastAsia="Arial" w:hAnsi="Arial"/>
          <w:sz w:val="18"/>
          <w:szCs w:val="18"/>
          <w:i w:val="1"/>
          <w:iCs w:val="1"/>
          <w:color w:val="auto"/>
        </w:rPr>
        <w:t xml:space="preserve">“Delinquent Collateral Loan” </w:t>
      </w:r>
      <w:r>
        <w:rPr>
          <w:rFonts w:ascii="Arial" w:cs="Arial" w:eastAsia="Arial" w:hAnsi="Arial"/>
          <w:sz w:val="18"/>
          <w:szCs w:val="18"/>
          <w:color w:val="auto"/>
        </w:rPr>
        <w:t>means any Collateral Loan (other than a Defaulted Collateral Loan) as to which all or any portion of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principal and/or interest are past due with respect to such Collateral Loan for a period of five (5) Business Days or more past the applicable due date.</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“Deliver” </w:t>
      </w:r>
      <w:r>
        <w:rPr>
          <w:rFonts w:ascii="Arial" w:cs="Arial" w:eastAsia="Arial" w:hAnsi="Arial"/>
          <w:sz w:val="18"/>
          <w:szCs w:val="18"/>
          <w:color w:val="auto"/>
        </w:rPr>
        <w:t>or</w:t>
      </w:r>
      <w:r>
        <w:rPr>
          <w:rFonts w:ascii="Arial" w:cs="Arial" w:eastAsia="Arial" w:hAnsi="Arial"/>
          <w:sz w:val="18"/>
          <w:szCs w:val="18"/>
          <w:i w:val="1"/>
          <w:iCs w:val="1"/>
          <w:color w:val="auto"/>
        </w:rPr>
        <w:t xml:space="preserve"> “Delivered” </w:t>
      </w:r>
      <w:r>
        <w:rPr>
          <w:rFonts w:ascii="Arial" w:cs="Arial" w:eastAsia="Arial" w:hAnsi="Arial"/>
          <w:sz w:val="18"/>
          <w:szCs w:val="18"/>
          <w:color w:val="auto"/>
        </w:rPr>
        <w:t>or</w:t>
      </w:r>
      <w:r>
        <w:rPr>
          <w:rFonts w:ascii="Arial" w:cs="Arial" w:eastAsia="Arial" w:hAnsi="Arial"/>
          <w:sz w:val="18"/>
          <w:szCs w:val="18"/>
          <w:i w:val="1"/>
          <w:iCs w:val="1"/>
          <w:color w:val="auto"/>
        </w:rPr>
        <w:t xml:space="preserve"> “Delivery” </w:t>
      </w:r>
      <w:r>
        <w:rPr>
          <w:rFonts w:ascii="Arial" w:cs="Arial" w:eastAsia="Arial" w:hAnsi="Arial"/>
          <w:sz w:val="18"/>
          <w:szCs w:val="18"/>
          <w:color w:val="auto"/>
        </w:rPr>
        <w:t>means the taking of the following steps:</w:t>
      </w:r>
    </w:p>
    <w:p>
      <w:pPr>
        <w:spacing w:after="0" w:line="90" w:lineRule="exact"/>
        <w:rPr>
          <w:sz w:val="20"/>
          <w:szCs w:val="20"/>
          <w:color w:val="auto"/>
        </w:rPr>
      </w:pPr>
    </w:p>
    <w:p>
      <w:pPr>
        <w:ind w:left="440" w:right="80" w:firstLine="420"/>
        <w:spacing w:after="0" w:line="268" w:lineRule="auto"/>
        <w:tabs>
          <w:tab w:leader="none" w:pos="10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each Certificated Security (other than a Clearing Corporation Security), Instrument and Participation Interest in which the Participation Interest or the underlying loan is represented by an Instrument:</w:t>
      </w:r>
    </w:p>
    <w:p>
      <w:pPr>
        <w:spacing w:after="0" w:line="50" w:lineRule="exact"/>
        <w:rPr>
          <w:rFonts w:ascii="Arial" w:cs="Arial" w:eastAsia="Arial" w:hAnsi="Arial"/>
          <w:sz w:val="18"/>
          <w:szCs w:val="18"/>
          <w:color w:val="auto"/>
        </w:rPr>
      </w:pPr>
    </w:p>
    <w:p>
      <w:pPr>
        <w:ind w:left="1000" w:right="160" w:firstLine="399"/>
        <w:spacing w:after="0" w:line="259" w:lineRule="auto"/>
        <w:tabs>
          <w:tab w:leader="none" w:pos="1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causing the delivery of such Certificated Security or Instrument to the Custodian (which for the avoidance of doubt shall be the Document Custodian) by registering the same in the name of the Custodian or its affiliated nominee or by endorsing the same to the Custodian or in blank;</w:t>
      </w:r>
    </w:p>
    <w:p>
      <w:pPr>
        <w:spacing w:after="0" w:line="58" w:lineRule="exact"/>
        <w:rPr>
          <w:rFonts w:ascii="Arial" w:cs="Arial" w:eastAsia="Arial" w:hAnsi="Arial"/>
          <w:sz w:val="18"/>
          <w:szCs w:val="18"/>
          <w:color w:val="auto"/>
        </w:rPr>
      </w:pPr>
    </w:p>
    <w:p>
      <w:pPr>
        <w:ind w:left="1000" w:right="80" w:firstLine="399"/>
        <w:spacing w:after="0" w:line="268" w:lineRule="auto"/>
        <w:tabs>
          <w:tab w:leader="none" w:pos="1649"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Certificated Security or Instrument is credited to the applicable Covered Account; and</w:t>
      </w:r>
    </w:p>
    <w:p>
      <w:pPr>
        <w:spacing w:after="0" w:line="50" w:lineRule="exact"/>
        <w:rPr>
          <w:rFonts w:ascii="Arial" w:cs="Arial" w:eastAsia="Arial" w:hAnsi="Arial"/>
          <w:sz w:val="18"/>
          <w:szCs w:val="18"/>
          <w:color w:val="auto"/>
        </w:rPr>
      </w:pPr>
    </w:p>
    <w:p>
      <w:pPr>
        <w:ind w:left="1700" w:hanging="301"/>
        <w:spacing w:after="0"/>
        <w:tabs>
          <w:tab w:leader="none" w:pos="17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causing the Custodian to maintain continuous possession of such Certificated Security or Instrument;</w:t>
      </w:r>
    </w:p>
    <w:p>
      <w:pPr>
        <w:spacing w:after="0" w:line="90" w:lineRule="exact"/>
        <w:rPr>
          <w:rFonts w:ascii="Arial" w:cs="Arial" w:eastAsia="Arial" w:hAnsi="Arial"/>
          <w:sz w:val="18"/>
          <w:szCs w:val="18"/>
          <w:color w:val="auto"/>
        </w:rPr>
      </w:pPr>
    </w:p>
    <w:p>
      <w:pPr>
        <w:ind w:left="1100" w:hanging="240"/>
        <w:spacing w:after="0"/>
        <w:tabs>
          <w:tab w:leader="none" w:pos="11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in the case of each Uncertificated Security (other than a Clearing Corporation Security), unless covered by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below:</w:t>
      </w:r>
    </w:p>
    <w:p>
      <w:pPr>
        <w:spacing w:after="0" w:line="113" w:lineRule="exact"/>
        <w:rPr>
          <w:rFonts w:ascii="Arial" w:cs="Arial" w:eastAsia="Arial" w:hAnsi="Arial"/>
          <w:sz w:val="16"/>
          <w:szCs w:val="16"/>
          <w:color w:val="auto"/>
        </w:rPr>
      </w:pPr>
    </w:p>
    <w:p>
      <w:pPr>
        <w:ind w:left="1600" w:hanging="201"/>
        <w:spacing w:after="0"/>
        <w:tabs>
          <w:tab w:leader="none" w:pos="16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causing such Uncertificated Security to be continuously registered on the books of the issuer thereof to the Custodian; and</w:t>
      </w:r>
    </w:p>
    <w:p>
      <w:pPr>
        <w:spacing w:after="0" w:line="113" w:lineRule="exact"/>
        <w:rPr>
          <w:rFonts w:ascii="Arial" w:cs="Arial" w:eastAsia="Arial" w:hAnsi="Arial"/>
          <w:sz w:val="16"/>
          <w:szCs w:val="16"/>
          <w:color w:val="auto"/>
        </w:rPr>
      </w:pPr>
    </w:p>
    <w:p>
      <w:pPr>
        <w:ind w:left="1000" w:right="460" w:firstLine="399"/>
        <w:spacing w:after="0" w:line="268" w:lineRule="auto"/>
        <w:tabs>
          <w:tab w:leader="none" w:pos="1649"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Uncertificated Security is credited to the applicable Covered Account;</w:t>
      </w:r>
    </w:p>
    <w:p>
      <w:pPr>
        <w:spacing w:after="0" w:line="50" w:lineRule="exact"/>
        <w:rPr>
          <w:rFonts w:ascii="Arial" w:cs="Arial" w:eastAsia="Arial" w:hAnsi="Arial"/>
          <w:sz w:val="18"/>
          <w:szCs w:val="18"/>
          <w:color w:val="auto"/>
        </w:rPr>
      </w:pPr>
    </w:p>
    <w:p>
      <w:pPr>
        <w:ind w:left="1100" w:hanging="240"/>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each Clearing Corporation Security:</w:t>
      </w:r>
    </w:p>
    <w:p>
      <w:pPr>
        <w:spacing w:after="0" w:line="90" w:lineRule="exact"/>
        <w:rPr>
          <w:rFonts w:ascii="Arial" w:cs="Arial" w:eastAsia="Arial" w:hAnsi="Arial"/>
          <w:sz w:val="18"/>
          <w:szCs w:val="18"/>
          <w:color w:val="auto"/>
        </w:rPr>
      </w:pPr>
    </w:p>
    <w:p>
      <w:pPr>
        <w:ind w:left="1600" w:hanging="201"/>
        <w:spacing w:after="0"/>
        <w:tabs>
          <w:tab w:leader="none" w:pos="1600" w:val="left"/>
        </w:tabs>
        <w:numPr>
          <w:ilvl w:val="1"/>
          <w:numId w:val="39"/>
        </w:numPr>
        <w:rPr>
          <w:rFonts w:ascii="Arial" w:cs="Arial" w:eastAsia="Arial" w:hAnsi="Arial"/>
          <w:sz w:val="15"/>
          <w:szCs w:val="15"/>
          <w:color w:val="auto"/>
        </w:rPr>
      </w:pPr>
      <w:r>
        <w:rPr>
          <w:rFonts w:ascii="Arial" w:cs="Arial" w:eastAsia="Arial" w:hAnsi="Arial"/>
          <w:sz w:val="15"/>
          <w:szCs w:val="15"/>
          <w:color w:val="auto"/>
        </w:rPr>
        <w:t>causing the relevant Clearing Corporation to credit such Clearing Corporation Security to the securities account of the Custodian,</w:t>
      </w:r>
    </w:p>
    <w:p>
      <w:pPr>
        <w:spacing w:after="0" w:line="49"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15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00"/>
          </w:cols>
          <w:pgMar w:left="780" w:top="280" w:right="419" w:bottom="1440" w:gutter="0" w:footer="0" w:header="0"/>
        </w:sectPr>
      </w:pPr>
    </w:p>
    <w:bookmarkStart w:id="68" w:name="page69"/>
    <w:bookmarkEnd w:id="68"/>
    <w:p>
      <w:pPr>
        <w:ind w:left="340" w:firstLine="399"/>
        <w:spacing w:after="0" w:line="268" w:lineRule="auto"/>
        <w:tabs>
          <w:tab w:leader="none" w:pos="989" w:val="left"/>
        </w:tabs>
        <w:numPr>
          <w:ilvl w:val="1"/>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causing the Custodian to indicate continuously on its books and records that such Clearing Corporation Security is credited to the applicable Covered Account;</w:t>
      </w:r>
    </w:p>
    <w:p>
      <w:pPr>
        <w:spacing w:after="0" w:line="50" w:lineRule="exact"/>
        <w:rPr>
          <w:rFonts w:ascii="Arial" w:cs="Arial" w:eastAsia="Arial" w:hAnsi="Arial"/>
          <w:sz w:val="18"/>
          <w:szCs w:val="18"/>
          <w:color w:val="auto"/>
        </w:rPr>
      </w:pPr>
    </w:p>
    <w:p>
      <w:pPr>
        <w:ind w:left="-220" w:right="620" w:firstLine="420"/>
        <w:spacing w:after="0" w:line="331" w:lineRule="auto"/>
        <w:tabs>
          <w:tab w:leader="none" w:pos="4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case of each security issued or guaranteed by the United States of America or agency or instrumentality thereof and that is maintained in book-entry records of a Federal Reserve Bank (</w:t>
      </w:r>
      <w:r>
        <w:rPr>
          <w:rFonts w:ascii="Arial" w:cs="Arial" w:eastAsia="Arial" w:hAnsi="Arial"/>
          <w:sz w:val="16"/>
          <w:szCs w:val="16"/>
          <w:i w:val="1"/>
          <w:iCs w:val="1"/>
          <w:color w:val="auto"/>
        </w:rPr>
        <w:t>“FRB”</w:t>
      </w:r>
      <w:r>
        <w:rPr>
          <w:rFonts w:ascii="Arial" w:cs="Arial" w:eastAsia="Arial" w:hAnsi="Arial"/>
          <w:sz w:val="16"/>
          <w:szCs w:val="16"/>
          <w:color w:val="auto"/>
        </w:rPr>
        <w:t xml:space="preserve">) (each such security, a </w:t>
      </w:r>
      <w:r>
        <w:rPr>
          <w:rFonts w:ascii="Arial" w:cs="Arial" w:eastAsia="Arial" w:hAnsi="Arial"/>
          <w:sz w:val="16"/>
          <w:szCs w:val="16"/>
          <w:i w:val="1"/>
          <w:iCs w:val="1"/>
          <w:color w:val="auto"/>
        </w:rPr>
        <w:t>“Government Security”</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340" w:right="360" w:firstLine="399"/>
        <w:spacing w:after="0" w:line="268" w:lineRule="auto"/>
        <w:tabs>
          <w:tab w:leader="none" w:pos="9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causing the creation of a Security Entitlement to such Government Security by the credit of such Government Security to the securities account of the Custodian at such FRB, and</w:t>
      </w:r>
    </w:p>
    <w:p>
      <w:pPr>
        <w:spacing w:after="0" w:line="51" w:lineRule="exact"/>
        <w:rPr>
          <w:sz w:val="20"/>
          <w:szCs w:val="20"/>
          <w:color w:val="auto"/>
        </w:rPr>
      </w:pPr>
    </w:p>
    <w:p>
      <w:pPr>
        <w:ind w:left="340" w:right="620" w:firstLine="399"/>
        <w:spacing w:after="0" w:line="268" w:lineRule="auto"/>
        <w:tabs>
          <w:tab w:leader="none" w:pos="989"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Government Security is credited to the applicable Covered Account;</w:t>
      </w:r>
    </w:p>
    <w:p>
      <w:pPr>
        <w:spacing w:after="0" w:line="50" w:lineRule="exact"/>
        <w:rPr>
          <w:rFonts w:ascii="Arial" w:cs="Arial" w:eastAsia="Arial" w:hAnsi="Arial"/>
          <w:sz w:val="18"/>
          <w:szCs w:val="18"/>
          <w:color w:val="auto"/>
        </w:rPr>
      </w:pPr>
    </w:p>
    <w:p>
      <w:pPr>
        <w:ind w:left="440" w:hanging="240"/>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in the case of each Security Entitlement not governed by </w:t>
      </w:r>
      <w:r>
        <w:rPr>
          <w:rFonts w:ascii="Arial" w:cs="Arial" w:eastAsia="Arial" w:hAnsi="Arial"/>
          <w:sz w:val="18"/>
          <w:szCs w:val="18"/>
          <w:u w:val="single" w:color="auto"/>
          <w:color w:val="auto"/>
        </w:rPr>
        <w:t>clauses (a) through (d)</w:t>
      </w:r>
      <w:r>
        <w:rPr>
          <w:rFonts w:ascii="Arial" w:cs="Arial" w:eastAsia="Arial" w:hAnsi="Arial"/>
          <w:sz w:val="18"/>
          <w:szCs w:val="18"/>
          <w:color w:val="auto"/>
        </w:rPr>
        <w:t xml:space="preserve"> above:</w:t>
      </w:r>
    </w:p>
    <w:p>
      <w:pPr>
        <w:spacing w:after="0" w:line="90" w:lineRule="exact"/>
        <w:rPr>
          <w:rFonts w:ascii="Arial" w:cs="Arial" w:eastAsia="Arial" w:hAnsi="Arial"/>
          <w:sz w:val="18"/>
          <w:szCs w:val="18"/>
          <w:color w:val="auto"/>
        </w:rPr>
      </w:pPr>
    </w:p>
    <w:p>
      <w:pPr>
        <w:ind w:left="340" w:right="620" w:firstLine="399"/>
        <w:spacing w:after="0" w:line="268" w:lineRule="auto"/>
        <w:tabs>
          <w:tab w:leader="none" w:pos="9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causing a Securities Intermediary to receive a Financial Asset from a Securities Intermediary or to acquire the underlying Financial Asset, and in either case, accepting it for credit to the Custodian’s securities account,</w:t>
      </w:r>
    </w:p>
    <w:p>
      <w:pPr>
        <w:spacing w:after="0" w:line="51" w:lineRule="exact"/>
        <w:rPr>
          <w:sz w:val="20"/>
          <w:szCs w:val="20"/>
          <w:color w:val="auto"/>
        </w:rPr>
      </w:pPr>
    </w:p>
    <w:p>
      <w:pPr>
        <w:ind w:left="340" w:firstLine="399"/>
        <w:spacing w:after="0" w:line="259" w:lineRule="auto"/>
        <w:tabs>
          <w:tab w:leader="none" w:pos="989" w:val="left"/>
        </w:tabs>
        <w:numPr>
          <w:ilvl w:val="1"/>
          <w:numId w:val="44"/>
        </w:numPr>
        <w:rPr>
          <w:rFonts w:ascii="Arial" w:cs="Arial" w:eastAsia="Arial" w:hAnsi="Arial"/>
          <w:sz w:val="18"/>
          <w:szCs w:val="18"/>
          <w:color w:val="auto"/>
        </w:rPr>
      </w:pPr>
      <w:r>
        <w:rPr>
          <w:rFonts w:ascii="Arial" w:cs="Arial" w:eastAsia="Arial" w:hAnsi="Arial"/>
          <w:sz w:val="18"/>
          <w:szCs w:val="18"/>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58" w:lineRule="exact"/>
        <w:rPr>
          <w:rFonts w:ascii="Arial" w:cs="Arial" w:eastAsia="Arial" w:hAnsi="Arial"/>
          <w:sz w:val="18"/>
          <w:szCs w:val="18"/>
          <w:color w:val="auto"/>
        </w:rPr>
      </w:pPr>
    </w:p>
    <w:p>
      <w:pPr>
        <w:ind w:left="340" w:firstLine="399"/>
        <w:spacing w:after="0" w:line="331" w:lineRule="auto"/>
        <w:tabs>
          <w:tab w:leader="none" w:pos="1038" w:val="left"/>
        </w:tabs>
        <w:numPr>
          <w:ilvl w:val="1"/>
          <w:numId w:val="44"/>
        </w:numPr>
        <w:rPr>
          <w:rFonts w:ascii="Arial" w:cs="Arial" w:eastAsia="Arial" w:hAnsi="Arial"/>
          <w:sz w:val="16"/>
          <w:szCs w:val="16"/>
          <w:color w:val="auto"/>
        </w:rPr>
      </w:pPr>
      <w:r>
        <w:rPr>
          <w:rFonts w:ascii="Arial" w:cs="Arial" w:eastAsia="Arial" w:hAnsi="Arial"/>
          <w:sz w:val="16"/>
          <w:szCs w:val="16"/>
          <w:color w:val="auto"/>
        </w:rPr>
        <w:t>causing the Custodian to indicate continuously on its books and records that such Security Entitlement (or all rights and property of the Custodian representing such Security Entitlement) is credited to the applicable Covered Account;</w:t>
      </w:r>
    </w:p>
    <w:p>
      <w:pPr>
        <w:spacing w:after="0" w:line="5" w:lineRule="exact"/>
        <w:rPr>
          <w:rFonts w:ascii="Arial" w:cs="Arial" w:eastAsia="Arial" w:hAnsi="Arial"/>
          <w:sz w:val="16"/>
          <w:szCs w:val="16"/>
          <w:color w:val="auto"/>
        </w:rPr>
      </w:pPr>
    </w:p>
    <w:p>
      <w:pPr>
        <w:ind w:left="420" w:hanging="220"/>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Cash or Money:</w:t>
      </w:r>
    </w:p>
    <w:p>
      <w:pPr>
        <w:spacing w:after="0" w:line="90" w:lineRule="exact"/>
        <w:rPr>
          <w:rFonts w:ascii="Arial" w:cs="Arial" w:eastAsia="Arial" w:hAnsi="Arial"/>
          <w:sz w:val="18"/>
          <w:szCs w:val="18"/>
          <w:color w:val="auto"/>
        </w:rPr>
      </w:pPr>
    </w:p>
    <w:p>
      <w:pPr>
        <w:ind w:left="940" w:hanging="201"/>
        <w:spacing w:after="0"/>
        <w:tabs>
          <w:tab w:leader="none" w:pos="9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causing the delivery of such Cash or Money to the Custodian,</w:t>
      </w:r>
    </w:p>
    <w:p>
      <w:pPr>
        <w:spacing w:after="0" w:line="90" w:lineRule="exact"/>
        <w:rPr>
          <w:rFonts w:ascii="Arial" w:cs="Arial" w:eastAsia="Arial" w:hAnsi="Arial"/>
          <w:sz w:val="18"/>
          <w:szCs w:val="18"/>
          <w:color w:val="auto"/>
        </w:rPr>
      </w:pPr>
    </w:p>
    <w:p>
      <w:pPr>
        <w:ind w:left="340" w:right="100" w:firstLine="399"/>
        <w:spacing w:after="0" w:line="268" w:lineRule="auto"/>
        <w:tabs>
          <w:tab w:leader="none" w:pos="989" w:val="left"/>
        </w:tabs>
        <w:numPr>
          <w:ilvl w:val="1"/>
          <w:numId w:val="45"/>
        </w:numPr>
        <w:rPr>
          <w:rFonts w:ascii="Arial" w:cs="Arial" w:eastAsia="Arial" w:hAnsi="Arial"/>
          <w:sz w:val="18"/>
          <w:szCs w:val="18"/>
          <w:color w:val="auto"/>
        </w:rPr>
      </w:pPr>
      <w:r>
        <w:rPr>
          <w:rFonts w:ascii="Arial" w:cs="Arial" w:eastAsia="Arial" w:hAnsi="Arial"/>
          <w:sz w:val="18"/>
          <w:szCs w:val="18"/>
          <w:color w:val="auto"/>
        </w:rPr>
        <w:t>causing the Custodian to credit such Cash or Money to a deposit account maintained as a sub-account of the applicable Covered Account, and</w:t>
      </w:r>
    </w:p>
    <w:p>
      <w:pPr>
        <w:spacing w:after="0" w:line="50" w:lineRule="exact"/>
        <w:rPr>
          <w:rFonts w:ascii="Arial" w:cs="Arial" w:eastAsia="Arial" w:hAnsi="Arial"/>
          <w:sz w:val="18"/>
          <w:szCs w:val="18"/>
          <w:color w:val="auto"/>
        </w:rPr>
      </w:pPr>
    </w:p>
    <w:p>
      <w:pPr>
        <w:ind w:left="340" w:right="240" w:firstLine="399"/>
        <w:spacing w:after="0" w:line="268" w:lineRule="auto"/>
        <w:tabs>
          <w:tab w:leader="none" w:pos="1038" w:val="left"/>
        </w:tabs>
        <w:numPr>
          <w:ilvl w:val="1"/>
          <w:numId w:val="45"/>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Cash or Money is credited to the applicable Covered Account; and</w:t>
      </w:r>
    </w:p>
    <w:p>
      <w:pPr>
        <w:spacing w:after="0" w:line="50" w:lineRule="exact"/>
        <w:rPr>
          <w:rFonts w:ascii="Arial" w:cs="Arial" w:eastAsia="Arial" w:hAnsi="Arial"/>
          <w:sz w:val="18"/>
          <w:szCs w:val="18"/>
          <w:color w:val="auto"/>
        </w:rPr>
      </w:pPr>
    </w:p>
    <w:p>
      <w:pPr>
        <w:ind w:left="-220" w:right="60" w:firstLine="420"/>
        <w:spacing w:after="0" w:line="259" w:lineRule="auto"/>
        <w:tabs>
          <w:tab w:leader="none" w:pos="4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each account or general intangible (including any Participation Interest in which none of the Participation Interest or the underlying loan, is represented by an Instrument), causing the filing of a Financing Statement in the office of the Secretary of State of the State of Delaware.</w:t>
      </w:r>
    </w:p>
    <w:p>
      <w:pPr>
        <w:spacing w:after="0" w:line="12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080"/>
          </w:cols>
          <w:pgMar w:left="1440" w:top="280" w:right="379" w:bottom="1440" w:gutter="0" w:footer="0" w:header="0"/>
        </w:sectPr>
      </w:pPr>
    </w:p>
    <w:bookmarkStart w:id="69" w:name="page70"/>
    <w:bookmarkEnd w:id="69"/>
    <w:p>
      <w:pPr>
        <w:ind w:right="120" w:firstLine="43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addition, the Collateral Manager on behalf of the Borrower will obtain any and all consents required by the Related Documents relating to any Instruments, accounts or general intangibles for the transfer of ownership and/or pledge hereunder (except to the extent that the requirement for such consent is rendered ineffective under Section 9-406 of the UCC).</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“Determination Date” </w:t>
      </w:r>
      <w:r>
        <w:rPr>
          <w:rFonts w:ascii="Arial" w:cs="Arial" w:eastAsia="Arial" w:hAnsi="Arial"/>
          <w:sz w:val="18"/>
          <w:szCs w:val="18"/>
          <w:color w:val="auto"/>
        </w:rPr>
        <w:t>means the last day of each Collection Period.</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“DIP Collateral Obligation” </w:t>
      </w:r>
      <w:r>
        <w:rPr>
          <w:rFonts w:ascii="Arial" w:cs="Arial" w:eastAsia="Arial" w:hAnsi="Arial"/>
          <w:sz w:val="18"/>
          <w:szCs w:val="18"/>
          <w:color w:val="auto"/>
        </w:rPr>
        <w:t>means an obligation:</w:t>
      </w:r>
    </w:p>
    <w:p>
      <w:pPr>
        <w:spacing w:after="0" w:line="90" w:lineRule="exact"/>
        <w:rPr>
          <w:sz w:val="20"/>
          <w:szCs w:val="20"/>
          <w:color w:val="auto"/>
        </w:rPr>
      </w:pPr>
    </w:p>
    <w:p>
      <w:pPr>
        <w:ind w:left="1100" w:hanging="240"/>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obtained or incurred after the entry of an order of relief in a case pending under Chapter 11 of the Bankruptcy Code,</w:t>
      </w:r>
    </w:p>
    <w:p>
      <w:pPr>
        <w:spacing w:after="0" w:line="90" w:lineRule="exact"/>
        <w:rPr>
          <w:rFonts w:ascii="Arial" w:cs="Arial" w:eastAsia="Arial" w:hAnsi="Arial"/>
          <w:sz w:val="18"/>
          <w:szCs w:val="18"/>
          <w:color w:val="auto"/>
        </w:rPr>
      </w:pPr>
    </w:p>
    <w:p>
      <w:pPr>
        <w:ind w:left="440" w:right="20" w:firstLine="420"/>
        <w:spacing w:after="0" w:line="268" w:lineRule="auto"/>
        <w:tabs>
          <w:tab w:leader="none" w:pos="110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 debtor in possession as described in Chapter 11 of the Bankruptcy Code or a trustee (if appointment of such trustee has been ordered pursuant to Section 1104 of the Bankruptcy Code),</w:t>
      </w:r>
    </w:p>
    <w:p>
      <w:pPr>
        <w:spacing w:after="0" w:line="50" w:lineRule="exact"/>
        <w:rPr>
          <w:rFonts w:ascii="Arial" w:cs="Arial" w:eastAsia="Arial" w:hAnsi="Arial"/>
          <w:sz w:val="18"/>
          <w:szCs w:val="18"/>
          <w:color w:val="auto"/>
        </w:rPr>
      </w:pPr>
    </w:p>
    <w:p>
      <w:pPr>
        <w:ind w:left="1100" w:hanging="240"/>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which the related Obligor is required to pay interest and/or principal on a current basis, and</w:t>
      </w:r>
    </w:p>
    <w:p>
      <w:pPr>
        <w:spacing w:after="0" w:line="90" w:lineRule="exact"/>
        <w:rPr>
          <w:rFonts w:ascii="Arial" w:cs="Arial" w:eastAsia="Arial" w:hAnsi="Arial"/>
          <w:sz w:val="18"/>
          <w:szCs w:val="18"/>
          <w:color w:val="auto"/>
        </w:rPr>
      </w:pPr>
    </w:p>
    <w:p>
      <w:pPr>
        <w:ind w:left="440" w:firstLine="420"/>
        <w:spacing w:after="0" w:line="254" w:lineRule="auto"/>
        <w:tabs>
          <w:tab w:leader="none" w:pos="110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approved by a Final Order or Interim Order of the bankruptcy court so long as such obligation is (A) fully secured by a lien on the debtor’s otherwise unencumbered assets pursuant to Section 364(c)(2) of the Bankruptcy Code, (B) fully secured by a lien of equal or senior priority on property of the debtor estate that is otherwise subject to a lien pursuant to Section 364(d) of the Bankruptcy Code or (C) is secured by a junior lien on the debtor’s encumbered assets (so long as such loan is fully secured based on the most recent current valuation or appraisal report, if any, of the debtor).</w:t>
      </w:r>
    </w:p>
    <w:p>
      <w:pPr>
        <w:spacing w:after="0" w:line="66" w:lineRule="exact"/>
        <w:rPr>
          <w:sz w:val="20"/>
          <w:szCs w:val="20"/>
          <w:color w:val="auto"/>
        </w:rPr>
      </w:pPr>
    </w:p>
    <w:p>
      <w:pPr>
        <w:ind w:right="60" w:firstLine="431"/>
        <w:spacing w:after="0" w:line="268" w:lineRule="auto"/>
        <w:rPr>
          <w:sz w:val="20"/>
          <w:szCs w:val="20"/>
          <w:color w:val="auto"/>
        </w:rPr>
      </w:pPr>
      <w:r>
        <w:rPr>
          <w:rFonts w:ascii="Arial" w:cs="Arial" w:eastAsia="Arial" w:hAnsi="Arial"/>
          <w:sz w:val="18"/>
          <w:szCs w:val="18"/>
          <w:i w:val="1"/>
          <w:iCs w:val="1"/>
          <w:color w:val="auto"/>
        </w:rPr>
        <w:t xml:space="preserve">“Diversity Score” </w:t>
      </w:r>
      <w:r>
        <w:rPr>
          <w:rFonts w:ascii="Arial" w:cs="Arial" w:eastAsia="Arial" w:hAnsi="Arial"/>
          <w:sz w:val="18"/>
          <w:szCs w:val="18"/>
          <w:color w:val="auto"/>
        </w:rPr>
        <w:t>means a single number that indicates collateral concentration in terms of both Obligor and industry concentration, calculated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Schedule 8</w:t>
      </w:r>
      <w:r>
        <w:rPr>
          <w:rFonts w:ascii="Arial" w:cs="Arial" w:eastAsia="Arial" w:hAnsi="Arial"/>
          <w:sz w:val="18"/>
          <w:szCs w:val="18"/>
          <w:color w:val="auto"/>
        </w:rPr>
        <w:t xml:space="preserve"> hereto.</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 Custodian</w:t>
      </w:r>
      <w:r>
        <w:rPr>
          <w:rFonts w:ascii="Arial" w:cs="Arial" w:eastAsia="Arial" w:hAnsi="Arial"/>
          <w:sz w:val="18"/>
          <w:szCs w:val="18"/>
          <w:color w:val="auto"/>
        </w:rPr>
        <w:t>” means the Custodian when acting in the role of a custodian of the Related Documents hereunder.</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“Document Custodian Facilities” means the office of the Document Custodian specified on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“Dollars” </w:t>
      </w:r>
      <w:r>
        <w:rPr>
          <w:rFonts w:ascii="Arial" w:cs="Arial" w:eastAsia="Arial" w:hAnsi="Arial"/>
          <w:sz w:val="18"/>
          <w:szCs w:val="18"/>
          <w:color w:val="auto"/>
        </w:rPr>
        <w:t>and</w:t>
      </w:r>
      <w:r>
        <w:rPr>
          <w:rFonts w:ascii="Arial" w:cs="Arial" w:eastAsia="Arial" w:hAnsi="Arial"/>
          <w:sz w:val="18"/>
          <w:szCs w:val="18"/>
          <w:i w:val="1"/>
          <w:iCs w:val="1"/>
          <w:color w:val="auto"/>
        </w:rPr>
        <w:t xml:space="preserve"> “$” </w:t>
      </w:r>
      <w:r>
        <w:rPr>
          <w:rFonts w:ascii="Arial" w:cs="Arial" w:eastAsia="Arial" w:hAnsi="Arial"/>
          <w:sz w:val="18"/>
          <w:szCs w:val="18"/>
          <w:color w:val="auto"/>
        </w:rPr>
        <w:t>mean lawful money of the United States of America.</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“Due Date” </w:t>
      </w:r>
      <w:r>
        <w:rPr>
          <w:rFonts w:ascii="Arial" w:cs="Arial" w:eastAsia="Arial" w:hAnsi="Arial"/>
          <w:sz w:val="18"/>
          <w:szCs w:val="18"/>
          <w:color w:val="auto"/>
        </w:rPr>
        <w:t>means each date on which any payment is due on a Collateral Loan in accordance with its terms.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40"/>
          </w:cols>
          <w:pgMar w:left="780" w:top="280" w:right="379" w:bottom="1440" w:gutter="0" w:footer="0" w:header="0"/>
        </w:sectPr>
      </w:pPr>
    </w:p>
    <w:bookmarkStart w:id="70" w:name="page71"/>
    <w:bookmarkEnd w:id="70"/>
    <w:p>
      <w:pPr>
        <w:ind w:left="460" w:right="220" w:firstLine="431"/>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“EBITDA” </w:t>
      </w:r>
      <w:r>
        <w:rPr>
          <w:rFonts w:ascii="Arial" w:cs="Arial" w:eastAsia="Arial" w:hAnsi="Arial"/>
          <w:sz w:val="18"/>
          <w:szCs w:val="18"/>
          <w:color w:val="auto"/>
        </w:rPr>
        <w:t>means earnings before interest, taxes, depreciation and amortization (determined, for any Collateral Loan, in the manner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Documents).</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“Eligible First Lien Obligation” </w:t>
      </w:r>
      <w:r>
        <w:rPr>
          <w:rFonts w:ascii="Arial" w:cs="Arial" w:eastAsia="Arial" w:hAnsi="Arial"/>
          <w:sz w:val="16"/>
          <w:szCs w:val="16"/>
          <w:color w:val="auto"/>
        </w:rPr>
        <w:t>means any loan, debt obligation, security or Participation Interest (for purposes of this definition, a “loan”) that:</w:t>
      </w:r>
    </w:p>
    <w:p>
      <w:pPr>
        <w:spacing w:after="0" w:line="113" w:lineRule="exact"/>
        <w:rPr>
          <w:sz w:val="20"/>
          <w:szCs w:val="20"/>
          <w:color w:val="auto"/>
        </w:rPr>
      </w:pPr>
    </w:p>
    <w:p>
      <w:pPr>
        <w:ind w:left="1560" w:hanging="240"/>
        <w:spacing w:after="0"/>
        <w:tabs>
          <w:tab w:leader="none" w:pos="15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if such loan is a Senior B Loan Obligation, such loan satisfies each of the criteria in such definition and satisfies </w:t>
      </w:r>
      <w:r>
        <w:rPr>
          <w:rFonts w:ascii="Arial" w:cs="Arial" w:eastAsia="Arial" w:hAnsi="Arial"/>
          <w:sz w:val="16"/>
          <w:szCs w:val="16"/>
          <w:u w:val="single" w:color="auto"/>
          <w:color w:val="auto"/>
        </w:rPr>
        <w:t>clauses (b)(ii)-</w:t>
      </w:r>
    </w:p>
    <w:p>
      <w:pPr>
        <w:spacing w:after="0" w:line="38" w:lineRule="exact"/>
        <w:rPr>
          <w:rFonts w:ascii="Arial" w:cs="Arial" w:eastAsia="Arial" w:hAnsi="Arial"/>
          <w:sz w:val="16"/>
          <w:szCs w:val="16"/>
          <w:color w:val="auto"/>
        </w:rPr>
      </w:pPr>
    </w:p>
    <w:p>
      <w:pPr>
        <w:ind w:left="1200" w:hanging="294"/>
        <w:spacing w:after="0"/>
        <w:tabs>
          <w:tab w:leader="none" w:pos="1200" w:val="left"/>
        </w:tabs>
        <w:numPr>
          <w:ilvl w:val="0"/>
          <w:numId w:val="48"/>
        </w:numPr>
        <w:rPr>
          <w:rFonts w:ascii="Arial" w:cs="Arial" w:eastAsia="Arial" w:hAnsi="Arial"/>
          <w:sz w:val="18"/>
          <w:szCs w:val="18"/>
          <w:u w:val="single" w:color="auto"/>
          <w:color w:val="auto"/>
        </w:rPr>
      </w:pPr>
      <w:r>
        <w:rPr>
          <w:rFonts w:ascii="Arial" w:cs="Arial" w:eastAsia="Arial" w:hAnsi="Arial"/>
          <w:sz w:val="18"/>
          <w:szCs w:val="18"/>
          <w:color w:val="auto"/>
        </w:rPr>
        <w:t>below;</w:t>
      </w:r>
    </w:p>
    <w:p>
      <w:pPr>
        <w:spacing w:after="0" w:line="83" w:lineRule="exact"/>
        <w:rPr>
          <w:rFonts w:ascii="Arial" w:cs="Arial" w:eastAsia="Arial" w:hAnsi="Arial"/>
          <w:sz w:val="18"/>
          <w:szCs w:val="18"/>
          <w:u w:val="single" w:color="auto"/>
          <w:color w:val="auto"/>
        </w:rPr>
      </w:pPr>
    </w:p>
    <w:p>
      <w:pPr>
        <w:ind w:left="1560" w:hanging="240"/>
        <w:spacing w:after="0"/>
        <w:tabs>
          <w:tab w:leader="none" w:pos="15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with respect to any loan which does not constitute a Senior B Loan Obligation, such loan:</w:t>
      </w:r>
    </w:p>
    <w:p>
      <w:pPr>
        <w:spacing w:after="0" w:line="90" w:lineRule="exact"/>
        <w:rPr>
          <w:rFonts w:ascii="Arial" w:cs="Arial" w:eastAsia="Arial" w:hAnsi="Arial"/>
          <w:sz w:val="18"/>
          <w:szCs w:val="18"/>
          <w:color w:val="auto"/>
        </w:rPr>
      </w:pPr>
    </w:p>
    <w:p>
      <w:pPr>
        <w:ind w:left="1460" w:right="20" w:firstLine="399"/>
        <w:spacing w:after="0" w:line="268" w:lineRule="auto"/>
        <w:tabs>
          <w:tab w:leader="none" w:pos="20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is not (and is not expressly permitted by its terms to become) subordinate in right of payment to any other obligation for borrowed money of the obligor of such loan;</w:t>
      </w:r>
    </w:p>
    <w:p>
      <w:pPr>
        <w:spacing w:after="0" w:line="50" w:lineRule="exact"/>
        <w:rPr>
          <w:rFonts w:ascii="Arial" w:cs="Arial" w:eastAsia="Arial" w:hAnsi="Arial"/>
          <w:sz w:val="18"/>
          <w:szCs w:val="18"/>
          <w:color w:val="auto"/>
        </w:rPr>
      </w:pPr>
    </w:p>
    <w:p>
      <w:pPr>
        <w:ind w:left="1460" w:right="180" w:firstLine="399"/>
        <w:spacing w:after="0" w:line="298" w:lineRule="auto"/>
        <w:tabs>
          <w:tab w:leader="none" w:pos="2109" w:val="left"/>
        </w:tabs>
        <w:numPr>
          <w:ilvl w:val="2"/>
          <w:numId w:val="48"/>
        </w:numPr>
        <w:rPr>
          <w:rFonts w:ascii="Arial" w:cs="Arial" w:eastAsia="Arial" w:hAnsi="Arial"/>
          <w:sz w:val="16"/>
          <w:szCs w:val="16"/>
          <w:color w:val="auto"/>
        </w:rPr>
      </w:pPr>
      <w:r>
        <w:rPr>
          <w:rFonts w:ascii="Arial" w:cs="Arial" w:eastAsia="Arial" w:hAnsi="Arial"/>
          <w:sz w:val="16"/>
          <w:szCs w:val="16"/>
          <w:color w:val="auto"/>
        </w:rPr>
        <w:t>is secured by a valid first priority perfected security interest or lien in, to or on specified collateral securing the obligor’s obligations under such loan subject to Purchase Money Liens and customary Liens for taxes or regulatory charges not then due and payable and other permitted Liens customary in credit agreements, which Liens do not directly secure indebtedness for borrowed money (whether or not such loan is also secured by any lower priority security interest or lien on other collateral);</w:t>
      </w:r>
    </w:p>
    <w:p>
      <w:pPr>
        <w:spacing w:after="0" w:line="31" w:lineRule="exact"/>
        <w:rPr>
          <w:rFonts w:ascii="Arial" w:cs="Arial" w:eastAsia="Arial" w:hAnsi="Arial"/>
          <w:sz w:val="16"/>
          <w:szCs w:val="16"/>
          <w:color w:val="auto"/>
        </w:rPr>
      </w:pPr>
    </w:p>
    <w:p>
      <w:pPr>
        <w:jc w:val="both"/>
        <w:ind w:left="1460" w:right="180" w:firstLine="399"/>
        <w:spacing w:after="0" w:line="306" w:lineRule="auto"/>
        <w:tabs>
          <w:tab w:leader="none" w:pos="2158" w:val="left"/>
        </w:tabs>
        <w:numPr>
          <w:ilvl w:val="2"/>
          <w:numId w:val="48"/>
        </w:numPr>
        <w:rPr>
          <w:rFonts w:ascii="Arial" w:cs="Arial" w:eastAsia="Arial" w:hAnsi="Arial"/>
          <w:sz w:val="16"/>
          <w:szCs w:val="16"/>
          <w:color w:val="auto"/>
        </w:rPr>
      </w:pPr>
      <w:r>
        <w:rPr>
          <w:rFonts w:ascii="Arial" w:cs="Arial" w:eastAsia="Arial" w:hAnsi="Arial"/>
          <w:sz w:val="16"/>
          <w:szCs w:val="16"/>
          <w:color w:val="auto"/>
        </w:rPr>
        <w:t>is secured pursuant to such first priority perfected security interest or lien, by collateral having a value (determined as set forth below) not less than the outstanding principal balance of such loan plus the aggregate outstanding principal balances of all other loans of equal seniority secured by a first lien or security interest in the same collateral; and</w:t>
      </w:r>
    </w:p>
    <w:p>
      <w:pPr>
        <w:spacing w:after="0" w:line="25" w:lineRule="exact"/>
        <w:rPr>
          <w:rFonts w:ascii="Arial" w:cs="Arial" w:eastAsia="Arial" w:hAnsi="Arial"/>
          <w:sz w:val="16"/>
          <w:szCs w:val="16"/>
          <w:color w:val="auto"/>
        </w:rPr>
      </w:pPr>
    </w:p>
    <w:p>
      <w:pPr>
        <w:ind w:left="2160" w:hanging="301"/>
        <w:spacing w:after="0"/>
        <w:tabs>
          <w:tab w:leader="none" w:pos="21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is not a loan which is secured solely or primarily by the common stock of its obligor or any of its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a First Lien/Last Out Obligation shall not constitute an Eligible First Lien Obligation.</w:t>
      </w:r>
    </w:p>
    <w:p>
      <w:pPr>
        <w:spacing w:after="0" w:line="90" w:lineRule="exact"/>
        <w:rPr>
          <w:sz w:val="20"/>
          <w:szCs w:val="20"/>
          <w:color w:val="auto"/>
        </w:rPr>
      </w:pPr>
    </w:p>
    <w:p>
      <w:pPr>
        <w:ind w:left="460" w:firstLine="431"/>
        <w:spacing w:after="0" w:line="290" w:lineRule="auto"/>
        <w:rPr>
          <w:sz w:val="20"/>
          <w:szCs w:val="20"/>
          <w:color w:val="auto"/>
        </w:rPr>
      </w:pPr>
      <w:r>
        <w:rPr>
          <w:rFonts w:ascii="Arial" w:cs="Arial" w:eastAsia="Arial" w:hAnsi="Arial"/>
          <w:sz w:val="16"/>
          <w:szCs w:val="16"/>
          <w:color w:val="auto"/>
        </w:rPr>
        <w:t xml:space="preserve">The determination as to whether </w:t>
      </w:r>
      <w:r>
        <w:rPr>
          <w:rFonts w:ascii="Arial" w:cs="Arial" w:eastAsia="Arial" w:hAnsi="Arial"/>
          <w:sz w:val="16"/>
          <w:szCs w:val="16"/>
          <w:u w:val="single" w:color="auto"/>
          <w:color w:val="auto"/>
        </w:rPr>
        <w:t>clause (b)(iii)</w:t>
      </w:r>
      <w:r>
        <w:rPr>
          <w:rFonts w:ascii="Arial" w:cs="Arial" w:eastAsia="Arial" w:hAnsi="Arial"/>
          <w:sz w:val="16"/>
          <w:szCs w:val="16"/>
          <w:color w:val="auto"/>
        </w:rPr>
        <w:t xml:space="preserve"> of this definition is satisfied shall be based on both (x) an Appraisal or other valuation (including an internal valuation performed by the Collateral Manager and including enterprise value) performed on or about the date of acquisition by the Borrower or of the most recent restructuring of such loan, and (y) the Collateral Manager’s judgment at the time the loan is acquired by the Borrower. The limitation set forth in </w:t>
      </w:r>
      <w:r>
        <w:rPr>
          <w:rFonts w:ascii="Arial" w:cs="Arial" w:eastAsia="Arial" w:hAnsi="Arial"/>
          <w:sz w:val="16"/>
          <w:szCs w:val="16"/>
          <w:u w:val="single" w:color="auto"/>
          <w:color w:val="auto"/>
        </w:rPr>
        <w:t>clause (b)(iv)</w:t>
      </w:r>
      <w:r>
        <w:rPr>
          <w:rFonts w:ascii="Arial" w:cs="Arial" w:eastAsia="Arial" w:hAnsi="Arial"/>
          <w:sz w:val="16"/>
          <w:szCs w:val="16"/>
          <w:color w:val="auto"/>
        </w:rPr>
        <w:t xml:space="preserve"> above shall not apply with respect to a loan made to a parent entity that is secured solely or primarily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 (2) violate law or regulations applicable to such subsidiary (whether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80" w:right="339" w:bottom="1440" w:gutter="0" w:footer="0" w:header="0"/>
        </w:sectPr>
      </w:pPr>
    </w:p>
    <w:bookmarkStart w:id="71" w:name="page72"/>
    <w:bookmarkEnd w:id="7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obligation secured is such loan or any other similar type of indebtedness owing to third parties) or (3) cause such subsidiary to suffer adverse economic consequences under capital adequacy or other similar rules, in each case, so long as (x) the Related Documents limit the incurrence of indebtedness by such subsidiary and (y) the aggregate amount of all such indebtedness is not material relative to the aggregate value of the assets of such subsidiary. For purposes of this Agreement, a DIP Collateral Obligation shall constitute an </w:t>
      </w:r>
      <w:r>
        <w:rPr>
          <w:rFonts w:ascii="Arial" w:cs="Arial" w:eastAsia="Arial" w:hAnsi="Arial"/>
          <w:sz w:val="16"/>
          <w:szCs w:val="16"/>
          <w:i w:val="1"/>
          <w:iCs w:val="1"/>
          <w:color w:val="auto"/>
        </w:rPr>
        <w:t>“Eligible First Lien Obligation”</w:t>
      </w:r>
      <w:r>
        <w:rPr>
          <w:rFonts w:ascii="Arial" w:cs="Arial" w:eastAsia="Arial" w:hAnsi="Arial"/>
          <w:sz w:val="16"/>
          <w:szCs w:val="16"/>
          <w:color w:val="auto"/>
        </w:rPr>
        <w:t>.</w:t>
      </w:r>
    </w:p>
    <w:p>
      <w:pPr>
        <w:spacing w:after="0" w:line="31" w:lineRule="exact"/>
        <w:rPr>
          <w:sz w:val="20"/>
          <w:szCs w:val="20"/>
          <w:color w:val="auto"/>
        </w:rPr>
      </w:pPr>
    </w:p>
    <w:p>
      <w:pPr>
        <w:ind w:right="60" w:firstLine="431"/>
        <w:spacing w:after="0" w:line="291" w:lineRule="auto"/>
        <w:rPr>
          <w:sz w:val="20"/>
          <w:szCs w:val="20"/>
          <w:color w:val="auto"/>
        </w:rPr>
      </w:pPr>
      <w:r>
        <w:rPr>
          <w:rFonts w:ascii="Arial" w:cs="Arial" w:eastAsia="Arial" w:hAnsi="Arial"/>
          <w:sz w:val="16"/>
          <w:szCs w:val="16"/>
          <w:i w:val="1"/>
          <w:iCs w:val="1"/>
          <w:color w:val="auto"/>
        </w:rPr>
        <w:t xml:space="preserve">“Eligible Investment Required Ratings” </w:t>
      </w:r>
      <w:r>
        <w:rPr>
          <w:rFonts w:ascii="Arial" w:cs="Arial" w:eastAsia="Arial" w:hAnsi="Arial"/>
          <w:sz w:val="16"/>
          <w:szCs w:val="16"/>
          <w:color w:val="auto"/>
        </w:rPr>
        <w:t>means, with respect to any obligation or security, that such obligation or security (a) (i) if such obligation</w:t>
      </w:r>
      <w:r>
        <w:rPr>
          <w:rFonts w:ascii="Arial" w:cs="Arial" w:eastAsia="Arial" w:hAnsi="Arial"/>
          <w:sz w:val="16"/>
          <w:szCs w:val="16"/>
          <w:i w:val="1"/>
          <w:iCs w:val="1"/>
          <w:color w:val="auto"/>
        </w:rPr>
        <w:t xml:space="preserve"> </w:t>
      </w:r>
      <w:r>
        <w:rPr>
          <w:rFonts w:ascii="Arial" w:cs="Arial" w:eastAsia="Arial" w:hAnsi="Arial"/>
          <w:sz w:val="16"/>
          <w:szCs w:val="16"/>
          <w:color w:val="auto"/>
        </w:rPr>
        <w:t>or security has both a long-term and a short-term credit rating from Moody’s, such ratings are “Aa3” or better (not on credit watch for possible downgrade) and “P-1” (not on credit watch for possible downgrade), respectively, (ii) if such obligation or security only has a long-term credit rating from Moody’s, such rating is “Aaa” (not on credit watch for possible downgrade) and (iii) if such obligation or security only has a short-term credit rating from Moody’s, such rating is “P-1” (not on credit watch for possible downgrade) and (b) has a rating of “A-1” or better (or, in the absence of a short-term credit rating, a long-term credit rating of “A+” or better) from S&amp;P.</w:t>
      </w:r>
    </w:p>
    <w:p>
      <w:pPr>
        <w:spacing w:after="0" w:line="39" w:lineRule="exact"/>
        <w:rPr>
          <w:sz w:val="20"/>
          <w:szCs w:val="20"/>
          <w:color w:val="auto"/>
        </w:rPr>
      </w:pPr>
    </w:p>
    <w:p>
      <w:pPr>
        <w:ind w:right="40" w:firstLine="431"/>
        <w:spacing w:after="0" w:line="268" w:lineRule="auto"/>
        <w:rPr>
          <w:sz w:val="20"/>
          <w:szCs w:val="20"/>
          <w:color w:val="auto"/>
        </w:rPr>
      </w:pPr>
      <w:r>
        <w:rPr>
          <w:rFonts w:ascii="Arial" w:cs="Arial" w:eastAsia="Arial" w:hAnsi="Arial"/>
          <w:sz w:val="18"/>
          <w:szCs w:val="18"/>
          <w:i w:val="1"/>
          <w:iCs w:val="1"/>
          <w:color w:val="auto"/>
        </w:rPr>
        <w:t xml:space="preserve">“Eligible Investments” </w:t>
      </w:r>
      <w:r>
        <w:rPr>
          <w:rFonts w:ascii="Arial" w:cs="Arial" w:eastAsia="Arial" w:hAnsi="Arial"/>
          <w:sz w:val="18"/>
          <w:szCs w:val="18"/>
          <w:color w:val="auto"/>
        </w:rPr>
        <w:t>means any Dollar investment that, at the time it is Delivered (directly or through an intermediary or bailee), is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following obligations or securities:</w:t>
      </w:r>
    </w:p>
    <w:p>
      <w:pPr>
        <w:spacing w:after="0" w:line="51" w:lineRule="exact"/>
        <w:rPr>
          <w:sz w:val="20"/>
          <w:szCs w:val="20"/>
          <w:color w:val="auto"/>
        </w:rPr>
      </w:pPr>
    </w:p>
    <w:p>
      <w:pPr>
        <w:ind w:left="440" w:right="180" w:firstLine="420"/>
        <w:spacing w:after="0" w:line="259" w:lineRule="auto"/>
        <w:tabs>
          <w:tab w:leader="none" w:pos="10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 obligations of, and obligations the timely payment of principal and interest on which is fully and expressly guaranteed by, the United States of America or any agency or instrumentality of the United States of America the obligations of which are expressly backed by the full faith and credit of the United States of America;</w:t>
      </w:r>
    </w:p>
    <w:p>
      <w:pPr>
        <w:spacing w:after="0" w:line="58" w:lineRule="exact"/>
        <w:rPr>
          <w:rFonts w:ascii="Arial" w:cs="Arial" w:eastAsia="Arial" w:hAnsi="Arial"/>
          <w:sz w:val="18"/>
          <w:szCs w:val="18"/>
          <w:color w:val="auto"/>
        </w:rPr>
      </w:pPr>
    </w:p>
    <w:p>
      <w:pPr>
        <w:ind w:left="440" w:firstLine="420"/>
        <w:spacing w:after="0" w:line="291" w:lineRule="auto"/>
        <w:tabs>
          <w:tab w:leader="none" w:pos="1112"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demand and time deposits in, certificates of deposit of, trust accounts with, bankers’ acceptances payable within 183 days of issuance by, or federal funds sold by any depository institution or trust company incorporated under the laws of the United States of America or any state thereof and subject to supervision and examination by federal and/or state banking authorities, so long as the commercial paper and/or the debt obligations of such depository institution or trust company (or, in the case of the principal depository institution in a holding company system, the commercial paper or debt obligations of such holding company) at the time of such investment or contractual commitment providing for such investment have the Eligible Investment Required Ratings;</w:t>
      </w:r>
    </w:p>
    <w:p>
      <w:pPr>
        <w:spacing w:after="0" w:line="38" w:lineRule="exact"/>
        <w:rPr>
          <w:rFonts w:ascii="Arial" w:cs="Arial" w:eastAsia="Arial" w:hAnsi="Arial"/>
          <w:sz w:val="16"/>
          <w:szCs w:val="16"/>
          <w:color w:val="auto"/>
        </w:rPr>
      </w:pPr>
    </w:p>
    <w:p>
      <w:pPr>
        <w:ind w:left="440" w:right="420" w:firstLine="420"/>
        <w:spacing w:after="0" w:line="298" w:lineRule="auto"/>
        <w:tabs>
          <w:tab w:leader="none" w:pos="11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unleveraged repurchase obligations with respect to (a) any security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or (b) any other security issued or guaranteed by an agency or instrumentality of the United States of America, in either case entered into with a depository institution or trust company (acting as principal) 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or entered into with an entity (acting as principal) which has, or whose parent company has (in addition to a guarantee agreement with such entity), the Eligible Investment Required Ratings;</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40"/>
          </w:cols>
          <w:pgMar w:left="780" w:top="280" w:right="379" w:bottom="1440" w:gutter="0" w:footer="0" w:header="0"/>
        </w:sectPr>
      </w:pPr>
    </w:p>
    <w:bookmarkStart w:id="72" w:name="page73"/>
    <w:bookmarkEnd w:id="72"/>
    <w:p>
      <w:pPr>
        <w:ind w:left="900" w:firstLine="420"/>
        <w:spacing w:after="0" w:line="331" w:lineRule="auto"/>
        <w:tabs>
          <w:tab w:leader="none" w:pos="1611"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bearing interest or sold at a discount issued by any entity formed under the laws of the United States of America or any State thereof that has the Eligible Investment Required Ratings at the time of such investment or contractual commitment providing for such investment;</w:t>
      </w:r>
    </w:p>
    <w:p>
      <w:pPr>
        <w:spacing w:after="0" w:line="5" w:lineRule="exact"/>
        <w:rPr>
          <w:rFonts w:ascii="Arial" w:cs="Arial" w:eastAsia="Arial" w:hAnsi="Arial"/>
          <w:sz w:val="16"/>
          <w:szCs w:val="16"/>
          <w:color w:val="auto"/>
        </w:rPr>
      </w:pPr>
    </w:p>
    <w:p>
      <w:pPr>
        <w:ind w:left="900" w:right="400" w:firstLine="420"/>
        <w:spacing w:after="0" w:line="356" w:lineRule="auto"/>
        <w:tabs>
          <w:tab w:leader="none" w:pos="1562" w:val="left"/>
        </w:tabs>
        <w:numPr>
          <w:ilvl w:val="0"/>
          <w:numId w:val="50"/>
        </w:numPr>
        <w:rPr>
          <w:rFonts w:ascii="Arial" w:cs="Arial" w:eastAsia="Arial" w:hAnsi="Arial"/>
          <w:sz w:val="15"/>
          <w:szCs w:val="15"/>
          <w:color w:val="auto"/>
        </w:rPr>
      </w:pPr>
      <w:r>
        <w:rPr>
          <w:rFonts w:ascii="Arial" w:cs="Arial" w:eastAsia="Arial" w:hAnsi="Arial"/>
          <w:sz w:val="15"/>
          <w:szCs w:val="15"/>
          <w:color w:val="auto"/>
        </w:rPr>
        <w:t>non-extendable commercial paper or other short-term obligations with the Eligible Investment Required Ratings and that either bear interest or are sold at a discount from the face amount thereof and have a maturity of not more than 183 days from their date of issuance;</w:t>
      </w:r>
    </w:p>
    <w:p>
      <w:pPr>
        <w:spacing w:after="0" w:line="1" w:lineRule="exact"/>
        <w:rPr>
          <w:rFonts w:ascii="Arial" w:cs="Arial" w:eastAsia="Arial" w:hAnsi="Arial"/>
          <w:sz w:val="15"/>
          <w:szCs w:val="15"/>
          <w:color w:val="auto"/>
        </w:rPr>
      </w:pPr>
    </w:p>
    <w:p>
      <w:pPr>
        <w:ind w:left="900" w:right="60" w:firstLine="420"/>
        <w:spacing w:after="0" w:line="256" w:lineRule="auto"/>
        <w:tabs>
          <w:tab w:leader="none" w:pos="16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 Reinvestment Agreement issued by any bank (if treated as a deposit by such bank), or a Reinvestment Agreement issued by any insurance company or other corporation or entity, in each case with the Eligible Investment Required Ratings;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(a) the Administrative Agent and the Required Lenders have consented thereto or (b) such Reinvestment Agreement may be unwound at the option of the Borrower without penalty;</w:t>
      </w:r>
    </w:p>
    <w:p>
      <w:pPr>
        <w:spacing w:after="0" w:line="61" w:lineRule="exact"/>
        <w:rPr>
          <w:rFonts w:ascii="Arial" w:cs="Arial" w:eastAsia="Arial" w:hAnsi="Arial"/>
          <w:sz w:val="18"/>
          <w:szCs w:val="18"/>
          <w:color w:val="auto"/>
        </w:rPr>
      </w:pPr>
    </w:p>
    <w:p>
      <w:pPr>
        <w:ind w:left="900" w:right="340" w:firstLine="420"/>
        <w:spacing w:after="0" w:line="268" w:lineRule="auto"/>
        <w:tabs>
          <w:tab w:leader="none" w:pos="16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money market funds that have, at all times, credit ratings of “Aaa” and “MR1+” by Moody’s and “AAAm” or “AAAm-G” by S&amp;P, respectively; and</w:t>
      </w:r>
    </w:p>
    <w:p>
      <w:pPr>
        <w:spacing w:after="0" w:line="50" w:lineRule="exact"/>
        <w:rPr>
          <w:rFonts w:ascii="Arial" w:cs="Arial" w:eastAsia="Arial" w:hAnsi="Arial"/>
          <w:sz w:val="18"/>
          <w:szCs w:val="18"/>
          <w:color w:val="auto"/>
        </w:rPr>
      </w:pPr>
    </w:p>
    <w:p>
      <w:pPr>
        <w:ind w:left="1720" w:hanging="400"/>
        <w:spacing w:after="0"/>
        <w:tabs>
          <w:tab w:leader="none" w:pos="1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(1) Eligible Investments purchased with funds in the Collection Account shall be held until maturity except as otherwise specifically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herein and shall include only such obligations or securities, other than those referred to in </w:t>
      </w:r>
      <w:r>
        <w:rPr>
          <w:rFonts w:ascii="Arial" w:cs="Arial" w:eastAsia="Arial" w:hAnsi="Arial"/>
          <w:sz w:val="16"/>
          <w:szCs w:val="16"/>
          <w:u w:val="single" w:color="auto"/>
          <w:color w:val="auto"/>
        </w:rPr>
        <w:t>clause (vii)</w:t>
      </w:r>
      <w:r>
        <w:rPr>
          <w:rFonts w:ascii="Arial" w:cs="Arial" w:eastAsia="Arial" w:hAnsi="Arial"/>
          <w:sz w:val="16"/>
          <w:szCs w:val="16"/>
          <w:color w:val="auto"/>
        </w:rPr>
        <w:t xml:space="preserve"> above, as mature (or are putable at par to the issuer thereof) no later than the earlier of (x) sixty (60) days after the date of acquisition thereof or (y) the Business Day prior to the next Payment Date; and (2) none of the foregoing obligations or securities shall constitute Eligible Investments if (a) such obligation or security has an “f”, “r”, “p”, “pi”, “q” or “t” subscript assigned by S&amp;P, (b) all, or substantially all, of the remaining amounts payable thereunder consist of interest and not principal payments, (c) such obligation or security is subject to U.S. withholding or foreign withholding tax unless the issuer of the security is required to make “gross-up” payments for the full amount of such withholding tax, (d) such obligation or security is secured by real property, (e) such obligation or security is purchased at a price greater than 100% of the principal or face amount thereof, (f) such obligation or security is subject of a tender offer, voluntary redemption, exchange offer, conversion or other similar action or (g) in the Collateral Manager’s judgment, such obligation or security is subject to material non-credit related risks. Any such investment may be made or acquired from or through the Collateral Agent or any of its affiliates, or any entity for whom the Collateral Agent or any of its affiliates provides services (so long as such investment otherwise meets the applicable requirements of the foregoing definition of Eligible Investment at the time of acquisition).</w:t>
      </w:r>
    </w:p>
    <w:p>
      <w:pPr>
        <w:spacing w:after="0" w:line="4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“Eligible Second Lien Obligation” </w:t>
      </w:r>
      <w:r>
        <w:rPr>
          <w:rFonts w:ascii="Arial" w:cs="Arial" w:eastAsia="Arial" w:hAnsi="Arial"/>
          <w:sz w:val="16"/>
          <w:szCs w:val="16"/>
          <w:color w:val="auto"/>
        </w:rPr>
        <w:t>means a loan, debt obligation, security or Participation Interest (for purposes of this definition, a</w:t>
      </w:r>
      <w:r>
        <w:rPr>
          <w:rFonts w:ascii="Arial" w:cs="Arial" w:eastAsia="Arial" w:hAnsi="Arial"/>
          <w:sz w:val="16"/>
          <w:szCs w:val="16"/>
          <w:i w:val="1"/>
          <w:iCs w:val="1"/>
          <w:color w:val="auto"/>
        </w:rPr>
        <w:t xml:space="preserve"> “loan”</w:t>
      </w:r>
      <w:r>
        <w:rPr>
          <w:rFonts w:ascii="Arial" w:cs="Arial" w:eastAsia="Arial" w:hAnsi="Arial"/>
          <w:sz w:val="16"/>
          <w:szCs w:val="16"/>
          <w:color w:val="auto"/>
        </w:rPr>
        <w:t>) that:</w:t>
      </w:r>
    </w:p>
    <w:p>
      <w:pPr>
        <w:spacing w:after="0" w:line="11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 is a First Lien/Last Out Obligation;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280" w:right="339" w:bottom="1440" w:gutter="0" w:footer="0" w:header="0"/>
        </w:sectPr>
      </w:pPr>
    </w:p>
    <w:bookmarkStart w:id="73" w:name="page74"/>
    <w:bookmarkEnd w:id="73"/>
    <w:p>
      <w:pPr>
        <w:ind w:left="1100" w:hanging="240"/>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meets the following criteria:</w:t>
      </w:r>
    </w:p>
    <w:p>
      <w:pPr>
        <w:spacing w:after="0" w:line="90" w:lineRule="exact"/>
        <w:rPr>
          <w:rFonts w:ascii="Arial" w:cs="Arial" w:eastAsia="Arial" w:hAnsi="Arial"/>
          <w:sz w:val="18"/>
          <w:szCs w:val="18"/>
          <w:color w:val="auto"/>
        </w:rPr>
      </w:pPr>
    </w:p>
    <w:p>
      <w:pPr>
        <w:jc w:val="both"/>
        <w:ind w:left="1000" w:right="20" w:firstLine="399"/>
        <w:spacing w:after="0" w:line="256" w:lineRule="auto"/>
        <w:tabs>
          <w:tab w:leader="none" w:pos="16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not (and is not expressly permitted by its terms to become) subordinate in right of payment to any other obligation for borrowed money of the obligor of such loan (excluding customary terms applicable to a second lien lender under customary intercreditor provisions, such as subordination in right to payment to a first lien lender following an event of default under the related first lien credit agreement with respect to the liquidation of the obligor or of specified collateral);</w:t>
      </w:r>
    </w:p>
    <w:p>
      <w:pPr>
        <w:spacing w:after="0" w:line="61" w:lineRule="exact"/>
        <w:rPr>
          <w:rFonts w:ascii="Arial" w:cs="Arial" w:eastAsia="Arial" w:hAnsi="Arial"/>
          <w:sz w:val="18"/>
          <w:szCs w:val="18"/>
          <w:color w:val="auto"/>
        </w:rPr>
      </w:pPr>
    </w:p>
    <w:p>
      <w:pPr>
        <w:jc w:val="both"/>
        <w:ind w:left="1000" w:right="440" w:firstLine="399"/>
        <w:spacing w:after="0" w:line="259" w:lineRule="auto"/>
        <w:tabs>
          <w:tab w:leader="none" w:pos="1649"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secured by a valid second priority perfected security interest or lien in, to or on specified collateral securing the obligor’s obligations under such loan (whether or not such loan is also secured by any higher or lower priority security interest or lien on other collateral);</w:t>
      </w:r>
    </w:p>
    <w:p>
      <w:pPr>
        <w:spacing w:after="0" w:line="58" w:lineRule="exact"/>
        <w:rPr>
          <w:rFonts w:ascii="Arial" w:cs="Arial" w:eastAsia="Arial" w:hAnsi="Arial"/>
          <w:sz w:val="18"/>
          <w:szCs w:val="18"/>
          <w:color w:val="auto"/>
        </w:rPr>
      </w:pPr>
    </w:p>
    <w:p>
      <w:pPr>
        <w:ind w:left="1000" w:right="340" w:firstLine="399"/>
        <w:spacing w:after="0" w:line="306" w:lineRule="auto"/>
        <w:tabs>
          <w:tab w:leader="none" w:pos="1698" w:val="left"/>
        </w:tabs>
        <w:numPr>
          <w:ilvl w:val="1"/>
          <w:numId w:val="51"/>
        </w:numPr>
        <w:rPr>
          <w:rFonts w:ascii="Arial" w:cs="Arial" w:eastAsia="Arial" w:hAnsi="Arial"/>
          <w:sz w:val="16"/>
          <w:szCs w:val="16"/>
          <w:color w:val="auto"/>
        </w:rPr>
      </w:pPr>
      <w:r>
        <w:rPr>
          <w:rFonts w:ascii="Arial" w:cs="Arial" w:eastAsia="Arial" w:hAnsi="Arial"/>
          <w:sz w:val="16"/>
          <w:szCs w:val="16"/>
          <w:color w:val="auto"/>
        </w:rPr>
        <w:t>is secured, pursuant to such second priority perfected security interest or lien, by collateral having a value (determined as set forth below) not less than the outstanding principal balance of such loan plus the aggregate outstanding principal balances of all other loans of equal or higher seniority secured by a first or second lien or security interest in the same collateral; and</w:t>
      </w:r>
    </w:p>
    <w:p>
      <w:pPr>
        <w:spacing w:after="0" w:line="25" w:lineRule="exact"/>
        <w:rPr>
          <w:rFonts w:ascii="Arial" w:cs="Arial" w:eastAsia="Arial" w:hAnsi="Arial"/>
          <w:sz w:val="16"/>
          <w:szCs w:val="16"/>
          <w:color w:val="auto"/>
        </w:rPr>
      </w:pPr>
    </w:p>
    <w:p>
      <w:pPr>
        <w:ind w:left="1700" w:hanging="301"/>
        <w:spacing w:after="0"/>
        <w:tabs>
          <w:tab w:leader="none" w:pos="17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not a loan which is secured solely or primarily by the common stock of its obligor or any of its Affiliates.</w:t>
      </w:r>
    </w:p>
    <w:p>
      <w:pPr>
        <w:spacing w:after="0" w:line="90" w:lineRule="exact"/>
        <w:rPr>
          <w:rFonts w:ascii="Arial" w:cs="Arial" w:eastAsia="Arial" w:hAnsi="Arial"/>
          <w:sz w:val="18"/>
          <w:szCs w:val="18"/>
          <w:color w:val="auto"/>
        </w:rPr>
      </w:pPr>
    </w:p>
    <w:p>
      <w:pPr>
        <w:ind w:left="1100" w:hanging="240"/>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 not a Senior B Loan Obligation.</w:t>
      </w:r>
    </w:p>
    <w:p>
      <w:pPr>
        <w:spacing w:after="0" w:line="90" w:lineRule="exact"/>
        <w:rPr>
          <w:sz w:val="20"/>
          <w:szCs w:val="20"/>
          <w:color w:val="auto"/>
        </w:rPr>
      </w:pPr>
    </w:p>
    <w:p>
      <w:pPr>
        <w:ind w:firstLine="431"/>
        <w:spacing w:after="0" w:line="286" w:lineRule="auto"/>
        <w:rPr>
          <w:sz w:val="20"/>
          <w:szCs w:val="20"/>
          <w:color w:val="auto"/>
        </w:rPr>
      </w:pPr>
      <w:r>
        <w:rPr>
          <w:rFonts w:ascii="Arial" w:cs="Arial" w:eastAsia="Arial" w:hAnsi="Arial"/>
          <w:sz w:val="16"/>
          <w:szCs w:val="16"/>
          <w:color w:val="auto"/>
        </w:rPr>
        <w:t xml:space="preserve">The determination as to whether </w:t>
      </w:r>
      <w:r>
        <w:rPr>
          <w:rFonts w:ascii="Arial" w:cs="Arial" w:eastAsia="Arial" w:hAnsi="Arial"/>
          <w:sz w:val="16"/>
          <w:szCs w:val="16"/>
          <w:u w:val="single" w:color="auto"/>
          <w:color w:val="auto"/>
        </w:rPr>
        <w:t>clause (iii) of clause (b)</w:t>
      </w:r>
      <w:r>
        <w:rPr>
          <w:rFonts w:ascii="Arial" w:cs="Arial" w:eastAsia="Arial" w:hAnsi="Arial"/>
          <w:sz w:val="16"/>
          <w:szCs w:val="16"/>
          <w:color w:val="auto"/>
        </w:rPr>
        <w:t xml:space="preserve"> of this definition is satisfied shall be based on both (x) an Appraisal or other valuation (including an internal valuation performed by the Collateral Manager and including enterprise value) performed on or about the date of acquisition by the Borrower or of the most recent restructuring of such loan, and (y) the Collateral Manager’s judgment at the time the loan is acquired by the Borrower. The limitation set forth in </w:t>
      </w:r>
      <w:r>
        <w:rPr>
          <w:rFonts w:ascii="Arial" w:cs="Arial" w:eastAsia="Arial" w:hAnsi="Arial"/>
          <w:sz w:val="16"/>
          <w:szCs w:val="16"/>
          <w:u w:val="single" w:color="auto"/>
          <w:color w:val="auto"/>
        </w:rPr>
        <w:t>clause (iv) of clause (b)</w:t>
      </w:r>
      <w:r>
        <w:rPr>
          <w:rFonts w:ascii="Arial" w:cs="Arial" w:eastAsia="Arial" w:hAnsi="Arial"/>
          <w:sz w:val="16"/>
          <w:szCs w:val="16"/>
          <w:color w:val="auto"/>
        </w:rPr>
        <w:t xml:space="preserve"> above shall not apply with respect to a loan made to a parent entity that is secured solely or substantially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 (2) 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 each case, so long as (x) the Related Documents limit the incurrence of indebtedness by such subsidiary and (y) the aggregate amount of all such indebtedness is not greater than 60% of the aggregate value of the assets of such subsidiary.</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80"/>
          </w:cols>
          <w:pgMar w:left="780" w:top="280" w:right="339" w:bottom="1440" w:gutter="0" w:footer="0" w:header="0"/>
        </w:sectPr>
      </w:pPr>
    </w:p>
    <w:bookmarkStart w:id="74" w:name="page75"/>
    <w:bookmarkEnd w:id="74"/>
    <w:p>
      <w:pPr>
        <w:ind w:firstLine="431"/>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i w:val="1"/>
          <w:iCs w:val="1"/>
          <w:color w:val="auto"/>
        </w:rPr>
        <w:t>Equity Security</w:t>
      </w:r>
      <w:r>
        <w:rPr>
          <w:rFonts w:ascii="Arial" w:cs="Arial" w:eastAsia="Arial" w:hAnsi="Arial"/>
          <w:sz w:val="16"/>
          <w:szCs w:val="16"/>
          <w:color w:val="auto"/>
        </w:rPr>
        <w:t>” means any stock or similar security, certificate of interest or participation in any profit sharing agreement, preorganization certificate or subscription, transferable share, voting trust certificate or certificate of deposit for an equity security, limited partnership interest, interest in a joint venture, or certificate of interest in a business trust; any security future on any such security; or any security convertible, with or without consideration into such a security, or carrying any warrant or right to subscribe to or purchase such a security; or any such warrant or right.</w:t>
      </w:r>
    </w:p>
    <w:p>
      <w:pPr>
        <w:spacing w:after="0" w:line="31" w:lineRule="exact"/>
        <w:rPr>
          <w:sz w:val="20"/>
          <w:szCs w:val="20"/>
          <w:color w:val="auto"/>
        </w:rPr>
      </w:pPr>
    </w:p>
    <w:p>
      <w:pPr>
        <w:ind w:right="380" w:firstLine="431"/>
        <w:spacing w:after="0" w:line="268" w:lineRule="auto"/>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means the Employee Retirement Income Security Act of 1974, as amended from time to time, and the regulations promulgated and</w:t>
      </w:r>
      <w:r>
        <w:rPr>
          <w:rFonts w:ascii="Arial" w:cs="Arial" w:eastAsia="Arial" w:hAnsi="Arial"/>
          <w:sz w:val="18"/>
          <w:szCs w:val="18"/>
          <w:i w:val="1"/>
          <w:iCs w:val="1"/>
          <w:color w:val="auto"/>
        </w:rPr>
        <w:t xml:space="preserve"> </w:t>
      </w:r>
      <w:r>
        <w:rPr>
          <w:rFonts w:ascii="Arial" w:cs="Arial" w:eastAsia="Arial" w:hAnsi="Arial"/>
          <w:sz w:val="18"/>
          <w:szCs w:val="18"/>
          <w:color w:val="auto"/>
        </w:rPr>
        <w:t>rulings issued thereunder.</w:t>
      </w:r>
    </w:p>
    <w:p>
      <w:pPr>
        <w:spacing w:after="0" w:line="51" w:lineRule="exact"/>
        <w:rPr>
          <w:sz w:val="20"/>
          <w:szCs w:val="20"/>
          <w:color w:val="auto"/>
        </w:rPr>
      </w:pPr>
    </w:p>
    <w:p>
      <w:pPr>
        <w:ind w:firstLine="431"/>
        <w:spacing w:after="0" w:line="285" w:lineRule="auto"/>
        <w:rPr>
          <w:sz w:val="20"/>
          <w:szCs w:val="20"/>
          <w:color w:val="auto"/>
        </w:rPr>
      </w:pPr>
      <w:r>
        <w:rPr>
          <w:rFonts w:ascii="Arial" w:cs="Arial" w:eastAsia="Arial" w:hAnsi="Arial"/>
          <w:sz w:val="16"/>
          <w:szCs w:val="16"/>
          <w:i w:val="1"/>
          <w:iCs w:val="1"/>
          <w:color w:val="auto"/>
        </w:rPr>
        <w:t xml:space="preserve">“ERISA Event” </w:t>
      </w:r>
      <w:r>
        <w:rPr>
          <w:rFonts w:ascii="Arial" w:cs="Arial" w:eastAsia="Arial" w:hAnsi="Arial"/>
          <w:sz w:val="16"/>
          <w:szCs w:val="16"/>
          <w:color w:val="auto"/>
        </w:rPr>
        <w:t>means (a) any “reportable event,” as defined in Section 4043 of ERISA or the regulations issued thereunder with respect to a Plan</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Section 430 of the Code or Section 303 of ERISA); (e) the incurrence by the Borrower or any member of its ERISA Group of any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 (i) 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46" w:lineRule="exact"/>
        <w:rPr>
          <w:sz w:val="20"/>
          <w:szCs w:val="20"/>
          <w:color w:val="auto"/>
        </w:rPr>
      </w:pPr>
    </w:p>
    <w:p>
      <w:pPr>
        <w:ind w:right="100" w:firstLine="431"/>
        <w:spacing w:after="0" w:line="268" w:lineRule="auto"/>
        <w:rPr>
          <w:sz w:val="20"/>
          <w:szCs w:val="20"/>
          <w:color w:val="auto"/>
        </w:rPr>
      </w:pPr>
      <w:r>
        <w:rPr>
          <w:rFonts w:ascii="Arial" w:cs="Arial" w:eastAsia="Arial" w:hAnsi="Arial"/>
          <w:sz w:val="18"/>
          <w:szCs w:val="18"/>
          <w:i w:val="1"/>
          <w:iCs w:val="1"/>
          <w:color w:val="auto"/>
        </w:rPr>
        <w:t xml:space="preserve">“ERISA Group” </w:t>
      </w:r>
      <w:r>
        <w:rPr>
          <w:rFonts w:ascii="Arial" w:cs="Arial" w:eastAsia="Arial" w:hAnsi="Arial"/>
          <w:sz w:val="18"/>
          <w:szCs w:val="18"/>
          <w:color w:val="auto"/>
        </w:rPr>
        <w:t>means each controlled group of corporations or trades or businesses (whether or not incorporated) under common control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a single employer under Section 414(b), (c), (m) or (o) of the Code with the Borrower.</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“Eurocurrency Liabilities” </w:t>
      </w:r>
      <w:r>
        <w:rPr>
          <w:rFonts w:ascii="Arial" w:cs="Arial" w:eastAsia="Arial" w:hAnsi="Arial"/>
          <w:sz w:val="16"/>
          <w:szCs w:val="16"/>
          <w:color w:val="auto"/>
        </w:rPr>
        <w:t>is defined in Regulation D of the Board of Governors of the Federal Reserve System, as in effect from time to time.</w:t>
      </w:r>
    </w:p>
    <w:p>
      <w:pPr>
        <w:spacing w:after="0" w:line="113" w:lineRule="exact"/>
        <w:rPr>
          <w:sz w:val="20"/>
          <w:szCs w:val="20"/>
          <w:color w:val="auto"/>
        </w:rPr>
      </w:pPr>
    </w:p>
    <w:p>
      <w:pPr>
        <w:ind w:right="180" w:firstLine="431"/>
        <w:spacing w:after="0" w:line="254" w:lineRule="auto"/>
        <w:rPr>
          <w:sz w:val="20"/>
          <w:szCs w:val="20"/>
          <w:color w:val="auto"/>
        </w:rPr>
      </w:pPr>
      <w:r>
        <w:rPr>
          <w:rFonts w:ascii="Arial" w:cs="Arial" w:eastAsia="Arial" w:hAnsi="Arial"/>
          <w:sz w:val="18"/>
          <w:szCs w:val="18"/>
          <w:i w:val="1"/>
          <w:iCs w:val="1"/>
          <w:color w:val="auto"/>
        </w:rPr>
        <w:t xml:space="preserve">“Eurodollar Disruption Event” </w:t>
      </w:r>
      <w:r>
        <w:rPr>
          <w:rFonts w:ascii="Arial" w:cs="Arial" w:eastAsia="Arial" w:hAnsi="Arial"/>
          <w:sz w:val="18"/>
          <w:szCs w:val="18"/>
          <w:color w:val="auto"/>
        </w:rPr>
        <w:t>means the occurrence of any of the following: (a) any Lender or Liquidity Bank shall have notified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of a determination by such Lender or Liquidity Bank or any of its assignees or participants that it would be contrary to law or to the directive of any central bank or other governmental authority (whether or not having the force of law) to obtain Dollars in the London interbank market to fund any Advance, (b) any Lender or Liquidity Bank shall have notified the Administrative Agent of the inability, for any reason, of such Lender or Liquidity Bank or any of its assignees or participants to</w:t>
      </w:r>
    </w:p>
    <w:p>
      <w:pPr>
        <w:spacing w:after="0" w:line="13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20"/>
          </w:cols>
          <w:pgMar w:left="780" w:top="280" w:right="399" w:bottom="1440" w:gutter="0" w:footer="0" w:header="0"/>
        </w:sectPr>
      </w:pPr>
    </w:p>
    <w:bookmarkStart w:id="75" w:name="page76"/>
    <w:bookmarkEnd w:id="75"/>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determine the Adjusted Eurodollar Rate, (c) any Lender or Liquidity Bank shall have notified the Administrative Agent of a determination by such Lender or Liquidity Bank or any of its assignees or participants that the rate at which deposits of Dollars are being offered to such Lender or Liquidity Bank or any of its assignees or participants in the London interbank market does not accurately reflect the cost to such Lender or Liquidity Bank, such assignee or such participant of making, funding or maintaining any Advance or (d) any Lender or Liquidity Bank shall have notified the Administrative Agent of the inability of such Lender or Liquidity Bank or any of its assignees or participants to obtain Dollars in the London interbank market to make, fund or maintain any Advance.</w:t>
      </w:r>
    </w:p>
    <w:p>
      <w:pPr>
        <w:spacing w:after="0" w:line="63" w:lineRule="exact"/>
        <w:rPr>
          <w:sz w:val="20"/>
          <w:szCs w:val="20"/>
          <w:color w:val="auto"/>
        </w:rPr>
      </w:pPr>
    </w:p>
    <w:p>
      <w:pPr>
        <w:ind w:right="100" w:firstLine="431"/>
        <w:spacing w:after="0" w:line="294" w:lineRule="auto"/>
        <w:rPr>
          <w:sz w:val="20"/>
          <w:szCs w:val="20"/>
          <w:color w:val="auto"/>
        </w:rPr>
      </w:pPr>
      <w:r>
        <w:rPr>
          <w:rFonts w:ascii="Arial" w:cs="Arial" w:eastAsia="Arial" w:hAnsi="Arial"/>
          <w:sz w:val="16"/>
          <w:szCs w:val="16"/>
          <w:i w:val="1"/>
          <w:iCs w:val="1"/>
          <w:color w:val="auto"/>
        </w:rPr>
        <w:t xml:space="preserve">“Eurodollar Reserve Percentage” </w:t>
      </w:r>
      <w:r>
        <w:rPr>
          <w:rFonts w:ascii="Arial" w:cs="Arial" w:eastAsia="Arial" w:hAnsi="Arial"/>
          <w:sz w:val="16"/>
          <w:szCs w:val="16"/>
          <w:color w:val="auto"/>
        </w:rPr>
        <w:t>means, for any period, the percentage, if any, applicable during such period (or, if more than one such</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shall be so applicable, the daily average of such percentages for those days in such period during which any such percentage shall be so applicable) under regulations issued from time to time by the Board of Governors of the Federal Reserve System (or any successor) for determining the maximum reserve requirement (including, without limitation, any basic, emergency, supplemental, marginal or other reserve requirements) with respect to liabilities or assets consisting of or including Eurocurrency Liabilities having a term of one month.</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means the occurrence of any of the events, acts or circumstances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90" w:lineRule="exact"/>
        <w:rPr>
          <w:sz w:val="20"/>
          <w:szCs w:val="20"/>
          <w:color w:val="auto"/>
        </w:rPr>
      </w:pPr>
    </w:p>
    <w:p>
      <w:pPr>
        <w:ind w:right="180" w:firstLine="431"/>
        <w:spacing w:after="0" w:line="356" w:lineRule="auto"/>
        <w:rPr>
          <w:sz w:val="20"/>
          <w:szCs w:val="20"/>
          <w:color w:val="auto"/>
        </w:rPr>
      </w:pPr>
      <w:r>
        <w:rPr>
          <w:rFonts w:ascii="Arial" w:cs="Arial" w:eastAsia="Arial" w:hAnsi="Arial"/>
          <w:sz w:val="15"/>
          <w:szCs w:val="15"/>
          <w:i w:val="1"/>
          <w:iCs w:val="1"/>
          <w:color w:val="auto"/>
        </w:rPr>
        <w:t xml:space="preserve">“Excess Concentration Amount” </w:t>
      </w:r>
      <w:r>
        <w:rPr>
          <w:rFonts w:ascii="Arial" w:cs="Arial" w:eastAsia="Arial" w:hAnsi="Arial"/>
          <w:sz w:val="15"/>
          <w:szCs w:val="15"/>
          <w:color w:val="auto"/>
        </w:rPr>
        <w:t>means, at any time in respect of which any one or more of the Concentration Limitations are exceeded, the</w:t>
      </w:r>
      <w:r>
        <w:rPr>
          <w:rFonts w:ascii="Arial" w:cs="Arial" w:eastAsia="Arial" w:hAnsi="Arial"/>
          <w:sz w:val="15"/>
          <w:szCs w:val="15"/>
          <w:i w:val="1"/>
          <w:iCs w:val="1"/>
          <w:color w:val="auto"/>
        </w:rPr>
        <w:t xml:space="preserve"> </w:t>
      </w:r>
      <w:r>
        <w:rPr>
          <w:rFonts w:ascii="Arial" w:cs="Arial" w:eastAsia="Arial" w:hAnsi="Arial"/>
          <w:sz w:val="15"/>
          <w:szCs w:val="15"/>
          <w:color w:val="auto"/>
        </w:rPr>
        <w:t>portions (calculated by the Collateral Manager without duplication) of each Collateral Loan that cause such Concentration Limitations to be exceeded.</w:t>
      </w:r>
    </w:p>
    <w:p>
      <w:pPr>
        <w:spacing w:after="0" w:line="1" w:lineRule="exact"/>
        <w:rPr>
          <w:sz w:val="20"/>
          <w:szCs w:val="20"/>
          <w:color w:val="auto"/>
        </w:rPr>
      </w:pPr>
    </w:p>
    <w:p>
      <w:pPr>
        <w:ind w:firstLine="431"/>
        <w:spacing w:after="0" w:line="288" w:lineRule="auto"/>
        <w:rPr>
          <w:sz w:val="20"/>
          <w:szCs w:val="20"/>
          <w:color w:val="auto"/>
        </w:rPr>
      </w:pPr>
      <w:r>
        <w:rPr>
          <w:rFonts w:ascii="Arial" w:cs="Arial" w:eastAsia="Arial" w:hAnsi="Arial"/>
          <w:sz w:val="16"/>
          <w:szCs w:val="16"/>
          <w:i w:val="1"/>
          <w:iCs w:val="1"/>
          <w:color w:val="auto"/>
        </w:rPr>
        <w:t xml:space="preserve">“Excess Interest Proceeds Amount” </w:t>
      </w:r>
      <w:r>
        <w:rPr>
          <w:rFonts w:ascii="Arial" w:cs="Arial" w:eastAsia="Arial" w:hAnsi="Arial"/>
          <w:sz w:val="16"/>
          <w:szCs w:val="16"/>
          <w:color w:val="auto"/>
        </w:rPr>
        <w:t>means, at any time, the excess, if any, of (i) the aggregate amount in and available from the Interest Collection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Subaccount over (ii) 150% of the aggregate amount necessary on the following Payment Date, in the good faith estimate of the Collateral Manager, to make the required payments pursuant to </w:t>
      </w:r>
      <w:r>
        <w:rPr>
          <w:rFonts w:ascii="Arial" w:cs="Arial" w:eastAsia="Arial" w:hAnsi="Arial"/>
          <w:sz w:val="16"/>
          <w:szCs w:val="16"/>
          <w:u w:val="single" w:color="auto"/>
          <w:color w:val="auto"/>
        </w:rPr>
        <w:t>Section 9.01(a)(i)(A) through (E)</w:t>
      </w:r>
      <w:r>
        <w:rPr>
          <w:rFonts w:ascii="Arial" w:cs="Arial" w:eastAsia="Arial" w:hAnsi="Arial"/>
          <w:sz w:val="16"/>
          <w:szCs w:val="16"/>
          <w:color w:val="auto"/>
        </w:rPr>
        <w:t xml:space="preserve"> of the Priority of Payments (after giving effect to any prepayments pursuant to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The Excess Interest Proceeds Amount shall be calculated by the Collateral Manager pursuant to an Excess Interest Proceeds Estimate. The Collateral Manager shall calculate the Excess Interest Proceeds Amount (including, without limitation, the estimate of the required payments pursuant to </w:t>
      </w:r>
      <w:r>
        <w:rPr>
          <w:rFonts w:ascii="Arial" w:cs="Arial" w:eastAsia="Arial" w:hAnsi="Arial"/>
          <w:sz w:val="16"/>
          <w:szCs w:val="16"/>
          <w:u w:val="single" w:color="auto"/>
          <w:color w:val="auto"/>
        </w:rPr>
        <w:t>Section 9.01(a)(i)(A) through (E)</w:t>
      </w:r>
      <w:r>
        <w:rPr>
          <w:rFonts w:ascii="Arial" w:cs="Arial" w:eastAsia="Arial" w:hAnsi="Arial"/>
          <w:sz w:val="16"/>
          <w:szCs w:val="16"/>
          <w:color w:val="auto"/>
        </w:rPr>
        <w:t xml:space="preserve"> of the Priority of Payments) in good faith based on the outstanding Advances immediately after giving effect to the contemplated prepayment being made with the Excess Interest Proceeds Amount or such higher amount as deemed appropriate to make such required payments in the Collateral Manager’s estimation.</w:t>
      </w:r>
    </w:p>
    <w:p>
      <w:pPr>
        <w:spacing w:after="0" w:line="43" w:lineRule="exact"/>
        <w:rPr>
          <w:sz w:val="20"/>
          <w:szCs w:val="20"/>
          <w:color w:val="auto"/>
        </w:rPr>
      </w:pPr>
    </w:p>
    <w:p>
      <w:pPr>
        <w:ind w:right="40" w:firstLine="431"/>
        <w:spacing w:after="0" w:line="268" w:lineRule="auto"/>
        <w:rPr>
          <w:sz w:val="20"/>
          <w:szCs w:val="20"/>
          <w:color w:val="auto"/>
        </w:rPr>
      </w:pPr>
      <w:r>
        <w:rPr>
          <w:rFonts w:ascii="Arial" w:cs="Arial" w:eastAsia="Arial" w:hAnsi="Arial"/>
          <w:sz w:val="18"/>
          <w:szCs w:val="18"/>
          <w:i w:val="1"/>
          <w:iCs w:val="1"/>
          <w:color w:val="auto"/>
        </w:rPr>
        <w:t xml:space="preserve">“Excess Interest Proceeds Estimate” </w:t>
      </w:r>
      <w:r>
        <w:rPr>
          <w:rFonts w:ascii="Arial" w:cs="Arial" w:eastAsia="Arial" w:hAnsi="Arial"/>
          <w:sz w:val="18"/>
          <w:szCs w:val="18"/>
          <w:color w:val="auto"/>
        </w:rPr>
        <w:t>means a good faith estimate of the Excess Interest Proceeds Amount as calculated by the Collateral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51" w:lineRule="exact"/>
        <w:rPr>
          <w:sz w:val="20"/>
          <w:szCs w:val="20"/>
          <w:color w:val="auto"/>
        </w:rPr>
      </w:pPr>
    </w:p>
    <w:p>
      <w:pPr>
        <w:jc w:val="both"/>
        <w:ind w:right="120" w:firstLine="431"/>
        <w:spacing w:after="0" w:line="259" w:lineRule="auto"/>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promulgated thereunder, all as from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time in effect, or any successor law, rules or regulations, and any reference to any statutory or regulatory provision shall be deemed to be a reference to any successor statutory or regulatory provision.</w:t>
      </w:r>
    </w:p>
    <w:p>
      <w:pPr>
        <w:spacing w:after="0" w:line="12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40"/>
          </w:cols>
          <w:pgMar w:left="780" w:top="280" w:right="379" w:bottom="1440" w:gutter="0" w:footer="0" w:header="0"/>
        </w:sectPr>
      </w:pPr>
    </w:p>
    <w:bookmarkStart w:id="76" w:name="page77"/>
    <w:bookmarkEnd w:id="76"/>
    <w:p>
      <w:pPr>
        <w:jc w:val="both"/>
        <w:ind w:right="100" w:firstLine="431"/>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“Facility Amount” </w:t>
      </w:r>
      <w:r>
        <w:rPr>
          <w:rFonts w:ascii="Arial" w:cs="Arial" w:eastAsia="Arial" w:hAnsi="Arial"/>
          <w:sz w:val="16"/>
          <w:szCs w:val="16"/>
          <w:color w:val="auto"/>
        </w:rPr>
        <w:t>means (a) on or prior to the Commitment Termination Date, $100,000,000 (as such amount may be reduced from time to time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and (b) following the Commitment Termination Date, the outstanding principal balance of all the Advances;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Facility Amount may be increased by the Borrower from time to time in accordance with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hereof.</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“Facility Amount Increase” </w:t>
      </w:r>
      <w:r>
        <w:rPr>
          <w:rFonts w:ascii="Arial" w:cs="Arial" w:eastAsia="Arial" w:hAnsi="Arial"/>
          <w:sz w:val="18"/>
          <w:szCs w:val="18"/>
          <w:color w:val="auto"/>
        </w:rPr>
        <w:t>means an increase in the Facility Amount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i w:val="1"/>
          <w:iCs w:val="1"/>
          <w:color w:val="auto"/>
        </w:rPr>
        <w:t xml:space="preserve"> </w:t>
      </w:r>
      <w:r>
        <w:rPr>
          <w:rFonts w:ascii="Arial" w:cs="Arial" w:eastAsia="Arial" w:hAnsi="Arial"/>
          <w:sz w:val="18"/>
          <w:szCs w:val="18"/>
          <w:color w:val="auto"/>
        </w:rPr>
        <w:t>hereof.</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“Facility Amount Increase Request” </w:t>
      </w:r>
      <w:r>
        <w:rPr>
          <w:rFonts w:ascii="Arial" w:cs="Arial" w:eastAsia="Arial" w:hAnsi="Arial"/>
          <w:sz w:val="18"/>
          <w:szCs w:val="18"/>
          <w:color w:val="auto"/>
        </w:rPr>
        <w:t>is defined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i w:val="1"/>
          <w:iCs w:val="1"/>
          <w:color w:val="auto"/>
        </w:rPr>
        <w:t xml:space="preserve"> </w:t>
      </w:r>
      <w:r>
        <w:rPr>
          <w:rFonts w:ascii="Arial" w:cs="Arial" w:eastAsia="Arial" w:hAnsi="Arial"/>
          <w:sz w:val="18"/>
          <w:szCs w:val="18"/>
          <w:color w:val="auto"/>
        </w:rPr>
        <w:t>hereof.</w:t>
      </w:r>
    </w:p>
    <w:p>
      <w:pPr>
        <w:spacing w:after="0" w:line="90" w:lineRule="exact"/>
        <w:rPr>
          <w:sz w:val="20"/>
          <w:szCs w:val="20"/>
          <w:color w:val="auto"/>
        </w:rPr>
      </w:pPr>
    </w:p>
    <w:p>
      <w:pPr>
        <w:ind w:right="80" w:firstLine="431"/>
        <w:spacing w:after="0" w:line="298" w:lineRule="auto"/>
        <w:rPr>
          <w:sz w:val="20"/>
          <w:szCs w:val="20"/>
          <w:color w:val="auto"/>
        </w:rPr>
      </w:pPr>
      <w:r>
        <w:rPr>
          <w:rFonts w:ascii="Arial" w:cs="Arial" w:eastAsia="Arial" w:hAnsi="Arial"/>
          <w:sz w:val="16"/>
          <w:szCs w:val="16"/>
          <w:i w:val="1"/>
          <w:iCs w:val="1"/>
          <w:color w:val="auto"/>
        </w:rPr>
        <w:t xml:space="preserve">“Facility Documents” </w:t>
      </w:r>
      <w:r>
        <w:rPr>
          <w:rFonts w:ascii="Arial" w:cs="Arial" w:eastAsia="Arial" w:hAnsi="Arial"/>
          <w:sz w:val="16"/>
          <w:szCs w:val="16"/>
          <w:color w:val="auto"/>
        </w:rPr>
        <w:t>means this Agreement, the Purchase and Contribution Agreement, the Account Control Agreement, the Collateral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Fee Letter, the Custodian Fee Letter, the Backup Collateral Manager Fee Letter, the Administrative Agent Fee Letter, the Lender Fee Letter, the Collateral Administration Agreement and any other security agreements and other instruments entered into or delivered by or on behalf of the Borrower pursuant to </w:t>
      </w:r>
      <w:r>
        <w:rPr>
          <w:rFonts w:ascii="Arial" w:cs="Arial" w:eastAsia="Arial" w:hAnsi="Arial"/>
          <w:sz w:val="16"/>
          <w:szCs w:val="16"/>
          <w:u w:val="single" w:color="auto"/>
          <w:color w:val="auto"/>
        </w:rPr>
        <w:t>Section 5.01(c)</w:t>
      </w:r>
      <w:r>
        <w:rPr>
          <w:rFonts w:ascii="Arial" w:cs="Arial" w:eastAsia="Arial" w:hAnsi="Arial"/>
          <w:sz w:val="16"/>
          <w:szCs w:val="16"/>
          <w:color w:val="auto"/>
        </w:rPr>
        <w:t xml:space="preserve"> to create, perfect or otherwise evidence the Collateral Agent’s security interest.</w:t>
      </w:r>
    </w:p>
    <w:p>
      <w:pPr>
        <w:spacing w:after="0" w:line="31" w:lineRule="exact"/>
        <w:rPr>
          <w:sz w:val="20"/>
          <w:szCs w:val="20"/>
          <w:color w:val="auto"/>
        </w:rPr>
      </w:pPr>
    </w:p>
    <w:p>
      <w:pPr>
        <w:ind w:firstLine="431"/>
        <w:spacing w:after="0" w:line="259" w:lineRule="auto"/>
        <w:rPr>
          <w:sz w:val="20"/>
          <w:szCs w:val="20"/>
          <w:color w:val="auto"/>
        </w:rPr>
      </w:pPr>
      <w:r>
        <w:rPr>
          <w:rFonts w:ascii="Arial" w:cs="Arial" w:eastAsia="Arial" w:hAnsi="Arial"/>
          <w:sz w:val="18"/>
          <w:szCs w:val="18"/>
          <w:i w:val="1"/>
          <w:iCs w:val="1"/>
          <w:color w:val="auto"/>
        </w:rPr>
        <w:t>“FATCA</w:t>
      </w:r>
      <w:r>
        <w:rPr>
          <w:rFonts w:ascii="Arial" w:cs="Arial" w:eastAsia="Arial" w:hAnsi="Arial"/>
          <w:sz w:val="18"/>
          <w:szCs w:val="18"/>
          <w:color w:val="auto"/>
        </w:rPr>
        <w:t>” means Code Sections 1471 through 1474 and any regulations or official interpretations thereof (including any Revenue Ruling,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 Notice or similar guidance issued by the U.S. Internal Revenue Service thereunder as a precondition to relief or exemption from taxes under such provisions).</w:t>
      </w:r>
    </w:p>
    <w:p>
      <w:pPr>
        <w:spacing w:after="0" w:line="59" w:lineRule="exact"/>
        <w:rPr>
          <w:sz w:val="20"/>
          <w:szCs w:val="20"/>
          <w:color w:val="auto"/>
        </w:rPr>
      </w:pPr>
    </w:p>
    <w:p>
      <w:pPr>
        <w:ind w:right="40" w:firstLine="431"/>
        <w:spacing w:after="0" w:line="288" w:lineRule="auto"/>
        <w:rPr>
          <w:sz w:val="20"/>
          <w:szCs w:val="20"/>
          <w:color w:val="auto"/>
        </w:rPr>
      </w:pPr>
      <w:r>
        <w:rPr>
          <w:rFonts w:ascii="Arial" w:cs="Arial" w:eastAsia="Arial" w:hAnsi="Arial"/>
          <w:sz w:val="16"/>
          <w:szCs w:val="16"/>
          <w:i w:val="1"/>
          <w:iCs w:val="1"/>
          <w:color w:val="auto"/>
        </w:rPr>
        <w:t xml:space="preserve">“Federal Funds Rate” </w:t>
      </w:r>
      <w:r>
        <w:rPr>
          <w:rFonts w:ascii="Arial" w:cs="Arial" w:eastAsia="Arial" w:hAnsi="Arial"/>
          <w:sz w:val="16"/>
          <w:szCs w:val="16"/>
          <w:color w:val="auto"/>
        </w:rPr>
        <w:t>means, for any period, a fluctuating interest rate per annum equal for each day during such period to the weighted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if at any time a Lender is borrowing overnight funds from a Federal Reserve Bank that day, the Federal Funds Rate for such Lender for such day shall be the average rate per annum at which such overnight borrowings are made on that day as promptly reported by such Lender to the Borrower, the Collateral Administrator and the Agents in writing. Each determination of the Federal Funds Rate by a Lender pursuant to the foregoing proviso shall be conclusive and binding except in the case of manifest error.</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“Final Maturity Date” </w:t>
      </w:r>
      <w:r>
        <w:rPr>
          <w:rFonts w:ascii="Arial" w:cs="Arial" w:eastAsia="Arial" w:hAnsi="Arial"/>
          <w:sz w:val="18"/>
          <w:szCs w:val="18"/>
          <w:color w:val="auto"/>
        </w:rPr>
        <w:t>means the second anniversary of the last day of the Reinvestment Period.</w:t>
      </w:r>
    </w:p>
    <w:p>
      <w:pPr>
        <w:spacing w:after="0" w:line="90" w:lineRule="exact"/>
        <w:rPr>
          <w:sz w:val="20"/>
          <w:szCs w:val="20"/>
          <w:color w:val="auto"/>
        </w:rPr>
      </w:pPr>
    </w:p>
    <w:p>
      <w:pPr>
        <w:ind w:right="320" w:firstLine="431"/>
        <w:spacing w:after="0" w:line="306" w:lineRule="auto"/>
        <w:rPr>
          <w:sz w:val="20"/>
          <w:szCs w:val="20"/>
          <w:color w:val="auto"/>
        </w:rPr>
      </w:pPr>
      <w:r>
        <w:rPr>
          <w:rFonts w:ascii="Arial" w:cs="Arial" w:eastAsia="Arial" w:hAnsi="Arial"/>
          <w:sz w:val="16"/>
          <w:szCs w:val="16"/>
          <w:i w:val="1"/>
          <w:iCs w:val="1"/>
          <w:color w:val="auto"/>
        </w:rPr>
        <w:t xml:space="preserve">“Final Order” </w:t>
      </w:r>
      <w:r>
        <w:rPr>
          <w:rFonts w:ascii="Arial" w:cs="Arial" w:eastAsia="Arial" w:hAnsi="Arial"/>
          <w:sz w:val="16"/>
          <w:szCs w:val="16"/>
          <w:color w:val="auto"/>
        </w:rPr>
        <w:t>means an order, judgment, decree or ruling the operation or effect of which has not been stayed, reversed or amended and as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order, judgment, decree or ruling (or any revision, modification or amendment thereof) the time to appeal or to seek review or rehearing has expired and as to which no appeal or petition for review or rehearing was filed or, if filed, remains pending.</w:t>
      </w:r>
    </w:p>
    <w:p>
      <w:pPr>
        <w:spacing w:after="0" w:line="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40"/>
          </w:cols>
          <w:pgMar w:left="780" w:top="280" w:right="379" w:bottom="1440" w:gutter="0" w:footer="0" w:header="0"/>
        </w:sectPr>
      </w:pPr>
    </w:p>
    <w:bookmarkStart w:id="77" w:name="page78"/>
    <w:bookmarkEnd w:id="77"/>
    <w:p>
      <w:pPr>
        <w:ind w:left="4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“Financial Asset” </w:t>
      </w:r>
      <w:r>
        <w:rPr>
          <w:rFonts w:ascii="Arial" w:cs="Arial" w:eastAsia="Arial" w:hAnsi="Arial"/>
          <w:sz w:val="18"/>
          <w:szCs w:val="18"/>
          <w:color w:val="auto"/>
        </w:rPr>
        <w:t>has the meaning specified in Section 8-102(a)(9) of the UCC.</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14.02(b)</w:t>
      </w:r>
      <w:r>
        <w:rPr>
          <w:rFonts w:ascii="Arial" w:cs="Arial" w:eastAsia="Arial" w:hAnsi="Arial"/>
          <w:sz w:val="18"/>
          <w:szCs w:val="18"/>
          <w:color w:val="auto"/>
        </w:rPr>
        <w:t xml:space="preserve"> hereof.</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“Financing Statements” </w:t>
      </w:r>
      <w:r>
        <w:rPr>
          <w:rFonts w:ascii="Arial" w:cs="Arial" w:eastAsia="Arial" w:hAnsi="Arial"/>
          <w:sz w:val="18"/>
          <w:szCs w:val="18"/>
          <w:color w:val="auto"/>
        </w:rPr>
        <w:t>has the meaning specified in Section 9-102(a)(39) of the UCC.</w:t>
      </w:r>
    </w:p>
    <w:p>
      <w:pPr>
        <w:spacing w:after="0" w:line="90" w:lineRule="exact"/>
        <w:rPr>
          <w:sz w:val="20"/>
          <w:szCs w:val="20"/>
          <w:color w:val="auto"/>
        </w:rPr>
      </w:pPr>
    </w:p>
    <w:p>
      <w:pPr>
        <w:jc w:val="both"/>
        <w:ind w:right="80" w:firstLine="431"/>
        <w:spacing w:after="0" w:line="306" w:lineRule="auto"/>
        <w:rPr>
          <w:sz w:val="20"/>
          <w:szCs w:val="20"/>
          <w:color w:val="auto"/>
        </w:rPr>
      </w:pPr>
      <w:r>
        <w:rPr>
          <w:rFonts w:ascii="Arial" w:cs="Arial" w:eastAsia="Arial" w:hAnsi="Arial"/>
          <w:sz w:val="16"/>
          <w:szCs w:val="16"/>
          <w:i w:val="1"/>
          <w:iCs w:val="1"/>
          <w:color w:val="auto"/>
        </w:rPr>
        <w:t xml:space="preserve">“First Lien/Last Out Obligation” </w:t>
      </w:r>
      <w:r>
        <w:rPr>
          <w:rFonts w:ascii="Arial" w:cs="Arial" w:eastAsia="Arial" w:hAnsi="Arial"/>
          <w:sz w:val="16"/>
          <w:szCs w:val="16"/>
          <w:color w:val="auto"/>
        </w:rPr>
        <w:t>means a Collateral Loan that would constitute an Eligible First Lien Obligation (other than by operation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proviso in the definition of such term) but that, in the case of an event of default under the applicable Related Document, will be paid after one or more tranches of first lien loans issued by the same obligor have been paid in full in accordance with a specified waterfall of payments.</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together with its successors.</w:t>
      </w:r>
    </w:p>
    <w:p>
      <w:pPr>
        <w:spacing w:after="0" w:line="90" w:lineRule="exact"/>
        <w:rPr>
          <w:sz w:val="20"/>
          <w:szCs w:val="20"/>
          <w:color w:val="auto"/>
        </w:rPr>
      </w:pPr>
    </w:p>
    <w:p>
      <w:pPr>
        <w:ind w:left="420" w:right="3840"/>
        <w:spacing w:after="0" w:line="344" w:lineRule="auto"/>
        <w:rPr>
          <w:sz w:val="20"/>
          <w:szCs w:val="20"/>
          <w:color w:val="auto"/>
        </w:rPr>
      </w:pPr>
      <w:r>
        <w:rPr>
          <w:rFonts w:ascii="Arial" w:cs="Arial" w:eastAsia="Arial" w:hAnsi="Arial"/>
          <w:sz w:val="18"/>
          <w:szCs w:val="18"/>
          <w:i w:val="1"/>
          <w:iCs w:val="1"/>
          <w:color w:val="auto"/>
        </w:rPr>
        <w:t xml:space="preserve">“Fixed Rate Obligation” </w:t>
      </w:r>
      <w:r>
        <w:rPr>
          <w:rFonts w:ascii="Arial" w:cs="Arial" w:eastAsia="Arial" w:hAnsi="Arial"/>
          <w:sz w:val="18"/>
          <w:szCs w:val="18"/>
          <w:color w:val="auto"/>
        </w:rPr>
        <w:t>means any Collateral Loan that bears a fixed rate of interest.</w:t>
      </w:r>
      <w:r>
        <w:rPr>
          <w:rFonts w:ascii="Arial" w:cs="Arial" w:eastAsia="Arial" w:hAnsi="Arial"/>
          <w:sz w:val="18"/>
          <w:szCs w:val="18"/>
          <w:i w:val="1"/>
          <w:iCs w:val="1"/>
          <w:color w:val="auto"/>
        </w:rPr>
        <w:t xml:space="preserve"> “Floating Rate Obligation” </w:t>
      </w:r>
      <w:r>
        <w:rPr>
          <w:rFonts w:ascii="Arial" w:cs="Arial" w:eastAsia="Arial" w:hAnsi="Arial"/>
          <w:sz w:val="18"/>
          <w:szCs w:val="18"/>
          <w:color w:val="auto"/>
        </w:rPr>
        <w:t>means any Collateral Loan that bears a floating rate of interest.</w:t>
      </w:r>
      <w:r>
        <w:rPr>
          <w:rFonts w:ascii="Arial" w:cs="Arial" w:eastAsia="Arial" w:hAnsi="Arial"/>
          <w:sz w:val="18"/>
          <w:szCs w:val="18"/>
          <w:i w:val="1"/>
          <w:iCs w:val="1"/>
          <w:color w:val="auto"/>
        </w:rPr>
        <w:t xml:space="preserve"> “Floor Obligation” </w:t>
      </w:r>
      <w:r>
        <w:rPr>
          <w:rFonts w:ascii="Arial" w:cs="Arial" w:eastAsia="Arial" w:hAnsi="Arial"/>
          <w:sz w:val="18"/>
          <w:szCs w:val="18"/>
          <w:color w:val="auto"/>
        </w:rPr>
        <w:t>means, as of any date:</w:t>
      </w:r>
    </w:p>
    <w:p>
      <w:pPr>
        <w:spacing w:after="0" w:line="1" w:lineRule="exact"/>
        <w:rPr>
          <w:sz w:val="20"/>
          <w:szCs w:val="20"/>
          <w:color w:val="auto"/>
        </w:rPr>
      </w:pPr>
    </w:p>
    <w:p>
      <w:pPr>
        <w:ind w:left="440" w:right="20" w:firstLine="420"/>
        <w:spacing w:after="0" w:line="256" w:lineRule="auto"/>
        <w:tabs>
          <w:tab w:leader="none" w:pos="10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Floating Rate Obligation (1) for which the Related Documents provides for a Libor rate option and that such Libor rate is calculated as the greater of a specified “floor” rate per annum and the London interbank offered rate for the applicable interest period and (2) that, as of such date, bears interest based on such Libor rate option, but only if as of such date the London interbank offered rate for the applicable interest period is less than such floor rate; and</w:t>
      </w:r>
    </w:p>
    <w:p>
      <w:pPr>
        <w:spacing w:after="0" w:line="61" w:lineRule="exact"/>
        <w:rPr>
          <w:rFonts w:ascii="Arial" w:cs="Arial" w:eastAsia="Arial" w:hAnsi="Arial"/>
          <w:sz w:val="18"/>
          <w:szCs w:val="18"/>
          <w:color w:val="auto"/>
        </w:rPr>
      </w:pPr>
    </w:p>
    <w:p>
      <w:pPr>
        <w:jc w:val="both"/>
        <w:ind w:left="440" w:right="100" w:firstLine="420"/>
        <w:spacing w:after="0" w:line="256" w:lineRule="auto"/>
        <w:tabs>
          <w:tab w:leader="none" w:pos="11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Floating Rate Obligation (1) for which the Related Documents provides for a base or prime rate option and such base or prime rate is calculated as the greater of a specified “floor” rate per annum and the base or prime rate for the applicable interest period and (2) that, as of such date, bears interest based on such base or prime rate option, but only if as of such date the base or prime rate for the applicable interest period is less than such floor rate.</w:t>
      </w:r>
    </w:p>
    <w:p>
      <w:pPr>
        <w:spacing w:after="0" w:line="62" w:lineRule="exact"/>
        <w:rPr>
          <w:sz w:val="20"/>
          <w:szCs w:val="20"/>
          <w:color w:val="auto"/>
        </w:rPr>
      </w:pPr>
    </w:p>
    <w:p>
      <w:pPr>
        <w:ind w:firstLine="431"/>
        <w:spacing w:after="0" w:line="294" w:lineRule="auto"/>
        <w:rPr>
          <w:sz w:val="20"/>
          <w:szCs w:val="20"/>
          <w:color w:val="auto"/>
        </w:rPr>
      </w:pPr>
      <w:r>
        <w:rPr>
          <w:rFonts w:ascii="Arial" w:cs="Arial" w:eastAsia="Arial" w:hAnsi="Arial"/>
          <w:sz w:val="16"/>
          <w:szCs w:val="16"/>
          <w:i w:val="1"/>
          <w:iCs w:val="1"/>
          <w:color w:val="auto"/>
        </w:rPr>
        <w:t xml:space="preserve">“Fundamental Amendment” </w:t>
      </w:r>
      <w:r>
        <w:rPr>
          <w:rFonts w:ascii="Arial" w:cs="Arial" w:eastAsia="Arial" w:hAnsi="Arial"/>
          <w:sz w:val="16"/>
          <w:szCs w:val="16"/>
          <w:color w:val="auto"/>
        </w:rPr>
        <w:t>means any amendment, modification, waiver or supplement of or to this Agreement that would (a) increase or extend</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 of the Commitments (other than an increase in the Commitment of a particular Lender or addition of a new Lender hereunder agreed to by the relevant Lender(s) pursuant to the terms of this Agreement) or change the Final Maturity Date, (b) extend the date fixed for the payment of principal of or interest on any Advance or any fee hereunder, (c) reduce the amount of any such payment of principal, (d) reduce the rate at which interest is payable thereon or any fee is payable hereunder, (e) release any material portion of the Collateral, except in connection with dispositions</w:t>
      </w:r>
    </w:p>
    <w:p>
      <w:pPr>
        <w:spacing w:after="0" w:line="10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00"/>
          </w:cols>
          <w:pgMar w:left="780" w:top="280" w:right="419" w:bottom="1440" w:gutter="0" w:footer="0" w:header="0"/>
        </w:sectPr>
      </w:pPr>
    </w:p>
    <w:bookmarkStart w:id="78" w:name="page79"/>
    <w:bookmarkEnd w:id="78"/>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permitted hereunder, (f) alter the terms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15.01(b)</w:t>
      </w:r>
      <w:r>
        <w:rPr>
          <w:rFonts w:ascii="Arial" w:cs="Arial" w:eastAsia="Arial" w:hAnsi="Arial"/>
          <w:sz w:val="16"/>
          <w:szCs w:val="16"/>
          <w:color w:val="auto"/>
        </w:rPr>
        <w:t>, (g) modify the definition of the terms “Majority Lenders,” “Required Lenders,” “Maximum Available Amount,” “Borrowing Base,” “Maximum Advance Rate Test,” “Interest Coverage Ratio Test”, “Minimum Equity Amount”, “Collateral Loan”, or modify in any other manner the number or percentage of the Lenders required to make any determinations or waive any rights hereunder or to modify any provision hereof, or (h) extend the Reinvestment Period.</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“Funding Effective Date” </w:t>
      </w:r>
      <w:r>
        <w:rPr>
          <w:rFonts w:ascii="Arial" w:cs="Arial" w:eastAsia="Arial" w:hAnsi="Arial"/>
          <w:sz w:val="16"/>
          <w:szCs w:val="16"/>
          <w:color w:val="auto"/>
        </w:rPr>
        <w:t>means the later of the Closing Date and the date on which the conditions precedent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3.01</w:t>
      </w:r>
      <w:r>
        <w:rPr>
          <w:rFonts w:ascii="Arial" w:cs="Arial" w:eastAsia="Arial" w:hAnsi="Arial"/>
          <w:sz w:val="16"/>
          <w:szCs w:val="16"/>
          <w:i w:val="1"/>
          <w:iCs w:val="1"/>
          <w:color w:val="auto"/>
        </w:rPr>
        <w:t xml:space="preserve"> </w:t>
      </w:r>
      <w:r>
        <w:rPr>
          <w:rFonts w:ascii="Arial" w:cs="Arial" w:eastAsia="Arial" w:hAnsi="Arial"/>
          <w:sz w:val="16"/>
          <w:szCs w:val="16"/>
          <w:color w:val="auto"/>
        </w:rPr>
        <w:t>are satisfied.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in effect from time to time in the United States.</w:t>
      </w:r>
    </w:p>
    <w:p>
      <w:pPr>
        <w:spacing w:after="0" w:line="90" w:lineRule="exact"/>
        <w:rPr>
          <w:sz w:val="20"/>
          <w:szCs w:val="20"/>
          <w:color w:val="auto"/>
        </w:rPr>
      </w:pPr>
    </w:p>
    <w:p>
      <w:pPr>
        <w:ind w:right="20" w:firstLine="431"/>
        <w:spacing w:after="0" w:line="294" w:lineRule="auto"/>
        <w:rPr>
          <w:sz w:val="20"/>
          <w:szCs w:val="20"/>
          <w:color w:val="auto"/>
        </w:rPr>
      </w:pPr>
      <w:r>
        <w:rPr>
          <w:rFonts w:ascii="Arial" w:cs="Arial" w:eastAsia="Arial" w:hAnsi="Arial"/>
          <w:sz w:val="16"/>
          <w:szCs w:val="16"/>
          <w:i w:val="1"/>
          <w:iCs w:val="1"/>
          <w:color w:val="auto"/>
        </w:rPr>
        <w:t xml:space="preserve">“Governmental Authority” </w:t>
      </w:r>
      <w:r>
        <w:rPr>
          <w:rFonts w:ascii="Arial" w:cs="Arial" w:eastAsia="Arial" w:hAnsi="Arial"/>
          <w:sz w:val="16"/>
          <w:szCs w:val="16"/>
          <w:color w:val="auto"/>
        </w:rPr>
        <w:t>means any nation or government, any state or other political subdivision thereof, any agency, authority, instrumentality,</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body, administrative tribunal, central bank, public office, court, arbitration or mediation panel, or other entity exercising executive, legislative, judicial, taxing, regulatory or 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w:t>
      </w:r>
    </w:p>
    <w:p>
      <w:pPr>
        <w:spacing w:after="0" w:line="34" w:lineRule="exact"/>
        <w:rPr>
          <w:sz w:val="20"/>
          <w:szCs w:val="20"/>
          <w:color w:val="auto"/>
        </w:rPr>
      </w:pPr>
    </w:p>
    <w:p>
      <w:pPr>
        <w:ind w:right="700" w:firstLine="431"/>
        <w:spacing w:after="0" w:line="268" w:lineRule="auto"/>
        <w:rPr>
          <w:sz w:val="20"/>
          <w:szCs w:val="20"/>
          <w:color w:val="auto"/>
        </w:rPr>
      </w:pPr>
      <w:r>
        <w:rPr>
          <w:rFonts w:ascii="Arial" w:cs="Arial" w:eastAsia="Arial" w:hAnsi="Arial"/>
          <w:sz w:val="18"/>
          <w:szCs w:val="18"/>
          <w:i w:val="1"/>
          <w:iCs w:val="1"/>
          <w:color w:val="auto"/>
        </w:rPr>
        <w:t xml:space="preserve">“Governmental Authorizations” </w:t>
      </w:r>
      <w:r>
        <w:rPr>
          <w:rFonts w:ascii="Arial" w:cs="Arial" w:eastAsia="Arial" w:hAnsi="Arial"/>
          <w:sz w:val="18"/>
          <w:szCs w:val="18"/>
          <w:color w:val="auto"/>
        </w:rPr>
        <w:t>means all franchises, permits, licenses, approvals, consents and other authorizations of all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w:t>
      </w:r>
    </w:p>
    <w:p>
      <w:pPr>
        <w:spacing w:after="0" w:line="51" w:lineRule="exact"/>
        <w:rPr>
          <w:sz w:val="20"/>
          <w:szCs w:val="20"/>
          <w:color w:val="auto"/>
        </w:rPr>
      </w:pPr>
    </w:p>
    <w:p>
      <w:pPr>
        <w:ind w:right="500" w:firstLine="431"/>
        <w:spacing w:after="0" w:line="268" w:lineRule="auto"/>
        <w:rPr>
          <w:sz w:val="20"/>
          <w:szCs w:val="20"/>
          <w:color w:val="auto"/>
        </w:rPr>
      </w:pPr>
      <w:r>
        <w:rPr>
          <w:rFonts w:ascii="Arial" w:cs="Arial" w:eastAsia="Arial" w:hAnsi="Arial"/>
          <w:sz w:val="18"/>
          <w:szCs w:val="18"/>
          <w:i w:val="1"/>
          <w:iCs w:val="1"/>
          <w:color w:val="auto"/>
        </w:rPr>
        <w:t xml:space="preserve">“Governmental Filings” </w:t>
      </w:r>
      <w:r>
        <w:rPr>
          <w:rFonts w:ascii="Arial" w:cs="Arial" w:eastAsia="Arial" w:hAnsi="Arial"/>
          <w:sz w:val="18"/>
          <w:szCs w:val="18"/>
          <w:color w:val="auto"/>
        </w:rPr>
        <w:t>means all filings, including franchise and similar tax filings, and the payment of all fees, assessments, interests and</w:t>
      </w:r>
      <w:r>
        <w:rPr>
          <w:rFonts w:ascii="Arial" w:cs="Arial" w:eastAsia="Arial" w:hAnsi="Arial"/>
          <w:sz w:val="18"/>
          <w:szCs w:val="18"/>
          <w:i w:val="1"/>
          <w:iCs w:val="1"/>
          <w:color w:val="auto"/>
        </w:rPr>
        <w:t xml:space="preserve"> </w:t>
      </w:r>
      <w:r>
        <w:rPr>
          <w:rFonts w:ascii="Arial" w:cs="Arial" w:eastAsia="Arial" w:hAnsi="Arial"/>
          <w:sz w:val="18"/>
          <w:szCs w:val="18"/>
          <w:color w:val="auto"/>
        </w:rPr>
        <w:t>penalties associated with such filings with all Authorities.</w:t>
      </w:r>
    </w:p>
    <w:p>
      <w:pPr>
        <w:spacing w:after="0" w:line="51" w:lineRule="exact"/>
        <w:rPr>
          <w:sz w:val="20"/>
          <w:szCs w:val="20"/>
          <w:color w:val="auto"/>
        </w:rPr>
      </w:pPr>
    </w:p>
    <w:p>
      <w:pPr>
        <w:ind w:right="60" w:firstLine="431"/>
        <w:spacing w:after="0" w:line="291" w:lineRule="auto"/>
        <w:rPr>
          <w:sz w:val="20"/>
          <w:szCs w:val="20"/>
          <w:color w:val="auto"/>
        </w:rPr>
      </w:pPr>
      <w:r>
        <w:rPr>
          <w:rFonts w:ascii="Arial" w:cs="Arial" w:eastAsia="Arial" w:hAnsi="Arial"/>
          <w:sz w:val="16"/>
          <w:szCs w:val="16"/>
          <w:i w:val="1"/>
          <w:iCs w:val="1"/>
          <w:color w:val="auto"/>
        </w:rPr>
        <w:t xml:space="preserve">“Hedge Counterparty” </w:t>
      </w:r>
      <w:r>
        <w:rPr>
          <w:rFonts w:ascii="Arial" w:cs="Arial" w:eastAsia="Arial" w:hAnsi="Arial"/>
          <w:sz w:val="16"/>
          <w:szCs w:val="16"/>
          <w:color w:val="auto"/>
        </w:rPr>
        <w:t>means (1) SunTrust Bank or (2) any other entity that (a) on the date of entering into any hedge transaction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Borrower (i) is an interest rate swap dealer that has been approved in writing by the Administrative Agent and (ii) has a short-term unsecured debt rating of not less than “A-1” by S&amp;P and not less than “P-1” by Moody’s, and (b) in a hedging agreement (i) consents to the assignment of the Borrower’s rights under the hedging agreement to the Collateral Agent and (ii) agrees that in the event that Moody’s or S&amp;P reduces its short-term unsecured debt rating below the ratings set forth above, it shall, at its own expense, transfer its rights and obligations under each hedging transaction to another entity that meets the requirements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hereof or collateralize its exposure under each hedging transaction.</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“Indemnified Party”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12.04(b)</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“Independent Accountants”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8.08</w:t>
      </w:r>
      <w:r>
        <w:rPr>
          <w:rFonts w:ascii="Arial" w:cs="Arial" w:eastAsia="Arial" w:hAnsi="Arial"/>
          <w:sz w:val="18"/>
          <w:szCs w:val="18"/>
          <w:color w:val="auto"/>
        </w:rPr>
        <w:t>.</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80"/>
          </w:cols>
          <w:pgMar w:left="780" w:top="280" w:right="339" w:bottom="1440" w:gutter="0" w:footer="0" w:header="0"/>
        </w:sectPr>
      </w:pPr>
    </w:p>
    <w:bookmarkStart w:id="79" w:name="page80"/>
    <w:bookmarkEnd w:id="79"/>
    <w:p>
      <w:pPr>
        <w:ind w:right="100" w:firstLine="431"/>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“Ineligible Collateral Loan” </w:t>
      </w:r>
      <w:r>
        <w:rPr>
          <w:rFonts w:ascii="Arial" w:cs="Arial" w:eastAsia="Arial" w:hAnsi="Arial"/>
          <w:sz w:val="18"/>
          <w:szCs w:val="18"/>
          <w:color w:val="auto"/>
        </w:rPr>
        <w:t>means, at any time, a loan, debt obligation, debt security, Participation Interest or other obligation, or any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that fails to satisfy any criteria of the definition of “Collateral Loan” after the date of acquisition thereof by the Borrower (i.e., determined as of such date and not giving effect to the introductory language to the definition of “Collateral Loan”).</w:t>
      </w:r>
    </w:p>
    <w:p>
      <w:pPr>
        <w:spacing w:after="0" w:line="59" w:lineRule="exact"/>
        <w:rPr>
          <w:sz w:val="20"/>
          <w:szCs w:val="20"/>
          <w:color w:val="auto"/>
        </w:rPr>
      </w:pPr>
    </w:p>
    <w:p>
      <w:pPr>
        <w:ind w:firstLine="431"/>
        <w:spacing w:after="0" w:line="287" w:lineRule="auto"/>
        <w:rPr>
          <w:sz w:val="20"/>
          <w:szCs w:val="20"/>
          <w:color w:val="auto"/>
        </w:rPr>
      </w:pPr>
      <w:r>
        <w:rPr>
          <w:rFonts w:ascii="Arial" w:cs="Arial" w:eastAsia="Arial" w:hAnsi="Arial"/>
          <w:sz w:val="16"/>
          <w:szCs w:val="16"/>
          <w:i w:val="1"/>
          <w:iCs w:val="1"/>
          <w:color w:val="auto"/>
        </w:rPr>
        <w:t xml:space="preserve">“Insolvency Event” </w:t>
      </w:r>
      <w:r>
        <w:rPr>
          <w:rFonts w:ascii="Arial" w:cs="Arial" w:eastAsia="Arial" w:hAnsi="Arial"/>
          <w:sz w:val="16"/>
          <w:szCs w:val="16"/>
          <w:color w:val="auto"/>
        </w:rPr>
        <w:t>means with respect to a specified Person, (a) the filing of a decree or order for relief by a court having jurisdiction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sixty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“Instrument” </w:t>
      </w:r>
      <w:r>
        <w:rPr>
          <w:rFonts w:ascii="Arial" w:cs="Arial" w:eastAsia="Arial" w:hAnsi="Arial"/>
          <w:sz w:val="18"/>
          <w:szCs w:val="18"/>
          <w:color w:val="auto"/>
        </w:rPr>
        <w:t>has the meaning specified in Section 9-102(a)(47) of the UCC.</w:t>
      </w:r>
    </w:p>
    <w:p>
      <w:pPr>
        <w:spacing w:after="0" w:line="90" w:lineRule="exact"/>
        <w:rPr>
          <w:sz w:val="20"/>
          <w:szCs w:val="20"/>
          <w:color w:val="auto"/>
        </w:rPr>
      </w:pPr>
    </w:p>
    <w:p>
      <w:pPr>
        <w:ind w:right="80" w:firstLine="431"/>
        <w:spacing w:after="0" w:line="268"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means, for each day during an Interest Accrual Period and each Advance outstanding by a Lender on such day, the sum of the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day during such Interest Accrual Period)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217805</wp:posOffset>
            </wp:positionV>
            <wp:extent cx="617220" cy="300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72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where:</w:t>
      </w:r>
    </w:p>
    <w:p>
      <w:pPr>
        <w:spacing w:after="0" w:line="90"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8"/>
          <w:szCs w:val="18"/>
          <w:color w:val="auto"/>
        </w:rPr>
        <w:t>IR</w:t>
      </w:r>
      <w:r>
        <w:rPr>
          <w:sz w:val="20"/>
          <w:szCs w:val="20"/>
          <w:color w:val="auto"/>
        </w:rPr>
        <w:tab/>
      </w:r>
      <w:r>
        <w:rPr>
          <w:rFonts w:ascii="Arial" w:cs="Arial" w:eastAsia="Arial" w:hAnsi="Arial"/>
          <w:sz w:val="18"/>
          <w:szCs w:val="18"/>
          <w:color w:val="auto"/>
        </w:rPr>
        <w:t>=  the Interest Rate for such Advance on such day;</w:t>
      </w:r>
    </w:p>
    <w:p>
      <w:pPr>
        <w:spacing w:after="0" w:line="117" w:lineRule="exact"/>
        <w:rPr>
          <w:sz w:val="20"/>
          <w:szCs w:val="20"/>
          <w:color w:val="auto"/>
        </w:rPr>
      </w:pPr>
    </w:p>
    <w:p>
      <w:pPr>
        <w:ind w:left="980" w:hanging="568"/>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the principal amount of such Advance on such day; and</w:t>
      </w:r>
    </w:p>
    <w:p>
      <w:pPr>
        <w:spacing w:after="0" w:line="117" w:lineRule="exact"/>
        <w:rPr>
          <w:sz w:val="20"/>
          <w:szCs w:val="20"/>
          <w:color w:val="auto"/>
        </w:rPr>
      </w:pPr>
    </w:p>
    <w:p>
      <w:pPr>
        <w:ind w:left="980" w:hanging="568"/>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360 or, to the extent the Interest Rate is based on the Prime Rate, 365 or 366 days, as applicable.</w:t>
      </w:r>
    </w:p>
    <w:p>
      <w:pPr>
        <w:spacing w:after="0" w:line="90" w:lineRule="exact"/>
        <w:rPr>
          <w:sz w:val="20"/>
          <w:szCs w:val="20"/>
          <w:color w:val="auto"/>
        </w:rPr>
      </w:pPr>
    </w:p>
    <w:p>
      <w:pPr>
        <w:ind w:right="20" w:firstLine="431"/>
        <w:spacing w:after="0" w:line="254" w:lineRule="auto"/>
        <w:rPr>
          <w:sz w:val="20"/>
          <w:szCs w:val="20"/>
          <w:color w:val="auto"/>
        </w:rPr>
      </w:pPr>
      <w:r>
        <w:rPr>
          <w:rFonts w:ascii="Arial" w:cs="Arial" w:eastAsia="Arial" w:hAnsi="Arial"/>
          <w:sz w:val="18"/>
          <w:szCs w:val="18"/>
          <w:i w:val="1"/>
          <w:iCs w:val="1"/>
          <w:color w:val="auto"/>
        </w:rPr>
        <w:t xml:space="preserve">“Interest Accrual Period” </w:t>
      </w:r>
      <w:r>
        <w:rPr>
          <w:rFonts w:ascii="Arial" w:cs="Arial" w:eastAsia="Arial" w:hAnsi="Arial"/>
          <w:sz w:val="18"/>
          <w:szCs w:val="18"/>
          <w:color w:val="auto"/>
        </w:rPr>
        <w:t>means, with respect to each Advance (or portion thereof) (a) with respect to the first Payment Date for such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portion thereof), the period from and including the Closing Date to and including the last day of the calendar month preceding the first Payment Date and (b) with respect to any subsequent Payment Date for such Advance (or portion thereof), the period commencing on the first day of the calendar month in which the preceding Payment Date occurred and ending on the last day of the calendar month immediately preceding the month in which the Payment Date occurs;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the final Interest Accrual Period for all outstanding Advances hereunder shall end on and include the day prior to the payment in full of the Advances hereunder.</w:t>
      </w:r>
    </w:p>
    <w:p>
      <w:pPr>
        <w:spacing w:after="0" w:line="13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40"/>
          </w:cols>
          <w:pgMar w:left="780" w:top="280" w:right="379" w:bottom="1440" w:gutter="0" w:footer="0" w:header="0"/>
        </w:sectPr>
      </w:pPr>
    </w:p>
    <w:bookmarkStart w:id="80" w:name="page81"/>
    <w:bookmarkEnd w:id="80"/>
    <w:p>
      <w:pPr>
        <w:ind w:left="4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“Interest Collection Subaccount”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“Interest Coverage Ratio” </w:t>
      </w:r>
      <w:r>
        <w:rPr>
          <w:rFonts w:ascii="Arial" w:cs="Arial" w:eastAsia="Arial" w:hAnsi="Arial"/>
          <w:sz w:val="16"/>
          <w:szCs w:val="16"/>
          <w:color w:val="auto"/>
        </w:rPr>
        <w:t>means, on any Determination Date as of the end of the most recent Collection Period, the percentage equal to:</w:t>
      </w:r>
    </w:p>
    <w:p>
      <w:pPr>
        <w:spacing w:after="0" w:line="113" w:lineRule="exact"/>
        <w:rPr>
          <w:sz w:val="20"/>
          <w:szCs w:val="20"/>
          <w:color w:val="auto"/>
        </w:rPr>
      </w:pPr>
    </w:p>
    <w:p>
      <w:pPr>
        <w:ind w:left="1100" w:hanging="240"/>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an amount equal to the Collateral Interest Amount at such time; </w:t>
      </w:r>
      <w:r>
        <w:rPr>
          <w:rFonts w:ascii="Arial" w:cs="Arial" w:eastAsia="Arial" w:hAnsi="Arial"/>
          <w:sz w:val="18"/>
          <w:szCs w:val="18"/>
          <w:i w:val="1"/>
          <w:iCs w:val="1"/>
          <w:color w:val="auto"/>
        </w:rPr>
        <w:t>divided by</w:t>
      </w:r>
    </w:p>
    <w:p>
      <w:pPr>
        <w:spacing w:after="0" w:line="90" w:lineRule="exact"/>
        <w:rPr>
          <w:rFonts w:ascii="Arial" w:cs="Arial" w:eastAsia="Arial" w:hAnsi="Arial"/>
          <w:sz w:val="18"/>
          <w:szCs w:val="18"/>
          <w:color w:val="auto"/>
        </w:rPr>
      </w:pPr>
    </w:p>
    <w:p>
      <w:pPr>
        <w:ind w:left="1100" w:hanging="240"/>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aggregate amount payable under </w:t>
      </w:r>
      <w:r>
        <w:rPr>
          <w:rFonts w:ascii="Arial" w:cs="Arial" w:eastAsia="Arial" w:hAnsi="Arial"/>
          <w:sz w:val="18"/>
          <w:szCs w:val="18"/>
          <w:u w:val="single" w:color="auto"/>
          <w:color w:val="auto"/>
        </w:rPr>
        <w:t>Section 9.01(a)(i)(A)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on the related Payment Date.</w:t>
      </w:r>
    </w:p>
    <w:p>
      <w:pPr>
        <w:spacing w:after="0" w:line="90" w:lineRule="exact"/>
        <w:rPr>
          <w:sz w:val="20"/>
          <w:szCs w:val="20"/>
          <w:color w:val="auto"/>
        </w:rPr>
      </w:pPr>
    </w:p>
    <w:p>
      <w:pPr>
        <w:ind w:right="20" w:firstLine="43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Coverage Ratio Test</w:t>
      </w:r>
      <w:r>
        <w:rPr>
          <w:rFonts w:ascii="Arial" w:cs="Arial" w:eastAsia="Arial" w:hAnsi="Arial"/>
          <w:sz w:val="18"/>
          <w:szCs w:val="18"/>
          <w:color w:val="auto"/>
        </w:rPr>
        <w:t>” means a test applicable hereunder on and after the Determination Date on September 30, 2011 and that is satisfied at any such time if the Interest Coverage Ratio as calculated on the most recent Determination Date as of the end of the most recent Collection Period was greater than or equal to 125%.</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“Interest Proceeds” </w:t>
      </w:r>
      <w:r>
        <w:rPr>
          <w:rFonts w:ascii="Arial" w:cs="Arial" w:eastAsia="Arial" w:hAnsi="Arial"/>
          <w:sz w:val="16"/>
          <w:szCs w:val="16"/>
          <w:color w:val="auto"/>
        </w:rPr>
        <w:t>means, with respect to any Collection Period or the related Determination Date, without duplication, the sum of:</w:t>
      </w:r>
    </w:p>
    <w:p>
      <w:pPr>
        <w:spacing w:after="0" w:line="113" w:lineRule="exact"/>
        <w:rPr>
          <w:sz w:val="20"/>
          <w:szCs w:val="20"/>
          <w:color w:val="auto"/>
        </w:rPr>
      </w:pPr>
    </w:p>
    <w:p>
      <w:pPr>
        <w:ind w:left="440" w:right="200" w:firstLine="420"/>
        <w:spacing w:after="0" w:line="331" w:lineRule="auto"/>
        <w:tabs>
          <w:tab w:leader="none" w:pos="109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payments of interest and other income received by the Borrower during such Collection Period on the Collateral Loans (including Ineligible Collateral Loans), including the accrued interest received in connection with a sale thereof during such Collection Period;</w:t>
      </w:r>
    </w:p>
    <w:p>
      <w:pPr>
        <w:spacing w:after="0" w:line="5" w:lineRule="exact"/>
        <w:rPr>
          <w:rFonts w:ascii="Arial" w:cs="Arial" w:eastAsia="Arial" w:hAnsi="Arial"/>
          <w:sz w:val="16"/>
          <w:szCs w:val="16"/>
          <w:color w:val="auto"/>
        </w:rPr>
      </w:pPr>
    </w:p>
    <w:p>
      <w:pPr>
        <w:jc w:val="both"/>
        <w:ind w:left="440" w:right="320" w:firstLine="420"/>
        <w:spacing w:after="0" w:line="259" w:lineRule="auto"/>
        <w:tabs>
          <w:tab w:leader="none" w:pos="110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principal and interest payments received by the Borrower during such Collection Period on Eligible Investments purchased with Interest Proceeds; and all interest payments received by the Borrower during such Collection Period on Eligible Investments purchased with amounts credited to the Revolving Reserve Account;</w:t>
      </w:r>
    </w:p>
    <w:p>
      <w:pPr>
        <w:spacing w:after="0" w:line="58" w:lineRule="exact"/>
        <w:rPr>
          <w:rFonts w:ascii="Arial" w:cs="Arial" w:eastAsia="Arial" w:hAnsi="Arial"/>
          <w:sz w:val="18"/>
          <w:szCs w:val="18"/>
          <w:color w:val="auto"/>
        </w:rPr>
      </w:pPr>
    </w:p>
    <w:p>
      <w:pPr>
        <w:ind w:left="440" w:firstLine="420"/>
        <w:spacing w:after="0" w:line="256" w:lineRule="auto"/>
        <w:tabs>
          <w:tab w:leader="none" w:pos="10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amendment and waiver fees, late payment fees (including compensation for delayed settlement or trades), and all protection fees and other fees and commissions received by the Borrower during such Collection Period, unless the Collateral Manager notifies the Agents before such Determination Date that the Collateral Manager in its sole discretion has determined that such payments are to be treated as Principal Proceeds; and</w:t>
      </w:r>
    </w:p>
    <w:p>
      <w:pPr>
        <w:spacing w:after="0" w:line="61" w:lineRule="exact"/>
        <w:rPr>
          <w:rFonts w:ascii="Arial" w:cs="Arial" w:eastAsia="Arial" w:hAnsi="Arial"/>
          <w:sz w:val="18"/>
          <w:szCs w:val="18"/>
          <w:color w:val="auto"/>
        </w:rPr>
      </w:pPr>
    </w:p>
    <w:p>
      <w:pPr>
        <w:jc w:val="both"/>
        <w:ind w:left="440" w:right="240" w:firstLine="420"/>
        <w:spacing w:after="0" w:line="259" w:lineRule="auto"/>
        <w:tabs>
          <w:tab w:leader="none" w:pos="1102"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commitment fees, facility fees, anniversary fees, ticking fees and other similar fees received by the Borrower during such Collection Period unless the Collateral Manager notifies the Agents before such Determination Date that the Collateral Manager in its sole discretion has determined that such payments are to be treated as Principal Proceeds;</w:t>
      </w:r>
    </w:p>
    <w:p>
      <w:pPr>
        <w:spacing w:after="0" w:line="12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640"/>
          </w:cols>
          <w:pgMar w:left="780" w:top="280" w:right="479" w:bottom="1440" w:gutter="0" w:footer="0" w:header="0"/>
        </w:sectPr>
      </w:pPr>
    </w:p>
    <w:bookmarkStart w:id="81" w:name="page82"/>
    <w:bookmarkEnd w:id="81"/>
    <w:p>
      <w:pPr>
        <w:ind w:left="420"/>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w:t>
      </w:r>
    </w:p>
    <w:p>
      <w:pPr>
        <w:spacing w:after="0" w:line="90" w:lineRule="exact"/>
        <w:rPr>
          <w:sz w:val="20"/>
          <w:szCs w:val="20"/>
          <w:color w:val="auto"/>
        </w:rPr>
      </w:pPr>
    </w:p>
    <w:p>
      <w:pPr>
        <w:ind w:left="1000" w:firstLine="399"/>
        <w:spacing w:after="0" w:line="298" w:lineRule="auto"/>
        <w:tabs>
          <w:tab w:leader="none" w:pos="1639"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to any Defaulted Collateral Loan (and only so long as it remains a Defaulted Collateral Loan), any amounts received in respect thereof will constitute Principal Proceeds (and not Interest Proceeds) until the aggregate of all Collections in respect thereof since it became a Defaulted Collateral Loan equals the outstanding principal balance of such Defaulted Collateral Loan at the time as of which it became a Defaulted Collateral Loan and all amounts received in excess thereof will constitute Interest Proceeds;</w:t>
      </w:r>
    </w:p>
    <w:p>
      <w:pPr>
        <w:spacing w:after="0" w:line="31" w:lineRule="exact"/>
        <w:rPr>
          <w:rFonts w:ascii="Arial" w:cs="Arial" w:eastAsia="Arial" w:hAnsi="Arial"/>
          <w:sz w:val="16"/>
          <w:szCs w:val="16"/>
          <w:color w:val="auto"/>
        </w:rPr>
      </w:pPr>
    </w:p>
    <w:p>
      <w:pPr>
        <w:ind w:left="1640" w:hanging="241"/>
        <w:spacing w:after="0"/>
        <w:tabs>
          <w:tab w:leader="none" w:pos="1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payments received in respect of Equity Securities will constitute Principal Proceeds; and</w:t>
      </w:r>
    </w:p>
    <w:p>
      <w:pPr>
        <w:spacing w:after="0" w:line="90" w:lineRule="exact"/>
        <w:rPr>
          <w:rFonts w:ascii="Arial" w:cs="Arial" w:eastAsia="Arial" w:hAnsi="Arial"/>
          <w:sz w:val="18"/>
          <w:szCs w:val="18"/>
          <w:color w:val="auto"/>
        </w:rPr>
      </w:pPr>
    </w:p>
    <w:p>
      <w:pPr>
        <w:ind w:left="1000" w:right="420" w:firstLine="399"/>
        <w:spacing w:after="0" w:line="268" w:lineRule="auto"/>
        <w:tabs>
          <w:tab w:leader="none" w:pos="1639"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all Cash received as equity contributions from the BDC will constitute Principal Proceeds unless specified by the Collateral Manager pursuant to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51" w:lineRule="exact"/>
        <w:rPr>
          <w:sz w:val="20"/>
          <w:szCs w:val="20"/>
          <w:color w:val="auto"/>
        </w:rPr>
      </w:pPr>
    </w:p>
    <w:p>
      <w:pPr>
        <w:ind w:right="200" w:firstLine="431"/>
        <w:spacing w:after="0" w:line="268"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means, for any Interest Accrual Period and for each Advance outstanding by a Lender for each day during such Interest Accrual</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51" w:lineRule="exact"/>
        <w:rPr>
          <w:sz w:val="20"/>
          <w:szCs w:val="20"/>
          <w:color w:val="auto"/>
        </w:rPr>
      </w:pPr>
    </w:p>
    <w:p>
      <w:pPr>
        <w:ind w:left="440" w:right="400" w:firstLine="420"/>
        <w:spacing w:after="0" w:line="335" w:lineRule="auto"/>
        <w:tabs>
          <w:tab w:leader="none" w:pos="1092"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to the extent the Lender has funded the applicable Advance through the issuance of commercial paper, a rate equal to the applicable CP Rate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Applicable Margin,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upon the occurrence and during the continuance of an Event of Default (which has not otherwise been waived by the Lenders pursuant to the terms hereof) the rate shall be the Base Rate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Applicable Margin; and</w:t>
      </w:r>
    </w:p>
    <w:p>
      <w:pPr>
        <w:spacing w:after="0" w:line="6" w:lineRule="exact"/>
        <w:rPr>
          <w:rFonts w:ascii="Arial" w:cs="Arial" w:eastAsia="Arial" w:hAnsi="Arial"/>
          <w:sz w:val="15"/>
          <w:szCs w:val="15"/>
          <w:color w:val="auto"/>
        </w:rPr>
      </w:pPr>
    </w:p>
    <w:p>
      <w:pPr>
        <w:ind w:left="440" w:right="220" w:firstLine="420"/>
        <w:spacing w:after="0" w:line="268" w:lineRule="auto"/>
        <w:tabs>
          <w:tab w:leader="none" w:pos="11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to the extent the Lender did not fund the applicable Advance through the issuance of commercial paper, a rate equal to the Alternative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w:t>
      </w:r>
    </w:p>
    <w:p>
      <w:pPr>
        <w:spacing w:after="0" w:line="51" w:lineRule="exact"/>
        <w:rPr>
          <w:sz w:val="20"/>
          <w:szCs w:val="20"/>
          <w:color w:val="auto"/>
        </w:rPr>
      </w:pPr>
    </w:p>
    <w:p>
      <w:pPr>
        <w:ind w:right="680" w:firstLine="431"/>
        <w:spacing w:after="0" w:line="331" w:lineRule="auto"/>
        <w:rPr>
          <w:sz w:val="20"/>
          <w:szCs w:val="20"/>
          <w:color w:val="auto"/>
        </w:rPr>
      </w:pPr>
      <w:r>
        <w:rPr>
          <w:rFonts w:ascii="Arial" w:cs="Arial" w:eastAsia="Arial" w:hAnsi="Arial"/>
          <w:sz w:val="16"/>
          <w:szCs w:val="16"/>
          <w:i w:val="1"/>
          <w:iCs w:val="1"/>
          <w:color w:val="auto"/>
        </w:rPr>
        <w:t xml:space="preserve">“Interim Order” </w:t>
      </w:r>
      <w:r>
        <w:rPr>
          <w:rFonts w:ascii="Arial" w:cs="Arial" w:eastAsia="Arial" w:hAnsi="Arial"/>
          <w:sz w:val="16"/>
          <w:szCs w:val="16"/>
          <w:color w:val="auto"/>
        </w:rPr>
        <w:t>means an order, judgment, decree or ruling entered after notice and a hearing conducted in accordance with Bankruptcy</w:t>
      </w:r>
      <w:r>
        <w:rPr>
          <w:rFonts w:ascii="Arial" w:cs="Arial" w:eastAsia="Arial" w:hAnsi="Arial"/>
          <w:sz w:val="16"/>
          <w:szCs w:val="16"/>
          <w:i w:val="1"/>
          <w:iCs w:val="1"/>
          <w:color w:val="auto"/>
        </w:rPr>
        <w:t xml:space="preserve"> </w:t>
      </w:r>
      <w:r>
        <w:rPr>
          <w:rFonts w:ascii="Arial" w:cs="Arial" w:eastAsia="Arial" w:hAnsi="Arial"/>
          <w:sz w:val="16"/>
          <w:szCs w:val="16"/>
          <w:color w:val="auto"/>
        </w:rPr>
        <w:t>Rule 4001(c) granting interim authorization, the operation or effect of which has not been stayed, reversed or amended.</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“Investment Company Act” </w:t>
      </w:r>
      <w:r>
        <w:rPr>
          <w:rFonts w:ascii="Arial" w:cs="Arial" w:eastAsia="Arial" w:hAnsi="Arial"/>
          <w:sz w:val="16"/>
          <w:szCs w:val="16"/>
          <w:color w:val="auto"/>
        </w:rPr>
        <w:t>means the Investment Company Act of 1940, as amended, and the rules and regulations promulgated thereunder.</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“Investment Criteria” </w:t>
      </w:r>
      <w:r>
        <w:rPr>
          <w:rFonts w:ascii="Arial" w:cs="Arial" w:eastAsia="Arial" w:hAnsi="Arial"/>
          <w:sz w:val="18"/>
          <w:szCs w:val="18"/>
          <w:color w:val="auto"/>
        </w:rPr>
        <w:t>means the criteria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90" w:lineRule="exact"/>
        <w:rPr>
          <w:sz w:val="20"/>
          <w:szCs w:val="20"/>
          <w:color w:val="auto"/>
        </w:rPr>
      </w:pPr>
    </w:p>
    <w:p>
      <w:pPr>
        <w:ind w:right="320" w:firstLine="431"/>
        <w:spacing w:after="0" w:line="306" w:lineRule="auto"/>
        <w:rPr>
          <w:sz w:val="20"/>
          <w:szCs w:val="20"/>
          <w:color w:val="auto"/>
        </w:rPr>
      </w:pPr>
      <w:r>
        <w:rPr>
          <w:rFonts w:ascii="Arial" w:cs="Arial" w:eastAsia="Arial" w:hAnsi="Arial"/>
          <w:sz w:val="16"/>
          <w:szCs w:val="16"/>
          <w:i w:val="1"/>
          <w:iCs w:val="1"/>
          <w:color w:val="auto"/>
        </w:rPr>
        <w:t xml:space="preserve">“Law” </w:t>
      </w:r>
      <w:r>
        <w:rPr>
          <w:rFonts w:ascii="Arial" w:cs="Arial" w:eastAsia="Arial" w:hAnsi="Arial"/>
          <w:sz w:val="16"/>
          <w:szCs w:val="16"/>
          <w:color w:val="auto"/>
        </w:rPr>
        <w:t>means any action, code, consent decree, constitution, decree, directive, enactment, finding, guideline, law, injunction, interpretation,</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 order, ordinance, policy statement, proclamation, promulgation, regulation, requirement, rule, rule of law, rule of public policy, settlement agreement, statute, or writ, of any Governmental Authority, or any particular section, part or provision thereof.</w:t>
      </w:r>
    </w:p>
    <w:p>
      <w:pPr>
        <w:spacing w:after="0" w:line="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40"/>
          </w:cols>
          <w:pgMar w:left="780" w:top="280" w:right="379" w:bottom="1440" w:gutter="0" w:footer="0" w:header="0"/>
        </w:sectPr>
      </w:pPr>
    </w:p>
    <w:bookmarkStart w:id="82" w:name="page83"/>
    <w:bookmarkEnd w:id="82"/>
    <w:p>
      <w:pPr>
        <w:ind w:firstLine="431"/>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“LBO Loan” </w:t>
      </w:r>
      <w:r>
        <w:rPr>
          <w:rFonts w:ascii="Arial" w:cs="Arial" w:eastAsia="Arial" w:hAnsi="Arial"/>
          <w:sz w:val="18"/>
          <w:szCs w:val="18"/>
          <w:color w:val="auto"/>
        </w:rPr>
        <w:t>means a Collateral Loan the proceeds of which are used by the Obligor to acquire a controlling interest in another business enterprise</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secured by the assets of such business enterprise.</w:t>
      </w:r>
    </w:p>
    <w:p>
      <w:pPr>
        <w:spacing w:after="0" w:line="51" w:lineRule="exact"/>
        <w:rPr>
          <w:sz w:val="20"/>
          <w:szCs w:val="20"/>
          <w:color w:val="auto"/>
        </w:rPr>
      </w:pPr>
    </w:p>
    <w:p>
      <w:pPr>
        <w:ind w:right="400" w:firstLine="431"/>
        <w:spacing w:after="0" w:line="268" w:lineRule="auto"/>
        <w:rPr>
          <w:sz w:val="20"/>
          <w:szCs w:val="20"/>
          <w:color w:val="auto"/>
        </w:rPr>
      </w:pPr>
      <w:r>
        <w:rPr>
          <w:rFonts w:ascii="Arial" w:cs="Arial" w:eastAsia="Arial" w:hAnsi="Arial"/>
          <w:sz w:val="18"/>
          <w:szCs w:val="18"/>
          <w:i w:val="1"/>
          <w:iCs w:val="1"/>
          <w:color w:val="auto"/>
        </w:rPr>
        <w:t xml:space="preserve">“Lender Fee Letter” </w:t>
      </w:r>
      <w:r>
        <w:rPr>
          <w:rFonts w:ascii="Arial" w:cs="Arial" w:eastAsia="Arial" w:hAnsi="Arial"/>
          <w:sz w:val="18"/>
          <w:szCs w:val="18"/>
          <w:color w:val="auto"/>
        </w:rPr>
        <w:t>means that certain Amended and Restated Lender Fee Letter, dated as of the date hereof, by and among the Lenders,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and the Collateral Manager.</w:t>
      </w:r>
    </w:p>
    <w:p>
      <w:pPr>
        <w:spacing w:after="0" w:line="51" w:lineRule="exact"/>
        <w:rPr>
          <w:sz w:val="20"/>
          <w:szCs w:val="20"/>
          <w:color w:val="auto"/>
        </w:rPr>
      </w:pPr>
    </w:p>
    <w:p>
      <w:pPr>
        <w:ind w:right="40" w:firstLine="431"/>
        <w:spacing w:after="0" w:line="356" w:lineRule="auto"/>
        <w:rPr>
          <w:sz w:val="20"/>
          <w:szCs w:val="20"/>
          <w:color w:val="auto"/>
        </w:rPr>
      </w:pPr>
      <w:r>
        <w:rPr>
          <w:rFonts w:ascii="Arial" w:cs="Arial" w:eastAsia="Arial" w:hAnsi="Arial"/>
          <w:sz w:val="15"/>
          <w:szCs w:val="15"/>
          <w:i w:val="1"/>
          <w:iCs w:val="1"/>
          <w:color w:val="auto"/>
        </w:rPr>
        <w:t xml:space="preserve">“Lenders” </w:t>
      </w:r>
      <w:r>
        <w:rPr>
          <w:rFonts w:ascii="Arial" w:cs="Arial" w:eastAsia="Arial" w:hAnsi="Arial"/>
          <w:sz w:val="15"/>
          <w:szCs w:val="15"/>
          <w:color w:val="auto"/>
        </w:rPr>
        <w:t>means the Persons listed on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Schedule 1</w:t>
      </w:r>
      <w:r>
        <w:rPr>
          <w:rFonts w:ascii="Arial" w:cs="Arial" w:eastAsia="Arial" w:hAnsi="Arial"/>
          <w:sz w:val="15"/>
          <w:szCs w:val="15"/>
          <w:i w:val="1"/>
          <w:iCs w:val="1"/>
          <w:color w:val="auto"/>
        </w:rPr>
        <w:t xml:space="preserve"> </w:t>
      </w:r>
      <w:r>
        <w:rPr>
          <w:rFonts w:ascii="Arial" w:cs="Arial" w:eastAsia="Arial" w:hAnsi="Arial"/>
          <w:sz w:val="15"/>
          <w:szCs w:val="15"/>
          <w:color w:val="auto"/>
        </w:rPr>
        <w:t>and any other Person that shall have become a party hereto in accordance with the terms hereof</w:t>
      </w:r>
      <w:r>
        <w:rPr>
          <w:rFonts w:ascii="Arial" w:cs="Arial" w:eastAsia="Arial" w:hAnsi="Arial"/>
          <w:sz w:val="15"/>
          <w:szCs w:val="15"/>
          <w:i w:val="1"/>
          <w:iCs w:val="1"/>
          <w:color w:val="auto"/>
        </w:rPr>
        <w:t xml:space="preserve"> </w:t>
      </w:r>
      <w:r>
        <w:rPr>
          <w:rFonts w:ascii="Arial" w:cs="Arial" w:eastAsia="Arial" w:hAnsi="Arial"/>
          <w:sz w:val="15"/>
          <w:szCs w:val="15"/>
          <w:color w:val="auto"/>
        </w:rPr>
        <w:t>pursuant to an Assignment and Acceptance, other than any such Person that ceases to be a party hereto pursuant to an Assignment and Acceptance.</w:t>
      </w:r>
    </w:p>
    <w:p>
      <w:pPr>
        <w:spacing w:after="0" w:line="1" w:lineRule="exact"/>
        <w:rPr>
          <w:sz w:val="20"/>
          <w:szCs w:val="20"/>
          <w:color w:val="auto"/>
        </w:rPr>
      </w:pPr>
    </w:p>
    <w:p>
      <w:pPr>
        <w:ind w:right="80" w:firstLine="431"/>
        <w:spacing w:after="0" w:line="268" w:lineRule="auto"/>
        <w:rPr>
          <w:sz w:val="20"/>
          <w:szCs w:val="20"/>
          <w:color w:val="auto"/>
        </w:rPr>
      </w:pPr>
      <w:r>
        <w:rPr>
          <w:rFonts w:ascii="Arial" w:cs="Arial" w:eastAsia="Arial" w:hAnsi="Arial"/>
          <w:sz w:val="18"/>
          <w:szCs w:val="18"/>
          <w:i w:val="1"/>
          <w:iCs w:val="1"/>
          <w:color w:val="auto"/>
        </w:rPr>
        <w:t xml:space="preserve">“LIBOR Rate” </w:t>
      </w:r>
      <w:r>
        <w:rPr>
          <w:rFonts w:ascii="Arial" w:cs="Arial" w:eastAsia="Arial" w:hAnsi="Arial"/>
          <w:sz w:val="18"/>
          <w:szCs w:val="18"/>
          <w:color w:val="auto"/>
        </w:rPr>
        <w:t>means, for any day during the applicable Interest Accrual Period and any Advance, an interest rate</w:t>
      </w:r>
      <w:r>
        <w:rPr>
          <w:rFonts w:ascii="Arial" w:cs="Arial" w:eastAsia="Arial" w:hAnsi="Arial"/>
          <w:sz w:val="18"/>
          <w:szCs w:val="18"/>
          <w:i w:val="1"/>
          <w:iCs w:val="1"/>
          <w:color w:val="auto"/>
        </w:rPr>
        <w:t xml:space="preserve"> per annum </w:t>
      </w:r>
      <w:r>
        <w:rPr>
          <w:rFonts w:ascii="Arial" w:cs="Arial" w:eastAsia="Arial" w:hAnsi="Arial"/>
          <w:sz w:val="18"/>
          <w:szCs w:val="18"/>
          <w:color w:val="auto"/>
        </w:rPr>
        <w:t>(rounded upward, if</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the next higher 1/100th of 1%) equal to:</w:t>
      </w:r>
    </w:p>
    <w:p>
      <w:pPr>
        <w:spacing w:after="0" w:line="51" w:lineRule="exact"/>
        <w:rPr>
          <w:sz w:val="20"/>
          <w:szCs w:val="20"/>
          <w:color w:val="auto"/>
        </w:rPr>
      </w:pPr>
    </w:p>
    <w:p>
      <w:pPr>
        <w:ind w:left="440" w:right="40" w:firstLine="420"/>
        <w:spacing w:after="0" w:line="256" w:lineRule="auto"/>
        <w:tabs>
          <w:tab w:leader="none" w:pos="10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rate appearing on page BBAM on the Bloomberg Terminal (successor to Telerate page 3750) (</w:t>
      </w:r>
      <w:r>
        <w:rPr>
          <w:rFonts w:ascii="Arial" w:cs="Arial" w:eastAsia="Arial" w:hAnsi="Arial"/>
          <w:sz w:val="18"/>
          <w:szCs w:val="18"/>
          <w:i w:val="1"/>
          <w:iCs w:val="1"/>
          <w:color w:val="auto"/>
        </w:rPr>
        <w:t>“Page BBAM”</w:t>
      </w:r>
      <w:r>
        <w:rPr>
          <w:rFonts w:ascii="Arial" w:cs="Arial" w:eastAsia="Arial" w:hAnsi="Arial"/>
          <w:sz w:val="18"/>
          <w:szCs w:val="18"/>
          <w:color w:val="auto"/>
        </w:rPr>
        <w:t>) (or any other page that may replace such page from time to time for the purpose of displaying offered rates of leading banks for London interbank deposits for a three month period in United States dollars) at approximately 11:00 a.m. (London time) on such day, or if such day is not a Business Day, the immediately preceding Business Day; or</w:t>
      </w:r>
    </w:p>
    <w:p>
      <w:pPr>
        <w:spacing w:after="0" w:line="61" w:lineRule="exact"/>
        <w:rPr>
          <w:rFonts w:ascii="Arial" w:cs="Arial" w:eastAsia="Arial" w:hAnsi="Arial"/>
          <w:sz w:val="18"/>
          <w:szCs w:val="18"/>
          <w:color w:val="auto"/>
        </w:rPr>
      </w:pPr>
    </w:p>
    <w:p>
      <w:pPr>
        <w:ind w:left="440" w:right="140" w:firstLine="420"/>
        <w:spacing w:after="0" w:line="288" w:lineRule="auto"/>
        <w:tabs>
          <w:tab w:leader="none" w:pos="111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if such rate is not published at such time and day for any reason, then the LIBOR Rate shall be the rate per annum (rounded upwards, if necessary, to the nearest 1/100th of one percent) based on the rates at which Dollar deposits for a three month period are displayed on page “LIBOR” of the Reuters Screen as of 11:00 a.m. (London time) on such day, or if such day is not a Business Day, the immediately preceding Business Day (it being understood that if at least two (2) such rates appear on such page, the rate will be the arithmetic mean of such displayed rates);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the event fewer than two (2) such rates are displayed, or if no such rate is relevant, the LIBOR Rate shall be the rate per annum equal to the average of the rates at which deposits in Dollars are offered by SunTrust Bank at approximately 11:00 a.m. (London time) on the such day, or if such day is not a Business Day, the immediately preceding Business Day, to prime banks in the London interbank market for a three month period.</w:t>
      </w:r>
    </w:p>
    <w:p>
      <w:pPr>
        <w:spacing w:after="0" w:line="43" w:lineRule="exact"/>
        <w:rPr>
          <w:sz w:val="20"/>
          <w:szCs w:val="20"/>
          <w:color w:val="auto"/>
        </w:rPr>
      </w:pPr>
    </w:p>
    <w:p>
      <w:pPr>
        <w:jc w:val="both"/>
        <w:ind w:right="80" w:firstLine="431"/>
        <w:spacing w:after="0" w:line="256" w:lineRule="auto"/>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any mortgage, pledge, hypothecation, assignment, encumbrance, lien or security interest (statutory or other), or preference,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security agreement, charge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62" w:lineRule="exact"/>
        <w:rPr>
          <w:sz w:val="20"/>
          <w:szCs w:val="20"/>
          <w:color w:val="auto"/>
        </w:rPr>
      </w:pPr>
    </w:p>
    <w:p>
      <w:pPr>
        <w:ind w:right="340" w:firstLine="431"/>
        <w:spacing w:after="0" w:line="331" w:lineRule="auto"/>
        <w:rPr>
          <w:sz w:val="20"/>
          <w:szCs w:val="20"/>
          <w:color w:val="auto"/>
        </w:rPr>
      </w:pPr>
      <w:r>
        <w:rPr>
          <w:rFonts w:ascii="Arial" w:cs="Arial" w:eastAsia="Arial" w:hAnsi="Arial"/>
          <w:sz w:val="16"/>
          <w:szCs w:val="16"/>
          <w:i w:val="1"/>
          <w:iCs w:val="1"/>
          <w:color w:val="auto"/>
        </w:rPr>
        <w:t xml:space="preserve">“Liquidity Facility” </w:t>
      </w:r>
      <w:r>
        <w:rPr>
          <w:rFonts w:ascii="Arial" w:cs="Arial" w:eastAsia="Arial" w:hAnsi="Arial"/>
          <w:sz w:val="16"/>
          <w:szCs w:val="16"/>
          <w:color w:val="auto"/>
        </w:rPr>
        <w:t>means, for any CP Conduit, a loan facility, asset purchase facility or other arrangement under which the providers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have agreed to provide funds to such CP Conduit for purposes of funding such CP Conduit’s obligations under this Agreement.</w:t>
      </w:r>
    </w:p>
    <w:p>
      <w:pPr>
        <w:spacing w:after="0" w:line="7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60"/>
          </w:cols>
          <w:pgMar w:left="780" w:top="280" w:right="359" w:bottom="1440" w:gutter="0" w:footer="0" w:header="0"/>
        </w:sectPr>
      </w:pPr>
    </w:p>
    <w:bookmarkStart w:id="83" w:name="page84"/>
    <w:bookmarkEnd w:id="83"/>
    <w:p>
      <w:pPr>
        <w:ind w:left="4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“Liquidity Bank” </w:t>
      </w:r>
      <w:r>
        <w:rPr>
          <w:rFonts w:ascii="Arial" w:cs="Arial" w:eastAsia="Arial" w:hAnsi="Arial"/>
          <w:sz w:val="16"/>
          <w:szCs w:val="16"/>
          <w:color w:val="auto"/>
        </w:rPr>
        <w:t>means the Person or Persons who provide liquidity support to a Lender that is a CP Conduit pursuant to a Liquidity Facility.</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“Listed Collateral Loan” </w:t>
      </w:r>
      <w:r>
        <w:rPr>
          <w:rFonts w:ascii="Arial" w:cs="Arial" w:eastAsia="Arial" w:hAnsi="Arial"/>
          <w:sz w:val="18"/>
          <w:szCs w:val="18"/>
          <w:color w:val="auto"/>
        </w:rPr>
        <w:t>means a Collateral Loan for which, at the time of determination, a Listed Value is available.</w:t>
      </w:r>
    </w:p>
    <w:p>
      <w:pPr>
        <w:spacing w:after="0" w:line="90" w:lineRule="exact"/>
        <w:rPr>
          <w:sz w:val="20"/>
          <w:szCs w:val="20"/>
          <w:color w:val="auto"/>
        </w:rPr>
      </w:pPr>
    </w:p>
    <w:p>
      <w:pPr>
        <w:ind w:right="100" w:firstLine="431"/>
        <w:spacing w:after="0" w:line="254" w:lineRule="auto"/>
        <w:rPr>
          <w:sz w:val="20"/>
          <w:szCs w:val="20"/>
          <w:color w:val="auto"/>
        </w:rPr>
      </w:pPr>
      <w:r>
        <w:rPr>
          <w:rFonts w:ascii="Arial" w:cs="Arial" w:eastAsia="Arial" w:hAnsi="Arial"/>
          <w:sz w:val="18"/>
          <w:szCs w:val="18"/>
          <w:i w:val="1"/>
          <w:iCs w:val="1"/>
          <w:color w:val="auto"/>
        </w:rPr>
        <w:t xml:space="preserve">“Listed Value” </w:t>
      </w:r>
      <w:r>
        <w:rPr>
          <w:rFonts w:ascii="Arial" w:cs="Arial" w:eastAsia="Arial" w:hAnsi="Arial"/>
          <w:sz w:val="18"/>
          <w:szCs w:val="18"/>
          <w:color w:val="auto"/>
        </w:rPr>
        <w:t>means, for any Collateral Loan, the bid price for such Collateral Loan most recently quoted by Loan Pricing Corporation, Mark-it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Partners (formerly known as Loan X), Interactive Date Corporation (Thompson Reuters), or quoted by another nationally recognized broker-dealer or nationally recognized quotation service as may be approved from time to time by the Administrative Agent and the Required Lenders if so requested by the Borrower;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if the Collateral Manager reasonably believes that the price quoted by any such source it based on less than three bona fide bids, then the Collateral Manager, by notice to the Agents, may determine the Listed Value in accordance with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“Market Value”.</w:t>
      </w:r>
    </w:p>
    <w:p>
      <w:pPr>
        <w:spacing w:after="0" w:line="63" w:lineRule="exact"/>
        <w:rPr>
          <w:sz w:val="20"/>
          <w:szCs w:val="20"/>
          <w:color w:val="auto"/>
        </w:rPr>
      </w:pPr>
    </w:p>
    <w:p>
      <w:pPr>
        <w:jc w:val="both"/>
        <w:ind w:right="180" w:firstLine="431"/>
        <w:spacing w:after="0" w:line="259" w:lineRule="auto"/>
        <w:rPr>
          <w:sz w:val="20"/>
          <w:szCs w:val="20"/>
          <w:color w:val="auto"/>
        </w:rPr>
      </w:pPr>
      <w:r>
        <w:rPr>
          <w:rFonts w:ascii="Arial" w:cs="Arial" w:eastAsia="Arial" w:hAnsi="Arial"/>
          <w:sz w:val="18"/>
          <w:szCs w:val="18"/>
          <w:i w:val="1"/>
          <w:iCs w:val="1"/>
          <w:color w:val="auto"/>
        </w:rPr>
        <w:t xml:space="preserve">“Loan Checklist” </w:t>
      </w:r>
      <w:r>
        <w:rPr>
          <w:rFonts w:ascii="Arial" w:cs="Arial" w:eastAsia="Arial" w:hAnsi="Arial"/>
          <w:sz w:val="18"/>
          <w:szCs w:val="18"/>
          <w:color w:val="auto"/>
        </w:rPr>
        <w:t>means an electronic or hard copy, as applicable, checklist delivered by or on behalf of the Borrower to the Custodian,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Loan, of all Related Documents to be included within the respective loan file, which shall specify whether such document is an original or a copy.</w:t>
      </w:r>
    </w:p>
    <w:p>
      <w:pPr>
        <w:spacing w:after="0" w:line="59" w:lineRule="exact"/>
        <w:rPr>
          <w:sz w:val="20"/>
          <w:szCs w:val="20"/>
          <w:color w:val="auto"/>
        </w:rPr>
      </w:pPr>
    </w:p>
    <w:p>
      <w:pPr>
        <w:ind w:right="500" w:firstLine="431"/>
        <w:spacing w:after="0" w:line="268" w:lineRule="auto"/>
        <w:rPr>
          <w:sz w:val="20"/>
          <w:szCs w:val="20"/>
          <w:color w:val="auto"/>
        </w:rPr>
      </w:pPr>
      <w:r>
        <w:rPr>
          <w:rFonts w:ascii="Arial" w:cs="Arial" w:eastAsia="Arial" w:hAnsi="Arial"/>
          <w:sz w:val="18"/>
          <w:szCs w:val="18"/>
          <w:i w:val="1"/>
          <w:iCs w:val="1"/>
          <w:color w:val="auto"/>
        </w:rPr>
        <w:t xml:space="preserve">“London Banking Day” </w:t>
      </w:r>
      <w:r>
        <w:rPr>
          <w:rFonts w:ascii="Arial" w:cs="Arial" w:eastAsia="Arial" w:hAnsi="Arial"/>
          <w:sz w:val="18"/>
          <w:szCs w:val="18"/>
          <w:color w:val="auto"/>
        </w:rPr>
        <w:t>means a day on which commercial banks are open for business (including dealings in foreign exchange and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deposits) in London, England.</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“Majority Lenders” </w:t>
      </w:r>
      <w:r>
        <w:rPr>
          <w:rFonts w:ascii="Arial" w:cs="Arial" w:eastAsia="Arial" w:hAnsi="Arial"/>
          <w:sz w:val="16"/>
          <w:szCs w:val="16"/>
          <w:color w:val="auto"/>
        </w:rPr>
        <w:t>means, as of any date of determination, one or more Lenders having aggregate Percentages greater than or equal to 51%.</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“Margin Stock” </w:t>
      </w:r>
      <w:r>
        <w:rPr>
          <w:rFonts w:ascii="Arial" w:cs="Arial" w:eastAsia="Arial" w:hAnsi="Arial"/>
          <w:sz w:val="18"/>
          <w:szCs w:val="18"/>
          <w:color w:val="auto"/>
        </w:rPr>
        <w:t>has the meaning assigned to such term in Regulation U.</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“Market Value</w:t>
      </w:r>
      <w:r>
        <w:rPr>
          <w:rFonts w:ascii="Arial" w:cs="Arial" w:eastAsia="Arial" w:hAnsi="Arial"/>
          <w:sz w:val="18"/>
          <w:szCs w:val="18"/>
          <w:color w:val="auto"/>
        </w:rPr>
        <w:t>” means, as of any date, for any Collateral Loan:</w:t>
      </w:r>
    </w:p>
    <w:p>
      <w:pPr>
        <w:spacing w:after="0" w:line="90" w:lineRule="exact"/>
        <w:rPr>
          <w:sz w:val="20"/>
          <w:szCs w:val="20"/>
          <w:color w:val="auto"/>
        </w:rPr>
      </w:pPr>
    </w:p>
    <w:p>
      <w:pPr>
        <w:ind w:left="1100" w:hanging="240"/>
        <w:spacing w:after="0"/>
        <w:tabs>
          <w:tab w:leader="none" w:pos="11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such Collateral Loan is a Listed Collateral Loan as at such date, the Listed Value of such Collateral Loan as at such date; and</w:t>
      </w:r>
    </w:p>
    <w:p>
      <w:pPr>
        <w:spacing w:after="0" w:line="113" w:lineRule="exact"/>
        <w:rPr>
          <w:rFonts w:ascii="Arial" w:cs="Arial" w:eastAsia="Arial" w:hAnsi="Arial"/>
          <w:sz w:val="16"/>
          <w:szCs w:val="16"/>
          <w:color w:val="auto"/>
        </w:rPr>
      </w:pPr>
    </w:p>
    <w:p>
      <w:pPr>
        <w:ind w:left="1100" w:hanging="240"/>
        <w:spacing w:after="0"/>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such Collateral Loan is not a Listed Collateral Loan as of such date, the lower of:</w:t>
      </w:r>
    </w:p>
    <w:p>
      <w:pPr>
        <w:spacing w:after="0" w:line="90" w:lineRule="exact"/>
        <w:rPr>
          <w:rFonts w:ascii="Arial" w:cs="Arial" w:eastAsia="Arial" w:hAnsi="Arial"/>
          <w:sz w:val="18"/>
          <w:szCs w:val="18"/>
          <w:color w:val="auto"/>
        </w:rPr>
      </w:pPr>
    </w:p>
    <w:p>
      <w:pPr>
        <w:ind w:left="1000" w:right="660" w:firstLine="399"/>
        <w:spacing w:after="0" w:line="268" w:lineRule="auto"/>
        <w:tabs>
          <w:tab w:leader="none" w:pos="16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fair market value of such Collateral Loan as reasonably determined by the Collateral Manager in accordance with the Collateral Management Standard; and</w:t>
      </w:r>
    </w:p>
    <w:p>
      <w:pPr>
        <w:spacing w:after="0" w:line="50" w:lineRule="exact"/>
        <w:rPr>
          <w:rFonts w:ascii="Arial" w:cs="Arial" w:eastAsia="Arial" w:hAnsi="Arial"/>
          <w:sz w:val="18"/>
          <w:szCs w:val="18"/>
          <w:color w:val="auto"/>
        </w:rPr>
      </w:pPr>
    </w:p>
    <w:p>
      <w:pPr>
        <w:ind w:left="1000" w:firstLine="399"/>
        <w:spacing w:after="0" w:line="268" w:lineRule="auto"/>
        <w:tabs>
          <w:tab w:leader="none" w:pos="1649"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purchase price in respect of such Collateral Loan expressed as an effective percentage of par less any loss reserves maintained by the Borrower in accordance with GAAP.</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60"/>
          </w:cols>
          <w:pgMar w:left="780" w:top="280" w:right="359" w:bottom="1440" w:gutter="0" w:footer="0" w:header="0"/>
        </w:sectPr>
      </w:pPr>
    </w:p>
    <w:bookmarkStart w:id="84" w:name="page85"/>
    <w:bookmarkEnd w:id="84"/>
    <w:p>
      <w:pPr>
        <w:ind w:left="460" w:right="40" w:firstLine="431"/>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“Material Adverse Effect” </w:t>
      </w:r>
      <w:r>
        <w:rPr>
          <w:rFonts w:ascii="Arial" w:cs="Arial" w:eastAsia="Arial" w:hAnsi="Arial"/>
          <w:sz w:val="16"/>
          <w:szCs w:val="16"/>
          <w:color w:val="auto"/>
        </w:rPr>
        <w:t>means a material adverse effect on (a) the business, assets, financial condition, operations, performance or properties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Borrower, the Collateral Manager or the BDC, both individually or taken as a whole, (b) the validity, enforceability or collectability of this Agreement or any other Facility Document or the validity, enforceability or collectability of the Collateral Loans generally or any material portion of the Collateral Loans, (c) the rights and remedies of the Administrative Agent, the Lenders and the Secured Parties with respect to matters arising under this Agreement or any other Facility Document, (d) the ability of each of the Borrower or the Collateral Manager to perform its obligations under any Facility Document to which it is a party, or (e) the status, existence, perfection, priority or enforceability of the Collateral Agent’s lien on the Collateral.</w:t>
      </w:r>
    </w:p>
    <w:p>
      <w:pPr>
        <w:spacing w:after="0" w:line="39" w:lineRule="exact"/>
        <w:rPr>
          <w:sz w:val="20"/>
          <w:szCs w:val="20"/>
          <w:color w:val="auto"/>
        </w:rPr>
      </w:pPr>
    </w:p>
    <w:p>
      <w:pPr>
        <w:ind w:left="460" w:firstLine="431"/>
        <w:spacing w:after="0" w:line="268" w:lineRule="auto"/>
        <w:rPr>
          <w:sz w:val="20"/>
          <w:szCs w:val="20"/>
          <w:color w:val="auto"/>
        </w:rPr>
      </w:pPr>
      <w:r>
        <w:rPr>
          <w:rFonts w:ascii="Arial" w:cs="Arial" w:eastAsia="Arial" w:hAnsi="Arial"/>
          <w:sz w:val="18"/>
          <w:szCs w:val="18"/>
          <w:i w:val="1"/>
          <w:iCs w:val="1"/>
          <w:color w:val="auto"/>
        </w:rPr>
        <w:t xml:space="preserve">“Material Modification” </w:t>
      </w:r>
      <w:r>
        <w:rPr>
          <w:rFonts w:ascii="Arial" w:cs="Arial" w:eastAsia="Arial" w:hAnsi="Arial"/>
          <w:sz w:val="18"/>
          <w:szCs w:val="18"/>
          <w:color w:val="auto"/>
        </w:rPr>
        <w:t>means, with respect to any Collateral Loan, any amendment, waiver, consent or modification of a Related Document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thereto executed or effected after the date on which such Collateral Loan is acquired by the Borrower, that:</w:t>
      </w:r>
    </w:p>
    <w:p>
      <w:pPr>
        <w:spacing w:after="0" w:line="51" w:lineRule="exact"/>
        <w:rPr>
          <w:sz w:val="20"/>
          <w:szCs w:val="20"/>
          <w:color w:val="auto"/>
        </w:rPr>
      </w:pPr>
    </w:p>
    <w:p>
      <w:pPr>
        <w:ind w:left="900" w:right="20" w:firstLine="420"/>
        <w:spacing w:after="0" w:line="306" w:lineRule="auto"/>
        <w:tabs>
          <w:tab w:leader="none" w:pos="15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reduces or waives one or more interest payments or permits any interest due with respect to such Collateral Loan in cash to be deferred or capitalized and added to the principal amount of such Collateral Loan (other than any deferral or capitalization already expressly permitted by the terms of its underlying instruments as of the date such Collateral Loan was acquired by the Borrower);</w:t>
      </w:r>
    </w:p>
    <w:p>
      <w:pPr>
        <w:spacing w:after="0" w:line="25" w:lineRule="exact"/>
        <w:rPr>
          <w:rFonts w:ascii="Arial" w:cs="Arial" w:eastAsia="Arial" w:hAnsi="Arial"/>
          <w:sz w:val="16"/>
          <w:szCs w:val="16"/>
          <w:color w:val="auto"/>
        </w:rPr>
      </w:pPr>
    </w:p>
    <w:p>
      <w:pPr>
        <w:jc w:val="both"/>
        <w:ind w:left="900" w:right="80" w:firstLine="420"/>
        <w:spacing w:after="0" w:line="331" w:lineRule="auto"/>
        <w:tabs>
          <w:tab w:leader="none" w:pos="1562"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contractually or structurally subordinates such Collateral Loan by operation of a priority of payments, turnover provisions or the transfer of assets in order to limit recourse to the related Obligor or releases any material guarantor or co-obligor from its obligations with respect thereto;</w:t>
      </w:r>
    </w:p>
    <w:p>
      <w:pPr>
        <w:spacing w:after="0" w:line="5" w:lineRule="exact"/>
        <w:rPr>
          <w:rFonts w:ascii="Arial" w:cs="Arial" w:eastAsia="Arial" w:hAnsi="Arial"/>
          <w:sz w:val="16"/>
          <w:szCs w:val="16"/>
          <w:color w:val="auto"/>
        </w:rPr>
      </w:pPr>
    </w:p>
    <w:p>
      <w:pPr>
        <w:ind w:left="900" w:right="160" w:firstLine="420"/>
        <w:spacing w:after="0" w:line="259" w:lineRule="auto"/>
        <w:tabs>
          <w:tab w:leader="none" w:pos="15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substitutes or releases the underlying assets securing such Collateral Loan (other than as expressly permitted by the Related Documents as of the date such Collateral Loan was acquired by the Borrower), and such substitution or release materially and adversely affects the value of such Collateral Loan (as determined by the Collateral Manager in good faith);</w:t>
      </w:r>
    </w:p>
    <w:p>
      <w:pPr>
        <w:spacing w:after="0" w:line="58" w:lineRule="exact"/>
        <w:rPr>
          <w:rFonts w:ascii="Arial" w:cs="Arial" w:eastAsia="Arial" w:hAnsi="Arial"/>
          <w:sz w:val="18"/>
          <w:szCs w:val="18"/>
          <w:color w:val="auto"/>
        </w:rPr>
      </w:pPr>
    </w:p>
    <w:p>
      <w:pPr>
        <w:ind w:left="1560" w:hanging="240"/>
        <w:spacing w:after="0"/>
        <w:tabs>
          <w:tab w:leader="none" w:pos="1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waives, extends or postpones any date fixed for any payment or mandatory prepayment of principal on such Collateral Loan; or</w:t>
      </w:r>
    </w:p>
    <w:p>
      <w:pPr>
        <w:spacing w:after="0" w:line="113" w:lineRule="exact"/>
        <w:rPr>
          <w:rFonts w:ascii="Arial" w:cs="Arial" w:eastAsia="Arial" w:hAnsi="Arial"/>
          <w:sz w:val="16"/>
          <w:szCs w:val="16"/>
          <w:color w:val="auto"/>
        </w:rPr>
      </w:pPr>
    </w:p>
    <w:p>
      <w:pPr>
        <w:ind w:left="1560" w:hanging="240"/>
        <w:spacing w:after="0"/>
        <w:tabs>
          <w:tab w:leader="none" w:pos="1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reduces or forgives any principal amount of such Collateral Loan.</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any Collateral Loan subject to a Material Modification which subsequently becomes a Restructured Loan shall no longer be considered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subject to a Material Modification hereunder.</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“Matrix” </w:t>
      </w:r>
      <w:r>
        <w:rPr>
          <w:rFonts w:ascii="Arial" w:cs="Arial" w:eastAsia="Arial" w:hAnsi="Arial"/>
          <w:sz w:val="18"/>
          <w:szCs w:val="18"/>
          <w:color w:val="auto"/>
        </w:rPr>
        <w:t>means the Matrix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5</w:t>
      </w:r>
      <w:r>
        <w:rPr>
          <w:rFonts w:ascii="Arial" w:cs="Arial" w:eastAsia="Arial" w:hAnsi="Arial"/>
          <w:sz w:val="18"/>
          <w:szCs w:val="18"/>
          <w:i w:val="1"/>
          <w:iCs w:val="1"/>
          <w:color w:val="auto"/>
        </w:rPr>
        <w:t xml:space="preserve"> </w:t>
      </w:r>
      <w:r>
        <w:rPr>
          <w:rFonts w:ascii="Arial" w:cs="Arial" w:eastAsia="Arial" w:hAnsi="Arial"/>
          <w:sz w:val="18"/>
          <w:szCs w:val="18"/>
          <w:color w:val="auto"/>
        </w:rPr>
        <w:t>attached hereto.</w:t>
      </w:r>
    </w:p>
    <w:p>
      <w:pPr>
        <w:spacing w:after="0" w:line="90" w:lineRule="exact"/>
        <w:rPr>
          <w:sz w:val="20"/>
          <w:szCs w:val="20"/>
          <w:color w:val="auto"/>
        </w:rPr>
      </w:pPr>
    </w:p>
    <w:p>
      <w:pPr>
        <w:ind w:left="460" w:right="480" w:firstLine="431"/>
        <w:spacing w:after="0" w:line="268" w:lineRule="auto"/>
        <w:rPr>
          <w:sz w:val="20"/>
          <w:szCs w:val="20"/>
          <w:color w:val="auto"/>
        </w:rPr>
      </w:pPr>
      <w:r>
        <w:rPr>
          <w:rFonts w:ascii="Arial" w:cs="Arial" w:eastAsia="Arial" w:hAnsi="Arial"/>
          <w:sz w:val="18"/>
          <w:szCs w:val="18"/>
          <w:i w:val="1"/>
          <w:iCs w:val="1"/>
          <w:color w:val="auto"/>
        </w:rPr>
        <w:t xml:space="preserve">“Matrix Adjustment Notice” </w:t>
      </w:r>
      <w:r>
        <w:rPr>
          <w:rFonts w:ascii="Arial" w:cs="Arial" w:eastAsia="Arial" w:hAnsi="Arial"/>
          <w:sz w:val="18"/>
          <w:szCs w:val="18"/>
          <w:color w:val="auto"/>
        </w:rPr>
        <w:t>means a notice from the Borrower, or the Collateral Manager on its behalf, to the Administrative Agent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Collateral Agent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280" w:right="339" w:bottom="1440" w:gutter="0" w:footer="0" w:header="0"/>
        </w:sectPr>
      </w:pPr>
    </w:p>
    <w:bookmarkStart w:id="85" w:name="page86"/>
    <w:bookmarkEnd w:id="85"/>
    <w:p>
      <w:pPr>
        <w:jc w:val="both"/>
        <w:ind w:right="180" w:firstLine="431"/>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5"/>
          <w:szCs w:val="15"/>
          <w:i w:val="1"/>
          <w:iCs w:val="1"/>
          <w:color w:val="auto"/>
        </w:rPr>
        <w:t>Matrix Inputs</w:t>
      </w:r>
      <w:r>
        <w:rPr>
          <w:rFonts w:ascii="Arial" w:cs="Arial" w:eastAsia="Arial" w:hAnsi="Arial"/>
          <w:sz w:val="15"/>
          <w:szCs w:val="15"/>
          <w:color w:val="auto"/>
        </w:rPr>
        <w:t xml:space="preserve">” means, at any time, the combination of “Advance Rates”, “Minimum Weighted Average Spread”, “Minimum Diversity Score”, “Maximum Obligor”, “Maximum Moody’s Industry Classification”, “Ratings” and “Maximum Loan Types” that are in effect for use in relation to the Matrix at such time as set forth in the applicable row of the Matrix, as the same may be adjusted from time to time pursuant to </w:t>
      </w:r>
      <w:r>
        <w:rPr>
          <w:rFonts w:ascii="Arial" w:cs="Arial" w:eastAsia="Arial" w:hAnsi="Arial"/>
          <w:sz w:val="15"/>
          <w:szCs w:val="15"/>
          <w:u w:val="single" w:color="auto"/>
          <w:color w:val="auto"/>
        </w:rPr>
        <w:t>Section 11.02(e)</w:t>
      </w:r>
      <w:r>
        <w:rPr>
          <w:rFonts w:ascii="Arial" w:cs="Arial" w:eastAsia="Arial" w:hAnsi="Arial"/>
          <w:sz w:val="15"/>
          <w:szCs w:val="15"/>
          <w:color w:val="auto"/>
        </w:rPr>
        <w:t xml:space="preserve"> hereof.</w:t>
      </w:r>
    </w:p>
    <w:p>
      <w:pPr>
        <w:spacing w:after="0" w:line="7" w:lineRule="exact"/>
        <w:rPr>
          <w:sz w:val="20"/>
          <w:szCs w:val="20"/>
          <w:color w:val="auto"/>
        </w:rPr>
      </w:pPr>
    </w:p>
    <w:p>
      <w:pPr>
        <w:ind w:firstLine="43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Advance Rate</w:t>
      </w:r>
      <w:r>
        <w:rPr>
          <w:rFonts w:ascii="Arial" w:cs="Arial" w:eastAsia="Arial" w:hAnsi="Arial"/>
          <w:sz w:val="18"/>
          <w:szCs w:val="18"/>
          <w:color w:val="auto"/>
        </w:rPr>
        <w:t>” means, at any time, the “Advance Rate” specified in the Matrix based on the applicable combination of Matrix Inputs as then in effect.</w:t>
      </w:r>
    </w:p>
    <w:p>
      <w:pPr>
        <w:spacing w:after="0" w:line="51" w:lineRule="exact"/>
        <w:rPr>
          <w:sz w:val="20"/>
          <w:szCs w:val="20"/>
          <w:color w:val="auto"/>
        </w:rPr>
      </w:pPr>
    </w:p>
    <w:p>
      <w:pPr>
        <w:ind w:firstLine="431"/>
        <w:spacing w:after="0" w:line="331" w:lineRule="auto"/>
        <w:rPr>
          <w:sz w:val="20"/>
          <w:szCs w:val="20"/>
          <w:color w:val="auto"/>
        </w:rPr>
      </w:pPr>
      <w:r>
        <w:rPr>
          <w:rFonts w:ascii="Arial" w:cs="Arial" w:eastAsia="Arial" w:hAnsi="Arial"/>
          <w:sz w:val="16"/>
          <w:szCs w:val="16"/>
          <w:i w:val="1"/>
          <w:iCs w:val="1"/>
          <w:color w:val="auto"/>
        </w:rPr>
        <w:t xml:space="preserve">“Maximum Advance Rate Test” </w:t>
      </w:r>
      <w:r>
        <w:rPr>
          <w:rFonts w:ascii="Arial" w:cs="Arial" w:eastAsia="Arial" w:hAnsi="Arial"/>
          <w:sz w:val="16"/>
          <w:szCs w:val="16"/>
          <w:color w:val="auto"/>
        </w:rPr>
        <w:t>means a test that will be satisfied at any time if (a) the sum of (i) the aggregate outstanding principal balance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Advances and (ii) the Net Aggregate Exposure Amounts at such time is less than (b) the Maximum Available Amount at such time.</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“Maximum Available Amount” </w:t>
      </w:r>
      <w:r>
        <w:rPr>
          <w:rFonts w:ascii="Arial" w:cs="Arial" w:eastAsia="Arial" w:hAnsi="Arial"/>
          <w:sz w:val="18"/>
          <w:szCs w:val="18"/>
          <w:color w:val="auto"/>
        </w:rPr>
        <w:t>means, at any time, the least of:</w:t>
      </w:r>
    </w:p>
    <w:p>
      <w:pPr>
        <w:spacing w:after="0" w:line="90" w:lineRule="exact"/>
        <w:rPr>
          <w:sz w:val="20"/>
          <w:szCs w:val="20"/>
          <w:color w:val="auto"/>
        </w:rPr>
      </w:pPr>
    </w:p>
    <w:p>
      <w:pPr>
        <w:ind w:left="1100" w:hanging="240"/>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Facility Amount at such time;</w:t>
      </w:r>
    </w:p>
    <w:p>
      <w:pPr>
        <w:spacing w:after="0" w:line="90" w:lineRule="exact"/>
        <w:rPr>
          <w:rFonts w:ascii="Arial" w:cs="Arial" w:eastAsia="Arial" w:hAnsi="Arial"/>
          <w:sz w:val="18"/>
          <w:szCs w:val="18"/>
          <w:color w:val="auto"/>
        </w:rPr>
      </w:pPr>
    </w:p>
    <w:p>
      <w:pPr>
        <w:ind w:left="1100" w:hanging="240"/>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1600" w:hanging="201"/>
        <w:spacing w:after="0"/>
        <w:tabs>
          <w:tab w:leader="none" w:pos="16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the product of (x) the Borrowing Base and (y) the Maximum Advance Rate in effect at such time, </w:t>
      </w:r>
      <w:r>
        <w:rPr>
          <w:rFonts w:ascii="Arial" w:cs="Arial" w:eastAsia="Arial" w:hAnsi="Arial"/>
          <w:sz w:val="18"/>
          <w:szCs w:val="18"/>
          <w:i w:val="1"/>
          <w:iCs w:val="1"/>
          <w:color w:val="auto"/>
        </w:rPr>
        <w:t>plus</w:t>
      </w:r>
    </w:p>
    <w:p>
      <w:pPr>
        <w:spacing w:after="0" w:line="90" w:lineRule="exact"/>
        <w:rPr>
          <w:rFonts w:ascii="Arial" w:cs="Arial" w:eastAsia="Arial" w:hAnsi="Arial"/>
          <w:sz w:val="18"/>
          <w:szCs w:val="18"/>
          <w:color w:val="auto"/>
        </w:rPr>
      </w:pPr>
    </w:p>
    <w:p>
      <w:pPr>
        <w:ind w:left="1660" w:hanging="261"/>
        <w:spacing w:after="0"/>
        <w:tabs>
          <w:tab w:leader="none" w:pos="1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aggregate amount of cash then on deposit in the Principal Collection Subaccount; and</w:t>
      </w:r>
    </w:p>
    <w:p>
      <w:pPr>
        <w:spacing w:after="0" w:line="90" w:lineRule="exact"/>
        <w:rPr>
          <w:rFonts w:ascii="Arial" w:cs="Arial" w:eastAsia="Arial" w:hAnsi="Arial"/>
          <w:sz w:val="18"/>
          <w:szCs w:val="18"/>
          <w:color w:val="auto"/>
        </w:rPr>
      </w:pPr>
    </w:p>
    <w:p>
      <w:pPr>
        <w:ind w:left="1100" w:hanging="240"/>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1600" w:hanging="201"/>
        <w:spacing w:after="0"/>
        <w:tabs>
          <w:tab w:leader="none" w:pos="16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the Borrowing Base, </w:t>
      </w:r>
      <w:r>
        <w:rPr>
          <w:rFonts w:ascii="Arial" w:cs="Arial" w:eastAsia="Arial" w:hAnsi="Arial"/>
          <w:sz w:val="18"/>
          <w:szCs w:val="18"/>
          <w:i w:val="1"/>
          <w:iCs w:val="1"/>
          <w:color w:val="auto"/>
        </w:rPr>
        <w:t>minus</w:t>
      </w:r>
    </w:p>
    <w:p>
      <w:pPr>
        <w:spacing w:after="0" w:line="90" w:lineRule="exact"/>
        <w:rPr>
          <w:rFonts w:ascii="Arial" w:cs="Arial" w:eastAsia="Arial" w:hAnsi="Arial"/>
          <w:sz w:val="18"/>
          <w:szCs w:val="18"/>
          <w:color w:val="auto"/>
        </w:rPr>
      </w:pPr>
    </w:p>
    <w:p>
      <w:pPr>
        <w:ind w:left="1660" w:hanging="261"/>
        <w:spacing w:after="0"/>
        <w:tabs>
          <w:tab w:leader="none" w:pos="1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the Minimum Equity Amount, </w:t>
      </w:r>
      <w:r>
        <w:rPr>
          <w:rFonts w:ascii="Arial" w:cs="Arial" w:eastAsia="Arial" w:hAnsi="Arial"/>
          <w:sz w:val="18"/>
          <w:szCs w:val="18"/>
          <w:i w:val="1"/>
          <w:iCs w:val="1"/>
          <w:color w:val="auto"/>
        </w:rPr>
        <w:t>plus</w:t>
      </w:r>
    </w:p>
    <w:p>
      <w:pPr>
        <w:spacing w:after="0" w:line="90" w:lineRule="exact"/>
        <w:rPr>
          <w:rFonts w:ascii="Arial" w:cs="Arial" w:eastAsia="Arial" w:hAnsi="Arial"/>
          <w:sz w:val="18"/>
          <w:szCs w:val="18"/>
          <w:color w:val="auto"/>
        </w:rPr>
      </w:pPr>
    </w:p>
    <w:p>
      <w:pPr>
        <w:ind w:left="1700" w:hanging="301"/>
        <w:spacing w:after="0"/>
        <w:tabs>
          <w:tab w:leader="none" w:pos="17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aggregate amount of cash then on deposit in the Principal Collection Subaccount.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“Measurement Date” </w:t>
      </w:r>
      <w:r>
        <w:rPr>
          <w:rFonts w:ascii="Arial" w:cs="Arial" w:eastAsia="Arial" w:hAnsi="Arial"/>
          <w:sz w:val="18"/>
          <w:szCs w:val="18"/>
          <w:color w:val="auto"/>
        </w:rPr>
        <w:t>means, (i) the Closing Date, (ii) each Borrowing Date and (iii) each Monthly Report Determination Date.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“Minimum Equity Amount” </w:t>
      </w:r>
      <w:r>
        <w:rPr>
          <w:rFonts w:ascii="Arial" w:cs="Arial" w:eastAsia="Arial" w:hAnsi="Arial"/>
          <w:sz w:val="18"/>
          <w:szCs w:val="18"/>
          <w:color w:val="auto"/>
        </w:rPr>
        <w:t>means, at any time, $25,000,000.</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“Money” </w:t>
      </w:r>
      <w:r>
        <w:rPr>
          <w:rFonts w:ascii="Arial" w:cs="Arial" w:eastAsia="Arial" w:hAnsi="Arial"/>
          <w:sz w:val="18"/>
          <w:szCs w:val="18"/>
          <w:color w:val="auto"/>
        </w:rPr>
        <w:t>has the meaning specified in Section 1-201(24) of the UCC.</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“Monthly Report”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“Monthly Report Determination Date”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80"/>
          </w:cols>
          <w:pgMar w:left="780" w:top="280" w:right="339" w:bottom="1440" w:gutter="0" w:footer="0" w:header="0"/>
        </w:sectPr>
      </w:pPr>
    </w:p>
    <w:bookmarkStart w:id="86" w:name="page87"/>
    <w:bookmarkEnd w:id="86"/>
    <w:p>
      <w:pPr>
        <w:ind w:right="460" w:firstLine="431"/>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“Monthly Reporting Date” </w:t>
      </w:r>
      <w:r>
        <w:rPr>
          <w:rFonts w:ascii="Arial" w:cs="Arial" w:eastAsia="Arial" w:hAnsi="Arial"/>
          <w:sz w:val="18"/>
          <w:szCs w:val="18"/>
          <w:color w:val="auto"/>
        </w:rPr>
        <w:t>means the 20</w:t>
      </w:r>
      <w:r>
        <w:rPr>
          <w:rFonts w:ascii="Arial" w:cs="Arial" w:eastAsia="Arial" w:hAnsi="Arial"/>
          <w:sz w:val="11"/>
          <w:szCs w:val="11"/>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day (or, if such day is not a Business Day, on the next succeeding Business Day)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month (other than January, April, July and October in each year).</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together with its successors.</w:t>
      </w:r>
    </w:p>
    <w:p>
      <w:pPr>
        <w:spacing w:after="0" w:line="90" w:lineRule="exact"/>
        <w:rPr>
          <w:sz w:val="20"/>
          <w:szCs w:val="20"/>
          <w:color w:val="auto"/>
        </w:rPr>
      </w:pPr>
    </w:p>
    <w:p>
      <w:pPr>
        <w:ind w:right="520" w:firstLine="431"/>
        <w:spacing w:after="0" w:line="268" w:lineRule="auto"/>
        <w:rPr>
          <w:sz w:val="20"/>
          <w:szCs w:val="20"/>
          <w:color w:val="auto"/>
        </w:rPr>
      </w:pPr>
      <w:r>
        <w:rPr>
          <w:rFonts w:ascii="Arial" w:cs="Arial" w:eastAsia="Arial" w:hAnsi="Arial"/>
          <w:sz w:val="18"/>
          <w:szCs w:val="18"/>
          <w:i w:val="1"/>
          <w:iCs w:val="1"/>
          <w:color w:val="auto"/>
        </w:rPr>
        <w:t xml:space="preserve">“Moody’s Industry Classification” </w:t>
      </w:r>
      <w:r>
        <w:rPr>
          <w:rFonts w:ascii="Arial" w:cs="Arial" w:eastAsia="Arial" w:hAnsi="Arial"/>
          <w:sz w:val="18"/>
          <w:szCs w:val="18"/>
          <w:color w:val="auto"/>
        </w:rPr>
        <w:t>means the industry classifications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w:t>
      </w:r>
      <w:r>
        <w:rPr>
          <w:rFonts w:ascii="Arial" w:cs="Arial" w:eastAsia="Arial" w:hAnsi="Arial"/>
          <w:sz w:val="18"/>
          <w:szCs w:val="18"/>
          <w:i w:val="1"/>
          <w:iCs w:val="1"/>
          <w:color w:val="auto"/>
        </w:rPr>
        <w:t xml:space="preserve"> </w:t>
      </w:r>
      <w:r>
        <w:rPr>
          <w:rFonts w:ascii="Arial" w:cs="Arial" w:eastAsia="Arial" w:hAnsi="Arial"/>
          <w:sz w:val="18"/>
          <w:szCs w:val="18"/>
          <w:color w:val="auto"/>
        </w:rPr>
        <w:t>hereto, as such industry classifications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updated at the option of the Collateral Manager if Moody’s publishes revised industry classifications.</w:t>
      </w:r>
    </w:p>
    <w:p>
      <w:pPr>
        <w:spacing w:after="0" w:line="51" w:lineRule="exact"/>
        <w:rPr>
          <w:sz w:val="20"/>
          <w:szCs w:val="20"/>
          <w:color w:val="auto"/>
        </w:rPr>
      </w:pPr>
    </w:p>
    <w:p>
      <w:pPr>
        <w:ind w:right="20" w:firstLine="43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 Rating</w:t>
      </w:r>
      <w:r>
        <w:rPr>
          <w:rFonts w:ascii="Arial" w:cs="Arial" w:eastAsia="Arial" w:hAnsi="Arial"/>
          <w:sz w:val="18"/>
          <w:szCs w:val="18"/>
          <w:color w:val="auto"/>
        </w:rPr>
        <w:t xml:space="preserve">” means, with respect to any Collateral Loan, as of any date of determination, the rating determined pursuant to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hereto (or such other schedule provided by Moody’s to the Borrower and the Collateral Manager).</w:t>
      </w:r>
    </w:p>
    <w:p>
      <w:pPr>
        <w:spacing w:after="0" w:line="51" w:lineRule="exact"/>
        <w:rPr>
          <w:sz w:val="20"/>
          <w:szCs w:val="20"/>
          <w:color w:val="auto"/>
        </w:rPr>
      </w:pPr>
    </w:p>
    <w:p>
      <w:pPr>
        <w:ind w:right="300" w:firstLine="431"/>
        <w:spacing w:after="0" w:line="259" w:lineRule="auto"/>
        <w:rPr>
          <w:sz w:val="20"/>
          <w:szCs w:val="20"/>
          <w:color w:val="auto"/>
        </w:rPr>
      </w:pPr>
      <w:r>
        <w:rPr>
          <w:rFonts w:ascii="Arial" w:cs="Arial" w:eastAsia="Arial" w:hAnsi="Arial"/>
          <w:sz w:val="18"/>
          <w:szCs w:val="18"/>
          <w:i w:val="1"/>
          <w:iCs w:val="1"/>
          <w:color w:val="auto"/>
        </w:rPr>
        <w:t xml:space="preserve">“Multiemployer Plan” </w:t>
      </w:r>
      <w:r>
        <w:rPr>
          <w:rFonts w:ascii="Arial" w:cs="Arial" w:eastAsia="Arial" w:hAnsi="Arial"/>
          <w:sz w:val="18"/>
          <w:szCs w:val="18"/>
          <w:color w:val="auto"/>
        </w:rPr>
        <w:t>means an employee pension benefit plan within the meaning of Section 4001(a)(3) of ERISA that is sponsored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or a member of its ERISA Group or to which the Borrower or a member of its ERISA Group is obligated to make contributions or has any liability.</w:t>
      </w:r>
    </w:p>
    <w:p>
      <w:pPr>
        <w:spacing w:after="0" w:line="59" w:lineRule="exact"/>
        <w:rPr>
          <w:sz w:val="20"/>
          <w:szCs w:val="20"/>
          <w:color w:val="auto"/>
        </w:rPr>
      </w:pPr>
    </w:p>
    <w:p>
      <w:pPr>
        <w:ind w:right="200" w:firstLine="431"/>
        <w:spacing w:after="0" w:line="259" w:lineRule="auto"/>
        <w:rPr>
          <w:sz w:val="20"/>
          <w:szCs w:val="20"/>
          <w:color w:val="auto"/>
        </w:rPr>
      </w:pPr>
      <w:r>
        <w:rPr>
          <w:rFonts w:ascii="Arial" w:cs="Arial" w:eastAsia="Arial" w:hAnsi="Arial"/>
          <w:sz w:val="18"/>
          <w:szCs w:val="18"/>
          <w:i w:val="1"/>
          <w:iCs w:val="1"/>
          <w:color w:val="auto"/>
        </w:rPr>
        <w:t xml:space="preserve">“Net Aggregate Exposure Amount” </w:t>
      </w:r>
      <w:r>
        <w:rPr>
          <w:rFonts w:ascii="Arial" w:cs="Arial" w:eastAsia="Arial" w:hAnsi="Arial"/>
          <w:sz w:val="18"/>
          <w:szCs w:val="18"/>
          <w:color w:val="auto"/>
        </w:rPr>
        <w:t>means, at any time, the excess (if any) of (x) the aggregate unfunded amounts in respect of all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Loans and Delayed Draw Collateral Loans at such time over (y) the aggregate amount on deposit in the Revolving Reserve Account at such time.</w:t>
      </w:r>
    </w:p>
    <w:p>
      <w:pPr>
        <w:spacing w:after="0" w:line="59" w:lineRule="exact"/>
        <w:rPr>
          <w:sz w:val="20"/>
          <w:szCs w:val="20"/>
          <w:color w:val="auto"/>
        </w:rPr>
      </w:pPr>
    </w:p>
    <w:p>
      <w:pPr>
        <w:jc w:val="both"/>
        <w:ind w:firstLine="43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Purchased Loan Balance</w:t>
      </w:r>
      <w:r>
        <w:rPr>
          <w:rFonts w:ascii="Arial" w:cs="Arial" w:eastAsia="Arial" w:hAnsi="Arial"/>
          <w:sz w:val="16"/>
          <w:szCs w:val="16"/>
          <w:color w:val="auto"/>
        </w:rPr>
        <w:t xml:space="preserve">” means, as of any date of determination, an amount equal to (a) the Aggregate Principal Balance of all Transferred Loans (as defined in the Purchase and Sale Agreement) sold and/or contributed by the BDC, as seller, to the Borrower, as buyer pursuant to the Purchase and Sale Agreement prior to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Principal Balance of all Transferred Loans (other than Warranty Loans (as defined in the Purchase and Sale Agreement)) repurchased or substituted by the BDC, as seller, prior to such date.</w:t>
      </w:r>
    </w:p>
    <w:p>
      <w:pPr>
        <w:spacing w:after="0" w:line="31" w:lineRule="exact"/>
        <w:rPr>
          <w:sz w:val="20"/>
          <w:szCs w:val="20"/>
          <w:color w:val="auto"/>
        </w:rPr>
      </w:pPr>
    </w:p>
    <w:p>
      <w:pPr>
        <w:ind w:right="200" w:firstLine="43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Worth</w:t>
      </w:r>
      <w:r>
        <w:rPr>
          <w:rFonts w:ascii="Arial" w:cs="Arial" w:eastAsia="Arial" w:hAnsi="Arial"/>
          <w:sz w:val="18"/>
          <w:szCs w:val="18"/>
          <w:color w:val="auto"/>
        </w:rPr>
        <w:t>” means, for any Obligor and at any time the same is to be determined, the difference between total assets and total liabilities of such Obligor, total assets and total liabilities each to be determined in accordance with GAAP.</w:t>
      </w:r>
    </w:p>
    <w:p>
      <w:pPr>
        <w:spacing w:after="0" w:line="51" w:lineRule="exact"/>
        <w:rPr>
          <w:sz w:val="20"/>
          <w:szCs w:val="20"/>
          <w:color w:val="auto"/>
        </w:rPr>
      </w:pPr>
    </w:p>
    <w:p>
      <w:pPr>
        <w:ind w:right="200" w:firstLine="431"/>
        <w:spacing w:after="0" w:line="268" w:lineRule="auto"/>
        <w:rPr>
          <w:sz w:val="20"/>
          <w:szCs w:val="20"/>
          <w:color w:val="auto"/>
        </w:rPr>
      </w:pPr>
      <w:r>
        <w:rPr>
          <w:rFonts w:ascii="Arial" w:cs="Arial" w:eastAsia="Arial" w:hAnsi="Arial"/>
          <w:sz w:val="18"/>
          <w:szCs w:val="18"/>
          <w:i w:val="1"/>
          <w:iCs w:val="1"/>
          <w:color w:val="auto"/>
        </w:rPr>
        <w:t xml:space="preserve">“Net Worth to Total Capital Ratio” </w:t>
      </w:r>
      <w:r>
        <w:rPr>
          <w:rFonts w:ascii="Arial" w:cs="Arial" w:eastAsia="Arial" w:hAnsi="Arial"/>
          <w:sz w:val="18"/>
          <w:szCs w:val="18"/>
          <w:color w:val="auto"/>
        </w:rPr>
        <w:t>means, at any time the same is to be determined for any Obligor, the ratio of (i) such Obligor’s Net Worth to</w:t>
      </w:r>
      <w:r>
        <w:rPr>
          <w:rFonts w:ascii="Arial" w:cs="Arial" w:eastAsia="Arial" w:hAnsi="Arial"/>
          <w:sz w:val="18"/>
          <w:szCs w:val="18"/>
          <w:i w:val="1"/>
          <w:iCs w:val="1"/>
          <w:color w:val="auto"/>
        </w:rPr>
        <w:t xml:space="preserve"> </w:t>
      </w:r>
      <w:r>
        <w:rPr>
          <w:rFonts w:ascii="Arial" w:cs="Arial" w:eastAsia="Arial" w:hAnsi="Arial"/>
          <w:sz w:val="18"/>
          <w:szCs w:val="18"/>
          <w:color w:val="auto"/>
        </w:rPr>
        <w:t>(ii) the Total Capitalization of such Obligor.</w:t>
      </w:r>
    </w:p>
    <w:p>
      <w:pPr>
        <w:spacing w:after="0" w:line="51"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i w:val="1"/>
          <w:iCs w:val="1"/>
          <w:color w:val="auto"/>
        </w:rPr>
        <w:t xml:space="preserve">“Non-Cash Paying PIK Loan” </w:t>
      </w:r>
      <w:r>
        <w:rPr>
          <w:rFonts w:ascii="Arial" w:cs="Arial" w:eastAsia="Arial" w:hAnsi="Arial"/>
          <w:sz w:val="18"/>
          <w:szCs w:val="18"/>
          <w:color w:val="auto"/>
        </w:rPr>
        <w:t>means, at any time, a PIK Loan that is deferring all of the cash interest that is due at such time or that, at such time,</w:t>
      </w:r>
      <w:r>
        <w:rPr>
          <w:rFonts w:ascii="Arial" w:cs="Arial" w:eastAsia="Arial" w:hAnsi="Arial"/>
          <w:sz w:val="18"/>
          <w:szCs w:val="18"/>
          <w:i w:val="1"/>
          <w:iCs w:val="1"/>
          <w:color w:val="auto"/>
        </w:rPr>
        <w:t xml:space="preserve"> </w:t>
      </w:r>
      <w:r>
        <w:rPr>
          <w:rFonts w:ascii="Arial" w:cs="Arial" w:eastAsia="Arial" w:hAnsi="Arial"/>
          <w:sz w:val="18"/>
          <w:szCs w:val="18"/>
          <w:color w:val="auto"/>
        </w:rPr>
        <w:t>has any capitalized interest (unless, in addition to capitalized interest, such PIK Loan requires interest in cash at a rate of at least LIBOR plus 3.50% per annum), or any balance of due and unpaid cash interest, outstanding.</w:t>
      </w:r>
    </w:p>
    <w:p>
      <w:pPr>
        <w:spacing w:after="0" w:line="12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740"/>
          </w:cols>
          <w:pgMar w:left="780" w:top="280" w:right="379" w:bottom="1440" w:gutter="0" w:footer="0" w:header="0"/>
        </w:sectPr>
      </w:pPr>
    </w:p>
    <w:bookmarkStart w:id="87" w:name="page88"/>
    <w:bookmarkEnd w:id="87"/>
    <w:p>
      <w:pPr>
        <w:ind w:firstLine="43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Noteless Loan</w:t>
      </w:r>
      <w:r>
        <w:rPr>
          <w:rFonts w:ascii="Arial" w:cs="Arial" w:eastAsia="Arial" w:hAnsi="Arial"/>
          <w:sz w:val="18"/>
          <w:szCs w:val="18"/>
          <w:color w:val="auto"/>
        </w:rPr>
        <w:t>” means a Collateral Loan with respect to which (i) the related loan agreement does not require the obligor to execute and deliver an Underlying Note to evidence the indebtedness created under such Collateral Loan and (ii) no Underlying Notes are outstanding with respect to the portion of the Collateral Loan transferred to the Borrower.</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“Notice of Borrowing”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“Notice of Prepayment”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90" w:lineRule="exact"/>
        <w:rPr>
          <w:sz w:val="20"/>
          <w:szCs w:val="20"/>
          <w:color w:val="auto"/>
        </w:rPr>
      </w:pPr>
    </w:p>
    <w:p>
      <w:pPr>
        <w:jc w:val="both"/>
        <w:ind w:right="480" w:firstLine="431"/>
        <w:spacing w:after="0" w:line="306" w:lineRule="auto"/>
        <w:rPr>
          <w:sz w:val="20"/>
          <w:szCs w:val="20"/>
          <w:color w:val="auto"/>
        </w:rPr>
      </w:pPr>
      <w:r>
        <w:rPr>
          <w:rFonts w:ascii="Arial" w:cs="Arial" w:eastAsia="Arial" w:hAnsi="Arial"/>
          <w:sz w:val="16"/>
          <w:szCs w:val="16"/>
          <w:i w:val="1"/>
          <w:iCs w:val="1"/>
          <w:color w:val="auto"/>
        </w:rPr>
        <w:t xml:space="preserve">“Obligations” </w:t>
      </w:r>
      <w:r>
        <w:rPr>
          <w:rFonts w:ascii="Arial" w:cs="Arial" w:eastAsia="Arial" w:hAnsi="Arial"/>
          <w:sz w:val="16"/>
          <w:szCs w:val="16"/>
          <w:color w:val="auto"/>
        </w:rPr>
        <w:t>means all indebtedness, whether absolute, fixed or contingent, at any time or from time to time owing by the Borrower to any</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Party or any Affected Person under or in connection with this Agreement, the Collateral Agent Fee Letter or any other Facility Document, including all amounts payable by the Borrower in respect of the Advances, with interest thereon, and all amounts payable hereunder.</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“Obligor” </w:t>
      </w:r>
      <w:r>
        <w:rPr>
          <w:rFonts w:ascii="Arial" w:cs="Arial" w:eastAsia="Arial" w:hAnsi="Arial"/>
          <w:sz w:val="16"/>
          <w:szCs w:val="16"/>
          <w:color w:val="auto"/>
        </w:rPr>
        <w:t>means, in respect of any Collateral Loan, the Person primarily obligated to pay Collections in respect of such Collateral Loan.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“OFAC”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“Offer”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8.07(c).</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“Original Agreement” </w:t>
      </w:r>
      <w:r>
        <w:rPr>
          <w:rFonts w:ascii="Arial" w:cs="Arial" w:eastAsia="Arial" w:hAnsi="Arial"/>
          <w:sz w:val="18"/>
          <w:szCs w:val="18"/>
          <w:color w:val="auto"/>
        </w:rPr>
        <w:t>has the meaning assigned to such term in the preamble hereto.</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“Other Taxes”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15.03(b)</w:t>
      </w:r>
      <w:r>
        <w:rPr>
          <w:rFonts w:ascii="Arial" w:cs="Arial" w:eastAsia="Arial" w:hAnsi="Arial"/>
          <w:sz w:val="18"/>
          <w:szCs w:val="18"/>
          <w:color w:val="auto"/>
        </w:rPr>
        <w:t>.</w:t>
      </w:r>
    </w:p>
    <w:p>
      <w:pPr>
        <w:spacing w:after="0" w:line="90" w:lineRule="exact"/>
        <w:rPr>
          <w:sz w:val="20"/>
          <w:szCs w:val="20"/>
          <w:color w:val="auto"/>
        </w:rPr>
      </w:pPr>
    </w:p>
    <w:p>
      <w:pPr>
        <w:ind w:right="220" w:firstLine="431"/>
        <w:spacing w:after="0" w:line="331" w:lineRule="auto"/>
        <w:rPr>
          <w:sz w:val="20"/>
          <w:szCs w:val="20"/>
          <w:color w:val="auto"/>
        </w:rPr>
      </w:pPr>
      <w:r>
        <w:rPr>
          <w:rFonts w:ascii="Arial" w:cs="Arial" w:eastAsia="Arial" w:hAnsi="Arial"/>
          <w:sz w:val="16"/>
          <w:szCs w:val="16"/>
          <w:i w:val="1"/>
          <w:iCs w:val="1"/>
          <w:color w:val="auto"/>
        </w:rPr>
        <w:t xml:space="preserve">“Ownership Certificates” </w:t>
      </w:r>
      <w:r>
        <w:rPr>
          <w:rFonts w:ascii="Arial" w:cs="Arial" w:eastAsia="Arial" w:hAnsi="Arial"/>
          <w:sz w:val="16"/>
          <w:szCs w:val="16"/>
          <w:color w:val="auto"/>
        </w:rPr>
        <w:t>means, in respect of any Collateral, all stock, ownership certificates, participation certificates and other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“certificated securities” (as such terms are defined in the UCC), if any, governing or evidencing or representing ownership of such Collateral.</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any Person to whom a participation is sold as permitted by</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15.06(d)</w:t>
      </w:r>
      <w:r>
        <w:rPr>
          <w:rFonts w:ascii="Arial" w:cs="Arial" w:eastAsia="Arial" w:hAnsi="Arial"/>
          <w:sz w:val="18"/>
          <w:szCs w:val="18"/>
          <w:color w:val="auto"/>
        </w:rPr>
        <w:t>.</w:t>
      </w:r>
    </w:p>
    <w:p>
      <w:pPr>
        <w:spacing w:after="0" w:line="90" w:lineRule="exact"/>
        <w:rPr>
          <w:sz w:val="20"/>
          <w:szCs w:val="20"/>
          <w:color w:val="auto"/>
        </w:rPr>
      </w:pPr>
    </w:p>
    <w:p>
      <w:pPr>
        <w:ind w:right="580" w:firstLine="431"/>
        <w:spacing w:after="0" w:line="268" w:lineRule="auto"/>
        <w:rPr>
          <w:sz w:val="20"/>
          <w:szCs w:val="20"/>
          <w:color w:val="auto"/>
        </w:rPr>
      </w:pPr>
      <w:r>
        <w:rPr>
          <w:rFonts w:ascii="Arial" w:cs="Arial" w:eastAsia="Arial" w:hAnsi="Arial"/>
          <w:sz w:val="18"/>
          <w:szCs w:val="18"/>
          <w:i w:val="1"/>
          <w:iCs w:val="1"/>
          <w:color w:val="auto"/>
        </w:rPr>
        <w:t xml:space="preserve">“Participation Interest” </w:t>
      </w:r>
      <w:r>
        <w:rPr>
          <w:rFonts w:ascii="Arial" w:cs="Arial" w:eastAsia="Arial" w:hAnsi="Arial"/>
          <w:sz w:val="18"/>
          <w:szCs w:val="18"/>
          <w:color w:val="auto"/>
        </w:rPr>
        <w:t>means a participation interest in a loan or other obligation that would, at the time of acquisition, or the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to acquire the same, constitute a Collateral Loan.</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“PATRIOT Act”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15.16</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“Payment Account” </w:t>
      </w:r>
      <w:r>
        <w:rPr>
          <w:rFonts w:ascii="Arial" w:cs="Arial" w:eastAsia="Arial" w:hAnsi="Arial"/>
          <w:sz w:val="18"/>
          <w:szCs w:val="18"/>
          <w:color w:val="auto"/>
        </w:rPr>
        <w:t>means the payment account of the Collateral Agent established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8.03(a)</w:t>
      </w:r>
      <w:r>
        <w:rPr>
          <w:rFonts w:ascii="Arial" w:cs="Arial" w:eastAsia="Arial" w:hAnsi="Arial"/>
          <w:sz w:val="18"/>
          <w:szCs w:val="18"/>
          <w:color w:val="auto"/>
        </w:rPr>
        <w:t>.</w:t>
      </w:r>
    </w:p>
    <w:p>
      <w:pPr>
        <w:spacing w:after="0" w:line="90" w:lineRule="exact"/>
        <w:rPr>
          <w:sz w:val="20"/>
          <w:szCs w:val="20"/>
          <w:color w:val="auto"/>
        </w:rPr>
      </w:pPr>
    </w:p>
    <w:p>
      <w:pPr>
        <w:ind w:right="300" w:firstLine="431"/>
        <w:spacing w:after="0" w:line="268" w:lineRule="auto"/>
        <w:rPr>
          <w:sz w:val="20"/>
          <w:szCs w:val="20"/>
          <w:color w:val="auto"/>
        </w:rPr>
      </w:pPr>
      <w:r>
        <w:rPr>
          <w:rFonts w:ascii="Arial" w:cs="Arial" w:eastAsia="Arial" w:hAnsi="Arial"/>
          <w:sz w:val="18"/>
          <w:szCs w:val="18"/>
          <w:i w:val="1"/>
          <w:iCs w:val="1"/>
          <w:color w:val="auto"/>
        </w:rPr>
        <w:t xml:space="preserve">“Payment Date” </w:t>
      </w:r>
      <w:r>
        <w:rPr>
          <w:rFonts w:ascii="Arial" w:cs="Arial" w:eastAsia="Arial" w:hAnsi="Arial"/>
          <w:sz w:val="18"/>
          <w:szCs w:val="18"/>
          <w:color w:val="auto"/>
        </w:rPr>
        <w:t>means the 20</w:t>
      </w:r>
      <w:r>
        <w:rPr>
          <w:rFonts w:ascii="Arial" w:cs="Arial" w:eastAsia="Arial" w:hAnsi="Arial"/>
          <w:sz w:val="11"/>
          <w:szCs w:val="11"/>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day of July, October, January and April in each year;</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if any such day is not a Business Day, then</w:t>
      </w:r>
      <w:r>
        <w:rPr>
          <w:rFonts w:ascii="Arial" w:cs="Arial" w:eastAsia="Arial" w:hAnsi="Arial"/>
          <w:sz w:val="18"/>
          <w:szCs w:val="18"/>
          <w:i w:val="1"/>
          <w:iCs w:val="1"/>
          <w:color w:val="auto"/>
        </w:rPr>
        <w:t xml:space="preserve"> </w:t>
      </w:r>
      <w:r>
        <w:rPr>
          <w:rFonts w:ascii="Arial" w:cs="Arial" w:eastAsia="Arial" w:hAnsi="Arial"/>
          <w:sz w:val="18"/>
          <w:szCs w:val="18"/>
          <w:color w:val="auto"/>
        </w:rPr>
        <w:t>such Payment Date shall be the next succeeding Business Day.</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80"/>
          </w:cols>
          <w:pgMar w:left="780" w:top="280" w:right="339" w:bottom="1440" w:gutter="0" w:footer="0" w:header="0"/>
        </w:sectPr>
      </w:pPr>
    </w:p>
    <w:bookmarkStart w:id="88" w:name="page89"/>
    <w:bookmarkEnd w:id="88"/>
    <w:p>
      <w:pPr>
        <w:ind w:left="4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“Payment Date Report”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8.06(b)</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“PBGC” </w:t>
      </w:r>
      <w:r>
        <w:rPr>
          <w:rFonts w:ascii="Arial" w:cs="Arial" w:eastAsia="Arial" w:hAnsi="Arial"/>
          <w:sz w:val="16"/>
          <w:szCs w:val="16"/>
          <w:color w:val="auto"/>
        </w:rPr>
        <w:t>means the Pension Benefit Guaranty Corporation, or any successor agency or entity performing substantially the same functions.</w:t>
      </w:r>
    </w:p>
    <w:p>
      <w:pPr>
        <w:spacing w:after="0" w:line="113" w:lineRule="exact"/>
        <w:rPr>
          <w:sz w:val="20"/>
          <w:szCs w:val="20"/>
          <w:color w:val="auto"/>
        </w:rPr>
      </w:pPr>
    </w:p>
    <w:p>
      <w:pPr>
        <w:ind w:right="60" w:firstLine="431"/>
        <w:spacing w:after="0" w:line="254" w:lineRule="auto"/>
        <w:rPr>
          <w:sz w:val="20"/>
          <w:szCs w:val="20"/>
          <w:color w:val="auto"/>
        </w:rPr>
      </w:pPr>
      <w:r>
        <w:rPr>
          <w:rFonts w:ascii="Arial" w:cs="Arial" w:eastAsia="Arial" w:hAnsi="Arial"/>
          <w:sz w:val="18"/>
          <w:szCs w:val="18"/>
          <w:i w:val="1"/>
          <w:iCs w:val="1"/>
          <w:color w:val="auto"/>
        </w:rPr>
        <w:t xml:space="preserve">“Percentage” </w:t>
      </w:r>
      <w:r>
        <w:rPr>
          <w:rFonts w:ascii="Arial" w:cs="Arial" w:eastAsia="Arial" w:hAnsi="Arial"/>
          <w:sz w:val="18"/>
          <w:szCs w:val="18"/>
          <w:color w:val="auto"/>
        </w:rPr>
        <w:t>of any Lender means, (a) with respect to any Lender party hereto on the date hereof, the percentage set forth opposite such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name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such Lender’s Percentage, as such amount is reduced by an Assignment and Acceptance entered into between such Lender and an assignee or increased by any Assignment and Acceptance entered into by such lender with an assignor.</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“Permitted Agent” </w:t>
      </w:r>
      <w:r>
        <w:rPr>
          <w:rFonts w:ascii="Arial" w:cs="Arial" w:eastAsia="Arial" w:hAnsi="Arial"/>
          <w:sz w:val="18"/>
          <w:szCs w:val="18"/>
          <w:color w:val="auto"/>
        </w:rPr>
        <w:t>means:</w:t>
      </w:r>
    </w:p>
    <w:p>
      <w:pPr>
        <w:spacing w:after="0" w:line="90" w:lineRule="exact"/>
        <w:rPr>
          <w:sz w:val="20"/>
          <w:szCs w:val="20"/>
          <w:color w:val="auto"/>
        </w:rPr>
      </w:pPr>
    </w:p>
    <w:p>
      <w:pPr>
        <w:ind w:left="440" w:firstLine="420"/>
        <w:spacing w:after="0" w:line="268" w:lineRule="auto"/>
        <w:tabs>
          <w:tab w:leader="none" w:pos="10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connection with the Facility Documents, the Collateral Manager, the Custodian, the Agents, the Independent Accountants and any such party’s sub-agents; and</w:t>
      </w:r>
    </w:p>
    <w:p>
      <w:pPr>
        <w:spacing w:after="0" w:line="50" w:lineRule="exact"/>
        <w:rPr>
          <w:rFonts w:ascii="Arial" w:cs="Arial" w:eastAsia="Arial" w:hAnsi="Arial"/>
          <w:sz w:val="18"/>
          <w:szCs w:val="18"/>
          <w:color w:val="auto"/>
        </w:rPr>
      </w:pPr>
    </w:p>
    <w:p>
      <w:pPr>
        <w:ind w:left="440" w:right="20" w:firstLine="420"/>
        <w:spacing w:after="0" w:line="298" w:lineRule="auto"/>
        <w:tabs>
          <w:tab w:leader="none" w:pos="1102"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connection with the Collateral Loans, (i) administrative agents, collateral agents, arrangers, trustees and similar agents (and any sub-agents) appointed under the Related Documents, (ii) financial and restructuring advisors, appraisers and evaluators, (iii) foreign agents retained for foreign perfection purposes or other local law requirements, (iv) back-office operations providers and (v) legal counsel, in each case, consistent with the Collateral Manager’s past practice and in the ordinary course of business.</w:t>
      </w:r>
    </w:p>
    <w:p>
      <w:pPr>
        <w:spacing w:after="0" w:line="31" w:lineRule="exact"/>
        <w:rPr>
          <w:sz w:val="20"/>
          <w:szCs w:val="20"/>
          <w:color w:val="auto"/>
        </w:rPr>
      </w:pPr>
    </w:p>
    <w:p>
      <w:pPr>
        <w:jc w:val="both"/>
        <w:ind w:right="100" w:firstLine="43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Assignee</w:t>
      </w:r>
      <w:r>
        <w:rPr>
          <w:rFonts w:ascii="Arial" w:cs="Arial" w:eastAsia="Arial" w:hAnsi="Arial"/>
          <w:sz w:val="18"/>
          <w:szCs w:val="18"/>
          <w:color w:val="auto"/>
        </w:rPr>
        <w:t xml:space="preserve">” means, with respect to (i) any CP Conduit, any Liquidity Bank for such CP Conduit and any other multi-seller asset-backed commercial paper conduit administered by the same agent as such CP Conduit, (ii) any Lender other than a CP Conduit, an Affiliate of such Lender that has a short-term unsecured debt rating or certificate of deposit rating of “A-2” or better by S&amp;P or “P-2” or better by Moody’s, and (iii) any Lender, any other Lender, and which,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does not require the Borrower to pay any additional or increased costs or is otherwise approved by the Borrower.</w:t>
      </w:r>
    </w:p>
    <w:p>
      <w:pPr>
        <w:spacing w:after="0" w:line="66" w:lineRule="exact"/>
        <w:rPr>
          <w:sz w:val="20"/>
          <w:szCs w:val="20"/>
          <w:color w:val="auto"/>
        </w:rPr>
      </w:pPr>
    </w:p>
    <w:p>
      <w:pPr>
        <w:ind w:firstLine="431"/>
        <w:spacing w:after="0" w:line="256" w:lineRule="auto"/>
        <w:rPr>
          <w:sz w:val="20"/>
          <w:szCs w:val="20"/>
          <w:color w:val="auto"/>
        </w:rPr>
      </w:pPr>
      <w:r>
        <w:rPr>
          <w:rFonts w:ascii="Arial" w:cs="Arial" w:eastAsia="Arial" w:hAnsi="Arial"/>
          <w:sz w:val="18"/>
          <w:szCs w:val="18"/>
          <w:i w:val="1"/>
          <w:iCs w:val="1"/>
          <w:color w:val="auto"/>
        </w:rPr>
        <w:t xml:space="preserve">“Permitted Liens” </w:t>
      </w:r>
      <w:r>
        <w:rPr>
          <w:rFonts w:ascii="Arial" w:cs="Arial" w:eastAsia="Arial" w:hAnsi="Arial"/>
          <w:sz w:val="18"/>
          <w:szCs w:val="18"/>
          <w:color w:val="auto"/>
        </w:rPr>
        <w:t>means: (a) Liens created in favor of the Collateral Agent hereunder or under the other Facility Documents for the benefit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Parties; and (b) Liens imposed by any Governmental Authority for taxes, assessments or charges not yet delinquent or which are being contested in good faith and by appropriate proceedings if adequate reserves with respect thereto are maintained on the books of the Borrower in accordance with GAAP.</w:t>
      </w:r>
    </w:p>
    <w:p>
      <w:pPr>
        <w:spacing w:after="0" w:line="62" w:lineRule="exact"/>
        <w:rPr>
          <w:sz w:val="20"/>
          <w:szCs w:val="20"/>
          <w:color w:val="auto"/>
        </w:rPr>
      </w:pPr>
    </w:p>
    <w:p>
      <w:pPr>
        <w:ind w:right="100" w:firstLine="431"/>
        <w:spacing w:after="0" w:line="256" w:lineRule="auto"/>
        <w:rPr>
          <w:sz w:val="20"/>
          <w:szCs w:val="20"/>
          <w:color w:val="auto"/>
        </w:rPr>
      </w:pPr>
      <w:r>
        <w:rPr>
          <w:rFonts w:ascii="Arial" w:cs="Arial" w:eastAsia="Arial" w:hAnsi="Arial"/>
          <w:sz w:val="18"/>
          <w:szCs w:val="18"/>
          <w:i w:val="1"/>
          <w:iCs w:val="1"/>
          <w:color w:val="auto"/>
        </w:rPr>
        <w:t xml:space="preserve">“Permitted Securitization” </w:t>
      </w:r>
      <w:r>
        <w:rPr>
          <w:rFonts w:ascii="Arial" w:cs="Arial" w:eastAsia="Arial" w:hAnsi="Arial"/>
          <w:sz w:val="18"/>
          <w:szCs w:val="18"/>
          <w:color w:val="auto"/>
        </w:rPr>
        <w:t>means any private or public term or conduit securitization transaction undertaken by the Borrower or its Affiliates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secured, directly or indirectly, by any Collateral Loan currently or formerly included in the Collateral or any portion thereof or any interest therein released from the Lien of this Agreement, including, without limitation, any collateralized loan obligation or collateralized debt obligation offering or other asset securitization.</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80"/>
          </w:cols>
          <w:pgMar w:left="780" w:top="280" w:right="339" w:bottom="1440" w:gutter="0" w:footer="0" w:header="0"/>
        </w:sectPr>
      </w:pPr>
    </w:p>
    <w:bookmarkStart w:id="89" w:name="page90"/>
    <w:bookmarkEnd w:id="89"/>
    <w:p>
      <w:pPr>
        <w:ind w:right="300" w:firstLine="431"/>
        <w:spacing w:after="0" w:line="33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“Person” </w:t>
      </w:r>
      <w:r>
        <w:rPr>
          <w:rFonts w:ascii="Arial" w:cs="Arial" w:eastAsia="Arial" w:hAnsi="Arial"/>
          <w:sz w:val="16"/>
          <w:szCs w:val="16"/>
          <w:color w:val="auto"/>
        </w:rPr>
        <w:t>means an individual or a corporation (including a business trust), partnership, trust, incorporated or unincorporated association, joint</w:t>
      </w:r>
      <w:r>
        <w:rPr>
          <w:rFonts w:ascii="Arial" w:cs="Arial" w:eastAsia="Arial" w:hAnsi="Arial"/>
          <w:sz w:val="16"/>
          <w:szCs w:val="16"/>
          <w:i w:val="1"/>
          <w:iCs w:val="1"/>
          <w:color w:val="auto"/>
        </w:rPr>
        <w:t xml:space="preserve"> </w:t>
      </w:r>
      <w:r>
        <w:rPr>
          <w:rFonts w:ascii="Arial" w:cs="Arial" w:eastAsia="Arial" w:hAnsi="Arial"/>
          <w:sz w:val="16"/>
          <w:szCs w:val="16"/>
          <w:color w:val="auto"/>
        </w:rPr>
        <w:t>stock company, limited liability company, government (or an agency or political subdivision thereof) or other entity of any kind.</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“PIK Loan” </w:t>
      </w:r>
      <w:r>
        <w:rPr>
          <w:rFonts w:ascii="Arial" w:cs="Arial" w:eastAsia="Arial" w:hAnsi="Arial"/>
          <w:sz w:val="16"/>
          <w:szCs w:val="16"/>
          <w:color w:val="auto"/>
        </w:rPr>
        <w:t>means a Collateral Loan that permits the obligor thereon to defer or capitalize any portion of the accrued interest thereon.</w:t>
      </w:r>
    </w:p>
    <w:p>
      <w:pPr>
        <w:spacing w:after="0" w:line="113" w:lineRule="exact"/>
        <w:rPr>
          <w:sz w:val="20"/>
          <w:szCs w:val="20"/>
          <w:color w:val="auto"/>
        </w:rPr>
      </w:pPr>
    </w:p>
    <w:p>
      <w:pPr>
        <w:ind w:firstLine="431"/>
        <w:spacing w:after="0" w:line="259"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an employee pension benefit plan (other than a Multiemployer Plan) which is covered by Title IV of ERISA or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funding standards under Section 412 of the Code that is sponsored by the Borrower or a member of its ERISA Group or to which the Borrower or a member of its ERISA Group is obligated to make contributions or has any liability.</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“Post-Default Rate” </w:t>
      </w:r>
      <w:r>
        <w:rPr>
          <w:rFonts w:ascii="Arial" w:cs="Arial" w:eastAsia="Arial" w:hAnsi="Arial"/>
          <w:sz w:val="16"/>
          <w:szCs w:val="16"/>
          <w:color w:val="auto"/>
        </w:rPr>
        <w:t>means a rate per annum equal to the rate of interest otherwise in effect pursuant to this Agreement</w:t>
      </w:r>
      <w:r>
        <w:rPr>
          <w:rFonts w:ascii="Arial" w:cs="Arial" w:eastAsia="Arial" w:hAnsi="Arial"/>
          <w:sz w:val="16"/>
          <w:szCs w:val="16"/>
          <w:i w:val="1"/>
          <w:iCs w:val="1"/>
          <w:color w:val="auto"/>
        </w:rPr>
        <w:t xml:space="preserve"> plus </w:t>
      </w:r>
      <w:r>
        <w:rPr>
          <w:rFonts w:ascii="Arial" w:cs="Arial" w:eastAsia="Arial" w:hAnsi="Arial"/>
          <w:sz w:val="16"/>
          <w:szCs w:val="16"/>
          <w:color w:val="auto"/>
        </w:rPr>
        <w:t>2.0% per annum.</w:t>
      </w:r>
    </w:p>
    <w:p>
      <w:pPr>
        <w:spacing w:after="0" w:line="113" w:lineRule="exact"/>
        <w:rPr>
          <w:sz w:val="20"/>
          <w:szCs w:val="20"/>
          <w:color w:val="auto"/>
        </w:rPr>
      </w:pPr>
    </w:p>
    <w:p>
      <w:pPr>
        <w:ind w:right="380" w:firstLine="431"/>
        <w:spacing w:after="0" w:line="335" w:lineRule="auto"/>
        <w:rPr>
          <w:sz w:val="20"/>
          <w:szCs w:val="20"/>
          <w:color w:val="auto"/>
        </w:rPr>
      </w:pPr>
      <w:r>
        <w:rPr>
          <w:rFonts w:ascii="Arial" w:cs="Arial" w:eastAsia="Arial" w:hAnsi="Arial"/>
          <w:sz w:val="15"/>
          <w:szCs w:val="15"/>
          <w:i w:val="1"/>
          <w:iCs w:val="1"/>
          <w:color w:val="auto"/>
        </w:rPr>
        <w:t xml:space="preserve">“Prime Rate” </w:t>
      </w:r>
      <w:r>
        <w:rPr>
          <w:rFonts w:ascii="Arial" w:cs="Arial" w:eastAsia="Arial" w:hAnsi="Arial"/>
          <w:sz w:val="15"/>
          <w:szCs w:val="15"/>
          <w:color w:val="auto"/>
        </w:rPr>
        <w:t>means the rate announced by SunTrust Bank from time to time as its prime rate in the United States, such rate to change as and</w:t>
      </w:r>
      <w:r>
        <w:rPr>
          <w:rFonts w:ascii="Arial" w:cs="Arial" w:eastAsia="Arial" w:hAnsi="Arial"/>
          <w:sz w:val="15"/>
          <w:szCs w:val="15"/>
          <w:i w:val="1"/>
          <w:iCs w:val="1"/>
          <w:color w:val="auto"/>
        </w:rPr>
        <w:t xml:space="preserve"> </w:t>
      </w:r>
      <w:r>
        <w:rPr>
          <w:rFonts w:ascii="Arial" w:cs="Arial" w:eastAsia="Arial" w:hAnsi="Arial"/>
          <w:sz w:val="15"/>
          <w:szCs w:val="15"/>
          <w:color w:val="auto"/>
        </w:rPr>
        <w:t>when such designated rate changes. The Prime Rate is not intended to be the lowest rate of interest charged by SunTrust Bank in connection with extensions of credit to debtors. SunTrust Bank may make commercial loans or other loans at rates of interest at, above, or below the Prime Rate.</w:t>
      </w:r>
    </w:p>
    <w:p>
      <w:pPr>
        <w:spacing w:after="0" w:line="7" w:lineRule="exact"/>
        <w:rPr>
          <w:sz w:val="20"/>
          <w:szCs w:val="20"/>
          <w:color w:val="auto"/>
        </w:rPr>
      </w:pPr>
    </w:p>
    <w:p>
      <w:pPr>
        <w:ind w:right="580" w:firstLine="431"/>
        <w:spacing w:after="0" w:line="268" w:lineRule="auto"/>
        <w:rPr>
          <w:sz w:val="20"/>
          <w:szCs w:val="20"/>
          <w:color w:val="auto"/>
        </w:rPr>
      </w:pPr>
      <w:r>
        <w:rPr>
          <w:rFonts w:ascii="Arial" w:cs="Arial" w:eastAsia="Arial" w:hAnsi="Arial"/>
          <w:sz w:val="18"/>
          <w:szCs w:val="18"/>
          <w:i w:val="1"/>
          <w:iCs w:val="1"/>
          <w:color w:val="auto"/>
        </w:rPr>
        <w:t xml:space="preserve">“Principal Balance” </w:t>
      </w:r>
      <w:r>
        <w:rPr>
          <w:rFonts w:ascii="Arial" w:cs="Arial" w:eastAsia="Arial" w:hAnsi="Arial"/>
          <w:sz w:val="18"/>
          <w:szCs w:val="18"/>
          <w:color w:val="auto"/>
        </w:rPr>
        <w:t>means, with respect to any Collateral Loan, as of any date of determination, the outstanding principal amount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Loan (excluding any capitalized interest).</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“Principal Collection Subaccount”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90" w:lineRule="exact"/>
        <w:rPr>
          <w:sz w:val="20"/>
          <w:szCs w:val="20"/>
          <w:color w:val="auto"/>
        </w:rPr>
      </w:pPr>
    </w:p>
    <w:p>
      <w:pPr>
        <w:ind w:right="120" w:firstLine="431"/>
        <w:spacing w:after="0" w:line="306" w:lineRule="auto"/>
        <w:rPr>
          <w:sz w:val="20"/>
          <w:szCs w:val="20"/>
          <w:color w:val="auto"/>
        </w:rPr>
      </w:pPr>
      <w:r>
        <w:rPr>
          <w:rFonts w:ascii="Arial" w:cs="Arial" w:eastAsia="Arial" w:hAnsi="Arial"/>
          <w:sz w:val="16"/>
          <w:szCs w:val="16"/>
          <w:i w:val="1"/>
          <w:iCs w:val="1"/>
          <w:color w:val="auto"/>
        </w:rPr>
        <w:t xml:space="preserve">“Principal Proceeds” </w:t>
      </w:r>
      <w:r>
        <w:rPr>
          <w:rFonts w:ascii="Arial" w:cs="Arial" w:eastAsia="Arial" w:hAnsi="Arial"/>
          <w:sz w:val="16"/>
          <w:szCs w:val="16"/>
          <w:color w:val="auto"/>
        </w:rPr>
        <w:t>means, with respect to any Collection Period or the related Determination Date, all amounts received by the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during such Collection Period that do not constitute Interest Proceeds, including unapplied proceeds of the Advances and any Cash equity contributions (unless specified by the Collateral Manager to constitute Interest Proceeds in accordance with </w:t>
      </w:r>
      <w:r>
        <w:rPr>
          <w:rFonts w:ascii="Arial" w:cs="Arial" w:eastAsia="Arial" w:hAnsi="Arial"/>
          <w:sz w:val="16"/>
          <w:szCs w:val="16"/>
          <w:u w:val="single" w:color="auto"/>
          <w:color w:val="auto"/>
        </w:rPr>
        <w:t>Section 10.05</w:t>
      </w:r>
      <w:r>
        <w:rPr>
          <w:rFonts w:ascii="Arial" w:cs="Arial" w:eastAsia="Arial" w:hAnsi="Arial"/>
          <w:sz w:val="16"/>
          <w:szCs w:val="16"/>
          <w:color w:val="auto"/>
        </w:rPr>
        <w:t>).</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“Priority of Payments”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9.01(a)</w:t>
      </w:r>
      <w:r>
        <w:rPr>
          <w:rFonts w:ascii="Arial" w:cs="Arial" w:eastAsia="Arial" w:hAnsi="Arial"/>
          <w:sz w:val="18"/>
          <w:szCs w:val="18"/>
          <w:color w:val="auto"/>
        </w:rPr>
        <w:t>.</w:t>
      </w:r>
    </w:p>
    <w:p>
      <w:pPr>
        <w:spacing w:after="0" w:line="90" w:lineRule="exact"/>
        <w:rPr>
          <w:sz w:val="20"/>
          <w:szCs w:val="20"/>
          <w:color w:val="auto"/>
        </w:rPr>
      </w:pPr>
    </w:p>
    <w:p>
      <w:pPr>
        <w:ind w:right="800" w:firstLine="431"/>
        <w:spacing w:after="0" w:line="268" w:lineRule="auto"/>
        <w:rPr>
          <w:sz w:val="20"/>
          <w:szCs w:val="20"/>
          <w:color w:val="auto"/>
        </w:rPr>
      </w:pPr>
      <w:r>
        <w:rPr>
          <w:rFonts w:ascii="Arial" w:cs="Arial" w:eastAsia="Arial" w:hAnsi="Arial"/>
          <w:sz w:val="18"/>
          <w:szCs w:val="18"/>
          <w:i w:val="1"/>
          <w:iCs w:val="1"/>
          <w:color w:val="auto"/>
        </w:rPr>
        <w:t xml:space="preserve">“Private Authorizations” </w:t>
      </w:r>
      <w:r>
        <w:rPr>
          <w:rFonts w:ascii="Arial" w:cs="Arial" w:eastAsia="Arial" w:hAnsi="Arial"/>
          <w:sz w:val="18"/>
          <w:szCs w:val="18"/>
          <w:color w:val="auto"/>
        </w:rPr>
        <w:t>means all franchises, permits, licenses, approvals, consents and other authorizations of all Persons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Authorities).</w:t>
      </w:r>
    </w:p>
    <w:p>
      <w:pPr>
        <w:spacing w:after="0" w:line="51" w:lineRule="exact"/>
        <w:rPr>
          <w:sz w:val="20"/>
          <w:szCs w:val="20"/>
          <w:color w:val="auto"/>
        </w:rPr>
      </w:pPr>
    </w:p>
    <w:p>
      <w:pPr>
        <w:ind w:right="400" w:firstLine="431"/>
        <w:spacing w:after="0" w:line="331" w:lineRule="auto"/>
        <w:rPr>
          <w:sz w:val="20"/>
          <w:szCs w:val="20"/>
          <w:color w:val="auto"/>
        </w:rPr>
      </w:pPr>
      <w:r>
        <w:rPr>
          <w:rFonts w:ascii="Arial" w:cs="Arial" w:eastAsia="Arial" w:hAnsi="Arial"/>
          <w:sz w:val="16"/>
          <w:szCs w:val="16"/>
          <w:i w:val="1"/>
          <w:iCs w:val="1"/>
          <w:color w:val="auto"/>
        </w:rPr>
        <w:t xml:space="preserve">“Proceeds” </w:t>
      </w:r>
      <w:r>
        <w:rPr>
          <w:rFonts w:ascii="Arial" w:cs="Arial" w:eastAsia="Arial" w:hAnsi="Arial"/>
          <w:sz w:val="16"/>
          <w:szCs w:val="16"/>
          <w:color w:val="auto"/>
        </w:rPr>
        <w:t>has, with reference to any asset or property, the meaning assigned to it under the UCC and, in any event, shall include, but not be</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to, any and all amounts from time to time paid or payable under or in connection with such asset or property.</w:t>
      </w:r>
    </w:p>
    <w:p>
      <w:pPr>
        <w:spacing w:after="0" w:line="7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60"/>
          </w:cols>
          <w:pgMar w:left="780" w:top="280" w:right="359" w:bottom="1440" w:gutter="0" w:footer="0" w:header="0"/>
        </w:sectPr>
      </w:pPr>
    </w:p>
    <w:bookmarkStart w:id="90" w:name="page91"/>
    <w:bookmarkEnd w:id="90"/>
    <w:p>
      <w:pPr>
        <w:ind w:left="3" w:right="500" w:firstLine="431"/>
        <w:spacing w:after="0" w:line="33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“Professional Independent Manager” </w:t>
      </w:r>
      <w:r>
        <w:rPr>
          <w:rFonts w:ascii="Arial" w:cs="Arial" w:eastAsia="Arial" w:hAnsi="Arial"/>
          <w:sz w:val="16"/>
          <w:szCs w:val="16"/>
          <w:color w:val="auto"/>
        </w:rPr>
        <w:t>means an individual who is employed by a nationally-recognized company that provides professional</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or independent managers for Special Purpose Entities and other corporate services in the ordinary course of its business.</w:t>
      </w:r>
    </w:p>
    <w:p>
      <w:pPr>
        <w:spacing w:after="0" w:line="6" w:lineRule="exact"/>
        <w:rPr>
          <w:sz w:val="20"/>
          <w:szCs w:val="20"/>
          <w:color w:val="auto"/>
        </w:rPr>
      </w:pPr>
    </w:p>
    <w:p>
      <w:pPr>
        <w:ind w:left="3" w:right="440" w:firstLine="431"/>
        <w:spacing w:after="0" w:line="268" w:lineRule="auto"/>
        <w:rPr>
          <w:sz w:val="20"/>
          <w:szCs w:val="20"/>
          <w:color w:val="auto"/>
        </w:rPr>
      </w:pPr>
      <w:r>
        <w:rPr>
          <w:rFonts w:ascii="Arial" w:cs="Arial" w:eastAsia="Arial" w:hAnsi="Arial"/>
          <w:sz w:val="18"/>
          <w:szCs w:val="18"/>
          <w:i w:val="1"/>
          <w:iCs w:val="1"/>
          <w:color w:val="auto"/>
        </w:rPr>
        <w:t xml:space="preserve">“Prohibited Transaction” </w:t>
      </w:r>
      <w:r>
        <w:rPr>
          <w:rFonts w:ascii="Arial" w:cs="Arial" w:eastAsia="Arial" w:hAnsi="Arial"/>
          <w:sz w:val="18"/>
          <w:szCs w:val="18"/>
          <w:color w:val="auto"/>
        </w:rPr>
        <w:t>means a transaction described in Section 406(a) of ERISA, that is not exempted by a statutory or administrative or</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exemption pursuant to Section 408 of ERISA.</w:t>
      </w:r>
    </w:p>
    <w:p>
      <w:pPr>
        <w:spacing w:after="0" w:line="51" w:lineRule="exact"/>
        <w:rPr>
          <w:sz w:val="20"/>
          <w:szCs w:val="20"/>
          <w:color w:val="auto"/>
        </w:rPr>
      </w:pPr>
    </w:p>
    <w:p>
      <w:pPr>
        <w:ind w:left="3" w:firstLine="431"/>
        <w:spacing w:after="0" w:line="268" w:lineRule="auto"/>
        <w:rPr>
          <w:sz w:val="20"/>
          <w:szCs w:val="20"/>
          <w:color w:val="auto"/>
        </w:rPr>
      </w:pPr>
      <w:r>
        <w:rPr>
          <w:rFonts w:ascii="Arial" w:cs="Arial" w:eastAsia="Arial" w:hAnsi="Arial"/>
          <w:sz w:val="18"/>
          <w:szCs w:val="18"/>
          <w:i w:val="1"/>
          <w:iCs w:val="1"/>
          <w:color w:val="auto"/>
        </w:rPr>
        <w:t xml:space="preserve">“Purchase and Contribution Agreement” </w:t>
      </w:r>
      <w:r>
        <w:rPr>
          <w:rFonts w:ascii="Arial" w:cs="Arial" w:eastAsia="Arial" w:hAnsi="Arial"/>
          <w:sz w:val="18"/>
          <w:szCs w:val="18"/>
          <w:color w:val="auto"/>
        </w:rPr>
        <w:t>means that certain Purchase and Contribution Agreement dated as of the Closing Date between the BDC,</w:t>
      </w:r>
      <w:r>
        <w:rPr>
          <w:rFonts w:ascii="Arial" w:cs="Arial" w:eastAsia="Arial" w:hAnsi="Arial"/>
          <w:sz w:val="18"/>
          <w:szCs w:val="18"/>
          <w:i w:val="1"/>
          <w:iCs w:val="1"/>
          <w:color w:val="auto"/>
        </w:rPr>
        <w:t xml:space="preserve"> </w:t>
      </w:r>
      <w:r>
        <w:rPr>
          <w:rFonts w:ascii="Arial" w:cs="Arial" w:eastAsia="Arial" w:hAnsi="Arial"/>
          <w:sz w:val="18"/>
          <w:szCs w:val="18"/>
          <w:color w:val="auto"/>
        </w:rPr>
        <w:t>as seller, and the Borrower, as buyer.</w:t>
      </w:r>
    </w:p>
    <w:p>
      <w:pPr>
        <w:spacing w:after="0" w:line="51" w:lineRule="exact"/>
        <w:rPr>
          <w:sz w:val="20"/>
          <w:szCs w:val="20"/>
          <w:color w:val="auto"/>
        </w:rPr>
      </w:pPr>
    </w:p>
    <w:p>
      <w:pPr>
        <w:ind w:left="3" w:right="40" w:firstLine="43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 Money Lien”</w:t>
      </w:r>
      <w:r>
        <w:rPr>
          <w:rFonts w:ascii="Arial" w:cs="Arial" w:eastAsia="Arial" w:hAnsi="Arial"/>
          <w:sz w:val="16"/>
          <w:szCs w:val="16"/>
          <w:color w:val="auto"/>
        </w:rPr>
        <w:t xml:space="preserve"> means a Lien that secures indebtedness for borrowed money so long as (i) substantially all of the proceeds of the indebtedness for borrowed money that is the subject of such Lien was used to acquire, construct or improve the asset(s) that are the subject of such Lien, and (ii) such Lien does not attach to assets other than those acquired, constructed or improved with such proceeds.</w:t>
      </w:r>
    </w:p>
    <w:p>
      <w:pPr>
        <w:spacing w:after="0" w:line="25" w:lineRule="exact"/>
        <w:rPr>
          <w:sz w:val="20"/>
          <w:szCs w:val="20"/>
          <w:color w:val="auto"/>
        </w:rPr>
      </w:pPr>
    </w:p>
    <w:p>
      <w:pPr>
        <w:ind w:left="3" w:right="20" w:firstLine="431"/>
        <w:spacing w:after="0" w:line="283" w:lineRule="auto"/>
        <w:rPr>
          <w:sz w:val="20"/>
          <w:szCs w:val="20"/>
          <w:color w:val="auto"/>
        </w:rPr>
      </w:pPr>
      <w:r>
        <w:rPr>
          <w:rFonts w:ascii="Arial" w:cs="Arial" w:eastAsia="Arial" w:hAnsi="Arial"/>
          <w:sz w:val="16"/>
          <w:szCs w:val="16"/>
          <w:i w:val="1"/>
          <w:iCs w:val="1"/>
          <w:color w:val="auto"/>
        </w:rPr>
        <w:t xml:space="preserve">“Qualified Institution” </w:t>
      </w:r>
      <w:r>
        <w:rPr>
          <w:rFonts w:ascii="Arial" w:cs="Arial" w:eastAsia="Arial" w:hAnsi="Arial"/>
          <w:sz w:val="16"/>
          <w:szCs w:val="16"/>
          <w:color w:val="auto"/>
        </w:rPr>
        <w:t>means a depository institution or trust company organized under the laws of the United States of America or any 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States thereof or the District of Columbia (or any domestic branch of a foreign bank), (i)(a) that has either (1) a long-term unsecured debt rating of “A” or better by S&amp;P and “A2” or better by Moody’s or (2) a short-term unsecured debt rating or certificate of deposit rating of “A-1” or better by S&amp;P or “P-1” or better by Moody’s, (b) the parent corporation of which has either (1) a long-term unsecured debt rating of “A” or better by S&amp;P and “A2” or better by Moody’s or (2) a short-term unsecured debt rating or certificate of deposit rating of “A-1” or better by S&amp;P and “P-1” or better by Moody’s or</w:t>
      </w:r>
    </w:p>
    <w:p>
      <w:pPr>
        <w:spacing w:after="0" w:line="2" w:lineRule="exact"/>
        <w:rPr>
          <w:sz w:val="20"/>
          <w:szCs w:val="20"/>
          <w:color w:val="auto"/>
        </w:rPr>
      </w:pPr>
    </w:p>
    <w:p>
      <w:pPr>
        <w:ind w:left="423" w:right="680" w:hanging="423"/>
        <w:spacing w:after="0" w:line="340" w:lineRule="auto"/>
        <w:tabs>
          <w:tab w:leader="none" w:pos="231"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is otherwise acceptable to the Administrative Agent and (ii) the deposits of which are insured by the Federal Deposit Insurance Corporation. </w:t>
      </w:r>
      <w:r>
        <w:rPr>
          <w:rFonts w:ascii="Arial" w:cs="Arial" w:eastAsia="Arial" w:hAnsi="Arial"/>
          <w:sz w:val="18"/>
          <w:szCs w:val="18"/>
          <w:i w:val="1"/>
          <w:iCs w:val="1"/>
          <w:color w:val="auto"/>
        </w:rPr>
        <w:t xml:space="preserve">“QIB”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15.06(e)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23"/>
        <w:spacing w:after="0"/>
        <w:rPr>
          <w:rFonts w:ascii="Arial" w:cs="Arial" w:eastAsia="Arial" w:hAnsi="Arial"/>
          <w:sz w:val="18"/>
          <w:szCs w:val="18"/>
          <w:color w:val="auto"/>
        </w:rPr>
      </w:pPr>
      <w:r>
        <w:rPr>
          <w:rFonts w:ascii="Arial" w:cs="Arial" w:eastAsia="Arial" w:hAnsi="Arial"/>
          <w:sz w:val="18"/>
          <w:szCs w:val="18"/>
          <w:i w:val="1"/>
          <w:iCs w:val="1"/>
          <w:color w:val="auto"/>
        </w:rPr>
        <w:t xml:space="preserve">“Qualified Purchaser”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15.06(e)</w:t>
      </w:r>
      <w:r>
        <w:rPr>
          <w:rFonts w:ascii="Arial" w:cs="Arial" w:eastAsia="Arial" w:hAnsi="Arial"/>
          <w:sz w:val="18"/>
          <w:szCs w:val="18"/>
          <w:color w:val="auto"/>
        </w:rPr>
        <w:t>.</w:t>
      </w:r>
    </w:p>
    <w:p>
      <w:pPr>
        <w:spacing w:after="0" w:line="90" w:lineRule="exact"/>
        <w:rPr>
          <w:sz w:val="20"/>
          <w:szCs w:val="20"/>
          <w:color w:val="auto"/>
        </w:rPr>
      </w:pPr>
    </w:p>
    <w:p>
      <w:pPr>
        <w:ind w:left="423"/>
        <w:spacing w:after="0"/>
        <w:rPr>
          <w:sz w:val="20"/>
          <w:szCs w:val="20"/>
          <w:color w:val="auto"/>
        </w:rPr>
      </w:pPr>
      <w:r>
        <w:rPr>
          <w:rFonts w:ascii="Arial" w:cs="Arial" w:eastAsia="Arial" w:hAnsi="Arial"/>
          <w:sz w:val="16"/>
          <w:szCs w:val="16"/>
          <w:i w:val="1"/>
          <w:iCs w:val="1"/>
          <w:color w:val="auto"/>
        </w:rPr>
        <w:t xml:space="preserve">“Quarterly Asset Amount” </w:t>
      </w:r>
      <w:r>
        <w:rPr>
          <w:rFonts w:ascii="Arial" w:cs="Arial" w:eastAsia="Arial" w:hAnsi="Arial"/>
          <w:sz w:val="16"/>
          <w:szCs w:val="16"/>
          <w:color w:val="auto"/>
        </w:rPr>
        <w:t>means, for any Payment Date, the Aggregate Collateral Balance as of the last day of the most recent Collection Period.</w:t>
      </w:r>
    </w:p>
    <w:p>
      <w:pPr>
        <w:spacing w:after="0" w:line="113" w:lineRule="exact"/>
        <w:rPr>
          <w:sz w:val="20"/>
          <w:szCs w:val="20"/>
          <w:color w:val="auto"/>
        </w:rPr>
      </w:pPr>
    </w:p>
    <w:p>
      <w:pPr>
        <w:ind w:left="423"/>
        <w:spacing w:after="0"/>
        <w:rPr>
          <w:sz w:val="20"/>
          <w:szCs w:val="20"/>
          <w:color w:val="auto"/>
        </w:rPr>
      </w:pPr>
      <w:r>
        <w:rPr>
          <w:rFonts w:ascii="Arial" w:cs="Arial" w:eastAsia="Arial" w:hAnsi="Arial"/>
          <w:sz w:val="18"/>
          <w:szCs w:val="18"/>
          <w:i w:val="1"/>
          <w:iCs w:val="1"/>
          <w:color w:val="auto"/>
        </w:rPr>
        <w:t xml:space="preserve">“Ratings” </w:t>
      </w:r>
      <w:r>
        <w:rPr>
          <w:rFonts w:ascii="Arial" w:cs="Arial" w:eastAsia="Arial" w:hAnsi="Arial"/>
          <w:sz w:val="18"/>
          <w:szCs w:val="18"/>
          <w:color w:val="auto"/>
        </w:rPr>
        <w:t>means, for purposes of determining the “Ratings” Matrix Input, the lower of the Moody’s Rating and the S&amp;P Rating.</w:t>
      </w:r>
    </w:p>
    <w:p>
      <w:pPr>
        <w:spacing w:after="0" w:line="90" w:lineRule="exact"/>
        <w:rPr>
          <w:sz w:val="20"/>
          <w:szCs w:val="20"/>
          <w:color w:val="auto"/>
        </w:rPr>
      </w:pPr>
    </w:p>
    <w:p>
      <w:pPr>
        <w:ind w:left="3" w:firstLine="431"/>
        <w:spacing w:after="0" w:line="294" w:lineRule="auto"/>
        <w:rPr>
          <w:sz w:val="20"/>
          <w:szCs w:val="20"/>
          <w:color w:val="auto"/>
        </w:rPr>
      </w:pPr>
      <w:r>
        <w:rPr>
          <w:rFonts w:ascii="Arial" w:cs="Arial" w:eastAsia="Arial" w:hAnsi="Arial"/>
          <w:sz w:val="16"/>
          <w:szCs w:val="16"/>
          <w:i w:val="1"/>
          <w:iCs w:val="1"/>
          <w:color w:val="auto"/>
        </w:rPr>
        <w:t xml:space="preserve">“Rating Agency” </w:t>
      </w:r>
      <w:r>
        <w:rPr>
          <w:rFonts w:ascii="Arial" w:cs="Arial" w:eastAsia="Arial" w:hAnsi="Arial"/>
          <w:sz w:val="16"/>
          <w:szCs w:val="16"/>
          <w:color w:val="auto"/>
        </w:rPr>
        <w:t>means Moody’s, Fitch or S&amp;P (or, if, at any time Moody’s, Fitch or S&amp;P ceases to provide rating services with respect to debt</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any other nationally recognized investment rating agency selected by the Borrower or the Collateral Manager on behalf of the Borrower with the consent of the Administrative Agent and the Required Lenders). In the event that at any time any of the rating agencies referred to above ceases to be a “Rating Agency” and a replacement rating agency is selected in accordance with the preceding sentence, then references to rating categories of such replaced rating agency in this Agreement shall be</w:t>
      </w:r>
    </w:p>
    <w:p>
      <w:pPr>
        <w:spacing w:after="0" w:line="102"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763"/>
          </w:cols>
          <w:pgMar w:left="777" w:top="280" w:right="359" w:bottom="1440" w:gutter="0" w:footer="0" w:header="0"/>
        </w:sectPr>
      </w:pPr>
    </w:p>
    <w:bookmarkStart w:id="91" w:name="page92"/>
    <w:bookmarkEnd w:id="91"/>
    <w:p>
      <w:pPr>
        <w:ind w:right="140"/>
        <w:spacing w:after="0" w:line="3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deemed instead to be references to the equivalent categories of such replacement rating agency as of the most recent date on which such replacement rating agency and such replaced rating agency’s published ratings for the type of obligation in respect of which such replacement rating agency is used.</w:t>
      </w:r>
    </w:p>
    <w:p>
      <w:pPr>
        <w:spacing w:after="0" w:line="1" w:lineRule="exact"/>
        <w:rPr>
          <w:sz w:val="20"/>
          <w:szCs w:val="20"/>
          <w:color w:val="auto"/>
        </w:rPr>
      </w:pPr>
    </w:p>
    <w:p>
      <w:pPr>
        <w:ind w:right="100" w:firstLine="431"/>
        <w:spacing w:after="0" w:line="268" w:lineRule="auto"/>
        <w:rPr>
          <w:sz w:val="20"/>
          <w:szCs w:val="20"/>
          <w:color w:val="auto"/>
        </w:rPr>
      </w:pPr>
      <w:r>
        <w:rPr>
          <w:rFonts w:ascii="Arial" w:cs="Arial" w:eastAsia="Arial" w:hAnsi="Arial"/>
          <w:sz w:val="18"/>
          <w:szCs w:val="18"/>
          <w:i w:val="1"/>
          <w:iCs w:val="1"/>
          <w:color w:val="auto"/>
        </w:rPr>
        <w:t xml:space="preserve">“Recovery Rate” </w:t>
      </w:r>
      <w:r>
        <w:rPr>
          <w:rFonts w:ascii="Arial" w:cs="Arial" w:eastAsia="Arial" w:hAnsi="Arial"/>
          <w:sz w:val="18"/>
          <w:szCs w:val="18"/>
          <w:color w:val="auto"/>
        </w:rPr>
        <w:t>means, for Defaulted Collateral Loans, the lesser of (a) the recovery rate assigned by Moody’s or S&amp;P (if both are provided,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lowest shall govern) to such Collateral Loan; and (b) the recovery rate set forth opposite such asset type below:</w:t>
      </w:r>
    </w:p>
    <w:p>
      <w:pPr>
        <w:spacing w:after="0" w:line="5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Eligible First Lien Obligation-50%</w:t>
      </w:r>
    </w:p>
    <w:p>
      <w:pPr>
        <w:spacing w:after="0" w:line="9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Eligible Second Lien Obligation-30%,</w:t>
      </w:r>
    </w:p>
    <w:p>
      <w:pPr>
        <w:spacing w:after="0" w:line="90" w:lineRule="exact"/>
        <w:rPr>
          <w:sz w:val="20"/>
          <w:szCs w:val="20"/>
          <w:color w:val="auto"/>
        </w:rPr>
      </w:pPr>
    </w:p>
    <w:p>
      <w:pPr>
        <w:ind w:left="440" w:right="40" w:firstLine="413"/>
        <w:spacing w:after="0" w:line="298" w:lineRule="auto"/>
        <w:rPr>
          <w:sz w:val="20"/>
          <w:szCs w:val="20"/>
          <w:color w:val="auto"/>
        </w:rPr>
      </w:pP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(1) all amounts have been recovered with respect to a Defaulted Collateral Loan or (2) the amounts that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recovered with respect to a Defaulted Collateral Loan would result in a higher Recovery Rate (calculated pursuant to this proviso) than that set forth above, the Recovery Rate for such Collateral Loan shall be equal to (A) the aggregate amount recovered with respect to such Collateral Loan, divided by (B) the Principal Balance of such Collateral Loan on the day it became a Defaulted Collateral Loan.</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“Register”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15.06(d)</w:t>
      </w:r>
      <w:r>
        <w:rPr>
          <w:rFonts w:ascii="Arial" w:cs="Arial" w:eastAsia="Arial" w:hAnsi="Arial"/>
          <w:sz w:val="18"/>
          <w:szCs w:val="18"/>
          <w:color w:val="auto"/>
        </w:rPr>
        <w:t>.</w:t>
      </w:r>
    </w:p>
    <w:p>
      <w:pPr>
        <w:spacing w:after="0" w:line="90" w:lineRule="exact"/>
        <w:rPr>
          <w:sz w:val="20"/>
          <w:szCs w:val="20"/>
          <w:color w:val="auto"/>
        </w:rPr>
      </w:pPr>
    </w:p>
    <w:p>
      <w:pPr>
        <w:ind w:firstLine="431"/>
        <w:spacing w:after="0" w:line="268" w:lineRule="auto"/>
        <w:rPr>
          <w:sz w:val="20"/>
          <w:szCs w:val="20"/>
          <w:color w:val="auto"/>
        </w:rPr>
      </w:pPr>
      <w:r>
        <w:rPr>
          <w:rFonts w:ascii="Arial" w:cs="Arial" w:eastAsia="Arial" w:hAnsi="Arial"/>
          <w:sz w:val="18"/>
          <w:szCs w:val="18"/>
          <w:i w:val="1"/>
          <w:iCs w:val="1"/>
          <w:color w:val="auto"/>
        </w:rPr>
        <w:t>“Regulation T”</w:t>
      </w:r>
      <w:r>
        <w:rPr>
          <w:rFonts w:ascii="Arial" w:cs="Arial" w:eastAsia="Arial" w:hAnsi="Arial"/>
          <w:sz w:val="18"/>
          <w:szCs w:val="18"/>
          <w:color w:val="auto"/>
        </w:rPr>
        <w:t>,</w:t>
      </w:r>
      <w:r>
        <w:rPr>
          <w:rFonts w:ascii="Arial" w:cs="Arial" w:eastAsia="Arial" w:hAnsi="Arial"/>
          <w:sz w:val="18"/>
          <w:szCs w:val="18"/>
          <w:i w:val="1"/>
          <w:iCs w:val="1"/>
          <w:color w:val="auto"/>
        </w:rPr>
        <w:t xml:space="preserve"> “Regulation U” </w:t>
      </w:r>
      <w:r>
        <w:rPr>
          <w:rFonts w:ascii="Arial" w:cs="Arial" w:eastAsia="Arial" w:hAnsi="Arial"/>
          <w:sz w:val="18"/>
          <w:szCs w:val="18"/>
          <w:color w:val="auto"/>
        </w:rPr>
        <w:t>and</w:t>
      </w:r>
      <w:r>
        <w:rPr>
          <w:rFonts w:ascii="Arial" w:cs="Arial" w:eastAsia="Arial" w:hAnsi="Arial"/>
          <w:sz w:val="18"/>
          <w:szCs w:val="18"/>
          <w:i w:val="1"/>
          <w:iCs w:val="1"/>
          <w:color w:val="auto"/>
        </w:rPr>
        <w:t xml:space="preserve"> “Regulation X” </w:t>
      </w:r>
      <w:r>
        <w:rPr>
          <w:rFonts w:ascii="Arial" w:cs="Arial" w:eastAsia="Arial" w:hAnsi="Arial"/>
          <w:sz w:val="18"/>
          <w:szCs w:val="18"/>
          <w:color w:val="auto"/>
        </w:rPr>
        <w:t>mean Regulation T, U and X, respectively, of the Board of Governors of the Federal Reserve</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as in effect from time to time.</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“Regulatory Change”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90" w:lineRule="exact"/>
        <w:rPr>
          <w:sz w:val="20"/>
          <w:szCs w:val="20"/>
          <w:color w:val="auto"/>
        </w:rPr>
      </w:pPr>
    </w:p>
    <w:p>
      <w:pPr>
        <w:ind w:right="40" w:firstLine="431"/>
        <w:spacing w:after="0" w:line="294" w:lineRule="auto"/>
        <w:rPr>
          <w:sz w:val="20"/>
          <w:szCs w:val="20"/>
          <w:color w:val="auto"/>
        </w:rPr>
      </w:pPr>
      <w:r>
        <w:rPr>
          <w:rFonts w:ascii="Arial" w:cs="Arial" w:eastAsia="Arial" w:hAnsi="Arial"/>
          <w:sz w:val="16"/>
          <w:szCs w:val="16"/>
          <w:i w:val="1"/>
          <w:iCs w:val="1"/>
          <w:color w:val="auto"/>
        </w:rPr>
        <w:t xml:space="preserve">“Reinvestment Agreement” </w:t>
      </w:r>
      <w:r>
        <w:rPr>
          <w:rFonts w:ascii="Arial" w:cs="Arial" w:eastAsia="Arial" w:hAnsi="Arial"/>
          <w:sz w:val="16"/>
          <w:szCs w:val="16"/>
          <w:color w:val="auto"/>
        </w:rPr>
        <w:t>means a guaranteed reinvestment agreement from a bank, insurance company or other corporation or entity having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Eligible Investment Required Ratings;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such agreement provides that it is terminable by the purchaser, without penalty and with the return of all invested funds, if within sixty (60) days after the provider of such agreement no longer satisfies the Eligible Investment Required Ratings, the provider has failed to obtain either (i) a guarantor with an Eligible Investment Required Ratings to guarantee the obligations of such provider under such agreement or (ii) a replacement provider with an Eligible Investment Required Ratings.</w:t>
      </w:r>
    </w:p>
    <w:p>
      <w:pPr>
        <w:spacing w:after="0" w:line="34"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i w:val="1"/>
          <w:iCs w:val="1"/>
          <w:color w:val="auto"/>
        </w:rPr>
        <w:t xml:space="preserve">“Reinvestment Period” </w:t>
      </w:r>
      <w:r>
        <w:rPr>
          <w:rFonts w:ascii="Arial" w:cs="Arial" w:eastAsia="Arial" w:hAnsi="Arial"/>
          <w:sz w:val="18"/>
          <w:szCs w:val="18"/>
          <w:color w:val="auto"/>
        </w:rPr>
        <w:t>means the period from and including the Closing Date to and including the earlier of (a) the date that is 36 months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Restatement Effective Date (or such later date as may be agreed by the Borrower and each of the Lenders and notified in writing to the Agents) or (b) the date of the termination of the Commitments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59" w:lineRule="exact"/>
        <w:rPr>
          <w:sz w:val="20"/>
          <w:szCs w:val="20"/>
          <w:color w:val="auto"/>
        </w:rPr>
      </w:pPr>
    </w:p>
    <w:p>
      <w:pPr>
        <w:ind w:right="140" w:firstLine="431"/>
        <w:spacing w:after="0" w:line="268" w:lineRule="auto"/>
        <w:rPr>
          <w:sz w:val="20"/>
          <w:szCs w:val="20"/>
          <w:color w:val="auto"/>
        </w:rPr>
      </w:pPr>
      <w:r>
        <w:rPr>
          <w:rFonts w:ascii="Arial" w:cs="Arial" w:eastAsia="Arial" w:hAnsi="Arial"/>
          <w:sz w:val="18"/>
          <w:szCs w:val="18"/>
          <w:i w:val="1"/>
          <w:iCs w:val="1"/>
          <w:color w:val="auto"/>
        </w:rPr>
        <w:t xml:space="preserve">“Related Documents” </w:t>
      </w:r>
      <w:r>
        <w:rPr>
          <w:rFonts w:ascii="Arial" w:cs="Arial" w:eastAsia="Arial" w:hAnsi="Arial"/>
          <w:sz w:val="18"/>
          <w:szCs w:val="18"/>
          <w:color w:val="auto"/>
        </w:rPr>
        <w:t>means, with respect to any Collateral Loan, all agreements or documents evidencing, guaranteeing, securing, governing or</w:t>
      </w:r>
      <w:r>
        <w:rPr>
          <w:rFonts w:ascii="Arial" w:cs="Arial" w:eastAsia="Arial" w:hAnsi="Arial"/>
          <w:sz w:val="18"/>
          <w:szCs w:val="18"/>
          <w:i w:val="1"/>
          <w:iCs w:val="1"/>
          <w:color w:val="auto"/>
        </w:rPr>
        <w:t xml:space="preserve"> </w:t>
      </w:r>
      <w:r>
        <w:rPr>
          <w:rFonts w:ascii="Arial" w:cs="Arial" w:eastAsia="Arial" w:hAnsi="Arial"/>
          <w:sz w:val="18"/>
          <w:szCs w:val="18"/>
          <w:color w:val="auto"/>
        </w:rPr>
        <w:t>giving rise to such Collateral Loan (as identified on the Loan Checklist).</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760"/>
          </w:cols>
          <w:pgMar w:left="780" w:top="280" w:right="359" w:bottom="1440" w:gutter="0" w:footer="0" w:header="0"/>
        </w:sectPr>
      </w:pPr>
    </w:p>
    <w:bookmarkStart w:id="92" w:name="page93"/>
    <w:bookmarkEnd w:id="92"/>
    <w:p>
      <w:pPr>
        <w:ind w:left="4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“Requested Amount”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5"/>
          <w:szCs w:val="15"/>
          <w:i w:val="1"/>
          <w:iCs w:val="1"/>
          <w:color w:val="auto"/>
        </w:rPr>
        <w:t xml:space="preserve">“Required Lenders” </w:t>
      </w:r>
      <w:r>
        <w:rPr>
          <w:rFonts w:ascii="Arial" w:cs="Arial" w:eastAsia="Arial" w:hAnsi="Arial"/>
          <w:sz w:val="15"/>
          <w:szCs w:val="15"/>
          <w:color w:val="auto"/>
        </w:rPr>
        <w:t>means, as of any date of determination, one or more Lenders having aggregate Percentages greater than or equal to 66 2/3%.</w:t>
      </w:r>
    </w:p>
    <w:p>
      <w:pPr>
        <w:spacing w:after="0" w:line="125" w:lineRule="exact"/>
        <w:rPr>
          <w:sz w:val="20"/>
          <w:szCs w:val="20"/>
          <w:color w:val="auto"/>
        </w:rPr>
      </w:pPr>
    </w:p>
    <w:p>
      <w:pPr>
        <w:ind w:firstLine="431"/>
        <w:spacing w:after="0" w:line="288" w:lineRule="auto"/>
        <w:rPr>
          <w:sz w:val="20"/>
          <w:szCs w:val="20"/>
          <w:color w:val="auto"/>
        </w:rPr>
      </w:pPr>
      <w:r>
        <w:rPr>
          <w:rFonts w:ascii="Arial" w:cs="Arial" w:eastAsia="Arial" w:hAnsi="Arial"/>
          <w:sz w:val="16"/>
          <w:szCs w:val="16"/>
          <w:i w:val="1"/>
          <w:iCs w:val="1"/>
          <w:color w:val="auto"/>
        </w:rPr>
        <w:t xml:space="preserve">“Responsible Officer” </w:t>
      </w:r>
      <w:r>
        <w:rPr>
          <w:rFonts w:ascii="Arial" w:cs="Arial" w:eastAsia="Arial" w:hAnsi="Arial"/>
          <w:sz w:val="16"/>
          <w:szCs w:val="16"/>
          <w:color w:val="auto"/>
        </w:rPr>
        <w:t>means (a) in the case of a corporation, partnership or limited liability company that, pursuant to its Constituent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has officers, any chief executive officer, chief financial officer, chief administrative officer, president, senior vice president, vice president, assistant vice president, treasurer, director or manager, and, in any case where two Responsible Officers are acting on behalf of such entity,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any Responsible Officer of the sole member or managing member, acting on behalf of the sole member or managing member in its capacity as sole member or managing member, (d) in the case of a trust, the Responsible Officer of the trustee, acting on behalf of such trustee in its capacity as trustee, and (e) in the case of the Collateral Agent or Administrative Agent, an officer of the Collateral Agent or Administrative Agent as applicable responsible for the administration of this Agreement.</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“Restatement Effective Date” </w:t>
      </w:r>
      <w:r>
        <w:rPr>
          <w:rFonts w:ascii="Arial" w:cs="Arial" w:eastAsia="Arial" w:hAnsi="Arial"/>
          <w:sz w:val="18"/>
          <w:szCs w:val="18"/>
          <w:color w:val="auto"/>
        </w:rPr>
        <w:t>means May 14, 2012.</w:t>
      </w:r>
    </w:p>
    <w:p>
      <w:pPr>
        <w:spacing w:after="0" w:line="90" w:lineRule="exact"/>
        <w:rPr>
          <w:sz w:val="20"/>
          <w:szCs w:val="20"/>
          <w:color w:val="auto"/>
        </w:rPr>
      </w:pPr>
    </w:p>
    <w:p>
      <w:pPr>
        <w:ind w:right="60" w:firstLine="431"/>
        <w:spacing w:after="0" w:line="288" w:lineRule="auto"/>
        <w:rPr>
          <w:sz w:val="20"/>
          <w:szCs w:val="20"/>
          <w:color w:val="auto"/>
        </w:rPr>
      </w:pPr>
      <w:r>
        <w:rPr>
          <w:rFonts w:ascii="Arial" w:cs="Arial" w:eastAsia="Arial" w:hAnsi="Arial"/>
          <w:sz w:val="16"/>
          <w:szCs w:val="16"/>
          <w:i w:val="1"/>
          <w:iCs w:val="1"/>
          <w:color w:val="auto"/>
        </w:rPr>
        <w:t xml:space="preserve">“Restricted Payments” </w:t>
      </w:r>
      <w:r>
        <w:rPr>
          <w:rFonts w:ascii="Arial" w:cs="Arial" w:eastAsia="Arial" w:hAnsi="Arial"/>
          <w:sz w:val="16"/>
          <w:szCs w:val="16"/>
          <w:color w:val="auto"/>
        </w:rPr>
        <w:t>means the declaration of any distribution or dividends or the payment of any other amount (including in respect of</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redemptions permitted by the Constituent Documents of the Borrower) to any shareholder, partner, member or other equity investor in the Borrower on account of any share, membership interest, partnership interest or other equity interest in respect of the Borrower, or the payment on account of, or the setting apart of assets for a sinking or other analogous fund for, or the purchase or other acquisition of any class of stock of or other equity interest in the Borrower or of any warrants, options or other rights to acquire the same (or to make any “phantom stock” or other similar payments in the nature of distributions or dividends in respect of equity to any Person), whether now or hereafter outstanding, either directly or indirectly, whether in cash, property (including marketable securities), or any payment or setting apart of assets for the redemption, withdrawal, retirement, acquisition, cancellation or termination of any share, membership interest, partnership interest or other equity interest in respect of the Borrower.</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Restructured Loan</w:t>
      </w:r>
      <w:r>
        <w:rPr>
          <w:rFonts w:ascii="Arial" w:cs="Arial" w:eastAsia="Arial" w:hAnsi="Arial"/>
          <w:sz w:val="18"/>
          <w:szCs w:val="18"/>
          <w:color w:val="auto"/>
        </w:rPr>
        <w:t>” means:</w:t>
      </w:r>
    </w:p>
    <w:p>
      <w:pPr>
        <w:spacing w:after="0" w:line="90" w:lineRule="exact"/>
        <w:rPr>
          <w:sz w:val="20"/>
          <w:szCs w:val="20"/>
          <w:color w:val="auto"/>
        </w:rPr>
      </w:pPr>
    </w:p>
    <w:p>
      <w:pPr>
        <w:ind w:left="440" w:right="60" w:firstLine="420"/>
        <w:spacing w:after="0" w:line="256" w:lineRule="auto"/>
        <w:tabs>
          <w:tab w:leader="none" w:pos="10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any Defaulted Collateral Loan, after the date on which such loan became a Defaulted Collateral Loan, (i) it is current on all required payments for a period of three months (if such loan pays monthly), two quarters (if such loan pays quarterly) or one year (if such loan pays semiannually) and (ii) it would be eligible for purchase by the Borrower as a Collateral Loan in accordance with the terms of this Agreement if purchased at such time; and</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60"/>
          </w:cols>
          <w:pgMar w:left="780" w:top="280" w:right="359" w:bottom="1440" w:gutter="0" w:footer="0" w:header="0"/>
        </w:sectPr>
      </w:pPr>
    </w:p>
    <w:bookmarkStart w:id="93" w:name="page94"/>
    <w:bookmarkEnd w:id="93"/>
    <w:p>
      <w:pPr>
        <w:ind w:left="440" w:firstLine="420"/>
        <w:spacing w:after="0" w:line="254" w:lineRule="auto"/>
        <w:tabs>
          <w:tab w:leader="none" w:pos="1102"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respect to any Collateral Loan which has been the subject of a Material Modification, either (i) after the date on which such loan became a Collateral Loan which is the subject of a Material Modification, (A) it is current on all required payments for a period of three months (if such loan pays monthly), two quarters (if such loan pays quarterly) or one year (if such loan pays semiannually) and (B) it would be eligible for purchase by the Borrower as a Collateral Loan in accordance with the terms of this Agreement if purchased at such time, or (ii) the Administrative Agent has consented in writing to such Collateral Loan no longer constituting a loan which has been the subject of a Material Modification hereunder.</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“Review Criteria” is defined in </w:t>
      </w:r>
      <w:r>
        <w:rPr>
          <w:rFonts w:ascii="Arial" w:cs="Arial" w:eastAsia="Arial" w:hAnsi="Arial"/>
          <w:sz w:val="18"/>
          <w:szCs w:val="18"/>
          <w:u w:val="single" w:color="auto"/>
          <w:color w:val="auto"/>
        </w:rPr>
        <w:t>Section 14.02(b)(i)</w:t>
      </w:r>
      <w:r>
        <w:rPr>
          <w:rFonts w:ascii="Arial" w:cs="Arial" w:eastAsia="Arial" w:hAnsi="Arial"/>
          <w:sz w:val="18"/>
          <w:szCs w:val="18"/>
          <w:color w:val="auto"/>
        </w:rPr>
        <w:t xml:space="preserve"> hereof.</w:t>
      </w:r>
    </w:p>
    <w:p>
      <w:pPr>
        <w:spacing w:after="0" w:line="90" w:lineRule="exact"/>
        <w:rPr>
          <w:sz w:val="20"/>
          <w:szCs w:val="20"/>
          <w:color w:val="auto"/>
        </w:rPr>
      </w:pPr>
    </w:p>
    <w:p>
      <w:pPr>
        <w:ind w:right="100" w:firstLine="431"/>
        <w:spacing w:after="0" w:line="294" w:lineRule="auto"/>
        <w:rPr>
          <w:sz w:val="20"/>
          <w:szCs w:val="20"/>
          <w:color w:val="auto"/>
        </w:rPr>
      </w:pPr>
      <w:r>
        <w:rPr>
          <w:rFonts w:ascii="Arial" w:cs="Arial" w:eastAsia="Arial" w:hAnsi="Arial"/>
          <w:sz w:val="16"/>
          <w:szCs w:val="16"/>
          <w:i w:val="1"/>
          <w:iCs w:val="1"/>
          <w:color w:val="auto"/>
        </w:rPr>
        <w:t xml:space="preserve">“Revolving Collateral Loan” </w:t>
      </w:r>
      <w:r>
        <w:rPr>
          <w:rFonts w:ascii="Arial" w:cs="Arial" w:eastAsia="Arial" w:hAnsi="Arial"/>
          <w:sz w:val="16"/>
          <w:szCs w:val="16"/>
          <w:color w:val="auto"/>
        </w:rPr>
        <w:t>means any Collateral Loan (other than a Delayed Drawdown Collateral Loan) that is a loan (including,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limitation, revolving loans, including funded and unfunded portions of revolving credit lines and letter of credit facilities, unfunded commitments under specific facilities and other similar loans and investments) that by its terms may require one or more future advances to be made to the borrower by the Borrower;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any such Collateral Loan will be a Revolving Collateral Loan only until all commitments to make revolving advances to the Obligor expire or are terminated or irrevocably reduced to zero.</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“Revolving Reserve Account” </w:t>
      </w:r>
      <w:r>
        <w:rPr>
          <w:rFonts w:ascii="Arial" w:cs="Arial" w:eastAsia="Arial" w:hAnsi="Arial"/>
          <w:sz w:val="18"/>
          <w:szCs w:val="18"/>
          <w:color w:val="auto"/>
        </w:rPr>
        <w:t>means the account established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Reserve Required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Group.</w:t>
      </w:r>
    </w:p>
    <w:p>
      <w:pPr>
        <w:spacing w:after="0" w:line="90" w:lineRule="exact"/>
        <w:rPr>
          <w:sz w:val="20"/>
          <w:szCs w:val="20"/>
          <w:color w:val="auto"/>
        </w:rPr>
      </w:pPr>
    </w:p>
    <w:p>
      <w:pPr>
        <w:ind w:right="200" w:firstLine="43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 Rating</w:t>
      </w:r>
      <w:r>
        <w:rPr>
          <w:rFonts w:ascii="Arial" w:cs="Arial" w:eastAsia="Arial" w:hAnsi="Arial"/>
          <w:sz w:val="18"/>
          <w:szCs w:val="18"/>
          <w:color w:val="auto"/>
        </w:rPr>
        <w:t xml:space="preserve">” means, with respect to any Collateral Loan, as of any date of determination, the rating determined pursuant to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hereto (or such other schedule provided by S&amp;P to the Borrower and the Collateral Manager).</w:t>
      </w:r>
    </w:p>
    <w:p>
      <w:pPr>
        <w:spacing w:after="0" w:line="51" w:lineRule="exact"/>
        <w:rPr>
          <w:sz w:val="20"/>
          <w:szCs w:val="20"/>
          <w:color w:val="auto"/>
        </w:rPr>
      </w:pPr>
    </w:p>
    <w:p>
      <w:pPr>
        <w:ind w:firstLine="431"/>
        <w:spacing w:after="0" w:line="268" w:lineRule="auto"/>
        <w:rPr>
          <w:sz w:val="20"/>
          <w:szCs w:val="20"/>
          <w:color w:val="auto"/>
        </w:rPr>
      </w:pPr>
      <w:r>
        <w:rPr>
          <w:rFonts w:ascii="Arial" w:cs="Arial" w:eastAsia="Arial" w:hAnsi="Arial"/>
          <w:sz w:val="18"/>
          <w:szCs w:val="18"/>
          <w:i w:val="1"/>
          <w:iCs w:val="1"/>
          <w:color w:val="auto"/>
        </w:rPr>
        <w:t xml:space="preserve">“Scheduled Distribution” </w:t>
      </w:r>
      <w:r>
        <w:rPr>
          <w:rFonts w:ascii="Arial" w:cs="Arial" w:eastAsia="Arial" w:hAnsi="Arial"/>
          <w:sz w:val="18"/>
          <w:szCs w:val="18"/>
          <w:color w:val="auto"/>
        </w:rPr>
        <w:t>means, with respect to any Collateral Loan, for each Due Date, the scheduled payment of principal and/or interest and/or</w:t>
      </w:r>
      <w:r>
        <w:rPr>
          <w:rFonts w:ascii="Arial" w:cs="Arial" w:eastAsia="Arial" w:hAnsi="Arial"/>
          <w:sz w:val="18"/>
          <w:szCs w:val="18"/>
          <w:i w:val="1"/>
          <w:iCs w:val="1"/>
          <w:color w:val="auto"/>
        </w:rPr>
        <w:t xml:space="preserve"> </w:t>
      </w:r>
      <w:r>
        <w:rPr>
          <w:rFonts w:ascii="Arial" w:cs="Arial" w:eastAsia="Arial" w:hAnsi="Arial"/>
          <w:sz w:val="18"/>
          <w:szCs w:val="18"/>
          <w:color w:val="auto"/>
        </w:rPr>
        <w:t>fees due on such Due Date with respect to such Collateral Loan.</w:t>
      </w:r>
    </w:p>
    <w:p>
      <w:pPr>
        <w:spacing w:after="0" w:line="51" w:lineRule="exact"/>
        <w:rPr>
          <w:sz w:val="20"/>
          <w:szCs w:val="20"/>
          <w:color w:val="auto"/>
        </w:rPr>
      </w:pPr>
    </w:p>
    <w:p>
      <w:pPr>
        <w:ind w:right="740" w:firstLine="431"/>
        <w:spacing w:after="0" w:line="268" w:lineRule="auto"/>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 or any other governmental authority of the United States of America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administrating the Securities Act, the Investment Company Act or the Exchange Act.</w:t>
      </w:r>
    </w:p>
    <w:p>
      <w:pPr>
        <w:spacing w:after="0" w:line="51" w:lineRule="exact"/>
        <w:rPr>
          <w:sz w:val="20"/>
          <w:szCs w:val="20"/>
          <w:color w:val="auto"/>
        </w:rPr>
      </w:pPr>
    </w:p>
    <w:p>
      <w:pPr>
        <w:ind w:right="220" w:firstLine="431"/>
        <w:spacing w:after="0" w:line="306" w:lineRule="auto"/>
        <w:rPr>
          <w:sz w:val="20"/>
          <w:szCs w:val="20"/>
          <w:color w:val="auto"/>
        </w:rPr>
      </w:pPr>
      <w:r>
        <w:rPr>
          <w:rFonts w:ascii="Arial" w:cs="Arial" w:eastAsia="Arial" w:hAnsi="Arial"/>
          <w:sz w:val="16"/>
          <w:szCs w:val="16"/>
          <w:i w:val="1"/>
          <w:iCs w:val="1"/>
          <w:color w:val="auto"/>
        </w:rPr>
        <w:t xml:space="preserve">“Secured Parties” </w:t>
      </w:r>
      <w:r>
        <w:rPr>
          <w:rFonts w:ascii="Arial" w:cs="Arial" w:eastAsia="Arial" w:hAnsi="Arial"/>
          <w:sz w:val="16"/>
          <w:szCs w:val="16"/>
          <w:color w:val="auto"/>
        </w:rPr>
        <w:t>means the Administrative Agent, the Collateral Agent, the Backup Collateral Manager, the Collateral Administrator,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Custodian, the BDC (in respect of the Senior Collateral Management Fee and the Subordinated Collateral Management Fee payable to the BDC to the extent provided in </w:t>
      </w:r>
      <w:r>
        <w:rPr>
          <w:rFonts w:ascii="Arial" w:cs="Arial" w:eastAsia="Arial" w:hAnsi="Arial"/>
          <w:sz w:val="16"/>
          <w:szCs w:val="16"/>
          <w:u w:val="single" w:color="auto"/>
          <w:color w:val="auto"/>
        </w:rPr>
        <w:t>Section 11.06</w:t>
      </w:r>
      <w:r>
        <w:rPr>
          <w:rFonts w:ascii="Arial" w:cs="Arial" w:eastAsia="Arial" w:hAnsi="Arial"/>
          <w:sz w:val="16"/>
          <w:szCs w:val="16"/>
          <w:color w:val="auto"/>
        </w:rPr>
        <w:t>), the Collateral Manager, the Lenders and their respective permitted successors and assigns.</w:t>
      </w:r>
    </w:p>
    <w:p>
      <w:pPr>
        <w:spacing w:after="0" w:line="25" w:lineRule="exact"/>
        <w:rPr>
          <w:sz w:val="20"/>
          <w:szCs w:val="20"/>
          <w:color w:val="auto"/>
        </w:rPr>
      </w:pPr>
    </w:p>
    <w:p>
      <w:pPr>
        <w:ind w:right="160" w:firstLine="431"/>
        <w:spacing w:after="0" w:line="268" w:lineRule="auto"/>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Securities Act of 1933, as amended, and the rules and regulations promulgated thereunder, all as from time to time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60"/>
          </w:cols>
          <w:pgMar w:left="780" w:top="280" w:right="359" w:bottom="1440" w:gutter="0" w:footer="0" w:header="0"/>
        </w:sectPr>
      </w:pPr>
    </w:p>
    <w:bookmarkStart w:id="94" w:name="page95"/>
    <w:bookmarkEnd w:id="94"/>
    <w:p>
      <w:pPr>
        <w:ind w:left="4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“Securities Intermediary” </w:t>
      </w:r>
      <w:r>
        <w:rPr>
          <w:rFonts w:ascii="Arial" w:cs="Arial" w:eastAsia="Arial" w:hAnsi="Arial"/>
          <w:sz w:val="18"/>
          <w:szCs w:val="18"/>
          <w:color w:val="auto"/>
        </w:rPr>
        <w:t>has the meaning assigned to it in Section 8-102(a)(14) of the UCC.</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“Security Entitlement” </w:t>
      </w:r>
      <w:r>
        <w:rPr>
          <w:rFonts w:ascii="Arial" w:cs="Arial" w:eastAsia="Arial" w:hAnsi="Arial"/>
          <w:sz w:val="18"/>
          <w:szCs w:val="18"/>
          <w:color w:val="auto"/>
        </w:rPr>
        <w:t>has the meaning specified in Section 8-102(a)(17) of the UCC.</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“Selling Institution” </w:t>
      </w:r>
      <w:r>
        <w:rPr>
          <w:rFonts w:ascii="Arial" w:cs="Arial" w:eastAsia="Arial" w:hAnsi="Arial"/>
          <w:sz w:val="18"/>
          <w:szCs w:val="18"/>
          <w:color w:val="auto"/>
        </w:rPr>
        <w:t>means an entity obligated to make payments to the Borrower under the terms of a Participation Interest.</w:t>
      </w:r>
    </w:p>
    <w:p>
      <w:pPr>
        <w:spacing w:after="0" w:line="90" w:lineRule="exact"/>
        <w:rPr>
          <w:sz w:val="20"/>
          <w:szCs w:val="20"/>
          <w:color w:val="auto"/>
        </w:rPr>
      </w:pPr>
    </w:p>
    <w:p>
      <w:pPr>
        <w:ind w:right="120" w:firstLine="43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Senior B Loan Obligation”</w:t>
      </w:r>
      <w:r>
        <w:rPr>
          <w:rFonts w:ascii="Arial" w:cs="Arial" w:eastAsia="Arial" w:hAnsi="Arial"/>
          <w:sz w:val="16"/>
          <w:szCs w:val="16"/>
          <w:color w:val="auto"/>
        </w:rPr>
        <w:t xml:space="preserve"> means a loan, debt obligation, security or Participation Interest (for purposes of this definition, a </w:t>
      </w:r>
      <w:r>
        <w:rPr>
          <w:rFonts w:ascii="Arial" w:cs="Arial" w:eastAsia="Arial" w:hAnsi="Arial"/>
          <w:sz w:val="16"/>
          <w:szCs w:val="16"/>
          <w:i w:val="1"/>
          <w:iCs w:val="1"/>
          <w:color w:val="auto"/>
        </w:rPr>
        <w:t>“loan”</w:t>
      </w:r>
      <w:r>
        <w:rPr>
          <w:rFonts w:ascii="Arial" w:cs="Arial" w:eastAsia="Arial" w:hAnsi="Arial"/>
          <w:sz w:val="16"/>
          <w:szCs w:val="16"/>
          <w:color w:val="auto"/>
        </w:rPr>
        <w:t xml:space="preserve">) that would constitute an Eligible First Lien Obligation (other than by operation of the proviso in the definition of such term) but that, in the case of an event of default under the applicable Related Document, will be paid after a tranche that is senior in the right of payment issued by the same Obligor has been paid in full (the </w:t>
      </w:r>
      <w:r>
        <w:rPr>
          <w:rFonts w:ascii="Arial" w:cs="Arial" w:eastAsia="Arial" w:hAnsi="Arial"/>
          <w:sz w:val="16"/>
          <w:szCs w:val="16"/>
          <w:i w:val="1"/>
          <w:iCs w:val="1"/>
          <w:color w:val="auto"/>
        </w:rPr>
        <w:t>“First Out Tranche”)</w:t>
      </w:r>
      <w:r>
        <w:rPr>
          <w:rFonts w:ascii="Arial" w:cs="Arial" w:eastAsia="Arial" w:hAnsi="Arial"/>
          <w:sz w:val="16"/>
          <w:szCs w:val="16"/>
          <w:color w:val="auto"/>
        </w:rPr>
        <w:t xml:space="preserve"> in accordance with a specified waterfall of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31" w:lineRule="exact"/>
        <w:rPr>
          <w:sz w:val="20"/>
          <w:szCs w:val="20"/>
          <w:color w:val="auto"/>
        </w:rPr>
      </w:pPr>
    </w:p>
    <w:p>
      <w:pPr>
        <w:ind w:left="440" w:firstLine="420"/>
        <w:spacing w:after="0" w:line="268" w:lineRule="auto"/>
        <w:tabs>
          <w:tab w:leader="none" w:pos="109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outstanding Principal Balance (and unfunded commitments in respect of) the First Out Tranche is less than 15% of total first lien debt (including the Senior B Loan Obligation and the First Out Tranche);</w:t>
      </w:r>
    </w:p>
    <w:p>
      <w:pPr>
        <w:spacing w:after="0" w:line="50" w:lineRule="exact"/>
        <w:rPr>
          <w:rFonts w:ascii="Arial" w:cs="Arial" w:eastAsia="Arial" w:hAnsi="Arial"/>
          <w:sz w:val="18"/>
          <w:szCs w:val="18"/>
          <w:color w:val="auto"/>
        </w:rPr>
      </w:pPr>
    </w:p>
    <w:p>
      <w:pPr>
        <w:ind w:left="440" w:right="300" w:firstLine="420"/>
        <w:spacing w:after="0" w:line="268" w:lineRule="auto"/>
        <w:tabs>
          <w:tab w:leader="none" w:pos="110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ratio of the outstanding Principal Balance (and unfunded commitments in respect of) the First Out Tranche to the EBITDA of the Obligor on such loan is less than or equal to 0.5x;</w:t>
      </w:r>
    </w:p>
    <w:p>
      <w:pPr>
        <w:spacing w:after="0" w:line="50" w:lineRule="exact"/>
        <w:rPr>
          <w:rFonts w:ascii="Arial" w:cs="Arial" w:eastAsia="Arial" w:hAnsi="Arial"/>
          <w:sz w:val="18"/>
          <w:szCs w:val="18"/>
          <w:color w:val="auto"/>
        </w:rPr>
      </w:pPr>
    </w:p>
    <w:p>
      <w:pPr>
        <w:ind w:left="1100" w:hanging="240"/>
        <w:spacing w:after="0"/>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trailing twelve-month senior debt to EBITDA ratio of the Obligor on such loan is less than or equal to 3.75x; and</w:t>
      </w:r>
    </w:p>
    <w:p>
      <w:pPr>
        <w:spacing w:after="0" w:line="90" w:lineRule="exact"/>
        <w:rPr>
          <w:rFonts w:ascii="Arial" w:cs="Arial" w:eastAsia="Arial" w:hAnsi="Arial"/>
          <w:sz w:val="18"/>
          <w:szCs w:val="18"/>
          <w:color w:val="auto"/>
        </w:rPr>
      </w:pPr>
    </w:p>
    <w:p>
      <w:pPr>
        <w:ind w:left="440" w:right="440" w:firstLine="420"/>
        <w:spacing w:after="0" w:line="268" w:lineRule="auto"/>
        <w:tabs>
          <w:tab w:leader="none" w:pos="110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such Senior B Loan Obligation has been specifically assigned a recovery rate assigned by Moody’s or S&amp;P, such recovery rate is greater than or equal to 50%.</w:t>
      </w:r>
    </w:p>
    <w:p>
      <w:pPr>
        <w:spacing w:after="0" w:line="51" w:lineRule="exact"/>
        <w:rPr>
          <w:sz w:val="20"/>
          <w:szCs w:val="20"/>
          <w:color w:val="auto"/>
        </w:rPr>
      </w:pPr>
    </w:p>
    <w:p>
      <w:pPr>
        <w:ind w:right="180" w:firstLine="431"/>
        <w:spacing w:after="0" w:line="259" w:lineRule="auto"/>
        <w:rPr>
          <w:sz w:val="20"/>
          <w:szCs w:val="20"/>
          <w:color w:val="auto"/>
        </w:rPr>
      </w:pPr>
      <w:r>
        <w:rPr>
          <w:rFonts w:ascii="Arial" w:cs="Arial" w:eastAsia="Arial" w:hAnsi="Arial"/>
          <w:sz w:val="18"/>
          <w:szCs w:val="18"/>
          <w:i w:val="1"/>
          <w:iCs w:val="1"/>
          <w:color w:val="auto"/>
        </w:rPr>
        <w:t xml:space="preserve">“Senior Collateral Management Fee” </w:t>
      </w:r>
      <w:r>
        <w:rPr>
          <w:rFonts w:ascii="Arial" w:cs="Arial" w:eastAsia="Arial" w:hAnsi="Arial"/>
          <w:sz w:val="18"/>
          <w:szCs w:val="18"/>
          <w:color w:val="auto"/>
        </w:rPr>
        <w:t>means the quarterly fee, accruing from the Closing Date, payable in arrears on each Payment Date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related Interest Accrual Period, in an amount equal to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(calculated on the basis of a 360 day year and the actual number of days elapsed) of the Quarterly Asset Amount.</w:t>
      </w:r>
    </w:p>
    <w:p>
      <w:pPr>
        <w:spacing w:after="0" w:line="59" w:lineRule="exact"/>
        <w:rPr>
          <w:sz w:val="20"/>
          <w:szCs w:val="20"/>
          <w:color w:val="auto"/>
        </w:rPr>
      </w:pPr>
    </w:p>
    <w:p>
      <w:pPr>
        <w:ind w:right="320" w:firstLine="43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Shareholders’ Equity”</w:t>
      </w:r>
      <w:r>
        <w:rPr>
          <w:rFonts w:ascii="Arial" w:cs="Arial" w:eastAsia="Arial" w:hAnsi="Arial"/>
          <w:sz w:val="18"/>
          <w:szCs w:val="18"/>
          <w:color w:val="auto"/>
        </w:rPr>
        <w:t xml:space="preserve"> means, at any date, the amount determined on a consolidated basis, without duplication, in accordance with GAAP, of shareholders’ equity for the Borrower and its Subsidiaries at such date.</w:t>
      </w:r>
    </w:p>
    <w:p>
      <w:pPr>
        <w:spacing w:after="0" w:line="51" w:lineRule="exact"/>
        <w:rPr>
          <w:sz w:val="20"/>
          <w:szCs w:val="20"/>
          <w:color w:val="auto"/>
        </w:rPr>
      </w:pPr>
    </w:p>
    <w:p>
      <w:pPr>
        <w:ind w:right="40" w:firstLine="43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Single Covenant Obligation”</w:t>
      </w:r>
      <w:r>
        <w:rPr>
          <w:rFonts w:ascii="Arial" w:cs="Arial" w:eastAsia="Arial" w:hAnsi="Arial"/>
          <w:sz w:val="16"/>
          <w:szCs w:val="16"/>
          <w:color w:val="auto"/>
        </w:rPr>
        <w:t xml:space="preserve"> means a loan, debt obligation, security or Participation Interest (for purposes of this definition, a </w:t>
      </w:r>
      <w:r>
        <w:rPr>
          <w:rFonts w:ascii="Arial" w:cs="Arial" w:eastAsia="Arial" w:hAnsi="Arial"/>
          <w:sz w:val="16"/>
          <w:szCs w:val="16"/>
          <w:i w:val="1"/>
          <w:iCs w:val="1"/>
          <w:color w:val="auto"/>
        </w:rPr>
        <w:t>“loan”</w:t>
      </w:r>
      <w:r>
        <w:rPr>
          <w:rFonts w:ascii="Arial" w:cs="Arial" w:eastAsia="Arial" w:hAnsi="Arial"/>
          <w:sz w:val="16"/>
          <w:szCs w:val="16"/>
          <w:color w:val="auto"/>
        </w:rPr>
        <w:t>) that (i) is not a Covenant Lite Loan, (ii) does not require the Obligor to comply with at least two of the following financial covenants during each reporting period applicable to such Collateral Loan, whether or not any action by, or event relating to, the Obligor has occurred: maximum leverage, maximum senior leverage, minimum fixed charge coverage, minimum tangible net worth, minimum net worth, minimum debt service coverage, minimum interest coverage, maximum capital expenditures, minimum EBITDA, or other customary financial covenants, and (iii) has an outstanding principal balance of (and unfunded commitments in respect of) at least $500,000,000.</w:t>
      </w:r>
    </w:p>
    <w:p>
      <w:pPr>
        <w:spacing w:after="0" w:line="10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740"/>
          </w:cols>
          <w:pgMar w:left="780" w:top="280" w:right="379" w:bottom="1440" w:gutter="0" w:footer="0" w:header="0"/>
        </w:sectPr>
      </w:pPr>
    </w:p>
    <w:bookmarkStart w:id="95" w:name="page96"/>
    <w:bookmarkEnd w:id="95"/>
    <w:p>
      <w:pPr>
        <w:ind w:right="800" w:firstLine="431"/>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“Solvent” </w:t>
      </w:r>
      <w:r>
        <w:rPr>
          <w:rFonts w:ascii="Arial" w:cs="Arial" w:eastAsia="Arial" w:hAnsi="Arial"/>
          <w:sz w:val="18"/>
          <w:szCs w:val="18"/>
          <w:color w:val="auto"/>
        </w:rPr>
        <w:t>as to any Person means that such Person is not “insolvent” within the meaning of Section 101(32) of the Bankruptcy Code or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271 of the Debtor and Creditor Law of the State of New York.</w:t>
      </w:r>
    </w:p>
    <w:p>
      <w:pPr>
        <w:spacing w:after="0" w:line="51" w:lineRule="exact"/>
        <w:rPr>
          <w:sz w:val="20"/>
          <w:szCs w:val="20"/>
          <w:color w:val="auto"/>
        </w:rPr>
      </w:pPr>
    </w:p>
    <w:p>
      <w:pPr>
        <w:ind w:right="540" w:firstLine="431"/>
        <w:spacing w:after="0" w:line="268" w:lineRule="auto"/>
        <w:rPr>
          <w:sz w:val="20"/>
          <w:szCs w:val="20"/>
          <w:color w:val="auto"/>
        </w:rPr>
      </w:pPr>
      <w:r>
        <w:rPr>
          <w:rFonts w:ascii="Arial" w:cs="Arial" w:eastAsia="Arial" w:hAnsi="Arial"/>
          <w:sz w:val="18"/>
          <w:szCs w:val="18"/>
          <w:i w:val="1"/>
          <w:iCs w:val="1"/>
          <w:color w:val="auto"/>
        </w:rPr>
        <w:t xml:space="preserve">“Special Obligor” </w:t>
      </w:r>
      <w:r>
        <w:rPr>
          <w:rFonts w:ascii="Arial" w:cs="Arial" w:eastAsia="Arial" w:hAnsi="Arial"/>
          <w:sz w:val="18"/>
          <w:szCs w:val="18"/>
          <w:color w:val="auto"/>
        </w:rPr>
        <w:t>means an Obligor that is in the government IT, payment processors, insurance services, healthcare services or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subcategory of the “Business Services” industry as defined by Moody’s.</w:t>
      </w:r>
    </w:p>
    <w:p>
      <w:pPr>
        <w:spacing w:after="0" w:line="51"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i w:val="1"/>
          <w:iCs w:val="1"/>
          <w:color w:val="auto"/>
        </w:rPr>
        <w:t xml:space="preserve">“Special Purpose Entity” </w:t>
      </w:r>
      <w:r>
        <w:rPr>
          <w:rFonts w:ascii="Arial" w:cs="Arial" w:eastAsia="Arial" w:hAnsi="Arial"/>
          <w:sz w:val="18"/>
          <w:szCs w:val="18"/>
          <w:color w:val="auto"/>
        </w:rPr>
        <w:t>means a limited liability company or other business entity that is created with the purpose of being “bankruptcy remote”</w:t>
      </w:r>
      <w:r>
        <w:rPr>
          <w:rFonts w:ascii="Arial" w:cs="Arial" w:eastAsia="Arial" w:hAnsi="Arial"/>
          <w:sz w:val="18"/>
          <w:szCs w:val="18"/>
          <w:i w:val="1"/>
          <w:iCs w:val="1"/>
          <w:color w:val="auto"/>
        </w:rPr>
        <w:t xml:space="preserve"> </w:t>
      </w:r>
      <w:r>
        <w:rPr>
          <w:rFonts w:ascii="Arial" w:cs="Arial" w:eastAsia="Arial" w:hAnsi="Arial"/>
          <w:sz w:val="18"/>
          <w:szCs w:val="18"/>
          <w:color w:val="auto"/>
        </w:rPr>
        <w:t>and whose organizational documents contain restrictions on its activities and impose requirements intended to preserve such entity’s separateness that are substantially similar to the special purpose provisions of the Borrower LLC Agreement.</w:t>
      </w:r>
    </w:p>
    <w:p>
      <w:pPr>
        <w:spacing w:after="0" w:line="59" w:lineRule="exact"/>
        <w:rPr>
          <w:sz w:val="20"/>
          <w:szCs w:val="20"/>
          <w:color w:val="auto"/>
        </w:rPr>
      </w:pPr>
    </w:p>
    <w:p>
      <w:pPr>
        <w:ind w:firstLine="431"/>
        <w:spacing w:after="0" w:line="291" w:lineRule="auto"/>
        <w:rPr>
          <w:sz w:val="20"/>
          <w:szCs w:val="20"/>
          <w:color w:val="auto"/>
        </w:rPr>
      </w:pPr>
      <w:r>
        <w:rPr>
          <w:rFonts w:ascii="Arial" w:cs="Arial" w:eastAsia="Arial" w:hAnsi="Arial"/>
          <w:sz w:val="16"/>
          <w:szCs w:val="16"/>
          <w:i w:val="1"/>
          <w:iCs w:val="1"/>
          <w:color w:val="auto"/>
        </w:rPr>
        <w:t xml:space="preserve">“Specified Eligible Investment” </w:t>
      </w:r>
      <w:r>
        <w:rPr>
          <w:rFonts w:ascii="Arial" w:cs="Arial" w:eastAsia="Arial" w:hAnsi="Arial"/>
          <w:sz w:val="16"/>
          <w:szCs w:val="16"/>
          <w:color w:val="auto"/>
        </w:rPr>
        <w:t>means an Eligible Investment meeting the requirements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8.05(a)</w:t>
      </w:r>
      <w:r>
        <w:rPr>
          <w:rFonts w:ascii="Arial" w:cs="Arial" w:eastAsia="Arial" w:hAnsi="Arial"/>
          <w:sz w:val="16"/>
          <w:szCs w:val="16"/>
          <w:i w:val="1"/>
          <w:iCs w:val="1"/>
          <w:color w:val="auto"/>
        </w:rPr>
        <w:t xml:space="preserve"> </w:t>
      </w:r>
      <w:r>
        <w:rPr>
          <w:rFonts w:ascii="Arial" w:cs="Arial" w:eastAsia="Arial" w:hAnsi="Arial"/>
          <w:sz w:val="16"/>
          <w:szCs w:val="16"/>
          <w:color w:val="auto"/>
        </w:rPr>
        <w:t>and that is available to the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Agent, to be specified by the Collateral Manager to the Collateral Agent (with a copy to the Administrative Agent) on or prior to the initial Borrowing Date;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so long as no Default or Event of Default shall have occurred and then be continuing, at any time with not less than five (5) Business Days’ notice to the Collateral Agent (with a copy to the Administrative Agent) the Collateral Manager may (and, if the-then Specified Eligible Investment is no longer available to the Collateral Agent, shall) designate another Eligible Investment that meets the requirements of </w:t>
      </w:r>
      <w:r>
        <w:rPr>
          <w:rFonts w:ascii="Arial" w:cs="Arial" w:eastAsia="Arial" w:hAnsi="Arial"/>
          <w:sz w:val="16"/>
          <w:szCs w:val="16"/>
          <w:u w:val="single" w:color="auto"/>
          <w:color w:val="auto"/>
        </w:rPr>
        <w:t>Section 8.05(a)</w:t>
      </w:r>
      <w:r>
        <w:rPr>
          <w:rFonts w:ascii="Arial" w:cs="Arial" w:eastAsia="Arial" w:hAnsi="Arial"/>
          <w:sz w:val="16"/>
          <w:szCs w:val="16"/>
          <w:color w:val="auto"/>
        </w:rPr>
        <w:t xml:space="preserve"> and that is available to the Collateral Agent to be the Specified Eligible Investment for purposes hereof.</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LIBOR</w:t>
      </w:r>
      <w:r>
        <w:rPr>
          <w:rFonts w:ascii="Arial" w:cs="Arial" w:eastAsia="Arial" w:hAnsi="Arial"/>
          <w:sz w:val="18"/>
          <w:szCs w:val="18"/>
          <w:color w:val="auto"/>
        </w:rPr>
        <w:t>” means at any time:</w:t>
      </w:r>
    </w:p>
    <w:p>
      <w:pPr>
        <w:spacing w:after="0" w:line="90" w:lineRule="exact"/>
        <w:rPr>
          <w:sz w:val="20"/>
          <w:szCs w:val="20"/>
          <w:color w:val="auto"/>
        </w:rPr>
      </w:pPr>
    </w:p>
    <w:p>
      <w:pPr>
        <w:ind w:left="1100" w:hanging="240"/>
        <w:spacing w:after="0"/>
        <w:tabs>
          <w:tab w:leader="none" w:pos="11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no Advances are bearing interest at the Adjusted Eurodollar Rate, the LIBOR Rate determined by the Collateral Administrator as if</w:t>
      </w:r>
    </w:p>
    <w:p>
      <w:pPr>
        <w:spacing w:after="0" w:line="38" w:lineRule="exact"/>
        <w:rPr>
          <w:rFonts w:ascii="Arial" w:cs="Arial" w:eastAsia="Arial" w:hAnsi="Arial"/>
          <w:sz w:val="16"/>
          <w:szCs w:val="16"/>
          <w:color w:val="auto"/>
        </w:rPr>
      </w:pPr>
    </w:p>
    <w:p>
      <w:pPr>
        <w:ind w:left="440" w:right="160" w:firstLine="6"/>
        <w:spacing w:after="0" w:line="255" w:lineRule="auto"/>
        <w:tabs>
          <w:tab w:leader="none" w:pos="679"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Advances having an aggregate principal balance of $10,000,000 were bearing interest at the Adjusted Eurodollar Rate hereunder and (2) the related Interest Accrual Period were in effect for the period from the immediately preceding Payment Date (or, if prior to the first Payment Date, the Closing Date) through the next following Payment Date;</w:t>
      </w:r>
    </w:p>
    <w:p>
      <w:pPr>
        <w:spacing w:after="0" w:line="62" w:lineRule="exact"/>
        <w:rPr>
          <w:rFonts w:ascii="Arial" w:cs="Arial" w:eastAsia="Arial" w:hAnsi="Arial"/>
          <w:sz w:val="18"/>
          <w:szCs w:val="18"/>
          <w:color w:val="auto"/>
        </w:rPr>
      </w:pPr>
    </w:p>
    <w:p>
      <w:pPr>
        <w:ind w:left="440" w:right="40" w:firstLine="420"/>
        <w:spacing w:after="0" w:line="268" w:lineRule="auto"/>
        <w:tabs>
          <w:tab w:leader="none" w:pos="1102"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only one Interest Accrual Period for Advances bearing interest at the Adjusted Eurodollar Rate is outstanding at such time, the LIBOR Rate in effect with respect to such Advances for such Interest Accrual Period; and</w:t>
      </w:r>
    </w:p>
    <w:p>
      <w:pPr>
        <w:spacing w:after="0" w:line="50" w:lineRule="exact"/>
        <w:rPr>
          <w:rFonts w:ascii="Arial" w:cs="Arial" w:eastAsia="Arial" w:hAnsi="Arial"/>
          <w:sz w:val="18"/>
          <w:szCs w:val="18"/>
          <w:color w:val="auto"/>
        </w:rPr>
      </w:pPr>
    </w:p>
    <w:p>
      <w:pPr>
        <w:ind w:left="440" w:right="60" w:firstLine="420"/>
        <w:spacing w:after="0" w:line="254" w:lineRule="auto"/>
        <w:tabs>
          <w:tab w:leader="none" w:pos="1092"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if more than one Interest Accrual Period for Advances bearing interest at the Adjusted Eurodollar Rate is outstanding at such time, a rate per annum equal to (1) the sum of the products, for each such Interest Accrual Period, of the LIBOR Rate (as determined by the Collateral Administrator) in effect with respect to such Interest Accrual Period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principal amount of Advances then bearing interest at a rate based on such LIBOR Rate,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(2) the aggregate principal amount of all Advances bearing interest at the Adjusted Eurodollar Rate outstanding at such time, rounded to the nearest 0.01%.</w:t>
      </w:r>
    </w:p>
    <w:p>
      <w:pPr>
        <w:spacing w:after="0" w:line="1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60"/>
          </w:cols>
          <w:pgMar w:left="780" w:top="280" w:right="359" w:bottom="1440" w:gutter="0" w:footer="0" w:header="0"/>
        </w:sectPr>
      </w:pPr>
    </w:p>
    <w:bookmarkStart w:id="96" w:name="page97"/>
    <w:bookmarkEnd w:id="96"/>
    <w:p>
      <w:pPr>
        <w:ind w:right="40" w:firstLine="431"/>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“Structured Finance Obligation” </w:t>
      </w:r>
      <w:r>
        <w:rPr>
          <w:rFonts w:ascii="Arial" w:cs="Arial" w:eastAsia="Arial" w:hAnsi="Arial"/>
          <w:sz w:val="16"/>
          <w:szCs w:val="16"/>
          <w:color w:val="auto"/>
        </w:rPr>
        <w:t>means any debt obligation owing by a finance vehicle that is secured directly and primarily by,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referenced to, and/or primarily representing ownership of, a pool of receivables or a pool of other assets, including collateralized debt obligations, residential mortgage-backed securities, commercial mortgage-backed securities, other asset-backed securities, “future flow” receivable transactions and other similar obligations;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ABL Facilities, loans to financial service companies, factoring businesses, health care providers and other genuine operating businesses do not constitute Structured Finance Obligations.</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“Subject Laws”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90" w:lineRule="exact"/>
        <w:rPr>
          <w:sz w:val="20"/>
          <w:szCs w:val="20"/>
          <w:color w:val="auto"/>
        </w:rPr>
      </w:pPr>
    </w:p>
    <w:p>
      <w:pPr>
        <w:ind w:right="40" w:firstLine="431"/>
        <w:spacing w:after="0" w:line="259" w:lineRule="auto"/>
        <w:rPr>
          <w:sz w:val="20"/>
          <w:szCs w:val="20"/>
          <w:color w:val="auto"/>
        </w:rPr>
      </w:pPr>
      <w:r>
        <w:rPr>
          <w:rFonts w:ascii="Arial" w:cs="Arial" w:eastAsia="Arial" w:hAnsi="Arial"/>
          <w:sz w:val="18"/>
          <w:szCs w:val="18"/>
          <w:i w:val="1"/>
          <w:iCs w:val="1"/>
          <w:color w:val="auto"/>
        </w:rPr>
        <w:t xml:space="preserve">“Subordinated Collateral Management Fee” </w:t>
      </w:r>
      <w:r>
        <w:rPr>
          <w:rFonts w:ascii="Arial" w:cs="Arial" w:eastAsia="Arial" w:hAnsi="Arial"/>
          <w:sz w:val="18"/>
          <w:szCs w:val="18"/>
          <w:color w:val="auto"/>
        </w:rPr>
        <w:t>means the quarterly fee, accruing from the Closing Date, payable in arrears on each Payment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related Interest Accrual Period, in an amount equal to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(calculated on the basis of a 360 day year and the actual number of days elapsed) of the Quarterly Asset Amount.</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“Successor Collateral Manager”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11.09(a)</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“SunTrust” </w:t>
      </w:r>
      <w:r>
        <w:rPr>
          <w:rFonts w:ascii="Arial" w:cs="Arial" w:eastAsia="Arial" w:hAnsi="Arial"/>
          <w:sz w:val="18"/>
          <w:szCs w:val="18"/>
          <w:color w:val="auto"/>
        </w:rPr>
        <w:t>means SunTrust Bank, a Georgia banking corporation.</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15.03(a)</w:t>
      </w:r>
      <w:r>
        <w:rPr>
          <w:rFonts w:ascii="Arial" w:cs="Arial" w:eastAsia="Arial" w:hAnsi="Arial"/>
          <w:sz w:val="18"/>
          <w:szCs w:val="18"/>
          <w:color w:val="auto"/>
        </w:rPr>
        <w:t>.</w:t>
      </w:r>
    </w:p>
    <w:p>
      <w:pPr>
        <w:spacing w:after="0" w:line="90" w:lineRule="exact"/>
        <w:rPr>
          <w:sz w:val="20"/>
          <w:szCs w:val="20"/>
          <w:color w:val="auto"/>
        </w:rPr>
      </w:pPr>
    </w:p>
    <w:p>
      <w:pPr>
        <w:ind w:right="200" w:firstLine="431"/>
        <w:spacing w:after="0" w:line="268" w:lineRule="auto"/>
        <w:rPr>
          <w:sz w:val="20"/>
          <w:szCs w:val="20"/>
          <w:color w:val="auto"/>
        </w:rPr>
      </w:pPr>
      <w:r>
        <w:rPr>
          <w:rFonts w:ascii="Arial" w:cs="Arial" w:eastAsia="Arial" w:hAnsi="Arial"/>
          <w:sz w:val="18"/>
          <w:szCs w:val="18"/>
          <w:i w:val="1"/>
          <w:iCs w:val="1"/>
          <w:color w:val="auto"/>
        </w:rPr>
        <w:t xml:space="preserve">“Total Capitalization” </w:t>
      </w:r>
      <w:r>
        <w:rPr>
          <w:rFonts w:ascii="Arial" w:cs="Arial" w:eastAsia="Arial" w:hAnsi="Arial"/>
          <w:sz w:val="18"/>
          <w:szCs w:val="18"/>
          <w:color w:val="auto"/>
        </w:rPr>
        <w:t>means, for any Obligor at any time the same is to be determined, the sum of Total Funded Debt of such Obligor plus the</w:t>
      </w:r>
      <w:r>
        <w:rPr>
          <w:rFonts w:ascii="Arial" w:cs="Arial" w:eastAsia="Arial" w:hAnsi="Arial"/>
          <w:sz w:val="18"/>
          <w:szCs w:val="18"/>
          <w:i w:val="1"/>
          <w:iCs w:val="1"/>
          <w:color w:val="auto"/>
        </w:rPr>
        <w:t xml:space="preserve"> </w:t>
      </w:r>
      <w:r>
        <w:rPr>
          <w:rFonts w:ascii="Arial" w:cs="Arial" w:eastAsia="Arial" w:hAnsi="Arial"/>
          <w:sz w:val="18"/>
          <w:szCs w:val="18"/>
          <w:color w:val="auto"/>
        </w:rPr>
        <w:t>Net Worth of such Obligor.</w:t>
      </w:r>
    </w:p>
    <w:p>
      <w:pPr>
        <w:spacing w:after="0" w:line="51" w:lineRule="exact"/>
        <w:rPr>
          <w:sz w:val="20"/>
          <w:szCs w:val="20"/>
          <w:color w:val="auto"/>
        </w:rPr>
      </w:pPr>
    </w:p>
    <w:p>
      <w:pPr>
        <w:ind w:firstLine="431"/>
        <w:spacing w:after="0" w:line="298" w:lineRule="auto"/>
        <w:rPr>
          <w:sz w:val="20"/>
          <w:szCs w:val="20"/>
          <w:color w:val="auto"/>
        </w:rPr>
      </w:pPr>
      <w:r>
        <w:rPr>
          <w:rFonts w:ascii="Arial" w:cs="Arial" w:eastAsia="Arial" w:hAnsi="Arial"/>
          <w:sz w:val="16"/>
          <w:szCs w:val="16"/>
          <w:i w:val="1"/>
          <w:iCs w:val="1"/>
          <w:color w:val="auto"/>
        </w:rPr>
        <w:t xml:space="preserve">“Total Funded Debt” </w:t>
      </w:r>
      <w:r>
        <w:rPr>
          <w:rFonts w:ascii="Arial" w:cs="Arial" w:eastAsia="Arial" w:hAnsi="Arial"/>
          <w:sz w:val="16"/>
          <w:szCs w:val="16"/>
          <w:color w:val="auto"/>
        </w:rPr>
        <w:t>means, at any time the same is to be determined, the sum (but without duplication) of (a) all indebtedness for borrowed</w:t>
      </w:r>
      <w:r>
        <w:rPr>
          <w:rFonts w:ascii="Arial" w:cs="Arial" w:eastAsia="Arial" w:hAnsi="Arial"/>
          <w:sz w:val="16"/>
          <w:szCs w:val="16"/>
          <w:i w:val="1"/>
          <w:iCs w:val="1"/>
          <w:color w:val="auto"/>
        </w:rPr>
        <w:t xml:space="preserve"> </w:t>
      </w:r>
      <w:r>
        <w:rPr>
          <w:rFonts w:ascii="Arial" w:cs="Arial" w:eastAsia="Arial" w:hAnsi="Arial"/>
          <w:sz w:val="16"/>
          <w:szCs w:val="16"/>
          <w:color w:val="auto"/>
        </w:rPr>
        <w:t>money of such Obligor and its Subsidiaries at such time, and (b) all indebtedness for borrowed money of any other Person which is directly or indirectly guaranteed by the Obligor or any of its Subsidiaries or which the Obligor or any of its Subsidiaries has agreed (contingently or otherwise) to purchase or otherwise acquire or in respect of which the Obligor or any of its Subsidiaries has otherwise assured a creditor against loss.</w:t>
      </w:r>
    </w:p>
    <w:p>
      <w:pPr>
        <w:spacing w:after="0" w:line="31" w:lineRule="exact"/>
        <w:rPr>
          <w:sz w:val="20"/>
          <w:szCs w:val="20"/>
          <w:color w:val="auto"/>
        </w:rPr>
      </w:pPr>
    </w:p>
    <w:p>
      <w:pPr>
        <w:ind w:right="40" w:firstLine="431"/>
        <w:spacing w:after="0" w:line="254" w:lineRule="auto"/>
        <w:rPr>
          <w:sz w:val="20"/>
          <w:szCs w:val="20"/>
          <w:color w:val="auto"/>
        </w:rPr>
      </w:pPr>
      <w:r>
        <w:rPr>
          <w:rFonts w:ascii="Arial" w:cs="Arial" w:eastAsia="Arial" w:hAnsi="Arial"/>
          <w:sz w:val="18"/>
          <w:szCs w:val="18"/>
          <w:i w:val="1"/>
          <w:iCs w:val="1"/>
          <w:color w:val="auto"/>
        </w:rPr>
        <w:t xml:space="preserve">“UCC” </w:t>
      </w:r>
      <w:r>
        <w:rPr>
          <w:rFonts w:ascii="Arial" w:cs="Arial" w:eastAsia="Arial" w:hAnsi="Arial"/>
          <w:sz w:val="18"/>
          <w:szCs w:val="18"/>
          <w:color w:val="auto"/>
        </w:rPr>
        <w:t>means the Uniform Commercial Code, as from time to time in effect in the State of New York;</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if, by reason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provisions of law, the perfection, the effect of perfection or non-perfection or priority of the security interests granted to the Collateral Agent pursuant to this Agreement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non-perfection or priority.</w:t>
      </w:r>
    </w:p>
    <w:p>
      <w:pPr>
        <w:spacing w:after="0" w:line="13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00"/>
          </w:cols>
          <w:pgMar w:left="780" w:top="280" w:right="419" w:bottom="1440" w:gutter="0" w:footer="0" w:header="0"/>
        </w:sectPr>
      </w:pPr>
    </w:p>
    <w:bookmarkStart w:id="97" w:name="page98"/>
    <w:bookmarkEnd w:id="97"/>
    <w:p>
      <w:pPr>
        <w:ind w:left="4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“Uncertificated Security” </w:t>
      </w:r>
      <w:r>
        <w:rPr>
          <w:rFonts w:ascii="Arial" w:cs="Arial" w:eastAsia="Arial" w:hAnsi="Arial"/>
          <w:sz w:val="18"/>
          <w:szCs w:val="18"/>
          <w:color w:val="auto"/>
        </w:rPr>
        <w:t>has the meaning specified in Section 8-102(a)(18) of the UCC.</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Underlying Note</w:t>
      </w:r>
      <w:r>
        <w:rPr>
          <w:rFonts w:ascii="Arial" w:cs="Arial" w:eastAsia="Arial" w:hAnsi="Arial"/>
          <w:sz w:val="18"/>
          <w:szCs w:val="18"/>
          <w:color w:val="auto"/>
        </w:rPr>
        <w:t>” means the one or more promissory notes executed by an Obligor evidence a Collateral Loan.</w:t>
      </w:r>
    </w:p>
    <w:p>
      <w:pPr>
        <w:spacing w:after="0" w:line="90" w:lineRule="exact"/>
        <w:rPr>
          <w:sz w:val="20"/>
          <w:szCs w:val="20"/>
          <w:color w:val="auto"/>
        </w:rPr>
      </w:pPr>
    </w:p>
    <w:p>
      <w:pPr>
        <w:jc w:val="both"/>
        <w:ind w:right="320" w:firstLine="431"/>
        <w:spacing w:after="0" w:line="259" w:lineRule="auto"/>
        <w:rPr>
          <w:sz w:val="20"/>
          <w:szCs w:val="20"/>
          <w:color w:val="auto"/>
        </w:rPr>
      </w:pPr>
      <w:r>
        <w:rPr>
          <w:rFonts w:ascii="Arial" w:cs="Arial" w:eastAsia="Arial" w:hAnsi="Arial"/>
          <w:sz w:val="18"/>
          <w:szCs w:val="18"/>
          <w:i w:val="1"/>
          <w:iCs w:val="1"/>
          <w:color w:val="auto"/>
        </w:rPr>
        <w:t xml:space="preserve">“Uni-Tranche Loan” </w:t>
      </w:r>
      <w:r>
        <w:rPr>
          <w:rFonts w:ascii="Arial" w:cs="Arial" w:eastAsia="Arial" w:hAnsi="Arial"/>
          <w:sz w:val="18"/>
          <w:szCs w:val="18"/>
          <w:color w:val="auto"/>
        </w:rPr>
        <w:t>means any loan, debt obligation, security or Participation Interest (for purposes of this definition, a “</w:t>
      </w:r>
      <w:r>
        <w:rPr>
          <w:rFonts w:ascii="Arial" w:cs="Arial" w:eastAsia="Arial" w:hAnsi="Arial"/>
          <w:sz w:val="18"/>
          <w:szCs w:val="18"/>
          <w:i w:val="1"/>
          <w:iCs w:val="1"/>
          <w:color w:val="auto"/>
        </w:rPr>
        <w:t>loan</w:t>
      </w:r>
      <w:r>
        <w:rPr>
          <w:rFonts w:ascii="Arial" w:cs="Arial" w:eastAsia="Arial" w:hAnsi="Arial"/>
          <w:sz w:val="18"/>
          <w:szCs w:val="18"/>
          <w:color w:val="auto"/>
        </w:rPr>
        <w:t>”) that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structured such that one loan comprises an Eligible First Lien Obligation and an Eligible Second Lien Obligation between the related Obligor and a single lender.</w:t>
      </w:r>
    </w:p>
    <w:p>
      <w:pPr>
        <w:spacing w:after="0" w:line="59" w:lineRule="exact"/>
        <w:rPr>
          <w:sz w:val="20"/>
          <w:szCs w:val="20"/>
          <w:color w:val="auto"/>
        </w:rPr>
      </w:pPr>
    </w:p>
    <w:p>
      <w:pPr>
        <w:ind w:right="100" w:firstLine="431"/>
        <w:spacing w:after="0" w:line="254" w:lineRule="auto"/>
        <w:rPr>
          <w:sz w:val="20"/>
          <w:szCs w:val="20"/>
          <w:color w:val="auto"/>
        </w:rPr>
      </w:pPr>
      <w:r>
        <w:rPr>
          <w:rFonts w:ascii="Arial" w:cs="Arial" w:eastAsia="Arial" w:hAnsi="Arial"/>
          <w:sz w:val="18"/>
          <w:szCs w:val="18"/>
          <w:i w:val="1"/>
          <w:iCs w:val="1"/>
          <w:color w:val="auto"/>
        </w:rPr>
        <w:t xml:space="preserve">“Unrestricted Cash” </w:t>
      </w:r>
      <w:r>
        <w:rPr>
          <w:rFonts w:ascii="Arial" w:cs="Arial" w:eastAsia="Arial" w:hAnsi="Arial"/>
          <w:sz w:val="18"/>
          <w:szCs w:val="18"/>
          <w:color w:val="auto"/>
        </w:rPr>
        <w:t>means the meaning of “Unrestricted Cash” or any comparable definition in the related loan agreement for each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Loan, and in any case that “Unrestricted Cash” or such comparable definition is not defined in such loan agreements, all cash (i) available for use for general corporate purposes and (ii) not held in any reserve account or legally or contractually restricted for any particular purposes inconsistent with the payment of the indebtedness for borrowed money of the relevant Obligor or subject to any lien (other than blanket liens permitted under or granted in accordance with such loan agreement).</w:t>
      </w:r>
    </w:p>
    <w:p>
      <w:pPr>
        <w:spacing w:after="0" w:line="66" w:lineRule="exact"/>
        <w:rPr>
          <w:sz w:val="20"/>
          <w:szCs w:val="20"/>
          <w:color w:val="auto"/>
        </w:rPr>
      </w:pPr>
    </w:p>
    <w:p>
      <w:pPr>
        <w:ind w:firstLine="431"/>
        <w:spacing w:after="0" w:line="259" w:lineRule="auto"/>
        <w:rPr>
          <w:sz w:val="20"/>
          <w:szCs w:val="20"/>
          <w:color w:val="auto"/>
        </w:rPr>
      </w:pPr>
      <w:r>
        <w:rPr>
          <w:rFonts w:ascii="Arial" w:cs="Arial" w:eastAsia="Arial" w:hAnsi="Arial"/>
          <w:sz w:val="18"/>
          <w:szCs w:val="18"/>
          <w:i w:val="1"/>
          <w:iCs w:val="1"/>
          <w:color w:val="auto"/>
        </w:rPr>
        <w:t xml:space="preserve">“Voting Shares” </w:t>
      </w:r>
      <w:r>
        <w:rPr>
          <w:rFonts w:ascii="Arial" w:cs="Arial" w:eastAsia="Arial" w:hAnsi="Arial"/>
          <w:sz w:val="18"/>
          <w:szCs w:val="18"/>
          <w:color w:val="auto"/>
        </w:rPr>
        <w:t>of any Person means capital stock or other equity interests of any class or classes (however designated) having ordinary power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election of directors or other similar governing body of such Person, other than stock or other equity interests having such power only by reason of the happening of a contingency.</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“Weighted Average Coupon” </w:t>
      </w:r>
      <w:r>
        <w:rPr>
          <w:rFonts w:ascii="Arial" w:cs="Arial" w:eastAsia="Arial" w:hAnsi="Arial"/>
          <w:sz w:val="16"/>
          <w:szCs w:val="16"/>
          <w:color w:val="auto"/>
        </w:rPr>
        <w:t>means, as of any date, an amount equal to the number, expressed as a percentage, obtained by dividing:</w:t>
      </w:r>
    </w:p>
    <w:p>
      <w:pPr>
        <w:spacing w:after="0" w:line="113" w:lineRule="exact"/>
        <w:rPr>
          <w:sz w:val="20"/>
          <w:szCs w:val="20"/>
          <w:color w:val="auto"/>
        </w:rPr>
      </w:pPr>
    </w:p>
    <w:p>
      <w:pPr>
        <w:ind w:left="440" w:right="620" w:firstLine="420"/>
        <w:spacing w:after="0" w:line="268" w:lineRule="auto"/>
        <w:tabs>
          <w:tab w:leader="none" w:pos="1092"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sum, for each Fixed Rate Obligation, of the stated interest coupon on such Collateral Loan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portion of the Aggregate Collateral Balance attributable to such Collateral Loan; by</w:t>
      </w:r>
    </w:p>
    <w:p>
      <w:pPr>
        <w:spacing w:after="0" w:line="50" w:lineRule="exact"/>
        <w:rPr>
          <w:rFonts w:ascii="Arial" w:cs="Arial" w:eastAsia="Arial" w:hAnsi="Arial"/>
          <w:sz w:val="18"/>
          <w:szCs w:val="18"/>
          <w:color w:val="auto"/>
        </w:rPr>
      </w:pPr>
    </w:p>
    <w:p>
      <w:pPr>
        <w:ind w:left="1100" w:hanging="240"/>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Aggregate Collateral Balance of all Fixed Rate Obligations as of such date.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“Weighted Average Floating Spread” </w:t>
      </w:r>
      <w:r>
        <w:rPr>
          <w:rFonts w:ascii="Arial" w:cs="Arial" w:eastAsia="Arial" w:hAnsi="Arial"/>
          <w:sz w:val="18"/>
          <w:szCs w:val="18"/>
          <w:color w:val="auto"/>
        </w:rPr>
        <w:t>means, as of any date, the number obtained by dividing:</w:t>
      </w:r>
    </w:p>
    <w:p>
      <w:pPr>
        <w:spacing w:after="0" w:line="90" w:lineRule="exact"/>
        <w:rPr>
          <w:sz w:val="20"/>
          <w:szCs w:val="20"/>
          <w:color w:val="auto"/>
        </w:rPr>
      </w:pPr>
    </w:p>
    <w:p>
      <w:pPr>
        <w:ind w:left="440" w:right="160" w:firstLine="420"/>
        <w:spacing w:after="0" w:line="268" w:lineRule="auto"/>
        <w:tabs>
          <w:tab w:leader="none" w:pos="10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amount equal to (A) the Aggregate Funded Spread (with respect to all Floating Rate Obligations),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Aggregate Unfunded Spread, by</w:t>
      </w:r>
    </w:p>
    <w:p>
      <w:pPr>
        <w:spacing w:after="0" w:line="50" w:lineRule="exact"/>
        <w:rPr>
          <w:rFonts w:ascii="Arial" w:cs="Arial" w:eastAsia="Arial" w:hAnsi="Arial"/>
          <w:sz w:val="18"/>
          <w:szCs w:val="18"/>
          <w:color w:val="auto"/>
        </w:rPr>
      </w:pPr>
    </w:p>
    <w:p>
      <w:pPr>
        <w:ind w:left="1100" w:hanging="240"/>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Aggregate Collateral Balance of all Floating Rate Obligations as of such date.</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60"/>
          </w:cols>
          <w:pgMar w:left="780" w:top="280" w:right="359" w:bottom="1440" w:gutter="0" w:footer="0" w:header="0"/>
        </w:sectPr>
      </w:pPr>
    </w:p>
    <w:bookmarkStart w:id="98" w:name="page99"/>
    <w:bookmarkEnd w:id="98"/>
    <w:p>
      <w:pPr>
        <w:ind w:left="452" w:right="380" w:firstLine="431"/>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“Weighted Average Life” </w:t>
      </w:r>
      <w:r>
        <w:rPr>
          <w:rFonts w:ascii="Arial" w:cs="Arial" w:eastAsia="Arial" w:hAnsi="Arial"/>
          <w:sz w:val="18"/>
          <w:szCs w:val="18"/>
          <w:color w:val="auto"/>
        </w:rPr>
        <w:t>means, as of any date of determination with respect to all Collateral Loans, the number of years following such date</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by summing the products obtained by multiplying:</w:t>
      </w:r>
    </w:p>
    <w:p>
      <w:pPr>
        <w:spacing w:after="0" w:line="172" w:lineRule="exact"/>
        <w:rPr>
          <w:sz w:val="20"/>
          <w:szCs w:val="20"/>
          <w:color w:val="auto"/>
        </w:rPr>
      </w:pPr>
    </w:p>
    <w:tbl>
      <w:tblPr>
        <w:tblLayout w:type="fixed"/>
        <w:tblInd w:w="872" w:type="dxa"/>
        <w:tblCellMar>
          <w:top w:w="0" w:type="dxa"/>
          <w:left w:w="0" w:type="dxa"/>
          <w:bottom w:w="0" w:type="dxa"/>
          <w:right w:w="0" w:type="dxa"/>
        </w:tblCellMar>
      </w:tblP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w w:val="94"/>
              </w:rPr>
              <w:t>The Average Life at such time of each such Collateral Loan</w:t>
            </w:r>
          </w:p>
        </w:tc>
        <w:tc>
          <w:tcPr>
            <w:tcW w:w="60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X</w:t>
            </w:r>
          </w:p>
        </w:tc>
        <w:tc>
          <w:tcPr>
            <w:tcW w:w="4560" w:type="dxa"/>
            <w:vAlign w:val="bottom"/>
          </w:tcPr>
          <w:p>
            <w:pPr>
              <w:ind w:left="140"/>
              <w:spacing w:after="0"/>
              <w:rPr>
                <w:sz w:val="20"/>
                <w:szCs w:val="20"/>
                <w:color w:val="auto"/>
              </w:rPr>
            </w:pPr>
            <w:r>
              <w:rPr>
                <w:rFonts w:ascii="Arial" w:cs="Arial" w:eastAsia="Arial" w:hAnsi="Arial"/>
                <w:sz w:val="18"/>
                <w:szCs w:val="18"/>
                <w:color w:val="auto"/>
                <w:w w:val="89"/>
              </w:rPr>
              <w:t>The portion of the Aggregate Collateral Balance attributable to</w:t>
            </w:r>
          </w:p>
        </w:tc>
        <w:tc>
          <w:tcPr>
            <w:tcW w:w="0" w:type="dxa"/>
            <w:vAlign w:val="bottom"/>
          </w:tcPr>
          <w:p>
            <w:pPr>
              <w:spacing w:after="0"/>
              <w:rPr>
                <w:sz w:val="1"/>
                <w:szCs w:val="1"/>
                <w:color w:val="auto"/>
              </w:rPr>
            </w:pPr>
          </w:p>
        </w:tc>
      </w:tr>
      <w:tr>
        <w:trPr>
          <w:trHeight w:val="114"/>
        </w:trPr>
        <w:tc>
          <w:tcPr>
            <w:tcW w:w="45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560" w:type="dxa"/>
            <w:vAlign w:val="bottom"/>
            <w:vMerge w:val="restart"/>
          </w:tcPr>
          <w:p>
            <w:pPr>
              <w:ind w:left="140"/>
              <w:spacing w:after="0"/>
              <w:rPr>
                <w:sz w:val="20"/>
                <w:szCs w:val="20"/>
                <w:color w:val="auto"/>
              </w:rPr>
            </w:pPr>
            <w:r>
              <w:rPr>
                <w:rFonts w:ascii="Arial" w:cs="Arial" w:eastAsia="Arial" w:hAnsi="Arial"/>
                <w:sz w:val="18"/>
                <w:szCs w:val="18"/>
                <w:color w:val="auto"/>
              </w:rPr>
              <w:t>such Collateral Loan</w:t>
            </w:r>
          </w:p>
        </w:tc>
        <w:tc>
          <w:tcPr>
            <w:tcW w:w="0" w:type="dxa"/>
            <w:vAlign w:val="bottom"/>
          </w:tcPr>
          <w:p>
            <w:pPr>
              <w:spacing w:after="0"/>
              <w:rPr>
                <w:sz w:val="1"/>
                <w:szCs w:val="1"/>
                <w:color w:val="auto"/>
              </w:rPr>
            </w:pPr>
          </w:p>
        </w:tc>
      </w:tr>
      <w:tr>
        <w:trPr>
          <w:trHeight w:val="108"/>
        </w:trPr>
        <w:tc>
          <w:tcPr>
            <w:tcW w:w="4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4520" w:type="dxa"/>
            <w:vAlign w:val="bottom"/>
          </w:tcPr>
          <w:p>
            <w:pPr>
              <w:spacing w:after="0"/>
              <w:rPr>
                <w:sz w:val="20"/>
                <w:szCs w:val="20"/>
                <w:color w:val="auto"/>
              </w:rPr>
            </w:pPr>
            <w:r>
              <w:rPr>
                <w:rFonts w:ascii="Arial" w:cs="Arial" w:eastAsia="Arial" w:hAnsi="Arial"/>
                <w:sz w:val="18"/>
                <w:szCs w:val="18"/>
                <w:color w:val="auto"/>
              </w:rPr>
              <w:t>and dividing such sum by:</w:t>
            </w:r>
          </w:p>
        </w:tc>
        <w:tc>
          <w:tcPr>
            <w:tcW w:w="6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Aggregate Collateral Balance at such time of all Collateral Loans.</w:t>
      </w:r>
    </w:p>
    <w:p>
      <w:pPr>
        <w:spacing w:after="0" w:line="90" w:lineRule="exact"/>
        <w:rPr>
          <w:sz w:val="20"/>
          <w:szCs w:val="20"/>
          <w:color w:val="auto"/>
        </w:rPr>
      </w:pPr>
    </w:p>
    <w:p>
      <w:pPr>
        <w:ind w:left="452" w:firstLine="431"/>
        <w:spacing w:after="0" w:line="298" w:lineRule="auto"/>
        <w:rPr>
          <w:sz w:val="20"/>
          <w:szCs w:val="20"/>
          <w:color w:val="auto"/>
        </w:rPr>
      </w:pPr>
      <w:r>
        <w:rPr>
          <w:rFonts w:ascii="Arial" w:cs="Arial" w:eastAsia="Arial" w:hAnsi="Arial"/>
          <w:sz w:val="16"/>
          <w:szCs w:val="16"/>
          <w:color w:val="auto"/>
        </w:rPr>
        <w:t>For the purposes of the foregoing, the “Average Life” is, on any date of determination with respect to any Collateral Loan, the quotient obtained by dividing (i) the sum of the products of (a) the number of years (rounded to the nearest one hundredth thereof) from such date of determination to the respective dates of each successive Scheduled Distribution of principal of such Collateral Loan and (b) the respective amounts of principal of such Scheduled Distributions by (ii) the sum of all successive Scheduled Distributions of principal on such Collateral Loan.</w:t>
      </w:r>
    </w:p>
    <w:p>
      <w:pPr>
        <w:spacing w:after="0" w:line="31" w:lineRule="exact"/>
        <w:rPr>
          <w:sz w:val="20"/>
          <w:szCs w:val="20"/>
          <w:color w:val="auto"/>
        </w:rPr>
      </w:pPr>
    </w:p>
    <w:p>
      <w:pPr>
        <w:ind w:left="452" w:right="140" w:firstLine="431"/>
        <w:spacing w:after="0" w:line="268" w:lineRule="auto"/>
        <w:rPr>
          <w:sz w:val="20"/>
          <w:szCs w:val="20"/>
          <w:color w:val="auto"/>
        </w:rPr>
      </w:pPr>
      <w:r>
        <w:rPr>
          <w:rFonts w:ascii="Arial" w:cs="Arial" w:eastAsia="Arial" w:hAnsi="Arial"/>
          <w:sz w:val="18"/>
          <w:szCs w:val="18"/>
          <w:i w:val="1"/>
          <w:iCs w:val="1"/>
          <w:color w:val="auto"/>
        </w:rPr>
        <w:t xml:space="preserve">“Withdrawal Liability” </w:t>
      </w:r>
      <w:r>
        <w:rPr>
          <w:rFonts w:ascii="Arial" w:cs="Arial" w:eastAsia="Arial" w:hAnsi="Arial"/>
          <w:sz w:val="18"/>
          <w:szCs w:val="18"/>
          <w:color w:val="auto"/>
        </w:rPr>
        <w:t>means liability to a Multiemployer Plan as a result of a complete or partial withdrawal from such Multiemployer Plan,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terms are defined in Part I of Subtitle E of Title IV of ERISA.</w:t>
      </w:r>
    </w:p>
    <w:p>
      <w:pPr>
        <w:spacing w:after="0" w:line="51" w:lineRule="exact"/>
        <w:rPr>
          <w:sz w:val="20"/>
          <w:szCs w:val="20"/>
          <w:color w:val="auto"/>
        </w:rPr>
      </w:pPr>
    </w:p>
    <w:p>
      <w:pPr>
        <w:ind w:left="452" w:right="60" w:firstLine="431"/>
        <w:spacing w:after="0" w:line="268" w:lineRule="auto"/>
        <w:rPr>
          <w:sz w:val="20"/>
          <w:szCs w:val="20"/>
          <w:color w:val="auto"/>
        </w:rPr>
      </w:pPr>
      <w:r>
        <w:rPr>
          <w:rFonts w:ascii="Arial" w:cs="Arial" w:eastAsia="Arial" w:hAnsi="Arial"/>
          <w:sz w:val="18"/>
          <w:szCs w:val="18"/>
          <w:i w:val="1"/>
          <w:iCs w:val="1"/>
          <w:color w:val="auto"/>
        </w:rPr>
        <w:t xml:space="preserve">“Zero Coupon Obligation” </w:t>
      </w:r>
      <w:r>
        <w:rPr>
          <w:rFonts w:ascii="Arial" w:cs="Arial" w:eastAsia="Arial" w:hAnsi="Arial"/>
          <w:sz w:val="18"/>
          <w:szCs w:val="18"/>
          <w:color w:val="auto"/>
        </w:rPr>
        <w:t>means a Collateral Loan that does not provide for periodic payments of interest in Cash or that pays interest only at its</w:t>
      </w:r>
      <w:r>
        <w:rPr>
          <w:rFonts w:ascii="Arial" w:cs="Arial" w:eastAsia="Arial" w:hAnsi="Arial"/>
          <w:sz w:val="18"/>
          <w:szCs w:val="18"/>
          <w:i w:val="1"/>
          <w:iCs w:val="1"/>
          <w:color w:val="auto"/>
        </w:rPr>
        <w:t xml:space="preserve"> </w:t>
      </w:r>
      <w:r>
        <w:rPr>
          <w:rFonts w:ascii="Arial" w:cs="Arial" w:eastAsia="Arial" w:hAnsi="Arial"/>
          <w:sz w:val="18"/>
          <w:szCs w:val="18"/>
          <w:color w:val="auto"/>
        </w:rPr>
        <w:t>stated maturity.</w:t>
      </w:r>
    </w:p>
    <w:p>
      <w:pPr>
        <w:spacing w:after="0" w:line="132" w:lineRule="exact"/>
        <w:rPr>
          <w:sz w:val="20"/>
          <w:szCs w:val="20"/>
          <w:color w:val="auto"/>
        </w:rPr>
      </w:pPr>
    </w:p>
    <w:p>
      <w:pPr>
        <w:ind w:left="452"/>
        <w:spacing w:after="0"/>
        <w:rPr>
          <w:sz w:val="20"/>
          <w:szCs w:val="20"/>
          <w:color w:val="auto"/>
        </w:rPr>
      </w:pPr>
      <w:r>
        <w:rPr>
          <w:rFonts w:ascii="Arial" w:cs="Arial" w:eastAsia="Arial" w:hAnsi="Arial"/>
          <w:sz w:val="15"/>
          <w:szCs w:val="15"/>
          <w:i w:val="1"/>
          <w:iCs w:val="1"/>
          <w:color w:val="auto"/>
        </w:rPr>
        <w:t xml:space="preserve">Section 1.02. Rules of Construction. </w:t>
      </w:r>
      <w:r>
        <w:rPr>
          <w:rFonts w:ascii="Arial" w:cs="Arial" w:eastAsia="Arial" w:hAnsi="Arial"/>
          <w:sz w:val="15"/>
          <w:szCs w:val="15"/>
          <w:color w:val="auto"/>
        </w:rPr>
        <w:t>For all purposes of this Agreement, except as otherwise expressly provided or unless the context otherwise requires</w:t>
      </w:r>
    </w:p>
    <w:p>
      <w:pPr>
        <w:spacing w:after="0" w:line="50" w:lineRule="exact"/>
        <w:rPr>
          <w:sz w:val="20"/>
          <w:szCs w:val="20"/>
          <w:color w:val="auto"/>
        </w:rPr>
      </w:pPr>
    </w:p>
    <w:p>
      <w:pPr>
        <w:ind w:left="-8" w:right="100" w:firstLine="8"/>
        <w:spacing w:after="0" w:line="281" w:lineRule="auto"/>
        <w:tabs>
          <w:tab w:leader="none" w:pos="202" w:val="left"/>
        </w:tabs>
        <w:numPr>
          <w:ilvl w:val="0"/>
          <w:numId w:val="72"/>
        </w:numPr>
        <w:rPr>
          <w:rFonts w:ascii="Arial" w:cs="Arial" w:eastAsia="Arial" w:hAnsi="Arial"/>
          <w:sz w:val="16"/>
          <w:szCs w:val="16"/>
          <w:color w:val="auto"/>
        </w:rPr>
      </w:pPr>
      <w:r>
        <w:rPr>
          <w:rFonts w:ascii="Arial" w:cs="Arial" w:eastAsia="Arial" w:hAnsi="Arial"/>
          <w:sz w:val="16"/>
          <w:szCs w:val="16"/>
          <w:color w:val="auto"/>
        </w:rPr>
        <w:t>singular words shall connote the plural as well as the singular, and vice versa (except as indicated), as may be appropriate, (ii) the words “herein,” “hereof” and “hereunder” and other words of similar import used in this Agreement refer to this Agreement as a whole and not to any particular article, schedule, section, paragraph, clause, exhibit or other subdivision, (iii) the headings, subheadings and table of contents set forth in this Agreement are solely for convenience of reference and shall not constitute a part of this Agreement nor shall they affect the meaning, construction or effect of any provision hereof,</w:t>
      </w:r>
    </w:p>
    <w:p>
      <w:pPr>
        <w:spacing w:after="0" w:line="2" w:lineRule="exact"/>
        <w:rPr>
          <w:rFonts w:ascii="Arial" w:cs="Arial" w:eastAsia="Arial" w:hAnsi="Arial"/>
          <w:sz w:val="16"/>
          <w:szCs w:val="16"/>
          <w:color w:val="auto"/>
        </w:rPr>
      </w:pPr>
    </w:p>
    <w:p>
      <w:pPr>
        <w:ind w:left="-8" w:right="80" w:firstLine="8"/>
        <w:spacing w:after="0" w:line="251" w:lineRule="auto"/>
        <w:tabs>
          <w:tab w:leader="none" w:pos="2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references in this Agreement to “include” or “including” shall mean include or 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(v) each of the parties to this Agreement and its counsel have reviewed and revised, or requested revisions to, this Agreement, and the rule of construction that any ambiguities are to be resolved against the drafting party shall be inapplicable in the construction and interpretation of this Agreement, (vi) any definition of or reference to any Facility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(vii) any reference herein to any Person shall be</w:t>
      </w:r>
    </w:p>
    <w:p>
      <w:pPr>
        <w:spacing w:after="0" w:line="1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12"/>
          </w:cols>
          <w:pgMar w:left="328" w:top="280" w:right="359" w:bottom="1440" w:gutter="0" w:footer="0" w:header="0"/>
        </w:sectPr>
      </w:pPr>
    </w:p>
    <w:bookmarkStart w:id="99" w:name="page100"/>
    <w:bookmarkEnd w:id="9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construed to include such Person’s successors and assigns (subject to any restrictions set forth herein or in any other applicable agreement), (viii) any reference to any law or regulation herein shall refer to such law or regulation as amended, modified or supplemented from time to time and (ix) each reference to any-time means Atlanta, Georgia time.</w:t>
      </w:r>
    </w:p>
    <w:p>
      <w:pPr>
        <w:spacing w:after="0" w:line="140"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i w:val="1"/>
          <w:iCs w:val="1"/>
          <w:color w:val="auto"/>
        </w:rPr>
        <w:t>Section 1.03. Computation of Time Periods</w:t>
      </w:r>
      <w:r>
        <w:rPr>
          <w:rFonts w:ascii="Arial" w:cs="Arial" w:eastAsia="Arial" w:hAnsi="Arial"/>
          <w:sz w:val="18"/>
          <w:szCs w:val="18"/>
          <w:color w:val="auto"/>
        </w:rPr>
        <w:t>. Unless otherwise stated in this Agreement, in the computation of a period of time from a specified date to a</w:t>
      </w:r>
      <w:r>
        <w:rPr>
          <w:rFonts w:ascii="Arial" w:cs="Arial" w:eastAsia="Arial" w:hAnsi="Arial"/>
          <w:sz w:val="18"/>
          <w:szCs w:val="18"/>
          <w:i w:val="1"/>
          <w:iCs w:val="1"/>
          <w:color w:val="auto"/>
        </w:rPr>
        <w:t xml:space="preserve"> </w:t>
      </w:r>
      <w:r>
        <w:rPr>
          <w:rFonts w:ascii="Arial" w:cs="Arial" w:eastAsia="Arial" w:hAnsi="Arial"/>
          <w:sz w:val="18"/>
          <w:szCs w:val="18"/>
          <w:color w:val="auto"/>
        </w:rPr>
        <w:t>later specified date, the word “from” means “from and including” and the words “to” and “until” both mean “to but excluding”. Periods of days referred to in this Agreement shall be counted in calendar days unless Business Days are expressly prescribed.</w:t>
      </w:r>
    </w:p>
    <w:p>
      <w:pPr>
        <w:spacing w:after="0" w:line="14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i w:val="1"/>
          <w:iCs w:val="1"/>
          <w:color w:val="auto"/>
        </w:rPr>
        <w:t>Section 1.04</w:t>
      </w:r>
      <w:r>
        <w:rPr>
          <w:rFonts w:ascii="Arial" w:cs="Arial" w:eastAsia="Arial" w:hAnsi="Arial"/>
          <w:sz w:val="16"/>
          <w:szCs w:val="16"/>
          <w:color w:val="auto"/>
        </w:rPr>
        <w:t>.</w:t>
      </w:r>
      <w:r>
        <w:rPr>
          <w:rFonts w:ascii="Arial" w:cs="Arial" w:eastAsia="Arial" w:hAnsi="Arial"/>
          <w:sz w:val="16"/>
          <w:szCs w:val="16"/>
          <w:i w:val="1"/>
          <w:iCs w:val="1"/>
          <w:color w:val="auto"/>
        </w:rPr>
        <w:t xml:space="preserve"> Collateral Value Calculation Procedures</w:t>
      </w:r>
      <w:r>
        <w:rPr>
          <w:rFonts w:ascii="Arial" w:cs="Arial" w:eastAsia="Arial" w:hAnsi="Arial"/>
          <w:sz w:val="16"/>
          <w:szCs w:val="16"/>
          <w:color w:val="auto"/>
        </w:rPr>
        <w:t>. In connection with all calculations required to be made pursuant to this Agreement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Scheduled Distributions on any Collateral Loans, or any payments on any other assets included in the Collateral, with respect to the sale of and reinvestment in Collateral Loans, and with respect to the income that can be earned on Scheduled Distributions on such Collateral Loans and on any other amounts that may be received for deposit in the Collection Account, the provisions set forth in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shall be applied. The provisions of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shall be applicable to any determination or calculation that is covered by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whether or not reference is specifically made to </w:t>
      </w:r>
      <w:r>
        <w:rPr>
          <w:rFonts w:ascii="Arial" w:cs="Arial" w:eastAsia="Arial" w:hAnsi="Arial"/>
          <w:sz w:val="16"/>
          <w:szCs w:val="16"/>
          <w:u w:val="single" w:color="auto"/>
          <w:color w:val="auto"/>
        </w:rPr>
        <w:t>Section 1.04</w:t>
      </w:r>
      <w:r>
        <w:rPr>
          <w:rFonts w:ascii="Arial" w:cs="Arial" w:eastAsia="Arial" w:hAnsi="Arial"/>
          <w:sz w:val="16"/>
          <w:szCs w:val="16"/>
          <w:color w:val="auto"/>
        </w:rPr>
        <w:t>, unless some other method of calculation or determination is expressly specified in the particular provision.</w:t>
      </w:r>
    </w:p>
    <w:p>
      <w:pPr>
        <w:spacing w:after="0" w:line="39" w:lineRule="exact"/>
        <w:rPr>
          <w:sz w:val="20"/>
          <w:szCs w:val="20"/>
          <w:color w:val="auto"/>
        </w:rPr>
      </w:pPr>
    </w:p>
    <w:p>
      <w:pPr>
        <w:jc w:val="both"/>
        <w:ind w:left="460" w:right="200" w:firstLine="428"/>
        <w:spacing w:after="0" w:line="256" w:lineRule="auto"/>
        <w:tabs>
          <w:tab w:leader="none" w:pos="113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calculations with respect to Scheduled Distributions on the Collateral Loans shall be made on the basis of information as to the terms of each such Collateral Loan and upon reports of payments, if any, received on such Collateral Loans that are furnished by or on behalf of the Obligor of such Collateral Loans and, to the extent they are not manifestly in error, such information or reports may be conclusively relied upon in making such calculations.</w:t>
      </w:r>
    </w:p>
    <w:p>
      <w:pPr>
        <w:spacing w:after="0" w:line="61" w:lineRule="exact"/>
        <w:rPr>
          <w:rFonts w:ascii="Arial" w:cs="Arial" w:eastAsia="Arial" w:hAnsi="Arial"/>
          <w:sz w:val="18"/>
          <w:szCs w:val="18"/>
          <w:color w:val="auto"/>
        </w:rPr>
      </w:pPr>
    </w:p>
    <w:p>
      <w:pPr>
        <w:ind w:left="1140" w:hanging="252"/>
        <w:spacing w:after="0"/>
        <w:tabs>
          <w:tab w:leader="none" w:pos="11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For purposes of calculating the Coverage Tests, except as otherwise specified in the Coverage Tests, such calculations will not include</w:t>
      </w:r>
    </w:p>
    <w:p>
      <w:pPr>
        <w:spacing w:after="0" w:line="38" w:lineRule="exact"/>
        <w:rPr>
          <w:rFonts w:ascii="Arial" w:cs="Arial" w:eastAsia="Arial" w:hAnsi="Arial"/>
          <w:sz w:val="16"/>
          <w:szCs w:val="16"/>
          <w:color w:val="auto"/>
        </w:rPr>
      </w:pPr>
    </w:p>
    <w:p>
      <w:pPr>
        <w:ind w:left="460" w:right="200" w:hanging="3"/>
        <w:spacing w:after="0" w:line="323" w:lineRule="auto"/>
        <w:tabs>
          <w:tab w:leader="none" w:pos="67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scheduled interest and principal payments on Defaulted Collateral Loans and Ineligible Collateral Loans unless or until such payments are actually made and (ii) ticking fees in respect of Collateral Loans, and other similar fees, unless or until such fees are actually paid.</w:t>
      </w:r>
    </w:p>
    <w:p>
      <w:pPr>
        <w:spacing w:after="0" w:line="11" w:lineRule="exact"/>
        <w:rPr>
          <w:rFonts w:ascii="Arial" w:cs="Arial" w:eastAsia="Arial" w:hAnsi="Arial"/>
          <w:sz w:val="16"/>
          <w:szCs w:val="16"/>
          <w:color w:val="auto"/>
        </w:rPr>
      </w:pPr>
    </w:p>
    <w:p>
      <w:pPr>
        <w:ind w:left="460" w:right="40" w:firstLine="428"/>
        <w:spacing w:after="0" w:line="306" w:lineRule="auto"/>
        <w:tabs>
          <w:tab w:leader="none" w:pos="1130" w:val="left"/>
        </w:tabs>
        <w:numPr>
          <w:ilvl w:val="1"/>
          <w:numId w:val="75"/>
        </w:numPr>
        <w:rPr>
          <w:rFonts w:ascii="Arial" w:cs="Arial" w:eastAsia="Arial" w:hAnsi="Arial"/>
          <w:sz w:val="16"/>
          <w:szCs w:val="16"/>
          <w:color w:val="auto"/>
        </w:rPr>
      </w:pPr>
      <w:r>
        <w:rPr>
          <w:rFonts w:ascii="Arial" w:cs="Arial" w:eastAsia="Arial" w:hAnsi="Arial"/>
          <w:sz w:val="16"/>
          <w:szCs w:val="16"/>
          <w:color w:val="auto"/>
        </w:rPr>
        <w:t>For each Collection Period and as of any date of determination, the Scheduled Distribution on any Collateral Loans (other than Defaulted Collateral Loans and Ineligible Collateral Loans, which, except as otherwise provided herein, shall be assumed to have Scheduled Distributions of zero) shall be the total amount of payments and collections to be received during such Collection Period in respect of such Collateral Loans.</w:t>
      </w:r>
    </w:p>
    <w:p>
      <w:pPr>
        <w:spacing w:after="0" w:line="25" w:lineRule="exact"/>
        <w:rPr>
          <w:rFonts w:ascii="Arial" w:cs="Arial" w:eastAsia="Arial" w:hAnsi="Arial"/>
          <w:sz w:val="16"/>
          <w:szCs w:val="16"/>
          <w:color w:val="auto"/>
        </w:rPr>
      </w:pPr>
    </w:p>
    <w:p>
      <w:pPr>
        <w:ind w:left="1140" w:hanging="252"/>
        <w:spacing w:after="0"/>
        <w:tabs>
          <w:tab w:leader="none" w:pos="11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Each Scheduled Distribution receivable with respect to a Collateral Loan shall be assumed to be received on the applicable Due Date.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320" w:top="280" w:right="399" w:bottom="1440" w:gutter="0" w:footer="0" w:header="0"/>
        </w:sectPr>
      </w:pPr>
    </w:p>
    <w:bookmarkStart w:id="100" w:name="page101"/>
    <w:bookmarkEnd w:id="100"/>
    <w:p>
      <w:pPr>
        <w:ind w:right="320" w:firstLine="428"/>
        <w:spacing w:after="0" w:line="331" w:lineRule="auto"/>
        <w:tabs>
          <w:tab w:leader="none" w:pos="670"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References in the Priority of Payments to calculations made on a “pro forma basis” shall mean such calculations after giving effect to all payments, in accordance with the Priority of Payments, that precede (in priority of payment) or include the clause in which such calculation is made.</w:t>
      </w:r>
    </w:p>
    <w:p>
      <w:pPr>
        <w:spacing w:after="0" w:line="5" w:lineRule="exact"/>
        <w:rPr>
          <w:rFonts w:ascii="Arial" w:cs="Arial" w:eastAsia="Arial" w:hAnsi="Arial"/>
          <w:sz w:val="16"/>
          <w:szCs w:val="16"/>
          <w:color w:val="auto"/>
        </w:rPr>
      </w:pPr>
    </w:p>
    <w:p>
      <w:pPr>
        <w:ind w:right="200" w:firstLine="428"/>
        <w:spacing w:after="0" w:line="259" w:lineRule="auto"/>
        <w:tabs>
          <w:tab w:leader="none" w:pos="6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purposes of calculating all Concentration Limitations, in both the numerator and the denominator of any component of the Concentration Limitations, Defaulted Collateral Loans and Ineligible Collateral Loans (including any unfunded commitments with respect to such Collateral Loans) will be treated as having a value equal to zero.</w:t>
      </w:r>
    </w:p>
    <w:p>
      <w:pPr>
        <w:spacing w:after="0" w:line="58" w:lineRule="exact"/>
        <w:rPr>
          <w:rFonts w:ascii="Arial" w:cs="Arial" w:eastAsia="Arial" w:hAnsi="Arial"/>
          <w:sz w:val="18"/>
          <w:szCs w:val="18"/>
          <w:color w:val="auto"/>
        </w:rPr>
      </w:pPr>
    </w:p>
    <w:p>
      <w:pPr>
        <w:ind w:firstLine="428"/>
        <w:spacing w:after="0" w:line="256"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Determinations of the Collateral Loans, or portions thereof, that constitute Excess Concentration Amounts will be determined in the way that produces the highest Borrowing Base at the time of determination, it being understood that a Collateral Loan (or portion thereof) that falls into more than one such category of Collateral Loans will be deemed, solely for purposes of such determinations, to fall only into the category that produces the highest such Borrowing Base at such time (without duplication).</w:t>
      </w:r>
    </w:p>
    <w:p>
      <w:pPr>
        <w:spacing w:after="0" w:line="61" w:lineRule="exact"/>
        <w:rPr>
          <w:rFonts w:ascii="Arial" w:cs="Arial" w:eastAsia="Arial" w:hAnsi="Arial"/>
          <w:sz w:val="18"/>
          <w:szCs w:val="18"/>
          <w:color w:val="auto"/>
        </w:rPr>
      </w:pPr>
    </w:p>
    <w:p>
      <w:pPr>
        <w:ind w:right="180" w:firstLine="428"/>
        <w:spacing w:after="0" w:line="268"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Except as otherwise provided herein, Defaulted Collateral Loans and Ineligible Collateral Loans will not be included in the calculation of the Weighted Average Floating Spread, the Weighted Average Coupon, and the Weighted Average Life.</w:t>
      </w:r>
    </w:p>
    <w:p>
      <w:pPr>
        <w:spacing w:after="0" w:line="50" w:lineRule="exact"/>
        <w:rPr>
          <w:rFonts w:ascii="Arial" w:cs="Arial" w:eastAsia="Arial" w:hAnsi="Arial"/>
          <w:sz w:val="18"/>
          <w:szCs w:val="18"/>
          <w:color w:val="auto"/>
        </w:rPr>
      </w:pPr>
    </w:p>
    <w:p>
      <w:pPr>
        <w:ind w:right="380" w:firstLine="428"/>
        <w:spacing w:after="0" w:line="356" w:lineRule="auto"/>
        <w:tabs>
          <w:tab w:leader="none" w:pos="641" w:val="left"/>
        </w:tabs>
        <w:numPr>
          <w:ilvl w:val="0"/>
          <w:numId w:val="76"/>
        </w:numPr>
        <w:rPr>
          <w:rFonts w:ascii="Arial" w:cs="Arial" w:eastAsia="Arial" w:hAnsi="Arial"/>
          <w:sz w:val="15"/>
          <w:szCs w:val="15"/>
          <w:color w:val="auto"/>
        </w:rPr>
      </w:pPr>
      <w:r>
        <w:rPr>
          <w:rFonts w:ascii="Arial" w:cs="Arial" w:eastAsia="Arial" w:hAnsi="Arial"/>
          <w:sz w:val="15"/>
          <w:szCs w:val="15"/>
          <w:color w:val="auto"/>
        </w:rPr>
        <w:t>For purposes of determining the Weighted Average Floating Spread and the Weighted Average Coupon (and related computations of stated interest coupons and Aggregate Funded Spread), capitalized or deferred interest (and any other interest that is not paid in cash) will be excluded.</w:t>
      </w:r>
    </w:p>
    <w:p>
      <w:pPr>
        <w:spacing w:after="0" w:line="1" w:lineRule="exact"/>
        <w:rPr>
          <w:rFonts w:ascii="Arial" w:cs="Arial" w:eastAsia="Arial" w:hAnsi="Arial"/>
          <w:sz w:val="15"/>
          <w:szCs w:val="15"/>
          <w:color w:val="auto"/>
        </w:rPr>
      </w:pPr>
    </w:p>
    <w:p>
      <w:pPr>
        <w:ind w:firstLine="428"/>
        <w:spacing w:after="0" w:line="254" w:lineRule="auto"/>
        <w:tabs>
          <w:tab w:leader="none" w:pos="641"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References in this Agreement to the Borrower’s “purchase” or “acquisition” of a Collateral Loan include references to the Borrower’s acquisition of such Collateral Loan by way of a sale and/or contribution from the BDC and the Borrower’s making or origination of such Collateral Loan. Portions of the same Collateral Loan acquired by the Borrower on different dates (whether through purchase, receipt by contribution or the making or origination thereof, but excluding subsequent draws under Revolving Collateral Loans or Delayed Draw Collateral Loans) will, for purposes of determining the purchase price of such Collateral Loan, be treated as separate purchases on separate dates (and not a weighted average purchase price for any particular Collateral Loan).</w:t>
      </w:r>
    </w:p>
    <w:p>
      <w:pPr>
        <w:spacing w:after="0" w:line="62" w:lineRule="exact"/>
        <w:rPr>
          <w:rFonts w:ascii="Arial" w:cs="Arial" w:eastAsia="Arial" w:hAnsi="Arial"/>
          <w:sz w:val="18"/>
          <w:szCs w:val="18"/>
          <w:color w:val="auto"/>
        </w:rPr>
      </w:pPr>
    </w:p>
    <w:p>
      <w:pPr>
        <w:ind w:left="680" w:hanging="252"/>
        <w:spacing w:after="0"/>
        <w:tabs>
          <w:tab w:leader="none" w:pos="6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the purposes of calculating compliance with each of the Concentration Limitations all calculations will be rounded to the nearest 0.01%.</w:t>
      </w:r>
    </w:p>
    <w:p>
      <w:pPr>
        <w:spacing w:after="0" w:line="113" w:lineRule="exact"/>
        <w:rPr>
          <w:rFonts w:ascii="Arial" w:cs="Arial" w:eastAsia="Arial" w:hAnsi="Arial"/>
          <w:sz w:val="16"/>
          <w:szCs w:val="16"/>
          <w:color w:val="auto"/>
        </w:rPr>
      </w:pPr>
    </w:p>
    <w:p>
      <w:pPr>
        <w:ind w:right="100" w:firstLine="428"/>
        <w:spacing w:after="0" w:line="259" w:lineRule="auto"/>
        <w:tabs>
          <w:tab w:leader="none" w:pos="641"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all monetary calculations under this Agreement shall be in Dollars. For purposes of this Agreement, calculations with respect to all amounts received or required to be paid in a currency other than Dollars shall be valued at zero.</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760"/>
          </w:cols>
          <w:pgMar w:left="780" w:top="280" w:right="359" w:bottom="1440" w:gutter="0" w:footer="0" w:header="0"/>
        </w:sectPr>
      </w:pPr>
    </w:p>
    <w:bookmarkStart w:id="101" w:name="page102"/>
    <w:bookmarkEnd w:id="101"/>
    <w:p>
      <w:pPr>
        <w:ind w:left="460" w:right="360" w:firstLine="428"/>
        <w:spacing w:after="0" w:line="306" w:lineRule="auto"/>
        <w:tabs>
          <w:tab w:leader="none" w:pos="1189"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calculating all Concentration Limitations, (i) at all times during the Reinvestment Period, unfunded commitments shall be included in both the numerator and the denominator of any component of the Concentration Limitations, and (ii) at all other times, unfunded commitments shall not be included in either the numerator or the denominator of any component of the Concentration Limitations.</w:t>
      </w:r>
    </w:p>
    <w:p>
      <w:pPr>
        <w:spacing w:after="0" w:line="18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ADVANCES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2.01. Revolving Credit Facility</w:t>
      </w:r>
      <w:r>
        <w:rPr>
          <w:rFonts w:ascii="Arial" w:cs="Arial" w:eastAsia="Arial" w:hAnsi="Arial"/>
          <w:sz w:val="18"/>
          <w:szCs w:val="18"/>
          <w:color w:val="auto"/>
        </w:rPr>
        <w:t>.</w:t>
      </w:r>
    </w:p>
    <w:p>
      <w:pPr>
        <w:spacing w:after="0" w:line="90" w:lineRule="exact"/>
        <w:rPr>
          <w:sz w:val="20"/>
          <w:szCs w:val="20"/>
          <w:color w:val="auto"/>
        </w:rPr>
      </w:pPr>
    </w:p>
    <w:p>
      <w:pPr>
        <w:ind w:left="460" w:firstLine="431"/>
        <w:spacing w:after="0" w:line="253" w:lineRule="auto"/>
        <w:rPr>
          <w:sz w:val="20"/>
          <w:szCs w:val="20"/>
          <w:color w:val="auto"/>
        </w:rPr>
      </w:pPr>
      <w:r>
        <w:rPr>
          <w:rFonts w:ascii="Arial" w:cs="Arial" w:eastAsia="Arial" w:hAnsi="Arial"/>
          <w:sz w:val="18"/>
          <w:szCs w:val="18"/>
          <w:color w:val="auto"/>
        </w:rPr>
        <w:t xml:space="preserve">On the terms and subject to the conditions hereinafter set forth, including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each Lender severally agrees to make loans to the Borrower (each, an </w:t>
      </w:r>
      <w:r>
        <w:rPr>
          <w:rFonts w:ascii="Arial" w:cs="Arial" w:eastAsia="Arial" w:hAnsi="Arial"/>
          <w:sz w:val="18"/>
          <w:szCs w:val="18"/>
          <w:i w:val="1"/>
          <w:iCs w:val="1"/>
          <w:color w:val="auto"/>
        </w:rPr>
        <w:t>“Advance”</w:t>
      </w:r>
      <w:r>
        <w:rPr>
          <w:rFonts w:ascii="Arial" w:cs="Arial" w:eastAsia="Arial" w:hAnsi="Arial"/>
          <w:sz w:val="18"/>
          <w:szCs w:val="18"/>
          <w:color w:val="auto"/>
        </w:rPr>
        <w:t xml:space="preserve">) from time to time on any Business Day during the period from the Funding Effective Date until the Commitment Termination Date (or thereafter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 on a pro rata basis in each case in an aggregate principal amount at any one time outstanding up to but not exceeding such Lender’s Commitment and, as to all Lenders, in an aggregate principal amount up to but not exceeding the Maximum Available Amount as then in effect. Each such borrowing of an Advance on any single day is referred to herein as a “</w:t>
      </w:r>
      <w:r>
        <w:rPr>
          <w:rFonts w:ascii="Arial" w:cs="Arial" w:eastAsia="Arial" w:hAnsi="Arial"/>
          <w:sz w:val="18"/>
          <w:szCs w:val="18"/>
          <w:i w:val="1"/>
          <w:iCs w:val="1"/>
          <w:color w:val="auto"/>
        </w:rPr>
        <w:t>Borrowing</w:t>
      </w:r>
      <w:r>
        <w:rPr>
          <w:rFonts w:ascii="Arial" w:cs="Arial" w:eastAsia="Arial" w:hAnsi="Arial"/>
          <w:sz w:val="18"/>
          <w:szCs w:val="18"/>
          <w:color w:val="auto"/>
        </w:rPr>
        <w:t xml:space="preserve">”. Within such limits and subject to the other terms and conditions of this Agreement, the Borrower may borrow (and re-borrow) Advances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prepay Advances under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147" w:lineRule="exact"/>
        <w:rPr>
          <w:sz w:val="20"/>
          <w:szCs w:val="20"/>
          <w:color w:val="auto"/>
        </w:rPr>
      </w:pPr>
    </w:p>
    <w:p>
      <w:pPr>
        <w:jc w:val="both"/>
        <w:ind w:right="180" w:firstLine="449"/>
        <w:spacing w:after="0" w:line="306" w:lineRule="auto"/>
        <w:rPr>
          <w:sz w:val="20"/>
          <w:szCs w:val="20"/>
          <w:color w:val="auto"/>
        </w:rPr>
      </w:pPr>
      <w:r>
        <w:rPr>
          <w:rFonts w:ascii="Arial" w:cs="Arial" w:eastAsia="Arial" w:hAnsi="Arial"/>
          <w:sz w:val="16"/>
          <w:szCs w:val="16"/>
          <w:i w:val="1"/>
          <w:iCs w:val="1"/>
          <w:color w:val="auto"/>
        </w:rPr>
        <w:t>Section 2.02. Making of the Advances</w:t>
      </w:r>
      <w:r>
        <w:rPr>
          <w:rFonts w:ascii="Arial" w:cs="Arial" w:eastAsia="Arial" w:hAnsi="Arial"/>
          <w:sz w:val="16"/>
          <w:szCs w:val="16"/>
          <w:color w:val="auto"/>
        </w:rPr>
        <w:t>. (a) If the Borrower desires to make a Borrowing under this Agreement, the Borrower, or the Collateral Manager</w:t>
      </w:r>
      <w:r>
        <w:rPr>
          <w:rFonts w:ascii="Arial" w:cs="Arial" w:eastAsia="Arial" w:hAnsi="Arial"/>
          <w:sz w:val="16"/>
          <w:szCs w:val="16"/>
          <w:i w:val="1"/>
          <w:iCs w:val="1"/>
          <w:color w:val="auto"/>
        </w:rPr>
        <w:t xml:space="preserve"> </w:t>
      </w:r>
      <w:r>
        <w:rPr>
          <w:rFonts w:ascii="Arial" w:cs="Arial" w:eastAsia="Arial" w:hAnsi="Arial"/>
          <w:sz w:val="16"/>
          <w:szCs w:val="16"/>
          <w:color w:val="auto"/>
        </w:rPr>
        <w:t>on its behalf, shall give each Lender, the Administrative Agent and the Collateral Agent a written notice (each, a “</w:t>
      </w:r>
      <w:r>
        <w:rPr>
          <w:rFonts w:ascii="Arial" w:cs="Arial" w:eastAsia="Arial" w:hAnsi="Arial"/>
          <w:sz w:val="16"/>
          <w:szCs w:val="16"/>
          <w:i w:val="1"/>
          <w:iCs w:val="1"/>
          <w:color w:val="auto"/>
        </w:rPr>
        <w:t>Notice of Borrowing</w:t>
      </w:r>
      <w:r>
        <w:rPr>
          <w:rFonts w:ascii="Arial" w:cs="Arial" w:eastAsia="Arial" w:hAnsi="Arial"/>
          <w:sz w:val="16"/>
          <w:szCs w:val="16"/>
          <w:color w:val="auto"/>
        </w:rPr>
        <w:t>”) for such Borrowing (which notice shall be irrevocable and effective upon receipt) not later than 2:00 p.m. on the day of the requested Borrowing.</w:t>
      </w:r>
    </w:p>
    <w:p>
      <w:pPr>
        <w:spacing w:after="0" w:line="25" w:lineRule="exact"/>
        <w:rPr>
          <w:sz w:val="20"/>
          <w:szCs w:val="20"/>
          <w:color w:val="auto"/>
        </w:rPr>
      </w:pPr>
    </w:p>
    <w:p>
      <w:pPr>
        <w:ind w:left="460" w:right="80" w:firstLine="431"/>
        <w:spacing w:after="0" w:line="294" w:lineRule="auto"/>
        <w:rPr>
          <w:sz w:val="20"/>
          <w:szCs w:val="20"/>
          <w:color w:val="auto"/>
        </w:rPr>
      </w:pPr>
      <w:r>
        <w:rPr>
          <w:rFonts w:ascii="Arial" w:cs="Arial" w:eastAsia="Arial" w:hAnsi="Arial"/>
          <w:sz w:val="16"/>
          <w:szCs w:val="16"/>
          <w:color w:val="auto"/>
        </w:rPr>
        <w:t xml:space="preserve">Each Notice of Borrowing shall be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dated the date the request for the related Borrowing is being made, signed by a Responsible Officer of the Borrower or the Collateral Manager, as applicable, shall attach a Borrowing Base Calculation Statement, and shall otherwise be appropriately completed. The proposed Borrowing Date specified in each Notice of Borrowing shall be a Business Day falling on or prior to the Commitment Termination Date, and the amount of the Borrowing requested in such Notice of Borrowing (the </w:t>
      </w:r>
      <w:r>
        <w:rPr>
          <w:rFonts w:ascii="Arial" w:cs="Arial" w:eastAsia="Arial" w:hAnsi="Arial"/>
          <w:sz w:val="16"/>
          <w:szCs w:val="16"/>
          <w:i w:val="1"/>
          <w:iCs w:val="1"/>
          <w:color w:val="auto"/>
        </w:rPr>
        <w:t>“Requested Amount”</w:t>
      </w:r>
      <w:r>
        <w:rPr>
          <w:rFonts w:ascii="Arial" w:cs="Arial" w:eastAsia="Arial" w:hAnsi="Arial"/>
          <w:sz w:val="16"/>
          <w:szCs w:val="16"/>
          <w:color w:val="auto"/>
        </w:rPr>
        <w:t>) shall be equal to at least $250,000 or an integral multiple of $100,000 in excess thereof (or, if less, the remaining unfunded Commitments hereunder).</w:t>
      </w:r>
    </w:p>
    <w:p>
      <w:pPr>
        <w:spacing w:after="0" w:line="34" w:lineRule="exact"/>
        <w:rPr>
          <w:sz w:val="20"/>
          <w:szCs w:val="20"/>
          <w:color w:val="auto"/>
        </w:rPr>
      </w:pPr>
    </w:p>
    <w:p>
      <w:pPr>
        <w:ind w:left="460" w:right="140" w:firstLine="428"/>
        <w:spacing w:after="0" w:line="268" w:lineRule="auto"/>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Lender shall, not later than 4:00 p.m. on each Borrowing Date, make its Percentage of the applicable Requested Amount available to the Borrower by disbursing such funds in Dollars to the Principal Collection Subaccount.</w:t>
      </w:r>
    </w:p>
    <w:p>
      <w:pPr>
        <w:spacing w:after="0" w:line="132"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i w:val="1"/>
          <w:iCs w:val="1"/>
          <w:color w:val="auto"/>
        </w:rPr>
        <w:t>Section 2.03. Evidence of Indebtedness</w:t>
      </w:r>
      <w:r>
        <w:rPr>
          <w:rFonts w:ascii="Arial" w:cs="Arial" w:eastAsia="Arial" w:hAnsi="Arial"/>
          <w:sz w:val="16"/>
          <w:szCs w:val="16"/>
          <w:color w:val="auto"/>
        </w:rPr>
        <w:t>. Each Lender shall maintain in accordance with its usual practice an account or accounts evidencing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indebtedness of the Borrower to it and resulting from the Advances made by such Lender to the Borrower, from time to time, including the amounts of principal and interest thereon and paid to it, from time to time hereunder,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failure of any Lender to maintain such accounts or any error therein shall not in any manner affect the obligation of the Borrower to repay the Advances in accordance with the terms of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280" w:right="339" w:bottom="1440" w:gutter="0" w:footer="0" w:header="0"/>
        </w:sectPr>
      </w:pPr>
    </w:p>
    <w:bookmarkStart w:id="102" w:name="page103"/>
    <w:bookmarkEnd w:id="102"/>
    <w:p>
      <w:pPr>
        <w:ind w:left="3"/>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2.04. Payment of Principal and Interest</w:t>
      </w:r>
      <w:r>
        <w:rPr>
          <w:rFonts w:ascii="Arial" w:cs="Arial" w:eastAsia="Arial" w:hAnsi="Arial"/>
          <w:sz w:val="18"/>
          <w:szCs w:val="18"/>
          <w:color w:val="auto"/>
        </w:rPr>
        <w:t>. The Borrower shall pay principal and Interest on the Advances as follows:</w:t>
      </w:r>
    </w:p>
    <w:p>
      <w:pPr>
        <w:spacing w:after="0" w:line="90" w:lineRule="exact"/>
        <w:rPr>
          <w:sz w:val="20"/>
          <w:szCs w:val="20"/>
          <w:color w:val="auto"/>
        </w:rPr>
      </w:pPr>
    </w:p>
    <w:p>
      <w:pPr>
        <w:ind w:left="3" w:right="20" w:firstLine="428"/>
        <w:spacing w:after="0" w:line="268" w:lineRule="auto"/>
        <w:tabs>
          <w:tab w:leader="none" w:pos="673" w:val="left"/>
        </w:tabs>
        <w:numPr>
          <w:ilvl w:val="1"/>
          <w:numId w:val="79"/>
        </w:numPr>
        <w:rPr>
          <w:rFonts w:ascii="Arial" w:cs="Arial" w:eastAsia="Arial" w:hAnsi="Arial"/>
          <w:sz w:val="18"/>
          <w:szCs w:val="18"/>
          <w:color w:val="auto"/>
        </w:rPr>
      </w:pPr>
      <w:r>
        <w:rPr>
          <w:rFonts w:ascii="Arial" w:cs="Arial" w:eastAsia="Arial" w:hAnsi="Arial"/>
          <w:sz w:val="18"/>
          <w:szCs w:val="18"/>
          <w:color w:val="auto"/>
        </w:rPr>
        <w:t>100% of the outstanding principal amount of each Advance, together with all accrued and unpaid Interest thereon, shall be payable on the Final Maturity Date.</w:t>
      </w:r>
    </w:p>
    <w:p>
      <w:pPr>
        <w:spacing w:after="0" w:line="50" w:lineRule="exact"/>
        <w:rPr>
          <w:rFonts w:ascii="Arial" w:cs="Arial" w:eastAsia="Arial" w:hAnsi="Arial"/>
          <w:sz w:val="18"/>
          <w:szCs w:val="18"/>
          <w:color w:val="auto"/>
        </w:rPr>
      </w:pPr>
    </w:p>
    <w:p>
      <w:pPr>
        <w:ind w:left="3" w:firstLine="428"/>
        <w:spacing w:after="0" w:line="290" w:lineRule="auto"/>
        <w:tabs>
          <w:tab w:leader="none" w:pos="683" w:val="left"/>
        </w:tabs>
        <w:numPr>
          <w:ilvl w:val="1"/>
          <w:numId w:val="79"/>
        </w:numPr>
        <w:rPr>
          <w:rFonts w:ascii="Arial" w:cs="Arial" w:eastAsia="Arial" w:hAnsi="Arial"/>
          <w:sz w:val="16"/>
          <w:szCs w:val="16"/>
          <w:color w:val="auto"/>
        </w:rPr>
      </w:pPr>
      <w:r>
        <w:rPr>
          <w:rFonts w:ascii="Arial" w:cs="Arial" w:eastAsia="Arial" w:hAnsi="Arial"/>
          <w:sz w:val="16"/>
          <w:szCs w:val="16"/>
          <w:color w:val="auto"/>
        </w:rPr>
        <w:t>Interest shall accrue on the unpaid principal amount of each Advance from the date of such Advance until such principal amount is paid in full. Each applicable Lender shall determine the unpaid Interest and Commitment Fees payable thereto prior to each Payment Date (using the applicable Interest Rate for each day during the related Interest Accrual Period) to be paid by the Borrower with respect to each Advance on each Payment Date for the related Interest Accrual Period and shall advise the Collateral Manager and the Collateral Administrator thereof on the sixth Business Day prior to such Payment Date. The Collateral Administrator shall send a consolidated invoice of all such Interest and Commitment Fees to the Borrower on the Business Day following the Collateral Administrator’s receipt of all such information from the Lenders. To the extent any applicable Interest Rate is determined by the Collateral Administrator, the Collateral Administrator will provide such rate to the Lenders upon request.</w:t>
      </w:r>
    </w:p>
    <w:p>
      <w:pPr>
        <w:spacing w:after="0" w:line="36" w:lineRule="exact"/>
        <w:rPr>
          <w:rFonts w:ascii="Arial" w:cs="Arial" w:eastAsia="Arial" w:hAnsi="Arial"/>
          <w:sz w:val="16"/>
          <w:szCs w:val="16"/>
          <w:color w:val="auto"/>
        </w:rPr>
      </w:pPr>
    </w:p>
    <w:p>
      <w:pPr>
        <w:ind w:left="3" w:right="60" w:firstLine="428"/>
        <w:spacing w:after="0" w:line="303" w:lineRule="auto"/>
        <w:tabs>
          <w:tab w:leader="none" w:pos="673" w:val="left"/>
        </w:tabs>
        <w:numPr>
          <w:ilvl w:val="1"/>
          <w:numId w:val="79"/>
        </w:numPr>
        <w:rPr>
          <w:rFonts w:ascii="Arial" w:cs="Arial" w:eastAsia="Arial" w:hAnsi="Arial"/>
          <w:sz w:val="15"/>
          <w:szCs w:val="15"/>
          <w:color w:val="auto"/>
        </w:rPr>
      </w:pPr>
      <w:r>
        <w:rPr>
          <w:rFonts w:ascii="Arial" w:cs="Arial" w:eastAsia="Arial" w:hAnsi="Arial"/>
          <w:sz w:val="15"/>
          <w:szCs w:val="15"/>
          <w:color w:val="auto"/>
        </w:rPr>
        <w:t xml:space="preserve">Accrued Interest on each Advance shall be payable in arrears (x) on each Payment Date, and (y) in connection with any prepayment in full of the Advances pursuant to </w:t>
      </w:r>
      <w:r>
        <w:rPr>
          <w:rFonts w:ascii="Arial" w:cs="Arial" w:eastAsia="Arial" w:hAnsi="Arial"/>
          <w:sz w:val="15"/>
          <w:szCs w:val="15"/>
          <w:u w:val="single" w:color="auto"/>
          <w:color w:val="auto"/>
        </w:rPr>
        <w:t>Section 2.05(a)</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with respect to any prepayment in full of the Advances outstanding, accrued Interest on such amount to but excluding the date of prepayment may be payable on such date or as otherwise agreed to between the Lenders and the Borrower and</w:t>
      </w:r>
    </w:p>
    <w:p>
      <w:pPr>
        <w:spacing w:after="0" w:line="1" w:lineRule="exact"/>
        <w:rPr>
          <w:rFonts w:ascii="Arial" w:cs="Arial" w:eastAsia="Arial" w:hAnsi="Arial"/>
          <w:sz w:val="15"/>
          <w:szCs w:val="15"/>
          <w:color w:val="auto"/>
        </w:rPr>
      </w:pPr>
    </w:p>
    <w:p>
      <w:pPr>
        <w:ind w:left="3" w:right="160" w:hanging="3"/>
        <w:spacing w:after="0" w:line="323" w:lineRule="auto"/>
        <w:tabs>
          <w:tab w:leader="none" w:pos="261" w:val="left"/>
        </w:tabs>
        <w:numPr>
          <w:ilvl w:val="0"/>
          <w:numId w:val="80"/>
        </w:numPr>
        <w:rPr>
          <w:rFonts w:ascii="Arial" w:cs="Arial" w:eastAsia="Arial" w:hAnsi="Arial"/>
          <w:sz w:val="16"/>
          <w:szCs w:val="16"/>
          <w:color w:val="auto"/>
        </w:rPr>
      </w:pPr>
      <w:r>
        <w:rPr>
          <w:rFonts w:ascii="Arial" w:cs="Arial" w:eastAsia="Arial" w:hAnsi="Arial"/>
          <w:sz w:val="16"/>
          <w:szCs w:val="16"/>
          <w:color w:val="auto"/>
        </w:rPr>
        <w:t>with respect to any partial prepayment of the Advances outstanding, accrued Interest on such amount to but excluding the date of prepayment shall be payable following such prepayment on the applicable Payment Date for the Collection Period in which such prepayment occurred.</w:t>
      </w:r>
    </w:p>
    <w:p>
      <w:pPr>
        <w:spacing w:after="0" w:line="11" w:lineRule="exact"/>
        <w:rPr>
          <w:rFonts w:ascii="Arial" w:cs="Arial" w:eastAsia="Arial" w:hAnsi="Arial"/>
          <w:sz w:val="16"/>
          <w:szCs w:val="16"/>
          <w:color w:val="auto"/>
        </w:rPr>
      </w:pPr>
    </w:p>
    <w:p>
      <w:pPr>
        <w:ind w:left="3" w:firstLine="428"/>
        <w:spacing w:after="0" w:line="298" w:lineRule="auto"/>
        <w:tabs>
          <w:tab w:leader="none" w:pos="683"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Subject in all cases to </w:t>
      </w:r>
      <w:r>
        <w:rPr>
          <w:rFonts w:ascii="Arial" w:cs="Arial" w:eastAsia="Arial" w:hAnsi="Arial"/>
          <w:sz w:val="16"/>
          <w:szCs w:val="16"/>
          <w:u w:val="single" w:color="auto"/>
          <w:color w:val="auto"/>
        </w:rPr>
        <w:t>Section 2.04(f)</w:t>
      </w:r>
      <w:r>
        <w:rPr>
          <w:rFonts w:ascii="Arial" w:cs="Arial" w:eastAsia="Arial" w:hAnsi="Arial"/>
          <w:sz w:val="16"/>
          <w:szCs w:val="16"/>
          <w:color w:val="auto"/>
        </w:rPr>
        <w:t xml:space="preserve">,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Arial" w:cs="Arial" w:eastAsia="Arial" w:hAnsi="Arial"/>
          <w:sz w:val="16"/>
          <w:szCs w:val="16"/>
          <w:u w:val="single" w:color="auto"/>
          <w:color w:val="auto"/>
        </w:rPr>
        <w:t>Section 2.14</w:t>
      </w:r>
      <w:r>
        <w:rPr>
          <w:rFonts w:ascii="Arial" w:cs="Arial" w:eastAsia="Arial" w:hAnsi="Arial"/>
          <w:sz w:val="16"/>
          <w:szCs w:val="16"/>
          <w:color w:val="auto"/>
        </w:rPr>
        <w:t>), under any and all circumstances and irrespective of any setoff, counterclaim or defense to payment which the Borrower or any other Person may have or have had against any Secured Party or any other Person.</w:t>
      </w:r>
    </w:p>
    <w:p>
      <w:pPr>
        <w:spacing w:after="0" w:line="31" w:lineRule="exact"/>
        <w:rPr>
          <w:rFonts w:ascii="Arial" w:cs="Arial" w:eastAsia="Arial" w:hAnsi="Arial"/>
          <w:sz w:val="16"/>
          <w:szCs w:val="16"/>
          <w:color w:val="auto"/>
        </w:rPr>
      </w:pPr>
    </w:p>
    <w:p>
      <w:pPr>
        <w:ind w:left="3" w:right="140" w:firstLine="428"/>
        <w:spacing w:after="0" w:line="306" w:lineRule="auto"/>
        <w:tabs>
          <w:tab w:leader="none" w:pos="673" w:val="left"/>
        </w:tabs>
        <w:numPr>
          <w:ilvl w:val="1"/>
          <w:numId w:val="80"/>
        </w:numPr>
        <w:rPr>
          <w:rFonts w:ascii="Arial" w:cs="Arial" w:eastAsia="Arial" w:hAnsi="Arial"/>
          <w:sz w:val="16"/>
          <w:szCs w:val="16"/>
          <w:color w:val="auto"/>
        </w:rPr>
      </w:pPr>
      <w:r>
        <w:rPr>
          <w:rFonts w:ascii="Arial" w:cs="Arial" w:eastAsia="Arial" w:hAnsi="Arial"/>
          <w:sz w:val="16"/>
          <w:szCs w:val="16"/>
          <w:color w:val="auto"/>
        </w:rPr>
        <w:t>As a condition to the payment of principal of and Interest on any Advance without the imposition of withholding tax, the Borrower or either Agent may require certification acceptable to it to enable the Borrower and the Agents to determine their duties and liabilities with respect to any taxes or other charges that they may be required to deduct or withhold from payments in respect of such Advance under any present or</w:t>
      </w:r>
    </w:p>
    <w:p>
      <w:pPr>
        <w:spacing w:after="0" w:line="93" w:lineRule="exact"/>
        <w:rPr>
          <w:sz w:val="20"/>
          <w:szCs w:val="20"/>
          <w:color w:val="auto"/>
        </w:rPr>
      </w:pPr>
    </w:p>
    <w:p>
      <w:pPr>
        <w:jc w:val="center"/>
        <w:ind w:right="397"/>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743"/>
          </w:cols>
          <w:pgMar w:left="777" w:top="280" w:right="379" w:bottom="1440" w:gutter="0" w:footer="0" w:header="0"/>
        </w:sectPr>
      </w:pPr>
    </w:p>
    <w:bookmarkStart w:id="103" w:name="page104"/>
    <w:bookmarkEnd w:id="103"/>
    <w:p>
      <w:pPr>
        <w:ind w:left="460" w:right="140"/>
        <w:spacing w:after="0" w:line="33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future law or regulation of the United States and any other applicable jurisdiction, or any present or future law or regulation of any political subdivision thereof or taxing authority therein or to comply with any reporting or other requirements under any such law or regulation.</w:t>
      </w:r>
    </w:p>
    <w:p>
      <w:pPr>
        <w:spacing w:after="0" w:line="6" w:lineRule="exact"/>
        <w:rPr>
          <w:sz w:val="20"/>
          <w:szCs w:val="20"/>
          <w:color w:val="auto"/>
        </w:rPr>
      </w:pPr>
    </w:p>
    <w:p>
      <w:pPr>
        <w:ind w:left="460" w:firstLine="428"/>
        <w:spacing w:after="0" w:line="286" w:lineRule="auto"/>
        <w:tabs>
          <w:tab w:leader="none" w:pos="1110"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the obligations of the Borrower under this Agreement are limited recourse obligations of the Borrower payable solely from the Collateral and, following realization of the Collateral, and application of the proceeds thereof in accordance with the Priority of Payments and, subject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all obligations of and any claims against the Borrower hereunder or in connection herewith after such realization shall be extinguished and shall not thereafter revive. No recourse shall be had against any officer, director, employee, shareholder, Affiliate, member, manager, agent, partner, principal or incorporator of the Borrower or their respective successors or assigns for any amounts payable under this Agreement. It is understood that the foregoing provisions of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shall not (i) prevent recourse to the Collateral for the sums due or to become due under any security, instrument or agreement which is part of the Collateral or (ii) constitute a waiver, release or discharge of any indebtedness or obligation evidenced by this Agreement until such Collateral has been realized. It is further understood that the foregoing provisions of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the Borrower.</w:t>
      </w:r>
    </w:p>
    <w:p>
      <w:pPr>
        <w:spacing w:after="0" w:line="126" w:lineRule="exact"/>
        <w:rPr>
          <w:sz w:val="20"/>
          <w:szCs w:val="20"/>
          <w:color w:val="auto"/>
        </w:rPr>
      </w:pPr>
    </w:p>
    <w:p>
      <w:pPr>
        <w:ind w:right="40" w:firstLine="449"/>
        <w:spacing w:after="0" w:line="305" w:lineRule="auto"/>
        <w:rPr>
          <w:sz w:val="20"/>
          <w:szCs w:val="20"/>
          <w:color w:val="auto"/>
        </w:rPr>
      </w:pPr>
      <w:r>
        <w:rPr>
          <w:rFonts w:ascii="Arial" w:cs="Arial" w:eastAsia="Arial" w:hAnsi="Arial"/>
          <w:sz w:val="15"/>
          <w:szCs w:val="15"/>
          <w:i w:val="1"/>
          <w:iCs w:val="1"/>
          <w:color w:val="auto"/>
        </w:rPr>
        <w:t>Section 2.05. Prepayment of Advances</w:t>
      </w:r>
      <w:r>
        <w:rPr>
          <w:rFonts w:ascii="Arial" w:cs="Arial" w:eastAsia="Arial" w:hAnsi="Arial"/>
          <w:sz w:val="15"/>
          <w:szCs w:val="15"/>
          <w:color w:val="auto"/>
        </w:rPr>
        <w:t>. (a)</w:t>
      </w:r>
      <w:r>
        <w:rPr>
          <w:rFonts w:ascii="Arial" w:cs="Arial" w:eastAsia="Arial" w:hAnsi="Arial"/>
          <w:sz w:val="15"/>
          <w:szCs w:val="15"/>
          <w:i w:val="1"/>
          <w:iCs w:val="1"/>
          <w:color w:val="auto"/>
        </w:rPr>
        <w:t xml:space="preserve"> Optional Prepayments. </w:t>
      </w:r>
      <w:r>
        <w:rPr>
          <w:rFonts w:ascii="Arial" w:cs="Arial" w:eastAsia="Arial" w:hAnsi="Arial"/>
          <w:sz w:val="15"/>
          <w:szCs w:val="15"/>
          <w:color w:val="auto"/>
        </w:rPr>
        <w:t>The Borrower may, from time to time on any Business Day, voluntarily prepay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Advances in whole or in part, without penalty or premium;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the Borrower shall have delivered to the Collateral Agent and the Administrative Agent written notice of such prepayment (such notice, a </w:t>
      </w:r>
      <w:r>
        <w:rPr>
          <w:rFonts w:ascii="Arial" w:cs="Arial" w:eastAsia="Arial" w:hAnsi="Arial"/>
          <w:sz w:val="15"/>
          <w:szCs w:val="15"/>
          <w:i w:val="1"/>
          <w:iCs w:val="1"/>
          <w:color w:val="auto"/>
        </w:rPr>
        <w:t>“Notice of Prepayment”</w:t>
      </w:r>
      <w:r>
        <w:rPr>
          <w:rFonts w:ascii="Arial" w:cs="Arial" w:eastAsia="Arial" w:hAnsi="Arial"/>
          <w:sz w:val="15"/>
          <w:szCs w:val="15"/>
          <w:color w:val="auto"/>
        </w:rPr>
        <w:t xml:space="preserve">) in the form of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hereto not later than 12:00 noon one (1) Business Day prior to the date of such prepayment, and </w:t>
      </w:r>
      <w:r>
        <w:rPr>
          <w:rFonts w:ascii="Arial" w:cs="Arial" w:eastAsia="Arial" w:hAnsi="Arial"/>
          <w:sz w:val="15"/>
          <w:szCs w:val="15"/>
          <w:i w:val="1"/>
          <w:iCs w:val="1"/>
          <w:u w:val="single" w:color="auto"/>
          <w:color w:val="auto"/>
        </w:rPr>
        <w:t>provided, further</w:t>
      </w:r>
      <w:r>
        <w:rPr>
          <w:rFonts w:ascii="Arial" w:cs="Arial" w:eastAsia="Arial" w:hAnsi="Arial"/>
          <w:sz w:val="15"/>
          <w:szCs w:val="15"/>
          <w:color w:val="auto"/>
        </w:rPr>
        <w:t xml:space="preserve">, that there shall not be more than two (2) such prepayments during any calendar month which are made in whole or in part with any Interest Proceeds. Each such Notice of Prepayment shall be irrevocable and effective upon receipt and shall be dated the date such notice is being given, signed by a Responsible Officer of the Borrower and otherwise appropriately completed. Each prepayment of any Advance by the Borrower pursuant to this </w:t>
      </w:r>
      <w:r>
        <w:rPr>
          <w:rFonts w:ascii="Arial" w:cs="Arial" w:eastAsia="Arial" w:hAnsi="Arial"/>
          <w:sz w:val="15"/>
          <w:szCs w:val="15"/>
          <w:u w:val="single" w:color="auto"/>
          <w:color w:val="auto"/>
        </w:rPr>
        <w:t>Section 2.05(a)</w:t>
      </w:r>
      <w:r>
        <w:rPr>
          <w:rFonts w:ascii="Arial" w:cs="Arial" w:eastAsia="Arial" w:hAnsi="Arial"/>
          <w:sz w:val="15"/>
          <w:szCs w:val="15"/>
          <w:color w:val="auto"/>
        </w:rPr>
        <w:t xml:space="preserve"> shall in each case be in a principal amount of at least $500,000 or, if less, the entire outstanding principal amount of the Advances of the Borrower. If a Notice of Prepayment is given by the Borrower, the Borrower shall make such prepayment and the payment amount specified in such notice shall be due and payable on the date specified therein. The Borrower (or the Collateral Manager on its behalf) shall have discretion to determine whether any such prepayment is paid from available Interest Proceeds and/or from available Principal Proceeds. If any such prepayment is to be paid, in whole or in part, from available Interest Proceeds, the aggregate amount of Interest Proceeds which are used to make such prepayment shall not exceed the Excess Interest Proceeds Amount and the Borrower (or the Collateral Manager on its behalf) shall deliver to the Agents an Excess Interest Proceeds Estimate together with the related Notice of Prepayment. For the avoidance of any doubt, the Borrower may only provide a Notice of Prepayment to prepay Advances that are outstanding on the date such Notice of Prepayment is delivered and may not provide a Notice of Prepayment to prepay any future Advances.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280" w:right="339" w:bottom="1440" w:gutter="0" w:footer="0" w:header="0"/>
        </w:sectPr>
      </w:pPr>
    </w:p>
    <w:bookmarkStart w:id="104" w:name="page105"/>
    <w:bookmarkEnd w:id="104"/>
    <w:p>
      <w:pPr>
        <w:ind w:left="460" w:right="80" w:firstLine="428"/>
        <w:spacing w:after="0" w:line="259" w:lineRule="auto"/>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Mandatory Prepayments. </w:t>
      </w:r>
      <w:r>
        <w:rPr>
          <w:rFonts w:ascii="Arial" w:cs="Arial" w:eastAsia="Arial" w:hAnsi="Arial"/>
          <w:sz w:val="18"/>
          <w:szCs w:val="18"/>
          <w:color w:val="auto"/>
        </w:rPr>
        <w:t>The Borrower shall prepay the Advances on each Payment Date in the manner and to the extent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of Payments. The Borrower shall provide, in each Payment Date Report, notice of the aggregate amounts of Advances that are to be prepaid on the related Payment Date in accordance with the Priority of Payments.</w:t>
      </w:r>
    </w:p>
    <w:p>
      <w:pPr>
        <w:spacing w:after="0" w:line="58" w:lineRule="exact"/>
        <w:rPr>
          <w:rFonts w:ascii="Arial" w:cs="Arial" w:eastAsia="Arial" w:hAnsi="Arial"/>
          <w:sz w:val="18"/>
          <w:szCs w:val="18"/>
          <w:color w:val="auto"/>
        </w:rPr>
      </w:pPr>
    </w:p>
    <w:p>
      <w:pPr>
        <w:ind w:left="460" w:right="80" w:firstLine="428"/>
        <w:spacing w:after="0" w:line="268" w:lineRule="auto"/>
        <w:tabs>
          <w:tab w:leader="none" w:pos="113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Additional Prepayment Provisions. </w:t>
      </w:r>
      <w:r>
        <w:rPr>
          <w:rFonts w:ascii="Arial" w:cs="Arial" w:eastAsia="Arial" w:hAnsi="Arial"/>
          <w:sz w:val="18"/>
          <w:szCs w:val="18"/>
          <w:color w:val="auto"/>
        </w:rPr>
        <w:t>Each prepayment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Sections 2.04(c)</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i w:val="1"/>
          <w:iCs w:val="1"/>
          <w:color w:val="auto"/>
        </w:rPr>
        <w:t xml:space="preserve"> </w:t>
      </w:r>
      <w:r>
        <w:rPr>
          <w:rFonts w:ascii="Arial" w:cs="Arial" w:eastAsia="Arial" w:hAnsi="Arial"/>
          <w:sz w:val="18"/>
          <w:szCs w:val="18"/>
          <w:color w:val="auto"/>
        </w:rPr>
        <w:t>and applied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Advances in accordance with the Lenders’ respective Percentages.</w:t>
      </w:r>
    </w:p>
    <w:p>
      <w:pPr>
        <w:spacing w:after="0" w:line="50" w:lineRule="exact"/>
        <w:rPr>
          <w:rFonts w:ascii="Arial" w:cs="Arial" w:eastAsia="Arial" w:hAnsi="Arial"/>
          <w:sz w:val="18"/>
          <w:szCs w:val="18"/>
          <w:color w:val="auto"/>
        </w:rPr>
      </w:pPr>
    </w:p>
    <w:p>
      <w:pPr>
        <w:ind w:left="460" w:right="140" w:firstLine="428"/>
        <w:spacing w:after="0" w:line="268" w:lineRule="auto"/>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Interest on Prepaid Advances. </w:t>
      </w:r>
      <w:r>
        <w:rPr>
          <w:rFonts w:ascii="Arial" w:cs="Arial" w:eastAsia="Arial" w:hAnsi="Arial"/>
          <w:sz w:val="18"/>
          <w:szCs w:val="18"/>
          <w:color w:val="auto"/>
        </w:rPr>
        <w:t>If requested by the Administrative Agent, the Borrower shall pay all accrued and unpaid Interest on Advances</w:t>
      </w:r>
      <w:r>
        <w:rPr>
          <w:rFonts w:ascii="Arial" w:cs="Arial" w:eastAsia="Arial" w:hAnsi="Arial"/>
          <w:sz w:val="18"/>
          <w:szCs w:val="18"/>
          <w:i w:val="1"/>
          <w:iCs w:val="1"/>
          <w:color w:val="auto"/>
        </w:rPr>
        <w:t xml:space="preserve"> </w:t>
      </w:r>
      <w:r>
        <w:rPr>
          <w:rFonts w:ascii="Arial" w:cs="Arial" w:eastAsia="Arial" w:hAnsi="Arial"/>
          <w:sz w:val="18"/>
          <w:szCs w:val="18"/>
          <w:color w:val="auto"/>
        </w:rPr>
        <w:t>prepaid on the date of such prepayment.</w:t>
      </w:r>
    </w:p>
    <w:p>
      <w:pPr>
        <w:spacing w:after="0" w:line="132"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i w:val="1"/>
          <w:iCs w:val="1"/>
          <w:color w:val="auto"/>
        </w:rPr>
        <w:t>Section 2.06. Changes of Commitments</w:t>
      </w:r>
      <w:r>
        <w:rPr>
          <w:rFonts w:ascii="Arial" w:cs="Arial" w:eastAsia="Arial" w:hAnsi="Arial"/>
          <w:sz w:val="18"/>
          <w:szCs w:val="18"/>
          <w:color w:val="auto"/>
        </w:rPr>
        <w:t>. (a)</w:t>
      </w:r>
      <w:r>
        <w:rPr>
          <w:rFonts w:ascii="Arial" w:cs="Arial" w:eastAsia="Arial" w:hAnsi="Arial"/>
          <w:sz w:val="18"/>
          <w:szCs w:val="18"/>
          <w:i w:val="1"/>
          <w:iCs w:val="1"/>
          <w:color w:val="auto"/>
        </w:rPr>
        <w:t xml:space="preserve"> Automatic Reduction and Termination. </w:t>
      </w:r>
      <w:r>
        <w:rPr>
          <w:rFonts w:ascii="Arial" w:cs="Arial" w:eastAsia="Arial" w:hAnsi="Arial"/>
          <w:sz w:val="18"/>
          <w:szCs w:val="18"/>
          <w:color w:val="auto"/>
        </w:rPr>
        <w:t>Subject to the provisions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8.04</w:t>
      </w:r>
      <w:r>
        <w:rPr>
          <w:rFonts w:ascii="Arial" w:cs="Arial" w:eastAsia="Arial" w:hAnsi="Arial"/>
          <w:sz w:val="18"/>
          <w:szCs w:val="18"/>
          <w:color w:val="auto"/>
        </w:rPr>
        <w:t>, the Commitments of all</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shall be automatically reduced to zero at 5:00 p.m. on the Commitment Termination Date.</w:t>
      </w:r>
    </w:p>
    <w:p>
      <w:pPr>
        <w:spacing w:after="0" w:line="51" w:lineRule="exact"/>
        <w:rPr>
          <w:sz w:val="20"/>
          <w:szCs w:val="20"/>
          <w:color w:val="auto"/>
        </w:rPr>
      </w:pPr>
    </w:p>
    <w:p>
      <w:pPr>
        <w:ind w:left="460" w:firstLine="428"/>
        <w:spacing w:after="0" w:line="288" w:lineRule="auto"/>
        <w:tabs>
          <w:tab w:leader="none" w:pos="114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Optional Reductions. </w:t>
      </w:r>
      <w:r>
        <w:rPr>
          <w:rFonts w:ascii="Arial" w:cs="Arial" w:eastAsia="Arial" w:hAnsi="Arial"/>
          <w:sz w:val="16"/>
          <w:szCs w:val="16"/>
          <w:color w:val="auto"/>
        </w:rPr>
        <w:t>Prior to the Commitment Termination Date, the Borrower shall have the right to terminate or reduce the unused amount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Facility Amount at any time or from time to time without any fee or penalty upon not less than five (5) Business Days’ prior notice to the Collateral Agent, the Lenders and the Administrative Agent of each such termination or reduction, which notice shall specify the effective date of such termination or reduction and the amount of any such reduction;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amount of any such reduction of the Facility Amount shall be equal to at least $500,000 or an integral multiple of $100,000 in excess thereof or, if less, the remaining unused portion thereof, and (ii) no such reduction will reduce the Facility Amount below the sum of (x) aggregate principal amount of Advances outstanding at such time and (y) the aggregate unfunded commitments under all of the Borrower’s Revolving Collateral Loans and Delayed Drawdown Collateral Loans. Such notice of termination or reduction shall be irrevocable and effective only upon receipt and shall be applied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reduce the respective Commitments of each Lender.</w:t>
      </w:r>
    </w:p>
    <w:p>
      <w:pPr>
        <w:spacing w:after="0" w:line="42" w:lineRule="exact"/>
        <w:rPr>
          <w:rFonts w:ascii="Arial" w:cs="Arial" w:eastAsia="Arial" w:hAnsi="Arial"/>
          <w:sz w:val="16"/>
          <w:szCs w:val="16"/>
          <w:color w:val="auto"/>
        </w:rPr>
      </w:pPr>
    </w:p>
    <w:p>
      <w:pPr>
        <w:ind w:left="460" w:right="40" w:firstLine="428"/>
        <w:spacing w:after="0" w:line="331" w:lineRule="auto"/>
        <w:tabs>
          <w:tab w:leader="none" w:pos="113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Effect of Termination or Reduction. </w:t>
      </w:r>
      <w:r>
        <w:rPr>
          <w:rFonts w:ascii="Arial" w:cs="Arial" w:eastAsia="Arial" w:hAnsi="Arial"/>
          <w:sz w:val="16"/>
          <w:szCs w:val="16"/>
          <w:color w:val="auto"/>
        </w:rPr>
        <w:t>The Commitments of the Lenders once terminated or reduced may not be reinstated. Each reduction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Facility Amount pursuant to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be applied ratably among the Lenders in accordance with their respective Commitments.</w:t>
      </w:r>
    </w:p>
    <w:p>
      <w:pPr>
        <w:spacing w:after="0" w:line="87"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i w:val="1"/>
          <w:iCs w:val="1"/>
          <w:color w:val="auto"/>
        </w:rPr>
        <w:t>Section 2.07. Maximum Lawful Rate</w:t>
      </w:r>
      <w:r>
        <w:rPr>
          <w:rFonts w:ascii="Arial" w:cs="Arial" w:eastAsia="Arial" w:hAnsi="Arial"/>
          <w:sz w:val="18"/>
          <w:szCs w:val="18"/>
          <w:color w:val="auto"/>
        </w:rPr>
        <w:t>. It is the intention of the parties hereto that the interest on the Advances shall not exceed the maximum rate</w:t>
      </w:r>
      <w:r>
        <w:rPr>
          <w:rFonts w:ascii="Arial" w:cs="Arial" w:eastAsia="Arial" w:hAnsi="Arial"/>
          <w:sz w:val="18"/>
          <w:szCs w:val="18"/>
          <w:i w:val="1"/>
          <w:iCs w:val="1"/>
          <w:color w:val="auto"/>
        </w:rPr>
        <w:t xml:space="preserve"> </w:t>
      </w:r>
      <w:r>
        <w:rPr>
          <w:rFonts w:ascii="Arial" w:cs="Arial" w:eastAsia="Arial" w:hAnsi="Arial"/>
          <w:sz w:val="18"/>
          <w:szCs w:val="18"/>
          <w:color w:val="auto"/>
        </w:rPr>
        <w:t>permissible under Applicable Law. Accordingly, anything herein to the contrary notwithstanding, in the event any interest is charged to, collected from or received from or on behalf of the Borrower by the Lenders pursuant hereto or thereto in excess of such maximum lawful rate, then the excess of such payment over that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320" w:top="280" w:right="419" w:bottom="1440" w:gutter="0" w:footer="0" w:header="0"/>
        </w:sectPr>
      </w:pPr>
    </w:p>
    <w:bookmarkStart w:id="105" w:name="page106"/>
    <w:bookmarkEnd w:id="105"/>
    <w:p>
      <w:pPr>
        <w:ind w:right="380"/>
        <w:spacing w:after="0" w:line="33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87"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i w:val="1"/>
          <w:iCs w:val="1"/>
          <w:color w:val="auto"/>
        </w:rPr>
        <w:t>Section 2.08. Several Obligations</w:t>
      </w:r>
      <w:r>
        <w:rPr>
          <w:rFonts w:ascii="Arial" w:cs="Arial" w:eastAsia="Arial" w:hAnsi="Arial"/>
          <w:sz w:val="16"/>
          <w:szCs w:val="16"/>
          <w:color w:val="auto"/>
        </w:rPr>
        <w:t>. The failure of any Lender to make any Advance to be made by it on the date specified therefor shall not relieve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Lender of its obligation to make its Advance on such date, neither Agent shall be responsible for the failure of any Lender to make any Advance, and no Lender shall be responsible for the failure of any other Lender to make an Advance to be made by such other Lender.</w:t>
      </w:r>
    </w:p>
    <w:p>
      <w:pPr>
        <w:spacing w:after="0" w:line="106" w:lineRule="exact"/>
        <w:rPr>
          <w:sz w:val="20"/>
          <w:szCs w:val="20"/>
          <w:color w:val="auto"/>
        </w:rPr>
      </w:pPr>
    </w:p>
    <w:p>
      <w:pPr>
        <w:ind w:firstLine="449"/>
        <w:spacing w:after="0" w:line="301" w:lineRule="auto"/>
        <w:rPr>
          <w:sz w:val="20"/>
          <w:szCs w:val="20"/>
          <w:color w:val="auto"/>
        </w:rPr>
      </w:pPr>
      <w:r>
        <w:rPr>
          <w:rFonts w:ascii="Arial" w:cs="Arial" w:eastAsia="Arial" w:hAnsi="Arial"/>
          <w:sz w:val="15"/>
          <w:szCs w:val="15"/>
          <w:i w:val="1"/>
          <w:iCs w:val="1"/>
          <w:color w:val="auto"/>
        </w:rPr>
        <w:t>Section 2.09. Increased Costs</w:t>
      </w:r>
      <w:r>
        <w:rPr>
          <w:rFonts w:ascii="Arial" w:cs="Arial" w:eastAsia="Arial" w:hAnsi="Arial"/>
          <w:sz w:val="15"/>
          <w:szCs w:val="15"/>
          <w:color w:val="auto"/>
        </w:rPr>
        <w:t>. (a) Except with respect to taxes, which shall be governed exclusively by</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15.03</w:t>
      </w:r>
      <w:r>
        <w:rPr>
          <w:rFonts w:ascii="Arial" w:cs="Arial" w:eastAsia="Arial" w:hAnsi="Arial"/>
          <w:sz w:val="15"/>
          <w:szCs w:val="15"/>
          <w:color w:val="auto"/>
        </w:rPr>
        <w:t>, if, due to either (i) the introduction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 or any change in or in the interpretation, application or implementation of any Applicable Law or GAAP or other applicable accounting policy after the date hereof, or (ii) the compliance with any guideline or change in the interpretation, application or implementation of any guideline or request from any central bank or other Governmental Authority (whether or not having the force of law) after the date hereof (a </w:t>
      </w:r>
      <w:r>
        <w:rPr>
          <w:rFonts w:ascii="Arial" w:cs="Arial" w:eastAsia="Arial" w:hAnsi="Arial"/>
          <w:sz w:val="15"/>
          <w:szCs w:val="15"/>
          <w:i w:val="1"/>
          <w:iCs w:val="1"/>
          <w:color w:val="auto"/>
        </w:rPr>
        <w:t>“Regulatory Change”</w:t>
      </w:r>
      <w:r>
        <w:rPr>
          <w:rFonts w:ascii="Arial" w:cs="Arial" w:eastAsia="Arial" w:hAnsi="Arial"/>
          <w:sz w:val="15"/>
          <w:szCs w:val="15"/>
          <w:color w:val="auto"/>
        </w:rPr>
        <w:t>), there shall be any increase in the cost to any Affected Person of agreeing to make or making, funding or maintaining Advances to the Borrower, then the Borrower shall from time to time (and, to the extent the funds available for payment thereof by the Borrower are insufficient to pay such amounts in full on the applicable Payment Date, the Collateral Manager, on behalf of the Borrower, shall be obligated to pay such amounts), on the Payment Dates, following such Affected Person’s demand, pay in accordance with the Priority of Payments such Affected Person such additional amounts as may be sufficient to compensate such Affected Person for such increased cost. A certificate setting forth in reasonable detail the amount of such increased cost, submitted to the Borrower by an Affected Person (with a copy to the Agents), shall be conclusive and binding for all purposes, absent manifest error. Notwithstanding anything herein to the contrary, each of (i) the Dodd-Frank Wall Street Reform and Consumer Protection Act and all rules and regulations promulgated thereunder or issued in connection therewith and</w:t>
      </w:r>
    </w:p>
    <w:p>
      <w:pPr>
        <w:spacing w:after="0" w:line="3" w:lineRule="exact"/>
        <w:rPr>
          <w:sz w:val="20"/>
          <w:szCs w:val="20"/>
          <w:color w:val="auto"/>
        </w:rPr>
      </w:pPr>
    </w:p>
    <w:p>
      <w:pPr>
        <w:ind w:right="140" w:firstLine="8"/>
        <w:spacing w:after="0" w:line="255" w:lineRule="auto"/>
        <w:tabs>
          <w:tab w:leader="none" w:pos="2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Directive 2006/48/EC, Article 122a thereunder, and all rules and regulations promulgated thereunder or issued in connection therewith shall be deemed to have been introduced after the Closing Date, thereby constituting a Regulatory Change hereunder with respect to the Affected Parties as of the Closing Date, regardless of the date enacted, adopted or issued.</w:t>
      </w:r>
    </w:p>
    <w:p>
      <w:pPr>
        <w:spacing w:after="0" w:line="62" w:lineRule="exact"/>
        <w:rPr>
          <w:rFonts w:ascii="Arial" w:cs="Arial" w:eastAsia="Arial" w:hAnsi="Arial"/>
          <w:sz w:val="18"/>
          <w:szCs w:val="18"/>
          <w:color w:val="auto"/>
        </w:rPr>
      </w:pPr>
    </w:p>
    <w:p>
      <w:pPr>
        <w:jc w:val="both"/>
        <w:ind w:left="460" w:right="80" w:firstLine="428"/>
        <w:spacing w:after="0" w:line="304" w:lineRule="auto"/>
        <w:tabs>
          <w:tab w:leader="none" w:pos="1140" w:val="left"/>
        </w:tabs>
        <w:numPr>
          <w:ilvl w:val="2"/>
          <w:numId w:val="84"/>
        </w:numPr>
        <w:rPr>
          <w:rFonts w:ascii="Arial" w:cs="Arial" w:eastAsia="Arial" w:hAnsi="Arial"/>
          <w:sz w:val="15"/>
          <w:szCs w:val="15"/>
          <w:color w:val="auto"/>
        </w:rPr>
      </w:pPr>
      <w:r>
        <w:rPr>
          <w:rFonts w:ascii="Arial" w:cs="Arial" w:eastAsia="Arial" w:hAnsi="Arial"/>
          <w:sz w:val="15"/>
          <w:szCs w:val="15"/>
          <w:color w:val="auto"/>
        </w:rPr>
        <w:t>If an Affected Person determines that compliance with any Applicable Law or request from any central bank or other Governmental Authority charged with the interpretation or administration thereof (whether or not having the force of law), in each case, introduced or made after the date hereof</w:t>
      </w:r>
    </w:p>
    <w:p>
      <w:pPr>
        <w:spacing w:after="0" w:line="1" w:lineRule="exact"/>
        <w:rPr>
          <w:rFonts w:ascii="Arial" w:cs="Arial" w:eastAsia="Arial" w:hAnsi="Arial"/>
          <w:sz w:val="15"/>
          <w:szCs w:val="15"/>
          <w:color w:val="auto"/>
        </w:rPr>
      </w:pPr>
    </w:p>
    <w:p>
      <w:pPr>
        <w:ind w:left="460" w:right="80" w:hanging="3"/>
        <w:spacing w:after="0" w:line="300" w:lineRule="auto"/>
        <w:tabs>
          <w:tab w:leader="none" w:pos="670" w:val="left"/>
        </w:tabs>
        <w:numPr>
          <w:ilvl w:val="1"/>
          <w:numId w:val="84"/>
        </w:numPr>
        <w:rPr>
          <w:rFonts w:ascii="Arial" w:cs="Arial" w:eastAsia="Arial" w:hAnsi="Arial"/>
          <w:sz w:val="15"/>
          <w:szCs w:val="15"/>
          <w:color w:val="auto"/>
        </w:rPr>
      </w:pPr>
      <w:r>
        <w:rPr>
          <w:rFonts w:ascii="Arial" w:cs="Arial" w:eastAsia="Arial" w:hAnsi="Arial"/>
          <w:sz w:val="15"/>
          <w:szCs w:val="15"/>
          <w:color w:val="auto"/>
        </w:rPr>
        <w:t>affects the amount of capital required to be maintained by such Affected Person and that the amount of such capital is increased by or based upon the existence of such Affected Person’s Commitment under this Agreement or upon such Affected Person’s making, funding or maintaining Advances or</w:t>
      </w:r>
    </w:p>
    <w:p>
      <w:pPr>
        <w:ind w:left="460" w:right="20" w:hanging="3"/>
        <w:spacing w:after="0" w:line="302" w:lineRule="auto"/>
        <w:tabs>
          <w:tab w:leader="none" w:pos="718" w:val="left"/>
        </w:tabs>
        <w:numPr>
          <w:ilvl w:val="1"/>
          <w:numId w:val="84"/>
        </w:numPr>
        <w:rPr>
          <w:rFonts w:ascii="Arial" w:cs="Arial" w:eastAsia="Arial" w:hAnsi="Arial"/>
          <w:sz w:val="16"/>
          <w:szCs w:val="16"/>
          <w:color w:val="auto"/>
        </w:rPr>
      </w:pPr>
      <w:r>
        <w:rPr>
          <w:rFonts w:ascii="Arial" w:cs="Arial" w:eastAsia="Arial" w:hAnsi="Arial"/>
          <w:sz w:val="16"/>
          <w:szCs w:val="16"/>
          <w:color w:val="auto"/>
        </w:rPr>
        <w:t>reduces the rate of return of an Affected Person to a level below that which such Affected Person could have achieved but for such compliance (taking into consideration such Affected Person’s policies with respect to capital adequacy), then the Borrower shall from time to time (and, to the extent the funds available for payment thereof by the Borrower are insufficient to pay such amounts in full on the applicable Payment Date, the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280" w:right="359" w:bottom="1440" w:gutter="0" w:footer="0" w:header="0"/>
        </w:sectPr>
      </w:pPr>
    </w:p>
    <w:bookmarkStart w:id="106" w:name="page107"/>
    <w:bookmarkEnd w:id="106"/>
    <w:p>
      <w:pPr>
        <w:ind w:left="460" w:right="120"/>
        <w:spacing w:after="0" w:line="31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Collateral Manager, on behalf of the Borrower, shall be obligated to pay such amounts), on the Payment Dates, following such Affected Person’s demand, pay in accordance with the Priority of Payments such additional amounts which are sufficient to compensate such Affected Person for such increase in capital or reduced return. If any Affected Person becomes entitled to claim any additional amounts pursuant to this </w:t>
      </w:r>
      <w:r>
        <w:rPr>
          <w:rFonts w:ascii="Arial" w:cs="Arial" w:eastAsia="Arial" w:hAnsi="Arial"/>
          <w:sz w:val="15"/>
          <w:szCs w:val="15"/>
          <w:u w:val="single" w:color="auto"/>
          <w:color w:val="auto"/>
        </w:rPr>
        <w:t>Section 2.09(b)</w:t>
      </w:r>
      <w:r>
        <w:rPr>
          <w:rFonts w:ascii="Arial" w:cs="Arial" w:eastAsia="Arial" w:hAnsi="Arial"/>
          <w:sz w:val="15"/>
          <w:szCs w:val="15"/>
          <w:color w:val="auto"/>
        </w:rPr>
        <w:t>, it shall promptly notify the Borrower (with a copy to the Agents) of the event by reason of which it has become so entitled. A certificate setting forth in reasonable detail such amounts submitted to the Borrower by an Affected Person shall be conclusive and binding for all purposes, absent manifest error.</w:t>
      </w:r>
    </w:p>
    <w:p>
      <w:pPr>
        <w:spacing w:after="0" w:line="22" w:lineRule="exact"/>
        <w:rPr>
          <w:sz w:val="20"/>
          <w:szCs w:val="20"/>
          <w:color w:val="auto"/>
        </w:rPr>
      </w:pPr>
    </w:p>
    <w:p>
      <w:pPr>
        <w:ind w:left="1120" w:hanging="232"/>
        <w:spacing w:after="0"/>
        <w:tabs>
          <w:tab w:leader="none" w:pos="11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Upon the occurrence of any event giving rise to the Borrower’s obligation to pay additional amounts to a Lender pursuant to </w:t>
      </w:r>
      <w:r>
        <w:rPr>
          <w:rFonts w:ascii="Arial" w:cs="Arial" w:eastAsia="Arial" w:hAnsi="Arial"/>
          <w:sz w:val="16"/>
          <w:szCs w:val="16"/>
          <w:u w:val="single" w:color="auto"/>
          <w:color w:val="auto"/>
        </w:rPr>
        <w:t>clauses (a) or</w:t>
      </w:r>
    </w:p>
    <w:p>
      <w:pPr>
        <w:spacing w:after="0" w:line="38" w:lineRule="exact"/>
        <w:rPr>
          <w:rFonts w:ascii="Arial" w:cs="Arial" w:eastAsia="Arial" w:hAnsi="Arial"/>
          <w:sz w:val="16"/>
          <w:szCs w:val="16"/>
          <w:color w:val="auto"/>
        </w:rPr>
      </w:pPr>
    </w:p>
    <w:p>
      <w:pPr>
        <w:ind w:left="460" w:hanging="3"/>
        <w:spacing w:after="0" w:line="253" w:lineRule="auto"/>
        <w:tabs>
          <w:tab w:leader="none" w:pos="709" w:val="left"/>
        </w:tabs>
        <w:numPr>
          <w:ilvl w:val="0"/>
          <w:numId w:val="86"/>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45"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i w:val="1"/>
          <w:iCs w:val="1"/>
          <w:color w:val="auto"/>
        </w:rPr>
        <w:t>Section 2.10. Compensation; Breakage Payments</w:t>
      </w:r>
      <w:r>
        <w:rPr>
          <w:rFonts w:ascii="Arial" w:cs="Arial" w:eastAsia="Arial" w:hAnsi="Arial"/>
          <w:sz w:val="16"/>
          <w:szCs w:val="16"/>
          <w:color w:val="auto"/>
        </w:rPr>
        <w:t>. The Borrower agrees to compensate each Affected Person from time to time, on the Payment Dates,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following such Affected Person’s written request (which request shall set forth the basis for requesting such amounts), in accordance with the Priority of Payments for all reasonable losses, expenses and liabilities (including any interest paid by such Affected Person to lenders of funds borrowed to make or carry an Advance and any loss sustained by such Affected Person in connection with the re-employment of such funds but excluding loss of anticipated profits), which such Affected Person may sustain: (i) if for any reason (including any failure of a condition precedent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but excluding a default by the applicable Lender) a Borrowing of any Advance by the Borrower does not occur on the Borrowing Date specified therefor in the applicable Notice of Borrowing delivered by the Borrower, (ii) if any payment, prepayment or conversion of any of the Borrower’s Advances occurs on a date that is not the last day of the relevant Interest Accrual Period, (iii) if any payment or prepayment of any Advance is not made on any date specified in a Notice of Prepayment given by the Borrower or (iv) as a consequence of any other default by the Borrower to repay its Advances when required by the terms of this Agreement. A certificate as to any amounts payable pursuant to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submitted to the Borrower by any Lender (with a copy to the Agents, and accompanied by a reasonably detailed calculation of such amounts and a description of the basis for requesting such amounts) shall be conclusive in the absence of manifest error.</w:t>
      </w:r>
    </w:p>
    <w:p>
      <w:pPr>
        <w:spacing w:after="0" w:line="126"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i w:val="1"/>
          <w:iCs w:val="1"/>
          <w:color w:val="auto"/>
        </w:rPr>
        <w:t>Section 2.11. Illegality; Inability to Determine Rates</w:t>
      </w:r>
      <w:r>
        <w:rPr>
          <w:rFonts w:ascii="Arial" w:cs="Arial" w:eastAsia="Arial" w:hAnsi="Arial"/>
          <w:sz w:val="18"/>
          <w:szCs w:val="18"/>
          <w:color w:val="auto"/>
        </w:rPr>
        <w:t>. (a) Notwithstanding any other provision in this Agreement, in the event of a Eurodollar Disruption</w:t>
      </w:r>
      <w:r>
        <w:rPr>
          <w:rFonts w:ascii="Arial" w:cs="Arial" w:eastAsia="Arial" w:hAnsi="Arial"/>
          <w:sz w:val="18"/>
          <w:szCs w:val="18"/>
          <w:i w:val="1"/>
          <w:iCs w:val="1"/>
          <w:color w:val="auto"/>
        </w:rPr>
        <w:t xml:space="preserve"> </w:t>
      </w:r>
      <w:r>
        <w:rPr>
          <w:rFonts w:ascii="Arial" w:cs="Arial" w:eastAsia="Arial" w:hAnsi="Arial"/>
          <w:sz w:val="18"/>
          <w:szCs w:val="18"/>
          <w:color w:val="auto"/>
        </w:rPr>
        <w:t>Event, then the affected Lender shall promptly notify the Agents and the Borrower thereof, and such Lender’s obligation to make or maintain Advances hereunder based on the Adjusted Eurodollar Rate shall be suspended until such time as such Lender may again make and maintain Advances based on the Adjusted Eurodollar Rate.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280" w:right="339" w:bottom="1440" w:gutter="0" w:footer="0" w:header="0"/>
        </w:sectPr>
      </w:pPr>
    </w:p>
    <w:bookmarkStart w:id="107" w:name="page108"/>
    <w:bookmarkEnd w:id="107"/>
    <w:p>
      <w:pPr>
        <w:ind w:left="460" w:right="80" w:firstLine="428"/>
        <w:spacing w:after="0" w:line="291" w:lineRule="auto"/>
        <w:tabs>
          <w:tab w:leader="none" w:pos="1140" w:val="left"/>
        </w:tabs>
        <w:numPr>
          <w:ilvl w:val="0"/>
          <w:numId w:val="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the occurrence of any event giving rise to a Lender’s suspending its obligation to make or maintain Advances based on the Adjusted Eurodollar Rate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such Lender will, if requested by the Borrower, use reasonable efforts (subject to overall policy considerations of such Lender) to designate a different lending office if such designation would enable such Lender to again make and maintain Advances based on the Adjusted Eurodollar Rate;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38" w:lineRule="exact"/>
        <w:rPr>
          <w:rFonts w:ascii="Arial" w:cs="Arial" w:eastAsia="Arial" w:hAnsi="Arial"/>
          <w:sz w:val="16"/>
          <w:szCs w:val="16"/>
          <w:color w:val="auto"/>
        </w:rPr>
      </w:pPr>
    </w:p>
    <w:p>
      <w:pPr>
        <w:ind w:left="460" w:right="120" w:firstLine="428"/>
        <w:spacing w:after="0" w:line="291" w:lineRule="auto"/>
        <w:tabs>
          <w:tab w:leader="none" w:pos="113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prior to the first day of any Interest Accrual Period or prior to the date of any Advance, as applicable, either (i) the Collateral Administrator determines that for any reason adequate and reasonable means do not exist for determining the LIBOR Rate for the applicable Advances, or (ii) the Required Lenders determine and notify the Administrative Agent that the Adjusted Eurodollar Rate with respect to such Advances does not adequately and fairly reflect the cost to such Lenders of funding such Advances, the Administrative Agent will promptly so notify the Borrower, the Collateral Administrator and each Lender. Thereafter, the obligation of the Lenders to make or maintain Advances based on the Adjusted Eurodollar Rate shall be suspended until the Administrative Agent (upon the instruction of the Required Lenders) revokes such notice.</w:t>
      </w:r>
    </w:p>
    <w:p>
      <w:pPr>
        <w:spacing w:after="0" w:line="120"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i w:val="1"/>
          <w:iCs w:val="1"/>
          <w:color w:val="auto"/>
        </w:rPr>
        <w:t>Section 2.12. Rescission or Return of Payment</w:t>
      </w:r>
      <w:r>
        <w:rPr>
          <w:rFonts w:ascii="Arial" w:cs="Arial" w:eastAsia="Arial" w:hAnsi="Arial"/>
          <w:sz w:val="18"/>
          <w:szCs w:val="18"/>
          <w:color w:val="auto"/>
        </w:rPr>
        <w:t>. The Borrower agrees that, if at any time (including after the occurrence of the Final Maturity Date)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maybe, as to such obligations, all as though such payment had not been made.</w:t>
      </w:r>
    </w:p>
    <w:p>
      <w:pPr>
        <w:spacing w:after="0" w:line="144"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i w:val="1"/>
          <w:iCs w:val="1"/>
          <w:color w:val="auto"/>
        </w:rPr>
        <w:t>Section 2.13. Post-Default Interest</w:t>
      </w:r>
      <w:r>
        <w:rPr>
          <w:rFonts w:ascii="Arial" w:cs="Arial" w:eastAsia="Arial" w:hAnsi="Arial"/>
          <w:sz w:val="16"/>
          <w:szCs w:val="16"/>
          <w:color w:val="auto"/>
        </w:rPr>
        <w:t>. The Borrower shall pay interest on all Obligations (other than principal and interest on the Advances, where the</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rate is reflected in the Applicable Margin) that are not paid when due for the period from the due date thereof until the date the same is paid in full at the Post-Default Rate. Interest payable at the Post-Default Rate shall be payable on each Payment Date in accordance with the Priority of Payments.</w:t>
      </w:r>
    </w:p>
    <w:p>
      <w:pPr>
        <w:spacing w:after="0" w:line="106"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i w:val="1"/>
          <w:iCs w:val="1"/>
          <w:color w:val="auto"/>
        </w:rPr>
        <w:t>Section 2.14. Payments Generally</w:t>
      </w:r>
      <w:r>
        <w:rPr>
          <w:rFonts w:ascii="Arial" w:cs="Arial" w:eastAsia="Arial" w:hAnsi="Arial"/>
          <w:sz w:val="16"/>
          <w:szCs w:val="16"/>
          <w:color w:val="auto"/>
        </w:rPr>
        <w:t>. (a) All amounts owing and payable to any Secured Party, any Affected Person or any Indemnified Party, in respect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Advances and other Obligations, including the principal thereof, interest, fees, indemnities, expenses or other amounts payable under this Agreement, shall be paid by the Borrower to the applicable recipient in Dollars, in immediately available funds, in accordance with the Priority of Payments, and all without counterclaim, setoff, deduction, defense, abatement, suspension or deferment. Each Lender shall provide wire instructions to the Borrower, the Administrative Agent and the Collateral Agent. Payments must be received by the Lenders on or prior to 12:00 noon on a Business Day;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payments received by the Lenders after 12:00 noon on a Business Day will be deemed to have been paid on the next following Business Day.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280" w:right="339" w:bottom="1440" w:gutter="0" w:footer="0" w:header="0"/>
        </w:sectPr>
      </w:pPr>
    </w:p>
    <w:bookmarkStart w:id="108" w:name="page109"/>
    <w:bookmarkEnd w:id="108"/>
    <w:p>
      <w:pPr>
        <w:ind w:left="460" w:right="180" w:firstLine="428"/>
        <w:spacing w:after="0" w:line="254" w:lineRule="auto"/>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Except as otherwise expressly provided herein, all computations of interest, fees and other Obligations shall be made on the basis of a year of 360 days for the actual number of days elapsed in computing interest on any Advance, the date of the making of the Advance shall be included and the date of payment shall be excluded;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if an Advance is repaid on the same day on which it is made, one day’s Interest shall be paid on such Advance. All computations made by a Lender, the Collateral Agent or the Administrative Agent under this Agreement shall be conclusive absent manifest error.</w:t>
      </w:r>
    </w:p>
    <w:p>
      <w:pPr>
        <w:spacing w:after="0" w:line="147"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i w:val="1"/>
          <w:iCs w:val="1"/>
          <w:color w:val="auto"/>
        </w:rPr>
        <w:t>Section 2.15. Increase in Facility Amount</w:t>
      </w:r>
      <w:r>
        <w:rPr>
          <w:rFonts w:ascii="Arial" w:cs="Arial" w:eastAsia="Arial" w:hAnsi="Arial"/>
          <w:sz w:val="16"/>
          <w:szCs w:val="16"/>
          <w:color w:val="auto"/>
        </w:rPr>
        <w:t>. The Borrower may, on any Business Day prior to the Commitment Termination Date, increase the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by delivering a request substantially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(each, a </w:t>
      </w:r>
      <w:r>
        <w:rPr>
          <w:rFonts w:ascii="Arial" w:cs="Arial" w:eastAsia="Arial" w:hAnsi="Arial"/>
          <w:sz w:val="16"/>
          <w:szCs w:val="16"/>
          <w:i w:val="1"/>
          <w:iCs w:val="1"/>
          <w:color w:val="auto"/>
        </w:rPr>
        <w:t>“Facility Amount Increase Request”</w:t>
      </w:r>
      <w:r>
        <w:rPr>
          <w:rFonts w:ascii="Arial" w:cs="Arial" w:eastAsia="Arial" w:hAnsi="Arial"/>
          <w:sz w:val="16"/>
          <w:szCs w:val="16"/>
          <w:color w:val="auto"/>
        </w:rPr>
        <w:t xml:space="preserve">) or in such other form acceptable to the Administrative Agent at least five (5) Business Days prior to the desired effective date of such increase (the </w:t>
      </w:r>
      <w:r>
        <w:rPr>
          <w:rFonts w:ascii="Arial" w:cs="Arial" w:eastAsia="Arial" w:hAnsi="Arial"/>
          <w:sz w:val="16"/>
          <w:szCs w:val="16"/>
          <w:i w:val="1"/>
          <w:iCs w:val="1"/>
          <w:color w:val="auto"/>
        </w:rPr>
        <w:t>“Facility Amount Increase”</w:t>
      </w:r>
      <w:r>
        <w:rPr>
          <w:rFonts w:ascii="Arial" w:cs="Arial" w:eastAsia="Arial" w:hAnsi="Arial"/>
          <w:sz w:val="16"/>
          <w:szCs w:val="16"/>
          <w:color w:val="auto"/>
        </w:rPr>
        <w:t xml:space="preserve">) identifying an additional Lender that is a Permitted Assignee (or additional Commitments for existing Lender(s)), and the amount of its Commitment (or additional amount of its Commitment(s));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any increase of the Facility Amount to an amount in excess of $600,000,000 will require the approval of all Lenders, (ii) any increase of the aggregate amount of the Facility Amount shall be in an amount not less than $25,000,000, (iii) no Default or Event of Default shall have occurred and be continuing at the time of the request or the effective date of the Facility Amount Increase, (iv) all representations and warranties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hereof (as the same may be amended from time to time) shall be true and correct in all material respects at the time of such request and on the effective date of such Facility Amount Increase, and (v) unless such increase is increasing the Commitment of an existing Lender, the Administrative Agent shall have provided its written consent to such increase (which consent shall not be unreasonably withheld or delayed). The effective date of the Facility Amount Increase shall be agreed upon by the Borrower and the Administrative Agent. Upon the effectiveness thereof, the new Lender(s) (or, if applicable, existing Lender(s)) shall make Advances in an amount sufficient such that after giving effect to its advance each Lender shall have outstanding its Percentage of Advances. It shall be a condition to such effectiveness that (i) if any Advances are bearing interest at the Adjusted Eurodollar Rate on the date of such effectiveness, such Advances shall be deemed to be prepaid on such date and the Borrower shall pay any amounts owing to the Lenders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hereof, </w:t>
      </w:r>
      <w:r>
        <w:rPr>
          <w:rFonts w:ascii="Arial" w:cs="Arial" w:eastAsia="Arial" w:hAnsi="Arial"/>
          <w:sz w:val="16"/>
          <w:szCs w:val="16"/>
          <w:i w:val="1"/>
          <w:iCs w:val="1"/>
          <w:u w:val="single" w:color="auto"/>
          <w:color w:val="auto"/>
        </w:rPr>
        <w:t>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a Facility Amount Increase is made among the existing Lenders and the amount of the increase in each such Lender’s Commitment is on a pro rata basis in accordance with the existing Commitments of such Lenders on the date of such Facility Amount Increase, such Advances bearing interest at the Adjusted Eurodollar Rate shall not be deemed to be prepaid on such date and (ii) the Borrower shall not have terminated any portion of the Commitments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hereof. The Borrower agrees to pay any reasonable expenses of the Administrative Agent relating to any Facility Amount Increase. Notwithstanding anything herein to the contrary, no Lender shall have any obligation to increase its Commitment and no Lender’s Commitment shall be increased without its consent thereto, and each Lender may at its option, unconditionally and without cause, decline to increase its Commitment.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280"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3.01. [Reserved]</w:t>
      </w:r>
      <w:r>
        <w:rPr>
          <w:rFonts w:ascii="Arial" w:cs="Arial" w:eastAsia="Arial" w:hAnsi="Arial"/>
          <w:sz w:val="18"/>
          <w:szCs w:val="18"/>
          <w:color w:val="auto"/>
        </w:rPr>
        <w:t>.</w:t>
      </w:r>
    </w:p>
    <w:p>
      <w:pPr>
        <w:spacing w:after="0" w:line="171" w:lineRule="exact"/>
        <w:rPr>
          <w:sz w:val="20"/>
          <w:szCs w:val="20"/>
          <w:color w:val="auto"/>
        </w:rPr>
      </w:pPr>
    </w:p>
    <w:p>
      <w:pPr>
        <w:ind w:right="420" w:firstLine="449"/>
        <w:spacing w:after="0" w:line="285" w:lineRule="auto"/>
        <w:rPr>
          <w:sz w:val="20"/>
          <w:szCs w:val="20"/>
          <w:color w:val="auto"/>
        </w:rPr>
      </w:pPr>
      <w:r>
        <w:rPr>
          <w:rFonts w:ascii="Arial" w:cs="Arial" w:eastAsia="Arial" w:hAnsi="Arial"/>
          <w:sz w:val="16"/>
          <w:szCs w:val="16"/>
          <w:i w:val="1"/>
          <w:iCs w:val="1"/>
          <w:color w:val="auto"/>
        </w:rPr>
        <w:t>Section 3.02. Conditions Precedent to Each Borrowing</w:t>
      </w:r>
      <w:r>
        <w:rPr>
          <w:rFonts w:ascii="Arial" w:cs="Arial" w:eastAsia="Arial" w:hAnsi="Arial"/>
          <w:sz w:val="16"/>
          <w:szCs w:val="16"/>
          <w:color w:val="auto"/>
        </w:rPr>
        <w:t>. The obligation of each Lender to make each Advance to be made by it (including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Advance) on each Borrowing Date shall be subject to the fulfillment of the following conditions;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conditions described in </w:t>
      </w:r>
      <w:r>
        <w:rPr>
          <w:rFonts w:ascii="Arial" w:cs="Arial" w:eastAsia="Arial" w:hAnsi="Arial"/>
          <w:sz w:val="16"/>
          <w:szCs w:val="16"/>
          <w:u w:val="single" w:color="auto"/>
          <w:color w:val="auto"/>
        </w:rPr>
        <w:t>clauses (b) and</w:t>
      </w:r>
    </w:p>
    <w:p>
      <w:pPr>
        <w:spacing w:after="0" w:line="1" w:lineRule="exact"/>
        <w:rPr>
          <w:sz w:val="20"/>
          <w:szCs w:val="20"/>
          <w:color w:val="auto"/>
        </w:rPr>
      </w:pPr>
    </w:p>
    <w:p>
      <w:pPr>
        <w:jc w:val="both"/>
        <w:ind w:right="120" w:firstLine="8"/>
        <w:spacing w:after="0" w:line="302" w:lineRule="auto"/>
        <w:tabs>
          <w:tab w:leader="none" w:pos="239" w:val="left"/>
        </w:tabs>
        <w:numPr>
          <w:ilvl w:val="0"/>
          <w:numId w:val="89"/>
        </w:numPr>
        <w:rPr>
          <w:rFonts w:ascii="Arial" w:cs="Arial" w:eastAsia="Arial" w:hAnsi="Arial"/>
          <w:sz w:val="16"/>
          <w:szCs w:val="16"/>
          <w:u w:val="single" w:color="auto"/>
          <w:color w:val="auto"/>
        </w:rPr>
      </w:pPr>
      <w:r>
        <w:rPr>
          <w:rFonts w:ascii="Arial" w:cs="Arial" w:eastAsia="Arial" w:hAnsi="Arial"/>
          <w:sz w:val="16"/>
          <w:szCs w:val="16"/>
          <w:color w:val="auto"/>
        </w:rPr>
        <w:t xml:space="preserve">(other than a Default or Event of Default described in </w:t>
      </w:r>
      <w:r>
        <w:rPr>
          <w:rFonts w:ascii="Arial" w:cs="Arial" w:eastAsia="Arial" w:hAnsi="Arial"/>
          <w:sz w:val="16"/>
          <w:szCs w:val="16"/>
          <w:u w:val="single" w:color="auto"/>
          <w:color w:val="auto"/>
        </w:rPr>
        <w:t>Sections 6.01(c) or (f)</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Sections 6.02(c), (e) or (f)</w:t>
      </w:r>
      <w:r>
        <w:rPr>
          <w:rFonts w:ascii="Arial" w:cs="Arial" w:eastAsia="Arial" w:hAnsi="Arial"/>
          <w:sz w:val="16"/>
          <w:szCs w:val="16"/>
          <w:color w:val="auto"/>
        </w:rPr>
        <w:t xml:space="preserve">) below need not be satisfied if the proceeds of the Borrowing are used to fund Revolving Collateral Loans or Delayed Drawdown Collateral Loans then owned by the Borrower or to settle trades committed to by the Borrower prior to the end of the Reinvestment Period or to fund the Revolving Reserve Account to the extent required under </w:t>
      </w:r>
      <w:r>
        <w:rPr>
          <w:rFonts w:ascii="Arial" w:cs="Arial" w:eastAsia="Arial" w:hAnsi="Arial"/>
          <w:sz w:val="16"/>
          <w:szCs w:val="16"/>
          <w:u w:val="single" w:color="auto"/>
          <w:color w:val="auto"/>
        </w:rPr>
        <w:t>Section 8.04</w:t>
      </w:r>
      <w:r>
        <w:rPr>
          <w:rFonts w:ascii="Arial" w:cs="Arial" w:eastAsia="Arial" w:hAnsi="Arial"/>
          <w:sz w:val="16"/>
          <w:szCs w:val="16"/>
          <w:color w:val="auto"/>
        </w:rPr>
        <w:t>:</w:t>
      </w:r>
    </w:p>
    <w:p>
      <w:pPr>
        <w:spacing w:after="0" w:line="28" w:lineRule="exact"/>
        <w:rPr>
          <w:rFonts w:ascii="Arial" w:cs="Arial" w:eastAsia="Arial" w:hAnsi="Arial"/>
          <w:sz w:val="16"/>
          <w:szCs w:val="16"/>
          <w:u w:val="single" w:color="auto"/>
          <w:color w:val="auto"/>
        </w:rPr>
      </w:pPr>
    </w:p>
    <w:p>
      <w:pPr>
        <w:ind w:left="460" w:right="200" w:firstLine="428"/>
        <w:spacing w:after="0" w:line="268" w:lineRule="auto"/>
        <w:tabs>
          <w:tab w:leader="none" w:pos="113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the Lenders and the Administrative Agent shall have received a Notice of Borrowing with respect to such Advance (including the Borrowing Base Calculation Statement attached thereto, all duly completed) delivered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260" w:firstLine="428"/>
        <w:spacing w:after="0" w:line="268" w:lineRule="auto"/>
        <w:tabs>
          <w:tab w:leader="none" w:pos="11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immediately after the making of such Advance on the applicable Borrowing Date, each Coverage Test shall be satisfied (as demonstrated on the Borrowing Base Calculation Statement attached to such Notice of Borrowing);</w:t>
      </w:r>
    </w:p>
    <w:p>
      <w:pPr>
        <w:spacing w:after="0" w:line="50" w:lineRule="exact"/>
        <w:rPr>
          <w:rFonts w:ascii="Arial" w:cs="Arial" w:eastAsia="Arial" w:hAnsi="Arial"/>
          <w:sz w:val="18"/>
          <w:szCs w:val="18"/>
          <w:color w:val="auto"/>
        </w:rPr>
      </w:pPr>
    </w:p>
    <w:p>
      <w:pPr>
        <w:ind w:left="460" w:firstLine="428"/>
        <w:spacing w:after="0" w:line="306" w:lineRule="auto"/>
        <w:tabs>
          <w:tab w:leader="none" w:pos="113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each of the representations and warranties of the Borrower contained in this Agreement shall be true and correct in all material respects as of such Borrowing Date (except to the extent such representations and warranties expressly relate to any earlier date, in which case such representations and warranties shall be true and correct in all material respects as of such earlier date as if made on such date); and</w:t>
      </w:r>
    </w:p>
    <w:p>
      <w:pPr>
        <w:spacing w:after="0" w:line="25" w:lineRule="exact"/>
        <w:rPr>
          <w:rFonts w:ascii="Arial" w:cs="Arial" w:eastAsia="Arial" w:hAnsi="Arial"/>
          <w:sz w:val="16"/>
          <w:szCs w:val="16"/>
          <w:color w:val="auto"/>
        </w:rPr>
      </w:pPr>
    </w:p>
    <w:p>
      <w:pPr>
        <w:ind w:left="460" w:right="560" w:firstLine="428"/>
        <w:spacing w:after="0" w:line="268" w:lineRule="auto"/>
        <w:tabs>
          <w:tab w:leader="none" w:pos="11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at the time of the making of such Advance or shall result upon the making of such Advance.</w:t>
      </w:r>
    </w:p>
    <w:p>
      <w:pPr>
        <w:spacing w:after="0" w:line="132"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i w:val="1"/>
          <w:iCs w:val="1"/>
          <w:color w:val="auto"/>
        </w:rPr>
        <w:t>Section 3.03. Conditions Precedent to Restatement Effective Date</w:t>
      </w:r>
      <w:r>
        <w:rPr>
          <w:rFonts w:ascii="Arial" w:cs="Arial" w:eastAsia="Arial" w:hAnsi="Arial"/>
          <w:sz w:val="18"/>
          <w:szCs w:val="18"/>
          <w:color w:val="auto"/>
        </w:rPr>
        <w:t>. The amendment and restatement of the Original Agreement on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set forth herein shall be subject to the conditions precedent that the Administrative Agent shall have received on or before the Restatement Effective Date the following, each in form and substance reasonably satisfactory to the Administrative Agent:</w:t>
      </w:r>
    </w:p>
    <w:p>
      <w:pPr>
        <w:spacing w:after="0" w:line="59" w:lineRule="exact"/>
        <w:rPr>
          <w:sz w:val="20"/>
          <w:szCs w:val="20"/>
          <w:color w:val="auto"/>
        </w:rPr>
      </w:pPr>
    </w:p>
    <w:p>
      <w:pPr>
        <w:ind w:left="460" w:right="40" w:firstLine="428"/>
        <w:spacing w:after="0" w:line="268" w:lineRule="auto"/>
        <w:tabs>
          <w:tab w:leader="none" w:pos="113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fully executed copy of this Agreement and the Lender Fee Letter dated as of even date herewith, in each case, duly executed and delivered by the parties thereto, which shall each be in full force and effect;</w:t>
      </w:r>
    </w:p>
    <w:p>
      <w:pPr>
        <w:spacing w:after="0" w:line="50" w:lineRule="exact"/>
        <w:rPr>
          <w:rFonts w:ascii="Arial" w:cs="Arial" w:eastAsia="Arial" w:hAnsi="Arial"/>
          <w:sz w:val="18"/>
          <w:szCs w:val="18"/>
          <w:color w:val="auto"/>
        </w:rPr>
      </w:pPr>
    </w:p>
    <w:p>
      <w:pPr>
        <w:ind w:left="1140" w:hanging="252"/>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fees called for by the Lender Fee Letter;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274" w:right="339" w:bottom="1440" w:gutter="0" w:footer="0" w:header="0"/>
        </w:sectPr>
      </w:pPr>
    </w:p>
    <w:bookmarkStart w:id="110" w:name="page111"/>
    <w:bookmarkEnd w:id="11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 a closing certificate from the Borrower substantially in the form set forth on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Section 4.01. Representations and Warranties of the Borrower</w:t>
      </w:r>
      <w:r>
        <w:rPr>
          <w:rFonts w:ascii="Arial" w:cs="Arial" w:eastAsia="Arial" w:hAnsi="Arial"/>
          <w:sz w:val="16"/>
          <w:szCs w:val="16"/>
          <w:color w:val="auto"/>
        </w:rPr>
        <w:t>. The Borrower represents and warrants to each of the Secured Parties on and as of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Measurement Date (and, in respect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below, each date such information is provided by or on behalf of it), as follows:</w:t>
      </w:r>
    </w:p>
    <w:p>
      <w:pPr>
        <w:spacing w:after="0" w:line="84" w:lineRule="exact"/>
        <w:rPr>
          <w:sz w:val="20"/>
          <w:szCs w:val="20"/>
          <w:color w:val="auto"/>
        </w:rPr>
      </w:pPr>
    </w:p>
    <w:p>
      <w:pPr>
        <w:jc w:val="both"/>
        <w:ind w:left="460" w:right="260" w:firstLine="428"/>
        <w:spacing w:after="0" w:line="306" w:lineRule="auto"/>
        <w:tabs>
          <w:tab w:leader="none" w:pos="113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Due Organization</w:t>
      </w:r>
      <w:r>
        <w:rPr>
          <w:rFonts w:ascii="Arial" w:cs="Arial" w:eastAsia="Arial" w:hAnsi="Arial"/>
          <w:sz w:val="16"/>
          <w:szCs w:val="16"/>
          <w:color w:val="auto"/>
        </w:rPr>
        <w:t>. The Borrower is a limited liability company duly organized and validly existing under the laws of the State of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25" w:lineRule="exact"/>
        <w:rPr>
          <w:rFonts w:ascii="Arial" w:cs="Arial" w:eastAsia="Arial" w:hAnsi="Arial"/>
          <w:sz w:val="16"/>
          <w:szCs w:val="16"/>
          <w:color w:val="auto"/>
        </w:rPr>
      </w:pPr>
    </w:p>
    <w:p>
      <w:pPr>
        <w:ind w:left="460" w:firstLine="428"/>
        <w:spacing w:after="0" w:line="298" w:lineRule="auto"/>
        <w:tabs>
          <w:tab w:leader="none" w:pos="114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Due Qualification and Good Standing</w:t>
      </w:r>
      <w:r>
        <w:rPr>
          <w:rFonts w:ascii="Arial" w:cs="Arial" w:eastAsia="Arial" w:hAnsi="Arial"/>
          <w:sz w:val="16"/>
          <w:szCs w:val="16"/>
          <w:color w:val="auto"/>
        </w:rPr>
        <w:t>. The Borrower is in good standing in the State of Delaware. The Borrower is duly qualified to do</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31" w:lineRule="exact"/>
        <w:rPr>
          <w:rFonts w:ascii="Arial" w:cs="Arial" w:eastAsia="Arial" w:hAnsi="Arial"/>
          <w:sz w:val="16"/>
          <w:szCs w:val="16"/>
          <w:color w:val="auto"/>
        </w:rPr>
      </w:pPr>
    </w:p>
    <w:p>
      <w:pPr>
        <w:ind w:left="460" w:right="100" w:firstLine="428"/>
        <w:spacing w:after="0" w:line="291" w:lineRule="auto"/>
        <w:tabs>
          <w:tab w:leader="none" w:pos="113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Due Authorization</w:t>
      </w:r>
      <w:r>
        <w:rPr>
          <w:rFonts w:ascii="Arial" w:cs="Arial" w:eastAsia="Arial" w:hAnsi="Arial"/>
          <w:sz w:val="16"/>
          <w:szCs w:val="16"/>
          <w:color w:val="auto"/>
        </w:rPr>
        <w:t>;</w:t>
      </w:r>
      <w:r>
        <w:rPr>
          <w:rFonts w:ascii="Arial" w:cs="Arial" w:eastAsia="Arial" w:hAnsi="Arial"/>
          <w:sz w:val="16"/>
          <w:szCs w:val="16"/>
          <w:i w:val="1"/>
          <w:iCs w:val="1"/>
          <w:color w:val="auto"/>
        </w:rPr>
        <w:t xml:space="preserve"> Execution and Delivery; Legal, Valid and Binding; Enforceability</w:t>
      </w:r>
      <w:r>
        <w:rPr>
          <w:rFonts w:ascii="Arial" w:cs="Arial" w:eastAsia="Arial" w:hAnsi="Arial"/>
          <w:sz w:val="16"/>
          <w:szCs w:val="16"/>
          <w:color w:val="auto"/>
        </w:rPr>
        <w:t>. The execution and delivery by the Borrower of,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38" w:lineRule="exact"/>
        <w:rPr>
          <w:rFonts w:ascii="Arial" w:cs="Arial" w:eastAsia="Arial" w:hAnsi="Arial"/>
          <w:sz w:val="16"/>
          <w:szCs w:val="16"/>
          <w:color w:val="auto"/>
        </w:rPr>
      </w:pPr>
    </w:p>
    <w:p>
      <w:pPr>
        <w:ind w:left="460" w:firstLine="428"/>
        <w:spacing w:after="0" w:line="291" w:lineRule="auto"/>
        <w:tabs>
          <w:tab w:leader="none" w:pos="114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Non-Contravention</w:t>
      </w:r>
      <w:r>
        <w:rPr>
          <w:rFonts w:ascii="Arial" w:cs="Arial" w:eastAsia="Arial" w:hAnsi="Arial"/>
          <w:sz w:val="16"/>
          <w:szCs w:val="16"/>
          <w:color w:val="auto"/>
        </w:rPr>
        <w:t>. None of the execution and delivery by the Borrower of this Agreement or the other Facility Documents to which it is a</w:t>
      </w:r>
      <w:r>
        <w:rPr>
          <w:rFonts w:ascii="Arial" w:cs="Arial" w:eastAsia="Arial" w:hAnsi="Arial"/>
          <w:sz w:val="16"/>
          <w:szCs w:val="16"/>
          <w:i w:val="1"/>
          <w:iCs w:val="1"/>
          <w:color w:val="auto"/>
        </w:rPr>
        <w:t xml:space="preserve"> </w:t>
      </w:r>
      <w:r>
        <w:rPr>
          <w:rFonts w:ascii="Arial" w:cs="Arial" w:eastAsia="Arial" w:hAnsi="Arial"/>
          <w:sz w:val="16"/>
          <w:szCs w:val="16"/>
          <w:color w:val="auto"/>
        </w:rPr>
        <w:t>party, the Borrowings or the pledge of the Collateral hereunder,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280" w:right="359" w:bottom="1440" w:gutter="0" w:footer="0" w:header="0"/>
        </w:sectPr>
      </w:pPr>
    </w:p>
    <w:bookmarkStart w:id="111" w:name="page112"/>
    <w:bookmarkEnd w:id="111"/>
    <w:p>
      <w:pPr>
        <w:ind w:left="3"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except in the case of </w:t>
      </w:r>
      <w:r>
        <w:rPr>
          <w:rFonts w:ascii="Arial" w:cs="Arial" w:eastAsia="Arial" w:hAnsi="Arial"/>
          <w:sz w:val="18"/>
          <w:szCs w:val="18"/>
          <w:u w:val="single" w:color="auto"/>
          <w:color w:val="auto"/>
        </w:rPr>
        <w:t>clauses (ii) or (iii)</w:t>
      </w:r>
      <w:r>
        <w:rPr>
          <w:rFonts w:ascii="Arial" w:cs="Arial" w:eastAsia="Arial" w:hAnsi="Arial"/>
          <w:sz w:val="18"/>
          <w:szCs w:val="18"/>
          <w:color w:val="auto"/>
        </w:rPr>
        <w:t>, where such conflict, contravention, breach, violation or default could not be reasonably expected to have a Material Adverse Effect.</w:t>
      </w:r>
    </w:p>
    <w:p>
      <w:pPr>
        <w:spacing w:after="0" w:line="66" w:lineRule="exact"/>
        <w:rPr>
          <w:sz w:val="20"/>
          <w:szCs w:val="20"/>
          <w:color w:val="auto"/>
        </w:rPr>
      </w:pPr>
    </w:p>
    <w:p>
      <w:pPr>
        <w:ind w:left="3" w:firstLine="428"/>
        <w:spacing w:after="0" w:line="288" w:lineRule="auto"/>
        <w:tabs>
          <w:tab w:leader="none" w:pos="673" w:val="left"/>
        </w:tabs>
        <w:numPr>
          <w:ilvl w:val="1"/>
          <w:numId w:val="92"/>
        </w:numPr>
        <w:rPr>
          <w:rFonts w:ascii="Arial" w:cs="Arial" w:eastAsia="Arial" w:hAnsi="Arial"/>
          <w:sz w:val="16"/>
          <w:szCs w:val="16"/>
          <w:color w:val="auto"/>
        </w:rPr>
      </w:pPr>
      <w:r>
        <w:rPr>
          <w:rFonts w:ascii="Arial" w:cs="Arial" w:eastAsia="Arial" w:hAnsi="Arial"/>
          <w:sz w:val="16"/>
          <w:szCs w:val="16"/>
          <w:i w:val="1"/>
          <w:iCs w:val="1"/>
          <w:color w:val="auto"/>
        </w:rPr>
        <w:t>Governmental Authorizations; Private Authorizations; Governmental Filings</w:t>
      </w:r>
      <w:r>
        <w:rPr>
          <w:rFonts w:ascii="Arial" w:cs="Arial" w:eastAsia="Arial" w:hAnsi="Arial"/>
          <w:sz w:val="16"/>
          <w:szCs w:val="16"/>
          <w:color w:val="auto"/>
        </w:rPr>
        <w:t>. The Borrower has obtained, maintained and kept in full force and</w:t>
      </w:r>
      <w:r>
        <w:rPr>
          <w:rFonts w:ascii="Arial" w:cs="Arial" w:eastAsia="Arial" w:hAnsi="Arial"/>
          <w:sz w:val="16"/>
          <w:szCs w:val="16"/>
          <w:i w:val="1"/>
          <w:iCs w:val="1"/>
          <w:color w:val="auto"/>
        </w:rPr>
        <w:t xml:space="preserve"> </w:t>
      </w:r>
      <w:r>
        <w:rPr>
          <w:rFonts w:ascii="Arial" w:cs="Arial" w:eastAsia="Arial" w:hAnsi="Arial"/>
          <w:sz w:val="16"/>
          <w:szCs w:val="16"/>
          <w:color w:val="auto"/>
        </w:rPr>
        <w:t>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37" w:lineRule="exact"/>
        <w:rPr>
          <w:rFonts w:ascii="Arial" w:cs="Arial" w:eastAsia="Arial" w:hAnsi="Arial"/>
          <w:sz w:val="16"/>
          <w:szCs w:val="16"/>
          <w:color w:val="auto"/>
        </w:rPr>
      </w:pPr>
    </w:p>
    <w:p>
      <w:pPr>
        <w:ind w:left="3" w:right="60" w:firstLine="428"/>
        <w:spacing w:after="0" w:line="283" w:lineRule="auto"/>
        <w:tabs>
          <w:tab w:leader="none" w:pos="653" w:val="left"/>
        </w:tabs>
        <w:numPr>
          <w:ilvl w:val="1"/>
          <w:numId w:val="92"/>
        </w:numPr>
        <w:rPr>
          <w:rFonts w:ascii="Arial" w:cs="Arial" w:eastAsia="Arial" w:hAnsi="Arial"/>
          <w:sz w:val="16"/>
          <w:szCs w:val="16"/>
          <w:color w:val="auto"/>
        </w:rPr>
      </w:pPr>
      <w:r>
        <w:rPr>
          <w:rFonts w:ascii="Arial" w:cs="Arial" w:eastAsia="Arial" w:hAnsi="Arial"/>
          <w:sz w:val="16"/>
          <w:szCs w:val="16"/>
          <w:i w:val="1"/>
          <w:iCs w:val="1"/>
          <w:color w:val="auto"/>
        </w:rPr>
        <w:t>Compliance with Agreements, Laws, Etc</w:t>
      </w:r>
      <w:r>
        <w:rPr>
          <w:rFonts w:ascii="Arial" w:cs="Arial" w:eastAsia="Arial" w:hAnsi="Arial"/>
          <w:sz w:val="16"/>
          <w:szCs w:val="16"/>
          <w:color w:val="auto"/>
        </w:rPr>
        <w:t>. The Borrower has duly observed and complied in all material respects with all Applicable Laws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conduct of its business and its assets. The Borrower has preserved and kept in full force and effect its legal existence. The Borrower has preserved 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 material respects with the regulations and rules promulgated by the U.S. Department of Treasury and/or administered by the U.S. Office of Foreign Asset Controls (</w:t>
      </w:r>
      <w:r>
        <w:rPr>
          <w:rFonts w:ascii="Arial" w:cs="Arial" w:eastAsia="Arial" w:hAnsi="Arial"/>
          <w:sz w:val="16"/>
          <w:szCs w:val="16"/>
          <w:i w:val="1"/>
          <w:iCs w:val="1"/>
          <w:color w:val="auto"/>
        </w:rPr>
        <w:t>“OFAC”</w:t>
      </w:r>
      <w:r>
        <w:rPr>
          <w:rFonts w:ascii="Arial" w:cs="Arial" w:eastAsia="Arial" w:hAnsi="Arial"/>
          <w:sz w:val="16"/>
          <w:szCs w:val="16"/>
          <w:color w:val="auto"/>
        </w:rPr>
        <w:t xml:space="preserve">), including U.S. Executive Order No. 13224, and other related statutes, laws and regulations (collectively, the </w:t>
      </w:r>
      <w:r>
        <w:rPr>
          <w:rFonts w:ascii="Arial" w:cs="Arial" w:eastAsia="Arial" w:hAnsi="Arial"/>
          <w:sz w:val="16"/>
          <w:szCs w:val="16"/>
          <w:i w:val="1"/>
          <w:iCs w:val="1"/>
          <w:color w:val="auto"/>
        </w:rPr>
        <w:t>“Subject Laws”</w:t>
      </w:r>
      <w:r>
        <w:rPr>
          <w:rFonts w:ascii="Arial" w:cs="Arial" w:eastAsia="Arial" w:hAnsi="Arial"/>
          <w:sz w:val="16"/>
          <w:szCs w:val="16"/>
          <w:color w:val="auto"/>
        </w:rPr>
        <w:t>),</w:t>
      </w:r>
    </w:p>
    <w:p>
      <w:pPr>
        <w:ind w:left="3" w:right="100" w:hanging="3"/>
        <w:spacing w:after="0" w:line="295" w:lineRule="auto"/>
        <w:tabs>
          <w:tab w:leader="none" w:pos="25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Borrower has adopted internal controls and procedures designed to ensure its continued compliance with the applicable provisions of the Subject Laws and to the extent applicable, will adopt procedures consistent with the PATRIOT Act and implementing regulations, and (z) to the knowledge of the Borrower (based on the implementation of its internal procedures and controls), no investor in the Borrower is a Person whose name appears on the “List of Specially Designated Nationals” and “Blocked Persons” maintained by the OFAC.</w:t>
      </w:r>
    </w:p>
    <w:p>
      <w:pPr>
        <w:spacing w:after="0" w:line="34" w:lineRule="exact"/>
        <w:rPr>
          <w:rFonts w:ascii="Arial" w:cs="Arial" w:eastAsia="Arial" w:hAnsi="Arial"/>
          <w:sz w:val="16"/>
          <w:szCs w:val="16"/>
          <w:color w:val="auto"/>
        </w:rPr>
      </w:pPr>
    </w:p>
    <w:p>
      <w:pPr>
        <w:ind w:left="3" w:right="360" w:firstLine="428"/>
        <w:spacing w:after="0" w:line="259" w:lineRule="auto"/>
        <w:tabs>
          <w:tab w:leader="none" w:pos="683" w:val="left"/>
        </w:tabs>
        <w:numPr>
          <w:ilvl w:val="1"/>
          <w:numId w:val="93"/>
        </w:numPr>
        <w:rPr>
          <w:rFonts w:ascii="Arial" w:cs="Arial" w:eastAsia="Arial" w:hAnsi="Arial"/>
          <w:sz w:val="18"/>
          <w:szCs w:val="18"/>
          <w:color w:val="auto"/>
        </w:rPr>
      </w:pPr>
      <w:r>
        <w:rPr>
          <w:rFonts w:ascii="Arial" w:cs="Arial" w:eastAsia="Arial" w:hAnsi="Arial"/>
          <w:sz w:val="18"/>
          <w:szCs w:val="18"/>
          <w:i w:val="1"/>
          <w:iCs w:val="1"/>
          <w:color w:val="auto"/>
        </w:rPr>
        <w:t>Location</w:t>
      </w:r>
      <w:r>
        <w:rPr>
          <w:rFonts w:ascii="Arial" w:cs="Arial" w:eastAsia="Arial" w:hAnsi="Arial"/>
          <w:sz w:val="18"/>
          <w:szCs w:val="18"/>
          <w:color w:val="auto"/>
        </w:rPr>
        <w:t>. The Borrower’s chief place of business, its chief executive office and the office in which the Borrower maintains its books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records are located in the State of New York. The Borrower’s registered office and the jurisdiction of organization of the Borrower is the jurisdiction referred to in </w:t>
      </w:r>
      <w:r>
        <w:rPr>
          <w:rFonts w:ascii="Arial" w:cs="Arial" w:eastAsia="Arial" w:hAnsi="Arial"/>
          <w:sz w:val="18"/>
          <w:szCs w:val="18"/>
          <w:u w:val="single" w:color="auto"/>
          <w:color w:val="auto"/>
        </w:rPr>
        <w:t>Section 4.01(a)</w:t>
      </w:r>
      <w:r>
        <w:rPr>
          <w:rFonts w:ascii="Arial" w:cs="Arial" w:eastAsia="Arial" w:hAnsi="Arial"/>
          <w:sz w:val="18"/>
          <w:szCs w:val="18"/>
          <w:color w:val="auto"/>
        </w:rPr>
        <w:t>.</w:t>
      </w:r>
    </w:p>
    <w:p>
      <w:pPr>
        <w:spacing w:after="0" w:line="126"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783"/>
          </w:cols>
          <w:pgMar w:left="777" w:top="280" w:right="339" w:bottom="1440" w:gutter="0" w:footer="0" w:header="0"/>
        </w:sectPr>
      </w:pPr>
    </w:p>
    <w:bookmarkStart w:id="112" w:name="page113"/>
    <w:bookmarkEnd w:id="112"/>
    <w:p>
      <w:pPr>
        <w:ind w:right="220" w:firstLine="428"/>
        <w:spacing w:after="0" w:line="268" w:lineRule="auto"/>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Company Act</w:t>
      </w:r>
      <w:r>
        <w:rPr>
          <w:rFonts w:ascii="Arial" w:cs="Arial" w:eastAsia="Arial" w:hAnsi="Arial"/>
          <w:sz w:val="18"/>
          <w:szCs w:val="18"/>
          <w:color w:val="auto"/>
        </w:rPr>
        <w:t>. Assuming compliance by each of the Lenders and any participant with</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15.06</w:t>
      </w:r>
      <w:r>
        <w:rPr>
          <w:rFonts w:ascii="Arial" w:cs="Arial" w:eastAsia="Arial" w:hAnsi="Arial"/>
          <w:sz w:val="18"/>
          <w:szCs w:val="18"/>
          <w:color w:val="auto"/>
        </w:rPr>
        <w:t>, neither the Borrower nor the</w:t>
      </w:r>
      <w:r>
        <w:rPr>
          <w:rFonts w:ascii="Arial" w:cs="Arial" w:eastAsia="Arial" w:hAnsi="Arial"/>
          <w:sz w:val="18"/>
          <w:szCs w:val="18"/>
          <w:i w:val="1"/>
          <w:iCs w:val="1"/>
          <w:color w:val="auto"/>
        </w:rPr>
        <w:t xml:space="preserve"> </w:t>
      </w:r>
      <w:r>
        <w:rPr>
          <w:rFonts w:ascii="Arial" w:cs="Arial" w:eastAsia="Arial" w:hAnsi="Arial"/>
          <w:sz w:val="18"/>
          <w:szCs w:val="18"/>
          <w:color w:val="auto"/>
        </w:rPr>
        <w:t>pool of Collateral is required to register as an “investment company” under the Investment Company Act.</w:t>
      </w:r>
    </w:p>
    <w:p>
      <w:pPr>
        <w:spacing w:after="0" w:line="50" w:lineRule="exact"/>
        <w:rPr>
          <w:rFonts w:ascii="Arial" w:cs="Arial" w:eastAsia="Arial" w:hAnsi="Arial"/>
          <w:sz w:val="18"/>
          <w:szCs w:val="18"/>
          <w:color w:val="auto"/>
        </w:rPr>
      </w:pPr>
    </w:p>
    <w:p>
      <w:pPr>
        <w:ind w:right="300" w:firstLine="428"/>
        <w:spacing w:after="0" w:line="317" w:lineRule="auto"/>
        <w:tabs>
          <w:tab w:leader="none" w:pos="641"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Information and Reports</w:t>
      </w:r>
      <w:r>
        <w:rPr>
          <w:rFonts w:ascii="Arial" w:cs="Arial" w:eastAsia="Arial" w:hAnsi="Arial"/>
          <w:sz w:val="15"/>
          <w:szCs w:val="15"/>
          <w:color w:val="auto"/>
        </w:rPr>
        <w:t>. Each Notice of Borrowing, each Monthly Report, each Payment Date Report and all other written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reports, certificates and statements (other than projections and forward-looking statements) furnished by or on behalf of the Borrower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Borrower were prepared reasonably and in good faith as the date stated herein or as of which they were provided.</w:t>
      </w:r>
    </w:p>
    <w:p>
      <w:pPr>
        <w:spacing w:after="0" w:line="21" w:lineRule="exact"/>
        <w:rPr>
          <w:rFonts w:ascii="Arial" w:cs="Arial" w:eastAsia="Arial" w:hAnsi="Arial"/>
          <w:sz w:val="15"/>
          <w:szCs w:val="15"/>
          <w:color w:val="auto"/>
        </w:rPr>
      </w:pPr>
    </w:p>
    <w:p>
      <w:pPr>
        <w:ind w:firstLine="428"/>
        <w:spacing w:after="0" w:line="268" w:lineRule="auto"/>
        <w:tabs>
          <w:tab w:leader="none" w:pos="641"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Neither the Borrower nor any member of the ERISA Group has, or during the past five years had, any liability or obligation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any Plan or Multiemployer Plan.</w:t>
      </w:r>
    </w:p>
    <w:p>
      <w:pPr>
        <w:spacing w:after="0" w:line="50" w:lineRule="exact"/>
        <w:rPr>
          <w:rFonts w:ascii="Arial" w:cs="Arial" w:eastAsia="Arial" w:hAnsi="Arial"/>
          <w:sz w:val="18"/>
          <w:szCs w:val="18"/>
          <w:color w:val="auto"/>
        </w:rPr>
      </w:pPr>
    </w:p>
    <w:p>
      <w:pPr>
        <w:ind w:right="160" w:firstLine="428"/>
        <w:spacing w:after="0" w:line="268" w:lineRule="auto"/>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The Borrower has filed all income tax returns and all other tax returns which are required to be filed by it, if any, and has paid all taxes</w:t>
      </w:r>
      <w:r>
        <w:rPr>
          <w:rFonts w:ascii="Arial" w:cs="Arial" w:eastAsia="Arial" w:hAnsi="Arial"/>
          <w:sz w:val="18"/>
          <w:szCs w:val="18"/>
          <w:i w:val="1"/>
          <w:iCs w:val="1"/>
          <w:color w:val="auto"/>
        </w:rPr>
        <w:t xml:space="preserve"> </w:t>
      </w:r>
      <w:r>
        <w:rPr>
          <w:rFonts w:ascii="Arial" w:cs="Arial" w:eastAsia="Arial" w:hAnsi="Arial"/>
          <w:sz w:val="18"/>
          <w:szCs w:val="18"/>
          <w:color w:val="auto"/>
        </w:rPr>
        <w:t>shown to be due and payable on such returns, if any, or pursuant to any assessment received by any such Person.</w:t>
      </w:r>
    </w:p>
    <w:p>
      <w:pPr>
        <w:spacing w:after="0" w:line="50" w:lineRule="exact"/>
        <w:rPr>
          <w:rFonts w:ascii="Arial" w:cs="Arial" w:eastAsia="Arial" w:hAnsi="Arial"/>
          <w:sz w:val="18"/>
          <w:szCs w:val="18"/>
          <w:color w:val="auto"/>
        </w:rPr>
      </w:pPr>
    </w:p>
    <w:p>
      <w:pPr>
        <w:ind w:right="20" w:firstLine="428"/>
        <w:spacing w:after="0" w:line="259" w:lineRule="auto"/>
        <w:tabs>
          <w:tab w:leader="none" w:pos="641"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Tax Status</w:t>
      </w:r>
      <w:r>
        <w:rPr>
          <w:rFonts w:ascii="Arial" w:cs="Arial" w:eastAsia="Arial" w:hAnsi="Arial"/>
          <w:sz w:val="18"/>
          <w:szCs w:val="18"/>
          <w:color w:val="auto"/>
        </w:rPr>
        <w:t>. For U.S. Federal income tax purposes, assuming that the Advances constitute debt for such purposes, the Borrower is (i) disregarded</w:t>
      </w:r>
      <w:r>
        <w:rPr>
          <w:rFonts w:ascii="Arial" w:cs="Arial" w:eastAsia="Arial" w:hAnsi="Arial"/>
          <w:sz w:val="18"/>
          <w:szCs w:val="18"/>
          <w:i w:val="1"/>
          <w:iCs w:val="1"/>
          <w:color w:val="auto"/>
        </w:rPr>
        <w:t xml:space="preserve"> </w:t>
      </w:r>
      <w:r>
        <w:rPr>
          <w:rFonts w:ascii="Arial" w:cs="Arial" w:eastAsia="Arial" w:hAnsi="Arial"/>
          <w:sz w:val="18"/>
          <w:szCs w:val="18"/>
          <w:color w:val="auto"/>
        </w:rPr>
        <w:t>as an entity separate from its owner and (ii) has not made an election under U.S. Treasury Regulation Section 301.7701-3 and is not otherwise treated as an association taxable as a corporation.</w:t>
      </w:r>
    </w:p>
    <w:p>
      <w:pPr>
        <w:spacing w:after="0" w:line="58" w:lineRule="exact"/>
        <w:rPr>
          <w:rFonts w:ascii="Arial" w:cs="Arial" w:eastAsia="Arial" w:hAnsi="Arial"/>
          <w:sz w:val="18"/>
          <w:szCs w:val="18"/>
          <w:color w:val="auto"/>
        </w:rPr>
      </w:pPr>
    </w:p>
    <w:p>
      <w:pPr>
        <w:ind w:right="320" w:firstLine="428"/>
        <w:spacing w:after="0" w:line="268" w:lineRule="auto"/>
        <w:tabs>
          <w:tab w:leader="none" w:pos="728"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Collections</w:t>
      </w:r>
      <w:r>
        <w:rPr>
          <w:rFonts w:ascii="Arial" w:cs="Arial" w:eastAsia="Arial" w:hAnsi="Arial"/>
          <w:sz w:val="18"/>
          <w:szCs w:val="18"/>
          <w:color w:val="auto"/>
        </w:rPr>
        <w:t>. All Collections payable to the Borrower shall be remitted directly to the Interest Collection Subaccount (in the case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or the Principal Collection Subaccount (in the case of Principal Proceeds).</w:t>
      </w:r>
    </w:p>
    <w:p>
      <w:pPr>
        <w:spacing w:after="0" w:line="50" w:lineRule="exact"/>
        <w:rPr>
          <w:rFonts w:ascii="Arial" w:cs="Arial" w:eastAsia="Arial" w:hAnsi="Arial"/>
          <w:sz w:val="18"/>
          <w:szCs w:val="18"/>
          <w:color w:val="auto"/>
        </w:rPr>
      </w:pPr>
    </w:p>
    <w:p>
      <w:pPr>
        <w:ind w:right="20" w:firstLine="428"/>
        <w:spacing w:after="0" w:line="256" w:lineRule="auto"/>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Plan Assets</w:t>
      </w:r>
      <w:r>
        <w:rPr>
          <w:rFonts w:ascii="Arial" w:cs="Arial" w:eastAsia="Arial" w:hAnsi="Arial"/>
          <w:sz w:val="18"/>
          <w:szCs w:val="18"/>
          <w:color w:val="auto"/>
        </w:rPr>
        <w:t>. The assets of the Borrower are not treated as “plan assets” for purposes of Section 3(42) of ERISA and the Collateral is not</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“plan assets” for purposes of Section 3(42) of ERISA. The Borrower has not taken, or omitted to take, any action which would result in any of the Collateral being treated as “plan assets” for purposes of Section 3(42) of ERISA or the occurrence of any Prohibited Transaction in connection with the transactions contemplated hereunder.</w:t>
      </w:r>
    </w:p>
    <w:p>
      <w:pPr>
        <w:spacing w:after="0" w:line="61" w:lineRule="exact"/>
        <w:rPr>
          <w:rFonts w:ascii="Arial" w:cs="Arial" w:eastAsia="Arial" w:hAnsi="Arial"/>
          <w:sz w:val="18"/>
          <w:szCs w:val="18"/>
          <w:color w:val="auto"/>
        </w:rPr>
      </w:pPr>
    </w:p>
    <w:p>
      <w:pPr>
        <w:ind w:left="680" w:hanging="252"/>
        <w:spacing w:after="0"/>
        <w:tabs>
          <w:tab w:leader="none" w:pos="68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Solvency</w:t>
      </w:r>
      <w:r>
        <w:rPr>
          <w:rFonts w:ascii="Arial" w:cs="Arial" w:eastAsia="Arial" w:hAnsi="Arial"/>
          <w:sz w:val="16"/>
          <w:szCs w:val="16"/>
          <w:color w:val="auto"/>
        </w:rPr>
        <w:t>. After giving effect to each Advance hereunder, and the disbursement of the proceeds of such Advance, the Borrower is and will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Solvent.</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780"/>
          </w:cols>
          <w:pgMar w:left="780" w:top="280" w:right="339" w:bottom="1440" w:gutter="0" w:footer="0" w:header="0"/>
        </w:sectPr>
      </w:pPr>
    </w:p>
    <w:bookmarkStart w:id="113" w:name="page114"/>
    <w:bookmarkEnd w:id="113"/>
    <w:p>
      <w:pPr>
        <w:ind w:left="252" w:hanging="252"/>
        <w:spacing w:after="0"/>
        <w:tabs>
          <w:tab w:leader="none" w:pos="252"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Relating to the Collateral</w:t>
      </w:r>
      <w:r>
        <w:rPr>
          <w:rFonts w:ascii="Arial" w:cs="Arial" w:eastAsia="Arial" w:hAnsi="Arial"/>
          <w:sz w:val="18"/>
          <w:szCs w:val="18"/>
          <w:color w:val="auto"/>
        </w:rPr>
        <w:t>. The Borrower hereby represents and warrants that:</w:t>
      </w:r>
    </w:p>
    <w:p>
      <w:pPr>
        <w:spacing w:after="0" w:line="90" w:lineRule="exact"/>
        <w:rPr>
          <w:rFonts w:ascii="Arial" w:cs="Arial" w:eastAsia="Arial" w:hAnsi="Arial"/>
          <w:sz w:val="18"/>
          <w:szCs w:val="18"/>
          <w:color w:val="auto"/>
        </w:rPr>
      </w:pPr>
    </w:p>
    <w:p>
      <w:pPr>
        <w:ind w:left="12" w:right="140" w:firstLine="420"/>
        <w:spacing w:after="0" w:line="268" w:lineRule="auto"/>
        <w:tabs>
          <w:tab w:leader="none" w:pos="635" w:val="left"/>
        </w:tabs>
        <w:numPr>
          <w:ilvl w:val="2"/>
          <w:numId w:val="95"/>
        </w:numPr>
        <w:rPr>
          <w:rFonts w:ascii="Arial" w:cs="Arial" w:eastAsia="Arial" w:hAnsi="Arial"/>
          <w:sz w:val="18"/>
          <w:szCs w:val="18"/>
          <w:color w:val="auto"/>
        </w:rPr>
      </w:pPr>
      <w:r>
        <w:rPr>
          <w:rFonts w:ascii="Arial" w:cs="Arial" w:eastAsia="Arial" w:hAnsi="Arial"/>
          <w:sz w:val="18"/>
          <w:szCs w:val="18"/>
          <w:color w:val="auto"/>
        </w:rPr>
        <w:t>it owns and has legal and beneficial title to all Collateral Loans and other Collateral free and clear of any Lien, claim or encumbrance of any person, other than Permitted Liens;</w:t>
      </w:r>
    </w:p>
    <w:p>
      <w:pPr>
        <w:spacing w:after="0" w:line="50" w:lineRule="exact"/>
        <w:rPr>
          <w:rFonts w:ascii="Arial" w:cs="Arial" w:eastAsia="Arial" w:hAnsi="Arial"/>
          <w:sz w:val="18"/>
          <w:szCs w:val="18"/>
          <w:color w:val="auto"/>
        </w:rPr>
      </w:pPr>
    </w:p>
    <w:p>
      <w:pPr>
        <w:ind w:left="12" w:right="40" w:firstLine="420"/>
        <w:spacing w:after="0" w:line="298" w:lineRule="auto"/>
        <w:tabs>
          <w:tab w:leader="none" w:pos="683" w:val="left"/>
        </w:tabs>
        <w:numPr>
          <w:ilvl w:val="2"/>
          <w:numId w:val="95"/>
        </w:numPr>
        <w:rPr>
          <w:rFonts w:ascii="Arial" w:cs="Arial" w:eastAsia="Arial" w:hAnsi="Arial"/>
          <w:sz w:val="16"/>
          <w:szCs w:val="16"/>
          <w:color w:val="auto"/>
        </w:rPr>
      </w:pPr>
      <w:r>
        <w:rPr>
          <w:rFonts w:ascii="Arial" w:cs="Arial" w:eastAsia="Arial" w:hAnsi="Arial"/>
          <w:sz w:val="16"/>
          <w:szCs w:val="16"/>
          <w:color w:val="auto"/>
        </w:rPr>
        <w:t>other than Permitted Liens, the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Collateral Agent hereunder or that has been terminated; and the Borrower is not aware of any judgment, PBGC liens or tax lien filings against the Borrower;</w:t>
      </w:r>
    </w:p>
    <w:p>
      <w:pPr>
        <w:spacing w:after="0" w:line="31" w:lineRule="exact"/>
        <w:rPr>
          <w:rFonts w:ascii="Arial" w:cs="Arial" w:eastAsia="Arial" w:hAnsi="Arial"/>
          <w:sz w:val="16"/>
          <w:szCs w:val="16"/>
          <w:color w:val="auto"/>
        </w:rPr>
      </w:pPr>
    </w:p>
    <w:p>
      <w:pPr>
        <w:ind w:left="12" w:right="140" w:firstLine="420"/>
        <w:spacing w:after="0" w:line="256" w:lineRule="auto"/>
        <w:tabs>
          <w:tab w:leader="none" w:pos="732"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Collateral constitutes Money, Cash, accounts (as defined in Section 9-102(a)(2) of the UCC), Instruments, general intangibles (as defined in Section 9-102(a)(42) of the UCC), uncertificated securities (as defined in Section 8-102(a)(18) of the UCC), Certificated Securities or security entitlements to financial assets resulting from the crediting of financial assets to a “securities account” (as defined in Section 8-501(a) of the UCC);</w:t>
      </w:r>
    </w:p>
    <w:p>
      <w:pPr>
        <w:spacing w:after="0" w:line="61" w:lineRule="exact"/>
        <w:rPr>
          <w:rFonts w:ascii="Arial" w:cs="Arial" w:eastAsia="Arial" w:hAnsi="Arial"/>
          <w:sz w:val="18"/>
          <w:szCs w:val="18"/>
          <w:color w:val="auto"/>
        </w:rPr>
      </w:pPr>
    </w:p>
    <w:p>
      <w:pPr>
        <w:ind w:left="732" w:hanging="300"/>
        <w:spacing w:after="0"/>
        <w:tabs>
          <w:tab w:leader="none" w:pos="732" w:val="left"/>
        </w:tabs>
        <w:numPr>
          <w:ilvl w:val="2"/>
          <w:numId w:val="95"/>
        </w:numPr>
        <w:rPr>
          <w:rFonts w:ascii="Arial" w:cs="Arial" w:eastAsia="Arial" w:hAnsi="Arial"/>
          <w:sz w:val="18"/>
          <w:szCs w:val="18"/>
          <w:color w:val="auto"/>
        </w:rPr>
      </w:pPr>
      <w:r>
        <w:rPr>
          <w:rFonts w:ascii="Arial" w:cs="Arial" w:eastAsia="Arial" w:hAnsi="Arial"/>
          <w:sz w:val="18"/>
          <w:szCs w:val="18"/>
          <w:color w:val="auto"/>
        </w:rPr>
        <w:t>all Covered Accounts constitute “securities accounts” under Section 8-501(a) of the UCC;</w:t>
      </w:r>
    </w:p>
    <w:p>
      <w:pPr>
        <w:spacing w:after="0" w:line="90" w:lineRule="exact"/>
        <w:rPr>
          <w:rFonts w:ascii="Arial" w:cs="Arial" w:eastAsia="Arial" w:hAnsi="Arial"/>
          <w:sz w:val="18"/>
          <w:szCs w:val="18"/>
          <w:color w:val="auto"/>
        </w:rPr>
      </w:pPr>
    </w:p>
    <w:p>
      <w:pPr>
        <w:ind w:left="672" w:hanging="240"/>
        <w:spacing w:after="0"/>
        <w:tabs>
          <w:tab w:leader="none" w:pos="672" w:val="left"/>
        </w:tabs>
        <w:numPr>
          <w:ilvl w:val="2"/>
          <w:numId w:val="95"/>
        </w:numPr>
        <w:rPr>
          <w:rFonts w:ascii="Arial" w:cs="Arial" w:eastAsia="Arial" w:hAnsi="Arial"/>
          <w:sz w:val="16"/>
          <w:szCs w:val="16"/>
          <w:color w:val="auto"/>
        </w:rPr>
      </w:pPr>
      <w:r>
        <w:rPr>
          <w:rFonts w:ascii="Arial" w:cs="Arial" w:eastAsia="Arial" w:hAnsi="Arial"/>
          <w:sz w:val="16"/>
          <w:szCs w:val="16"/>
          <w:color w:val="auto"/>
        </w:rPr>
        <w:t xml:space="preserve">this Agreement creates a valid, continuing and, upon Delivery of Collateral, filing of the financing statement referred to in </w:t>
      </w:r>
      <w:r>
        <w:rPr>
          <w:rFonts w:ascii="Arial" w:cs="Arial" w:eastAsia="Arial" w:hAnsi="Arial"/>
          <w:sz w:val="16"/>
          <w:szCs w:val="16"/>
          <w:u w:val="single" w:color="auto"/>
          <w:color w:val="auto"/>
        </w:rPr>
        <w:t>clause</w:t>
      </w:r>
    </w:p>
    <w:p>
      <w:pPr>
        <w:spacing w:after="0" w:line="38" w:lineRule="exact"/>
        <w:rPr>
          <w:rFonts w:ascii="Arial" w:cs="Arial" w:eastAsia="Arial" w:hAnsi="Arial"/>
          <w:sz w:val="16"/>
          <w:szCs w:val="16"/>
          <w:color w:val="auto"/>
        </w:rPr>
      </w:pPr>
    </w:p>
    <w:p>
      <w:pPr>
        <w:ind w:left="12" w:right="140" w:firstLine="6"/>
        <w:spacing w:after="0" w:line="302" w:lineRule="auto"/>
        <w:tabs>
          <w:tab w:leader="none" w:pos="406" w:val="left"/>
        </w:tabs>
        <w:numPr>
          <w:ilvl w:val="1"/>
          <w:numId w:val="95"/>
        </w:numPr>
        <w:rPr>
          <w:rFonts w:ascii="Arial" w:cs="Arial" w:eastAsia="Arial" w:hAnsi="Arial"/>
          <w:sz w:val="16"/>
          <w:szCs w:val="16"/>
          <w:u w:val="single" w:color="auto"/>
          <w:color w:val="auto"/>
        </w:rPr>
      </w:pPr>
      <w:r>
        <w:rPr>
          <w:rFonts w:ascii="Arial" w:cs="Arial" w:eastAsia="Arial" w:hAnsi="Arial"/>
          <w:sz w:val="16"/>
          <w:szCs w:val="16"/>
          <w:color w:val="auto"/>
        </w:rPr>
        <w:t>and execution of the Account Control Agreement, perfected security interest (as defined in Section 1-201(37) of the UCC) in the Collateral in favor of the Collateral Agent, for the benefit and security of the Secured Parties, which security interest is prior to all other liens (other than Permitted Liens), claims and encumbrances and is enforceable as such against creditors of and purchasers from the Borrower;</w:t>
      </w:r>
    </w:p>
    <w:p>
      <w:pPr>
        <w:spacing w:after="0" w:line="28" w:lineRule="exact"/>
        <w:rPr>
          <w:rFonts w:ascii="Arial" w:cs="Arial" w:eastAsia="Arial" w:hAnsi="Arial"/>
          <w:sz w:val="16"/>
          <w:szCs w:val="16"/>
          <w:u w:val="single" w:color="auto"/>
          <w:color w:val="auto"/>
        </w:rPr>
      </w:pPr>
    </w:p>
    <w:p>
      <w:pPr>
        <w:ind w:left="12" w:firstLine="420"/>
        <w:spacing w:after="0" w:line="268" w:lineRule="auto"/>
        <w:tabs>
          <w:tab w:leader="none" w:pos="722"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Borrower has received all consents and approvals required by the terms of the Related Documents in respect of such Collateral to the pledge hereunder to the Collateral Agent of its interest and rights in such Collateral;</w:t>
      </w:r>
    </w:p>
    <w:p>
      <w:pPr>
        <w:spacing w:after="0" w:line="50" w:lineRule="exact"/>
        <w:rPr>
          <w:rFonts w:ascii="Arial" w:cs="Arial" w:eastAsia="Arial" w:hAnsi="Arial"/>
          <w:sz w:val="18"/>
          <w:szCs w:val="18"/>
          <w:color w:val="auto"/>
        </w:rPr>
      </w:pPr>
    </w:p>
    <w:p>
      <w:pPr>
        <w:ind w:left="12" w:right="440" w:firstLine="420"/>
        <w:spacing w:after="0" w:line="268" w:lineRule="auto"/>
        <w:tabs>
          <w:tab w:leader="none" w:pos="771" w:val="left"/>
        </w:tabs>
        <w:numPr>
          <w:ilvl w:val="2"/>
          <w:numId w:val="96"/>
        </w:numPr>
        <w:rPr>
          <w:rFonts w:ascii="Arial" w:cs="Arial" w:eastAsia="Arial" w:hAnsi="Arial"/>
          <w:sz w:val="18"/>
          <w:szCs w:val="18"/>
          <w:color w:val="auto"/>
        </w:rPr>
      </w:pPr>
      <w:r>
        <w:rPr>
          <w:rFonts w:ascii="Arial" w:cs="Arial" w:eastAsia="Arial" w:hAnsi="Arial"/>
          <w:sz w:val="18"/>
          <w:szCs w:val="18"/>
          <w:color w:val="auto"/>
        </w:rPr>
        <w:t>with respect to the Collateral that constitutes Security Entitlements, all such Collateral has been and will have been credited to the Custodial Account; and</w:t>
      </w:r>
    </w:p>
    <w:p>
      <w:pPr>
        <w:spacing w:after="0" w:line="118" w:lineRule="exact"/>
        <w:rPr>
          <w:sz w:val="20"/>
          <w:szCs w:val="20"/>
          <w:color w:val="auto"/>
        </w:rPr>
      </w:pPr>
    </w:p>
    <w:p>
      <w:pPr>
        <w:ind w:left="4592"/>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332"/>
          </w:cols>
          <w:pgMar w:left="1208" w:top="280" w:right="359" w:bottom="1440" w:gutter="0" w:footer="0" w:header="0"/>
        </w:sectPr>
      </w:pPr>
    </w:p>
    <w:bookmarkStart w:id="114" w:name="page115"/>
    <w:bookmarkEnd w:id="114"/>
    <w:p>
      <w:pPr>
        <w:jc w:val="both"/>
        <w:ind w:left="900" w:right="160" w:firstLine="420"/>
        <w:spacing w:after="0" w:line="298" w:lineRule="auto"/>
        <w:tabs>
          <w:tab w:leader="none" w:pos="1708" w:val="left"/>
        </w:tabs>
        <w:numPr>
          <w:ilvl w:val="0"/>
          <w:numId w:val="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Collateral that constitutes accounts or general intangibles, the Borrower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(which the Borrower hereby agrees may be an “all asset” filing).</w:t>
      </w:r>
    </w:p>
    <w:p>
      <w:pPr>
        <w:spacing w:after="0" w:line="112" w:lineRule="exact"/>
        <w:rPr>
          <w:sz w:val="20"/>
          <w:szCs w:val="20"/>
          <w:color w:val="auto"/>
        </w:rPr>
      </w:pPr>
    </w:p>
    <w:p>
      <w:pPr>
        <w:ind w:right="100" w:firstLine="449"/>
        <w:spacing w:after="0" w:line="331" w:lineRule="auto"/>
        <w:rPr>
          <w:sz w:val="20"/>
          <w:szCs w:val="20"/>
          <w:color w:val="auto"/>
        </w:rPr>
      </w:pPr>
      <w:r>
        <w:rPr>
          <w:rFonts w:ascii="Arial" w:cs="Arial" w:eastAsia="Arial" w:hAnsi="Arial"/>
          <w:sz w:val="16"/>
          <w:szCs w:val="16"/>
          <w:i w:val="1"/>
          <w:iCs w:val="1"/>
          <w:color w:val="auto"/>
        </w:rPr>
        <w:t>Section 4.02. Representations and Warranties of the Collateral Manager</w:t>
      </w:r>
      <w:r>
        <w:rPr>
          <w:rFonts w:ascii="Arial" w:cs="Arial" w:eastAsia="Arial" w:hAnsi="Arial"/>
          <w:sz w:val="16"/>
          <w:szCs w:val="16"/>
          <w:color w:val="auto"/>
        </w:rPr>
        <w:t>. The Collateral Manager represents and warrants to each of the Secured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and as of each Measurement Date (and in respect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below, each date such information is provided by or on behalf of it), as follows:</w:t>
      </w:r>
    </w:p>
    <w:p>
      <w:pPr>
        <w:spacing w:after="0" w:line="6" w:lineRule="exact"/>
        <w:rPr>
          <w:sz w:val="20"/>
          <w:szCs w:val="20"/>
          <w:color w:val="auto"/>
        </w:rPr>
      </w:pPr>
    </w:p>
    <w:p>
      <w:pPr>
        <w:ind w:left="460" w:right="40" w:firstLine="428"/>
        <w:spacing w:after="0" w:line="306" w:lineRule="auto"/>
        <w:tabs>
          <w:tab w:leader="none" w:pos="1130" w:val="left"/>
        </w:tabs>
        <w:numPr>
          <w:ilvl w:val="1"/>
          <w:numId w:val="98"/>
        </w:numPr>
        <w:rPr>
          <w:rFonts w:ascii="Arial" w:cs="Arial" w:eastAsia="Arial" w:hAnsi="Arial"/>
          <w:sz w:val="16"/>
          <w:szCs w:val="16"/>
          <w:color w:val="auto"/>
        </w:rPr>
      </w:pPr>
      <w:r>
        <w:rPr>
          <w:rFonts w:ascii="Arial" w:cs="Arial" w:eastAsia="Arial" w:hAnsi="Arial"/>
          <w:sz w:val="16"/>
          <w:szCs w:val="16"/>
          <w:i w:val="1"/>
          <w:iCs w:val="1"/>
          <w:color w:val="auto"/>
        </w:rPr>
        <w:t>Due Organization</w:t>
      </w:r>
      <w:r>
        <w:rPr>
          <w:rFonts w:ascii="Arial" w:cs="Arial" w:eastAsia="Arial" w:hAnsi="Arial"/>
          <w:sz w:val="16"/>
          <w:szCs w:val="16"/>
          <w:color w:val="auto"/>
        </w:rPr>
        <w:t>. The Collateral Manager is a limited liability company duly organized and validly existing under the laws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25" w:lineRule="exact"/>
        <w:rPr>
          <w:rFonts w:ascii="Arial" w:cs="Arial" w:eastAsia="Arial" w:hAnsi="Arial"/>
          <w:sz w:val="16"/>
          <w:szCs w:val="16"/>
          <w:color w:val="auto"/>
        </w:rPr>
      </w:pPr>
    </w:p>
    <w:p>
      <w:pPr>
        <w:ind w:left="460" w:right="260" w:firstLine="428"/>
        <w:spacing w:after="0" w:line="254" w:lineRule="auto"/>
        <w:tabs>
          <w:tab w:leader="none" w:pos="1140" w:val="left"/>
        </w:tabs>
        <w:numPr>
          <w:ilvl w:val="1"/>
          <w:numId w:val="98"/>
        </w:numPr>
        <w:rPr>
          <w:rFonts w:ascii="Arial" w:cs="Arial" w:eastAsia="Arial" w:hAnsi="Arial"/>
          <w:sz w:val="18"/>
          <w:szCs w:val="18"/>
          <w:color w:val="auto"/>
        </w:rPr>
      </w:pPr>
      <w:r>
        <w:rPr>
          <w:rFonts w:ascii="Arial" w:cs="Arial" w:eastAsia="Arial" w:hAnsi="Arial"/>
          <w:sz w:val="18"/>
          <w:szCs w:val="18"/>
          <w:i w:val="1"/>
          <w:iCs w:val="1"/>
          <w:color w:val="auto"/>
        </w:rPr>
        <w:t>Due Qualification and Good Standing</w:t>
      </w:r>
      <w:r>
        <w:rPr>
          <w:rFonts w:ascii="Arial" w:cs="Arial" w:eastAsia="Arial" w:hAnsi="Arial"/>
          <w:sz w:val="18"/>
          <w:szCs w:val="18"/>
          <w:color w:val="auto"/>
        </w:rPr>
        <w:t>. The Collateral Manager is in good standing in the State of Delaware. The Collateral Manager is duly</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w:t>
      </w:r>
    </w:p>
    <w:p>
      <w:pPr>
        <w:spacing w:after="0" w:line="65" w:lineRule="exact"/>
        <w:rPr>
          <w:rFonts w:ascii="Arial" w:cs="Arial" w:eastAsia="Arial" w:hAnsi="Arial"/>
          <w:sz w:val="18"/>
          <w:szCs w:val="18"/>
          <w:color w:val="auto"/>
        </w:rPr>
      </w:pPr>
    </w:p>
    <w:p>
      <w:pPr>
        <w:ind w:left="460" w:right="120" w:firstLine="428"/>
        <w:spacing w:after="0" w:line="291" w:lineRule="auto"/>
        <w:tabs>
          <w:tab w:leader="none" w:pos="1130" w:val="left"/>
        </w:tabs>
        <w:numPr>
          <w:ilvl w:val="1"/>
          <w:numId w:val="98"/>
        </w:numPr>
        <w:rPr>
          <w:rFonts w:ascii="Arial" w:cs="Arial" w:eastAsia="Arial" w:hAnsi="Arial"/>
          <w:sz w:val="16"/>
          <w:szCs w:val="16"/>
          <w:color w:val="auto"/>
        </w:rPr>
      </w:pPr>
      <w:r>
        <w:rPr>
          <w:rFonts w:ascii="Arial" w:cs="Arial" w:eastAsia="Arial" w:hAnsi="Arial"/>
          <w:sz w:val="16"/>
          <w:szCs w:val="16"/>
          <w:i w:val="1"/>
          <w:iCs w:val="1"/>
          <w:color w:val="auto"/>
        </w:rPr>
        <w:t>Due Authorization; Execution and Delivery; Legal, Valid and Binding; Enforceability</w:t>
      </w:r>
      <w:r>
        <w:rPr>
          <w:rFonts w:ascii="Arial" w:cs="Arial" w:eastAsia="Arial" w:hAnsi="Arial"/>
          <w:sz w:val="16"/>
          <w:szCs w:val="16"/>
          <w:color w:val="auto"/>
        </w:rPr>
        <w:t>. The execution and delivery by the Collateral Manager</w:t>
      </w:r>
      <w:r>
        <w:rPr>
          <w:rFonts w:ascii="Arial" w:cs="Arial" w:eastAsia="Arial" w:hAnsi="Arial"/>
          <w:sz w:val="16"/>
          <w:szCs w:val="16"/>
          <w:i w:val="1"/>
          <w:iCs w:val="1"/>
          <w:color w:val="auto"/>
        </w:rPr>
        <w:t xml:space="preserve"> </w:t>
      </w:r>
      <w:r>
        <w:rPr>
          <w:rFonts w:ascii="Arial" w:cs="Arial" w:eastAsia="Arial" w:hAnsi="Arial"/>
          <w:sz w:val="16"/>
          <w:szCs w:val="16"/>
          <w:color w:val="auto"/>
        </w:rPr>
        <w:t>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38" w:lineRule="exact"/>
        <w:rPr>
          <w:rFonts w:ascii="Arial" w:cs="Arial" w:eastAsia="Arial" w:hAnsi="Arial"/>
          <w:sz w:val="16"/>
          <w:szCs w:val="16"/>
          <w:color w:val="auto"/>
        </w:rPr>
      </w:pPr>
    </w:p>
    <w:p>
      <w:pPr>
        <w:jc w:val="both"/>
        <w:ind w:left="460" w:right="40" w:firstLine="428"/>
        <w:spacing w:after="0" w:line="284" w:lineRule="auto"/>
        <w:tabs>
          <w:tab w:leader="none" w:pos="1140" w:val="left"/>
        </w:tabs>
        <w:numPr>
          <w:ilvl w:val="1"/>
          <w:numId w:val="98"/>
        </w:numPr>
        <w:rPr>
          <w:rFonts w:ascii="Arial" w:cs="Arial" w:eastAsia="Arial" w:hAnsi="Arial"/>
          <w:sz w:val="16"/>
          <w:szCs w:val="16"/>
          <w:color w:val="auto"/>
        </w:rPr>
      </w:pPr>
      <w:r>
        <w:rPr>
          <w:rFonts w:ascii="Arial" w:cs="Arial" w:eastAsia="Arial" w:hAnsi="Arial"/>
          <w:sz w:val="16"/>
          <w:szCs w:val="16"/>
          <w:i w:val="1"/>
          <w:iCs w:val="1"/>
          <w:color w:val="auto"/>
        </w:rPr>
        <w:t>Non-Contravention</w:t>
      </w:r>
      <w:r>
        <w:rPr>
          <w:rFonts w:ascii="Arial" w:cs="Arial" w:eastAsia="Arial" w:hAnsi="Arial"/>
          <w:sz w:val="16"/>
          <w:szCs w:val="16"/>
          <w:color w:val="auto"/>
        </w:rPr>
        <w:t>. None of the execution and delivery by the Collateral Manager of this Agreement or the other Facility Documents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it is a party,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w:t>
      </w:r>
    </w:p>
    <w:p>
      <w:pPr>
        <w:spacing w:after="0" w:line="1" w:lineRule="exact"/>
        <w:rPr>
          <w:rFonts w:ascii="Arial" w:cs="Arial" w:eastAsia="Arial" w:hAnsi="Arial"/>
          <w:sz w:val="16"/>
          <w:szCs w:val="16"/>
          <w:color w:val="auto"/>
        </w:rPr>
      </w:pPr>
    </w:p>
    <w:p>
      <w:pPr>
        <w:ind w:left="460" w:hanging="3"/>
        <w:spacing w:after="0" w:line="302" w:lineRule="auto"/>
        <w:tabs>
          <w:tab w:leader="none" w:pos="748"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280" w:right="339" w:bottom="1440" w:gutter="0" w:footer="0" w:header="0"/>
        </w:sectPr>
      </w:pPr>
    </w:p>
    <w:bookmarkStart w:id="115" w:name="page116"/>
    <w:bookmarkEnd w:id="115"/>
    <w:p>
      <w:pPr>
        <w:ind w:left="3"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or but for any requirement of the giving of notice or the passage of time (or both) would constitute such a conflict with, breach or violation of, or default under, or permit any such acceleration of, any contractual obligation or any agreement or document to which it is a party or by which it or any of its assets are bound (or to which any such obligation, agreement or document relates), except in the case of </w:t>
      </w:r>
      <w:r>
        <w:rPr>
          <w:rFonts w:ascii="Arial" w:cs="Arial" w:eastAsia="Arial" w:hAnsi="Arial"/>
          <w:sz w:val="16"/>
          <w:szCs w:val="16"/>
          <w:u w:val="single" w:color="auto"/>
          <w:color w:val="auto"/>
        </w:rPr>
        <w:t>clauses (ii) or (iii)</w:t>
      </w:r>
      <w:r>
        <w:rPr>
          <w:rFonts w:ascii="Arial" w:cs="Arial" w:eastAsia="Arial" w:hAnsi="Arial"/>
          <w:sz w:val="16"/>
          <w:szCs w:val="16"/>
          <w:color w:val="auto"/>
        </w:rPr>
        <w:t>, where such conflict, contravention, breach, violation or default could not be reasonably expected to have a Material Adverse Effect.</w:t>
      </w:r>
    </w:p>
    <w:p>
      <w:pPr>
        <w:spacing w:after="0" w:line="31" w:lineRule="exact"/>
        <w:rPr>
          <w:sz w:val="20"/>
          <w:szCs w:val="20"/>
          <w:color w:val="auto"/>
        </w:rPr>
      </w:pPr>
    </w:p>
    <w:p>
      <w:pPr>
        <w:ind w:left="3" w:firstLine="428"/>
        <w:spacing w:after="0" w:line="290" w:lineRule="auto"/>
        <w:tabs>
          <w:tab w:leader="none" w:pos="673" w:val="left"/>
        </w:tabs>
        <w:numPr>
          <w:ilvl w:val="1"/>
          <w:numId w:val="100"/>
        </w:numPr>
        <w:rPr>
          <w:rFonts w:ascii="Arial" w:cs="Arial" w:eastAsia="Arial" w:hAnsi="Arial"/>
          <w:sz w:val="16"/>
          <w:szCs w:val="16"/>
          <w:color w:val="auto"/>
        </w:rPr>
      </w:pPr>
      <w:r>
        <w:rPr>
          <w:rFonts w:ascii="Arial" w:cs="Arial" w:eastAsia="Arial" w:hAnsi="Arial"/>
          <w:sz w:val="16"/>
          <w:szCs w:val="16"/>
          <w:i w:val="1"/>
          <w:iCs w:val="1"/>
          <w:color w:val="auto"/>
        </w:rPr>
        <w:t>Governmental Authorizations; Private Authorizations; Governmental Filings</w:t>
      </w:r>
      <w:r>
        <w:rPr>
          <w:rFonts w:ascii="Arial" w:cs="Arial" w:eastAsia="Arial" w:hAnsi="Arial"/>
          <w:sz w:val="16"/>
          <w:szCs w:val="16"/>
          <w:color w:val="auto"/>
        </w:rPr>
        <w:t>. The Collateral Manager has obtained, maintained and kept in full</w:t>
      </w:r>
      <w:r>
        <w:rPr>
          <w:rFonts w:ascii="Arial" w:cs="Arial" w:eastAsia="Arial" w:hAnsi="Arial"/>
          <w:sz w:val="16"/>
          <w:szCs w:val="16"/>
          <w:i w:val="1"/>
          <w:iCs w:val="1"/>
          <w:color w:val="auto"/>
        </w:rPr>
        <w:t xml:space="preserve"> </w:t>
      </w:r>
      <w:r>
        <w:rPr>
          <w:rFonts w:ascii="Arial" w:cs="Arial" w:eastAsia="Arial" w:hAnsi="Arial"/>
          <w:sz w:val="16"/>
          <w:szCs w:val="16"/>
          <w:color w:val="auto"/>
        </w:rPr>
        <w:t>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and the performance by the Collateral Manager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or the performance of its obligations under this Agreement and the other Facility Documents to which it is a party.</w:t>
      </w:r>
    </w:p>
    <w:p>
      <w:pPr>
        <w:spacing w:after="0" w:line="36" w:lineRule="exact"/>
        <w:rPr>
          <w:rFonts w:ascii="Arial" w:cs="Arial" w:eastAsia="Arial" w:hAnsi="Arial"/>
          <w:sz w:val="16"/>
          <w:szCs w:val="16"/>
          <w:color w:val="auto"/>
        </w:rPr>
      </w:pPr>
    </w:p>
    <w:p>
      <w:pPr>
        <w:ind w:left="3" w:right="20" w:firstLine="428"/>
        <w:spacing w:after="0" w:line="282" w:lineRule="auto"/>
        <w:tabs>
          <w:tab w:leader="none" w:pos="653" w:val="left"/>
        </w:tabs>
        <w:numPr>
          <w:ilvl w:val="1"/>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Agreements, Laws, Etc. </w:t>
      </w:r>
      <w:r>
        <w:rPr>
          <w:rFonts w:ascii="Arial" w:cs="Arial" w:eastAsia="Arial" w:hAnsi="Arial"/>
          <w:sz w:val="16"/>
          <w:szCs w:val="16"/>
          <w:color w:val="auto"/>
        </w:rPr>
        <w:t>The Collateral Manager has duly observed and complied in all material respects with all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Laws, including the Securities Act and the Investment Company Act, relating to the conduct of its business and its assets. The Collateral Manager has preserved and kept in full force and effect its legal existence. The Collateral Manager has preserved and kept in full force and effect its rights, privileges, qualifications and franchises, except where the failure to do so could not reasonably be expected to result in a Material Adverse Effect. Without limiting the foregoing, (x) to the extent applicable, the Collateral Manager is in compliance in all material respects with Subject Laws, (y) the Collateral Manager has adopted internal controls and procedures designed to ensure its continued compliance with the applicable provisions of the Subject Laws and to the extent applicable, will adopt procedures consistent with the PATRIOT Act and implementing regulations, once such regulations have been finalized, and</w:t>
      </w:r>
    </w:p>
    <w:p>
      <w:pPr>
        <w:spacing w:after="0" w:line="5" w:lineRule="exact"/>
        <w:rPr>
          <w:rFonts w:ascii="Arial" w:cs="Arial" w:eastAsia="Arial" w:hAnsi="Arial"/>
          <w:sz w:val="16"/>
          <w:szCs w:val="16"/>
          <w:color w:val="auto"/>
        </w:rPr>
      </w:pPr>
    </w:p>
    <w:p>
      <w:pPr>
        <w:ind w:left="3" w:right="540" w:hanging="3"/>
        <w:spacing w:after="0" w:line="352" w:lineRule="auto"/>
        <w:tabs>
          <w:tab w:leader="none" w:pos="242"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to the knowledge of the Collateral Manager (based on the implementation of its internal procedures and controls), no investor in the Collateral Manager is a Person whose name appears on the “List of Specially Designated Nationals” and “Blocked Persons” maintained by the OFAC.</w:t>
      </w:r>
    </w:p>
    <w:p>
      <w:pPr>
        <w:ind w:left="3" w:firstLine="428"/>
        <w:spacing w:after="0" w:line="259" w:lineRule="auto"/>
        <w:tabs>
          <w:tab w:leader="none" w:pos="683" w:val="left"/>
        </w:tabs>
        <w:numPr>
          <w:ilvl w:val="1"/>
          <w:numId w:val="101"/>
        </w:numPr>
        <w:rPr>
          <w:rFonts w:ascii="Arial" w:cs="Arial" w:eastAsia="Arial" w:hAnsi="Arial"/>
          <w:sz w:val="18"/>
          <w:szCs w:val="18"/>
          <w:color w:val="auto"/>
        </w:rPr>
      </w:pPr>
      <w:r>
        <w:rPr>
          <w:rFonts w:ascii="Arial" w:cs="Arial" w:eastAsia="Arial" w:hAnsi="Arial"/>
          <w:sz w:val="18"/>
          <w:szCs w:val="18"/>
          <w:i w:val="1"/>
          <w:iCs w:val="1"/>
          <w:color w:val="auto"/>
        </w:rPr>
        <w:t>Location of Records</w:t>
      </w:r>
      <w:r>
        <w:rPr>
          <w:rFonts w:ascii="Arial" w:cs="Arial" w:eastAsia="Arial" w:hAnsi="Arial"/>
          <w:sz w:val="18"/>
          <w:szCs w:val="18"/>
          <w:color w:val="auto"/>
        </w:rPr>
        <w:t>. The Collateral Manager’s chief place of business, its chief executive office and the office in which the Collateral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maintains its books and records are located in the State of New York. The Collateral Manager’s registered office and the jurisdiction of organization of the Collateral Manager is the jurisdiction referred to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126"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763"/>
          </w:cols>
          <w:pgMar w:left="777" w:top="280" w:right="359" w:bottom="1440" w:gutter="0" w:footer="0" w:header="0"/>
        </w:sectPr>
      </w:pPr>
    </w:p>
    <w:bookmarkStart w:id="116" w:name="page117"/>
    <w:bookmarkEnd w:id="116"/>
    <w:p>
      <w:pPr>
        <w:ind w:left="1140" w:hanging="252"/>
        <w:spacing w:after="0"/>
        <w:tabs>
          <w:tab w:leader="none" w:pos="114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Company Act</w:t>
      </w:r>
      <w:r>
        <w:rPr>
          <w:rFonts w:ascii="Arial" w:cs="Arial" w:eastAsia="Arial" w:hAnsi="Arial"/>
          <w:sz w:val="16"/>
          <w:szCs w:val="16"/>
          <w:color w:val="auto"/>
        </w:rPr>
        <w:t>. The Collateral Manager is registered as an “investment company” under the Investment Company Act.</w:t>
      </w:r>
    </w:p>
    <w:p>
      <w:pPr>
        <w:spacing w:after="0" w:line="113" w:lineRule="exact"/>
        <w:rPr>
          <w:rFonts w:ascii="Arial" w:cs="Arial" w:eastAsia="Arial" w:hAnsi="Arial"/>
          <w:sz w:val="16"/>
          <w:szCs w:val="16"/>
          <w:color w:val="auto"/>
        </w:rPr>
      </w:pPr>
    </w:p>
    <w:p>
      <w:pPr>
        <w:ind w:left="460" w:right="20" w:firstLine="428"/>
        <w:spacing w:after="0" w:line="317" w:lineRule="auto"/>
        <w:tabs>
          <w:tab w:leader="none" w:pos="1101" w:val="left"/>
        </w:tabs>
        <w:numPr>
          <w:ilvl w:val="0"/>
          <w:numId w:val="102"/>
        </w:numPr>
        <w:rPr>
          <w:rFonts w:ascii="Arial" w:cs="Arial" w:eastAsia="Arial" w:hAnsi="Arial"/>
          <w:sz w:val="15"/>
          <w:szCs w:val="15"/>
          <w:color w:val="auto"/>
        </w:rPr>
      </w:pPr>
      <w:r>
        <w:rPr>
          <w:rFonts w:ascii="Arial" w:cs="Arial" w:eastAsia="Arial" w:hAnsi="Arial"/>
          <w:sz w:val="15"/>
          <w:szCs w:val="15"/>
          <w:i w:val="1"/>
          <w:iCs w:val="1"/>
          <w:color w:val="auto"/>
        </w:rPr>
        <w:t>Information and Reports</w:t>
      </w:r>
      <w:r>
        <w:rPr>
          <w:rFonts w:ascii="Arial" w:cs="Arial" w:eastAsia="Arial" w:hAnsi="Arial"/>
          <w:sz w:val="15"/>
          <w:szCs w:val="15"/>
          <w:color w:val="auto"/>
        </w:rPr>
        <w:t>. Each Notice of Borrowing, each Monthly Report, each Payment Date Report and all other written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reports, certificates and statements (other than projections and forward-looking statements) furnished by the Collateral Manager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Collateral Manager were prepared reasonably and in good faith as the date stated herein or as of which they were provided.</w:t>
      </w:r>
    </w:p>
    <w:p>
      <w:pPr>
        <w:spacing w:after="0" w:line="21" w:lineRule="exact"/>
        <w:rPr>
          <w:rFonts w:ascii="Arial" w:cs="Arial" w:eastAsia="Arial" w:hAnsi="Arial"/>
          <w:sz w:val="15"/>
          <w:szCs w:val="15"/>
          <w:color w:val="auto"/>
        </w:rPr>
      </w:pPr>
    </w:p>
    <w:p>
      <w:pPr>
        <w:ind w:left="460" w:right="160" w:firstLine="428"/>
        <w:spacing w:after="0" w:line="268" w:lineRule="auto"/>
        <w:tabs>
          <w:tab w:leader="none" w:pos="1101"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Neither the Collateral Manager nor any member of the ERISA Group has, or during the past five years had, any liability or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any Plan or Multiemployer Plan.</w:t>
      </w:r>
    </w:p>
    <w:p>
      <w:pPr>
        <w:spacing w:after="0" w:line="50" w:lineRule="exact"/>
        <w:rPr>
          <w:rFonts w:ascii="Arial" w:cs="Arial" w:eastAsia="Arial" w:hAnsi="Arial"/>
          <w:sz w:val="18"/>
          <w:szCs w:val="18"/>
          <w:color w:val="auto"/>
        </w:rPr>
      </w:pPr>
    </w:p>
    <w:p>
      <w:pPr>
        <w:ind w:left="460" w:right="60" w:firstLine="428"/>
        <w:spacing w:after="0" w:line="331" w:lineRule="auto"/>
        <w:tabs>
          <w:tab w:leader="none" w:pos="114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Taxes</w:t>
      </w:r>
      <w:r>
        <w:rPr>
          <w:rFonts w:ascii="Arial" w:cs="Arial" w:eastAsia="Arial" w:hAnsi="Arial"/>
          <w:sz w:val="16"/>
          <w:szCs w:val="16"/>
          <w:color w:val="auto"/>
        </w:rPr>
        <w:t>. The Collateral Manager has filed all income tax returns and all other tax returns which are required to be filed by it, if any, and has paid</w:t>
      </w:r>
      <w:r>
        <w:rPr>
          <w:rFonts w:ascii="Arial" w:cs="Arial" w:eastAsia="Arial" w:hAnsi="Arial"/>
          <w:sz w:val="16"/>
          <w:szCs w:val="16"/>
          <w:i w:val="1"/>
          <w:iCs w:val="1"/>
          <w:color w:val="auto"/>
        </w:rPr>
        <w:t xml:space="preserve"> </w:t>
      </w:r>
      <w:r>
        <w:rPr>
          <w:rFonts w:ascii="Arial" w:cs="Arial" w:eastAsia="Arial" w:hAnsi="Arial"/>
          <w:sz w:val="16"/>
          <w:szCs w:val="16"/>
          <w:color w:val="auto"/>
        </w:rPr>
        <w:t>all taxes shown to be due and payable on such returns, if any, or pursuant to any assessment received by any such Person.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i w:val="1"/>
          <w:iCs w:val="1"/>
          <w:color w:val="auto"/>
        </w:rPr>
        <w:t>Section 5.01. Affirmative Covenants of the Borrower</w:t>
      </w:r>
      <w:r>
        <w:rPr>
          <w:rFonts w:ascii="Arial" w:cs="Arial" w:eastAsia="Arial" w:hAnsi="Arial"/>
          <w:sz w:val="18"/>
          <w:szCs w:val="18"/>
          <w:color w:val="auto"/>
        </w:rPr>
        <w:t>. The Borrower covenants and agrees that, until the Final Maturity Date (and thereafter until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that all Obligations have been paid in full):</w:t>
      </w:r>
    </w:p>
    <w:p>
      <w:pPr>
        <w:spacing w:after="0" w:line="51" w:lineRule="exact"/>
        <w:rPr>
          <w:sz w:val="20"/>
          <w:szCs w:val="20"/>
          <w:color w:val="auto"/>
        </w:rPr>
      </w:pPr>
    </w:p>
    <w:p>
      <w:pPr>
        <w:ind w:left="460" w:right="20" w:firstLine="428"/>
        <w:spacing w:after="0" w:line="303" w:lineRule="auto"/>
        <w:tabs>
          <w:tab w:leader="none" w:pos="1130" w:val="left"/>
        </w:tabs>
        <w:numPr>
          <w:ilvl w:val="1"/>
          <w:numId w:val="103"/>
        </w:numPr>
        <w:rPr>
          <w:rFonts w:ascii="Arial" w:cs="Arial" w:eastAsia="Arial" w:hAnsi="Arial"/>
          <w:sz w:val="15"/>
          <w:szCs w:val="15"/>
          <w:color w:val="auto"/>
        </w:rPr>
      </w:pPr>
      <w:r>
        <w:rPr>
          <w:rFonts w:ascii="Arial" w:cs="Arial" w:eastAsia="Arial" w:hAnsi="Arial"/>
          <w:sz w:val="15"/>
          <w:szCs w:val="15"/>
          <w:i w:val="1"/>
          <w:iCs w:val="1"/>
          <w:color w:val="auto"/>
        </w:rPr>
        <w:t>Compliance with Agreements, Laws, Etc</w:t>
      </w:r>
      <w:r>
        <w:rPr>
          <w:rFonts w:ascii="Arial" w:cs="Arial" w:eastAsia="Arial" w:hAnsi="Arial"/>
          <w:sz w:val="15"/>
          <w:szCs w:val="15"/>
          <w:color w:val="auto"/>
        </w:rPr>
        <w:t>. It shall (i) duly observe, comply in all material respects with all Applicable Laws relative to the</w:t>
      </w:r>
      <w:r>
        <w:rPr>
          <w:rFonts w:ascii="Arial" w:cs="Arial" w:eastAsia="Arial" w:hAnsi="Arial"/>
          <w:sz w:val="15"/>
          <w:szCs w:val="15"/>
          <w:i w:val="1"/>
          <w:iCs w:val="1"/>
          <w:color w:val="auto"/>
        </w:rPr>
        <w:t xml:space="preserve"> </w:t>
      </w:r>
      <w:r>
        <w:rPr>
          <w:rFonts w:ascii="Arial" w:cs="Arial" w:eastAsia="Arial" w:hAnsi="Arial"/>
          <w:sz w:val="15"/>
          <w:szCs w:val="15"/>
          <w:color w:val="auto"/>
        </w:rPr>
        <w:t>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w:t>
      </w:r>
    </w:p>
    <w:p>
      <w:pPr>
        <w:spacing w:after="0" w:line="1" w:lineRule="exact"/>
        <w:rPr>
          <w:rFonts w:ascii="Arial" w:cs="Arial" w:eastAsia="Arial" w:hAnsi="Arial"/>
          <w:sz w:val="15"/>
          <w:szCs w:val="15"/>
          <w:color w:val="auto"/>
        </w:rPr>
      </w:pPr>
    </w:p>
    <w:p>
      <w:pPr>
        <w:ind w:left="760" w:hanging="303"/>
        <w:spacing w:after="0"/>
        <w:tabs>
          <w:tab w:leader="none" w:pos="7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comply with the terms and conditions of each Facility Document, its Constituent Documents and each Related Document to which it is a party and</w:t>
      </w:r>
    </w:p>
    <w:p>
      <w:pPr>
        <w:spacing w:after="0" w:line="32" w:lineRule="exact"/>
        <w:rPr>
          <w:rFonts w:ascii="Arial" w:cs="Arial" w:eastAsia="Arial" w:hAnsi="Arial"/>
          <w:sz w:val="16"/>
          <w:szCs w:val="16"/>
          <w:color w:val="auto"/>
        </w:rPr>
      </w:pPr>
    </w:p>
    <w:p>
      <w:pPr>
        <w:ind w:left="460" w:right="360" w:hanging="3"/>
        <w:spacing w:after="0" w:line="255" w:lineRule="auto"/>
        <w:tabs>
          <w:tab w:leader="none" w:pos="70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its Constituent Documents and the Related Documents to which it is a party.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280" w:right="379" w:bottom="1440" w:gutter="0" w:footer="0" w:header="0"/>
        </w:sectPr>
      </w:pPr>
    </w:p>
    <w:bookmarkStart w:id="117" w:name="page118"/>
    <w:bookmarkEnd w:id="117"/>
    <w:p>
      <w:pPr>
        <w:ind w:left="3" w:right="220" w:firstLine="428"/>
        <w:spacing w:after="0" w:line="304" w:lineRule="auto"/>
        <w:tabs>
          <w:tab w:leader="none" w:pos="683" w:val="left"/>
        </w:tabs>
        <w:numPr>
          <w:ilvl w:val="1"/>
          <w:numId w:val="105"/>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Enforcement</w:t>
      </w:r>
      <w:r>
        <w:rPr>
          <w:rFonts w:ascii="Arial" w:cs="Arial" w:eastAsia="Arial" w:hAnsi="Arial"/>
          <w:sz w:val="15"/>
          <w:szCs w:val="15"/>
          <w:color w:val="auto"/>
        </w:rPr>
        <w:t>. (i) It shall not take any action, and will use commercially reasonable efforts not to permit any action to be taken by others, that</w:t>
      </w:r>
      <w:r>
        <w:rPr>
          <w:rFonts w:ascii="Arial" w:cs="Arial" w:eastAsia="Arial" w:hAnsi="Arial"/>
          <w:sz w:val="15"/>
          <w:szCs w:val="15"/>
          <w:i w:val="1"/>
          <w:iCs w:val="1"/>
          <w:color w:val="auto"/>
        </w:rPr>
        <w:t xml:space="preserve"> </w:t>
      </w:r>
      <w:r>
        <w:rPr>
          <w:rFonts w:ascii="Arial" w:cs="Arial" w:eastAsia="Arial" w:hAnsi="Arial"/>
          <w:sz w:val="15"/>
          <w:szCs w:val="15"/>
          <w:color w:val="auto"/>
        </w:rPr>
        <w:t>would release any Person from any of such Person’s covenants or obligations under any instrument included in the Collateral, except in the case of</w:t>
      </w:r>
    </w:p>
    <w:p>
      <w:pPr>
        <w:spacing w:after="0" w:line="1" w:lineRule="exact"/>
        <w:rPr>
          <w:rFonts w:ascii="Arial" w:cs="Arial" w:eastAsia="Arial" w:hAnsi="Arial"/>
          <w:sz w:val="15"/>
          <w:szCs w:val="15"/>
          <w:color w:val="auto"/>
        </w:rPr>
      </w:pPr>
    </w:p>
    <w:p>
      <w:pPr>
        <w:ind w:left="3" w:hanging="3"/>
        <w:spacing w:after="0" w:line="253" w:lineRule="auto"/>
        <w:tabs>
          <w:tab w:leader="none" w:pos="29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repayment of Collateral Loans, (B) subject to </w:t>
      </w:r>
      <w:r>
        <w:rPr>
          <w:rFonts w:ascii="Arial" w:cs="Arial" w:eastAsia="Arial" w:hAnsi="Arial"/>
          <w:sz w:val="18"/>
          <w:szCs w:val="18"/>
          <w:u w:val="single" w:color="auto"/>
          <w:color w:val="auto"/>
        </w:rPr>
        <w:t>Section 5.01(k)</w:t>
      </w:r>
      <w:r>
        <w:rPr>
          <w:rFonts w:ascii="Arial" w:cs="Arial" w:eastAsia="Arial" w:hAnsi="Arial"/>
          <w:sz w:val="18"/>
          <w:szCs w:val="18"/>
          <w:color w:val="auto"/>
        </w:rPr>
        <w:t xml:space="preserve"> hereof and the other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actions taken or work-outs with respect to any Defaulted Collateral Loan in accordance with the provisions hereof, and (C) actions by the Collateral Manager under this Agreement and in conformity with this Agreement or as otherwise required hereby.</w:t>
      </w:r>
    </w:p>
    <w:p>
      <w:pPr>
        <w:spacing w:after="0" w:line="63" w:lineRule="exact"/>
        <w:rPr>
          <w:rFonts w:ascii="Arial" w:cs="Arial" w:eastAsia="Arial" w:hAnsi="Arial"/>
          <w:sz w:val="18"/>
          <w:szCs w:val="18"/>
          <w:color w:val="auto"/>
        </w:rPr>
      </w:pPr>
    </w:p>
    <w:p>
      <w:pPr>
        <w:ind w:left="443" w:right="180" w:firstLine="420"/>
        <w:spacing w:after="0" w:line="294" w:lineRule="auto"/>
        <w:tabs>
          <w:tab w:leader="none" w:pos="1115" w:val="left"/>
        </w:tabs>
        <w:numPr>
          <w:ilvl w:val="2"/>
          <w:numId w:val="106"/>
        </w:numPr>
        <w:rPr>
          <w:rFonts w:ascii="Arial" w:cs="Arial" w:eastAsia="Arial" w:hAnsi="Arial"/>
          <w:sz w:val="16"/>
          <w:szCs w:val="16"/>
          <w:color w:val="auto"/>
        </w:rPr>
      </w:pPr>
      <w:r>
        <w:rPr>
          <w:rFonts w:ascii="Arial" w:cs="Arial" w:eastAsia="Arial" w:hAnsi="Arial"/>
          <w:sz w:val="16"/>
          <w:szCs w:val="16"/>
          <w:color w:val="auto"/>
        </w:rPr>
        <w:t>It will not, without the prior written consent of the Administrative Agent and the Required Lenders, contract with other Persons for the performance of actions and obligations to be performed by the Borrower or the Collateral Manager hereunder. Notwithstanding any such arrangement, the Borrower shall remain primarily liable with respect thereto. The Borrower will punctually perform, and use its reasonably commercial efforts to cause the Collateral Manager, the Collateral Administrator and such other Person to perform, all of their obligations and agreements contained in this Agreement or any other Facility Document.</w:t>
      </w:r>
    </w:p>
    <w:p>
      <w:pPr>
        <w:spacing w:after="0" w:line="34" w:lineRule="exact"/>
        <w:rPr>
          <w:rFonts w:ascii="Arial" w:cs="Arial" w:eastAsia="Arial" w:hAnsi="Arial"/>
          <w:sz w:val="16"/>
          <w:szCs w:val="16"/>
          <w:color w:val="auto"/>
        </w:rPr>
      </w:pPr>
    </w:p>
    <w:p>
      <w:pPr>
        <w:ind w:left="3" w:firstLine="428"/>
        <w:spacing w:after="0" w:line="285" w:lineRule="auto"/>
        <w:tabs>
          <w:tab w:leader="none" w:pos="673" w:val="left"/>
        </w:tabs>
        <w:numPr>
          <w:ilvl w:val="1"/>
          <w:numId w:val="106"/>
        </w:numPr>
        <w:rPr>
          <w:rFonts w:ascii="Arial" w:cs="Arial" w:eastAsia="Arial" w:hAnsi="Arial"/>
          <w:sz w:val="16"/>
          <w:szCs w:val="16"/>
          <w:color w:val="auto"/>
        </w:rPr>
      </w:pPr>
      <w:r>
        <w:rPr>
          <w:rFonts w:ascii="Arial" w:cs="Arial" w:eastAsia="Arial" w:hAnsi="Arial"/>
          <w:sz w:val="16"/>
          <w:szCs w:val="16"/>
          <w:i w:val="1"/>
          <w:iCs w:val="1"/>
          <w:color w:val="auto"/>
        </w:rPr>
        <w:t>Further Assurances</w:t>
      </w:r>
      <w:r>
        <w:rPr>
          <w:rFonts w:ascii="Arial" w:cs="Arial" w:eastAsia="Arial" w:hAnsi="Arial"/>
          <w:sz w:val="16"/>
          <w:szCs w:val="16"/>
          <w:color w:val="auto"/>
        </w:rPr>
        <w:t>. It shall promptly upon the reasonable request of either Agent or the Required Lenders (through the Administrative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at the Borrower’s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either Agent or the Required Lenders (through the Administrative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 Subject to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without limiting its obligation to maintain and protect the Collateral Agent’s first priority security interest in the Collateral, the Borrower authorizes the Collateral Agent to file or record financing statements (including financing statements describing the Collateral as “all assets” or the equivalent) and other filing or recording documents or instruments with respect to the Collateral in such form and in such offices as are necessary to perfect the security interests of the Collateral Agent under this Agreement under each method of perfection required herein with respect to the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Collateral Agent does not hereby assume any obligation of the Borrower to maintain and protect its security interest under this </w:t>
      </w:r>
      <w:r>
        <w:rPr>
          <w:rFonts w:ascii="Arial" w:cs="Arial" w:eastAsia="Arial" w:hAnsi="Arial"/>
          <w:sz w:val="16"/>
          <w:szCs w:val="16"/>
          <w:u w:val="single" w:color="auto"/>
          <w:color w:val="auto"/>
        </w:rPr>
        <w:t>Section 5.01 or Section 7.07</w:t>
      </w:r>
      <w:r>
        <w:rPr>
          <w:rFonts w:ascii="Arial" w:cs="Arial" w:eastAsia="Arial" w:hAnsi="Arial"/>
          <w:sz w:val="16"/>
          <w:szCs w:val="16"/>
          <w:color w:val="auto"/>
        </w:rPr>
        <w:t>.</w:t>
      </w:r>
    </w:p>
    <w:p>
      <w:pPr>
        <w:spacing w:after="0" w:line="49" w:lineRule="exact"/>
        <w:rPr>
          <w:sz w:val="20"/>
          <w:szCs w:val="20"/>
          <w:color w:val="auto"/>
        </w:rPr>
      </w:pPr>
    </w:p>
    <w:p>
      <w:pPr>
        <w:ind w:left="3" w:right="200" w:firstLine="431"/>
        <w:spacing w:after="0" w:line="259" w:lineRule="auto"/>
        <w:rPr>
          <w:sz w:val="20"/>
          <w:szCs w:val="20"/>
          <w:color w:val="auto"/>
        </w:rPr>
      </w:pPr>
      <w:r>
        <w:rPr>
          <w:rFonts w:ascii="Arial" w:cs="Arial" w:eastAsia="Arial" w:hAnsi="Arial"/>
          <w:sz w:val="18"/>
          <w:szCs w:val="18"/>
          <w:color w:val="auto"/>
        </w:rPr>
        <w:t>In addition, the Borrower will take such reasonable action from time to time as shall be necessary to ensure that all assets (including all Covered Accounts) of the Borrower constitute “Collateral” hereunder. Subject to the foregoing, the Borrower will, and, upon the reasonable request of either Agent shall, at the Borrower’s expense, take</w:t>
      </w:r>
    </w:p>
    <w:p>
      <w:pPr>
        <w:spacing w:after="0" w:line="126"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763"/>
          </w:cols>
          <w:pgMar w:left="777" w:top="280" w:right="359" w:bottom="1440" w:gutter="0" w:footer="0" w:header="0"/>
        </w:sectPr>
      </w:pPr>
    </w:p>
    <w:bookmarkStart w:id="118" w:name="page119"/>
    <w:bookmarkEnd w:id="118"/>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on the Funding Effective Date or as either Agent or the Required Lenders (through the Administrative Agent) shall have reasonably requested.</w:t>
      </w:r>
    </w:p>
    <w:p>
      <w:pPr>
        <w:spacing w:after="0" w:line="66" w:lineRule="exact"/>
        <w:rPr>
          <w:sz w:val="20"/>
          <w:szCs w:val="20"/>
          <w:color w:val="auto"/>
        </w:rPr>
      </w:pPr>
    </w:p>
    <w:p>
      <w:pPr>
        <w:ind w:right="380" w:firstLine="428"/>
        <w:spacing w:after="0" w:line="331" w:lineRule="auto"/>
        <w:tabs>
          <w:tab w:leader="none" w:pos="680"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Financial Statements; Other Information</w:t>
      </w:r>
      <w:r>
        <w:rPr>
          <w:rFonts w:ascii="Arial" w:cs="Arial" w:eastAsia="Arial" w:hAnsi="Arial"/>
          <w:sz w:val="16"/>
          <w:szCs w:val="16"/>
          <w:color w:val="auto"/>
        </w:rPr>
        <w:t>. It shall provide to the Administrative Agent or cause to be provided to the Administrative Agent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enough additional copies for each Lender) with a copy to the Collateral Agent and the Backup Collateral Manager:</w:t>
      </w:r>
    </w:p>
    <w:p>
      <w:pPr>
        <w:spacing w:after="0" w:line="5" w:lineRule="exact"/>
        <w:rPr>
          <w:rFonts w:ascii="Arial" w:cs="Arial" w:eastAsia="Arial" w:hAnsi="Arial"/>
          <w:sz w:val="16"/>
          <w:szCs w:val="16"/>
          <w:color w:val="auto"/>
        </w:rPr>
      </w:pPr>
    </w:p>
    <w:p>
      <w:pPr>
        <w:ind w:left="440" w:right="60" w:firstLine="420"/>
        <w:spacing w:after="0" w:line="291" w:lineRule="auto"/>
        <w:tabs>
          <w:tab w:leader="none" w:pos="106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within ninety (90) days after the end of each fiscal year of the BDC, its audited consolidated balance sheet and related statements of operations, stockholders’ equity and cash flows (with a consolidating schedule showing such statements for the Borrower)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BDC and its consolidated subsidiaries on a consolidated basis in accordance with GAAP consistently applied;</w:t>
      </w:r>
    </w:p>
    <w:p>
      <w:pPr>
        <w:spacing w:after="0" w:line="38" w:lineRule="exact"/>
        <w:rPr>
          <w:rFonts w:ascii="Arial" w:cs="Arial" w:eastAsia="Arial" w:hAnsi="Arial"/>
          <w:sz w:val="16"/>
          <w:szCs w:val="16"/>
          <w:color w:val="auto"/>
        </w:rPr>
      </w:pPr>
    </w:p>
    <w:p>
      <w:pPr>
        <w:ind w:left="440" w:firstLine="420"/>
        <w:spacing w:after="0" w:line="290" w:lineRule="auto"/>
        <w:tabs>
          <w:tab w:leader="none" w:pos="1112" w:val="left"/>
        </w:tabs>
        <w:numPr>
          <w:ilvl w:val="1"/>
          <w:numId w:val="107"/>
        </w:numPr>
        <w:rPr>
          <w:rFonts w:ascii="Arial" w:cs="Arial" w:eastAsia="Arial" w:hAnsi="Arial"/>
          <w:sz w:val="16"/>
          <w:szCs w:val="16"/>
          <w:color w:val="auto"/>
        </w:rPr>
      </w:pPr>
      <w:r>
        <w:rPr>
          <w:rFonts w:ascii="Arial" w:cs="Arial" w:eastAsia="Arial" w:hAnsi="Arial"/>
          <w:sz w:val="16"/>
          <w:szCs w:val="16"/>
          <w:color w:val="auto"/>
        </w:rPr>
        <w:t>within forty-five (45) days after the end of each of the first three fiscal quarters of each fiscal year of the BDC, its unaudited consolidated balance sheet and related statements of operations, stockholders’ equity and cash flows (with a consolidating schedule showing such statements for the Borrower)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senior financial officers as presenting fairly in all material respects the financial condition and results of operations of the BDC and its consolidated subsidiaries on a consolidated basis in accordance with GAAP consistently applied, subject to normal year-end audit adjustments and the absence of footnotes;</w:t>
      </w:r>
    </w:p>
    <w:p>
      <w:pPr>
        <w:spacing w:after="0" w:line="36" w:lineRule="exact"/>
        <w:rPr>
          <w:rFonts w:ascii="Arial" w:cs="Arial" w:eastAsia="Arial" w:hAnsi="Arial"/>
          <w:sz w:val="16"/>
          <w:szCs w:val="16"/>
          <w:color w:val="auto"/>
        </w:rPr>
      </w:pPr>
    </w:p>
    <w:p>
      <w:pPr>
        <w:ind w:left="440" w:right="280" w:firstLine="420"/>
        <w:spacing w:after="0" w:line="268" w:lineRule="auto"/>
        <w:tabs>
          <w:tab w:leader="none" w:pos="11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within forty-five (45) days after the end of each fiscal quarter (other than a fiscal year-end) and ninety (90) days after the end of each fiscal year, copies of the quarterly valuation statements for the BDC in accordance with Applicable Law;</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780"/>
          </w:cols>
          <w:pgMar w:left="780" w:top="280" w:right="339" w:bottom="1440" w:gutter="0" w:footer="0" w:header="0"/>
        </w:sectPr>
      </w:pPr>
    </w:p>
    <w:bookmarkStart w:id="119" w:name="page120"/>
    <w:bookmarkEnd w:id="119"/>
    <w:p>
      <w:pPr>
        <w:jc w:val="both"/>
        <w:ind w:left="440" w:right="120" w:firstLine="420"/>
        <w:spacing w:after="0" w:line="256" w:lineRule="auto"/>
        <w:tabs>
          <w:tab w:leader="none" w:pos="1151" w:val="left"/>
        </w:tabs>
        <w:numPr>
          <w:ilvl w:val="1"/>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soon as possible, and in any event within two Business Days after a Responsible Officer of the Collateral Manager or a Responsible Officer of the Borrower obtains actual knowledge of the occurrence and continuance of any (w) Default or (x) Event of Default, a certificate of a Responsible Officer of the Borrower setting forth the details thereof and the action which the Borrower is taking or proposes to take with respect thereto;</w:t>
      </w:r>
    </w:p>
    <w:p>
      <w:pPr>
        <w:spacing w:after="0" w:line="61" w:lineRule="exact"/>
        <w:rPr>
          <w:rFonts w:ascii="Arial" w:cs="Arial" w:eastAsia="Arial" w:hAnsi="Arial"/>
          <w:sz w:val="18"/>
          <w:szCs w:val="18"/>
          <w:color w:val="auto"/>
        </w:rPr>
      </w:pPr>
    </w:p>
    <w:p>
      <w:pPr>
        <w:ind w:left="440" w:right="60" w:firstLine="420"/>
        <w:spacing w:after="0" w:line="256" w:lineRule="auto"/>
        <w:tabs>
          <w:tab w:leader="none" w:pos="110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from time to time such additional information regarding the Borrower’s financial position or business and the Collateral (including reasonably detailed calculations of each Coverage Test, the Weighted Average Floating Spread, the Weighted Average Coupon, and the Weighted Average Life) as the Administrative Agent or the Required Lenders (through the Administrative Agent) may request if reasonably available to the Borrower; and</w:t>
      </w:r>
    </w:p>
    <w:p>
      <w:pPr>
        <w:spacing w:after="0" w:line="61" w:lineRule="exact"/>
        <w:rPr>
          <w:rFonts w:ascii="Arial" w:cs="Arial" w:eastAsia="Arial" w:hAnsi="Arial"/>
          <w:sz w:val="18"/>
          <w:szCs w:val="18"/>
          <w:color w:val="auto"/>
        </w:rPr>
      </w:pPr>
    </w:p>
    <w:p>
      <w:pPr>
        <w:ind w:left="440" w:right="880" w:firstLine="420"/>
        <w:spacing w:after="0" w:line="268" w:lineRule="auto"/>
        <w:tabs>
          <w:tab w:leader="none" w:pos="115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promptly after the occurrence of any ERISA Event, notice of such ERISA Event and copies of any communications with all Governmental Authorities or any Multiemployer Plan with respect to such ERISA Event.</w:t>
      </w:r>
    </w:p>
    <w:p>
      <w:pPr>
        <w:spacing w:after="0" w:line="50" w:lineRule="exact"/>
        <w:rPr>
          <w:rFonts w:ascii="Arial" w:cs="Arial" w:eastAsia="Arial" w:hAnsi="Arial"/>
          <w:sz w:val="18"/>
          <w:szCs w:val="18"/>
          <w:color w:val="auto"/>
        </w:rPr>
      </w:pPr>
    </w:p>
    <w:p>
      <w:pPr>
        <w:ind w:firstLine="428"/>
        <w:spacing w:after="0" w:line="287" w:lineRule="auto"/>
        <w:tabs>
          <w:tab w:leader="none" w:pos="67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Access to Records and Documents</w:t>
      </w:r>
      <w:r>
        <w:rPr>
          <w:rFonts w:ascii="Arial" w:cs="Arial" w:eastAsia="Arial" w:hAnsi="Arial"/>
          <w:sz w:val="16"/>
          <w:szCs w:val="16"/>
          <w:color w:val="auto"/>
        </w:rPr>
        <w:t>. It shall permit the Administrative Agent and each Lender (or any Person designated by the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so long as no Event of Default has occurred and is continuing, each Person entitled to so visit and inspect the Borrower’s records under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may only exercise its rights under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twice during any fiscal year of the Borrower (it being understood that the Borrower shall be responsible for all costs and expenses for only one such visit per fiscal year). Each Lender agrees to use commercially reasonable efforts to coordinate with the other Lenders in exercising their respective rights under this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and under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below with a view to minimizing duplication of effort and expense by the Borrower.</w:t>
      </w:r>
    </w:p>
    <w:p>
      <w:pPr>
        <w:spacing w:after="0" w:line="40" w:lineRule="exact"/>
        <w:rPr>
          <w:rFonts w:ascii="Arial" w:cs="Arial" w:eastAsia="Arial" w:hAnsi="Arial"/>
          <w:sz w:val="16"/>
          <w:szCs w:val="16"/>
          <w:color w:val="auto"/>
        </w:rPr>
      </w:pPr>
    </w:p>
    <w:p>
      <w:pPr>
        <w:ind w:left="640" w:hanging="212"/>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It shall use the proceeds of each Advance made hereunder solely:</w:t>
      </w:r>
    </w:p>
    <w:p>
      <w:pPr>
        <w:spacing w:after="0" w:line="90" w:lineRule="exact"/>
        <w:rPr>
          <w:rFonts w:ascii="Arial" w:cs="Arial" w:eastAsia="Arial" w:hAnsi="Arial"/>
          <w:sz w:val="18"/>
          <w:szCs w:val="18"/>
          <w:color w:val="auto"/>
        </w:rPr>
      </w:pPr>
    </w:p>
    <w:p>
      <w:pPr>
        <w:ind w:left="440" w:right="360" w:firstLine="420"/>
        <w:spacing w:after="0" w:line="268" w:lineRule="auto"/>
        <w:tabs>
          <w:tab w:leader="none" w:pos="106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fund or pay the purchase price of Collateral Loans (other than Ineligible Collateral Loans) or Eligible Investments acquired by the Borrower in accordance with the terms and conditions set forth herein or for general corporate purposes;</w:t>
      </w:r>
    </w:p>
    <w:p>
      <w:pPr>
        <w:spacing w:after="0" w:line="50" w:lineRule="exact"/>
        <w:rPr>
          <w:rFonts w:ascii="Arial" w:cs="Arial" w:eastAsia="Arial" w:hAnsi="Arial"/>
          <w:sz w:val="18"/>
          <w:szCs w:val="18"/>
          <w:color w:val="auto"/>
        </w:rPr>
      </w:pPr>
    </w:p>
    <w:p>
      <w:pPr>
        <w:ind w:left="440" w:right="200" w:firstLine="420"/>
        <w:spacing w:after="0" w:line="268" w:lineRule="auto"/>
        <w:tabs>
          <w:tab w:leader="none" w:pos="111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fund additional extensions of credit under Revolving Collateral Loans and Delayed Draw Collateral Loans purchased in accordance with the terms of this Agreement; and</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740"/>
          </w:cols>
          <w:pgMar w:left="780" w:top="280" w:right="379" w:bottom="1440" w:gutter="0" w:footer="0" w:header="0"/>
        </w:sectPr>
      </w:pPr>
    </w:p>
    <w:bookmarkStart w:id="120" w:name="page121"/>
    <w:bookmarkEnd w:id="120"/>
    <w:p>
      <w:pPr>
        <w:ind w:left="900" w:firstLine="420"/>
        <w:spacing w:after="0" w:line="298" w:lineRule="auto"/>
        <w:tabs>
          <w:tab w:leader="none" w:pos="16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fund the Revolving Reserve Account on or prior to the Commitment Termination Date to the extent the Revolving Reserve Account is required to be funded pursuant to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(and the Borrower shall submit a Notice of Borrowing requesting a Borrowing of Advances for a Borrowing Date falling no more than five and no less than one Business Day prior to the Commitment Termination Date with a Requested Amount sufficient to fully fund the Revolving Reserve Account under </w:t>
      </w:r>
      <w:r>
        <w:rPr>
          <w:rFonts w:ascii="Arial" w:cs="Arial" w:eastAsia="Arial" w:hAnsi="Arial"/>
          <w:sz w:val="16"/>
          <w:szCs w:val="16"/>
          <w:u w:val="single" w:color="auto"/>
          <w:color w:val="auto"/>
        </w:rPr>
        <w:t>Section 8.04</w:t>
      </w:r>
      <w:r>
        <w:rPr>
          <w:rFonts w:ascii="Arial" w:cs="Arial" w:eastAsia="Arial" w:hAnsi="Arial"/>
          <w:sz w:val="16"/>
          <w:szCs w:val="16"/>
          <w:color w:val="auto"/>
        </w:rPr>
        <w:t>).</w:t>
      </w:r>
    </w:p>
    <w:p>
      <w:pPr>
        <w:spacing w:after="0" w:line="112" w:lineRule="exact"/>
        <w:rPr>
          <w:sz w:val="20"/>
          <w:szCs w:val="20"/>
          <w:color w:val="auto"/>
        </w:rPr>
      </w:pPr>
    </w:p>
    <w:p>
      <w:pPr>
        <w:ind w:right="340" w:firstLine="449"/>
        <w:spacing w:after="0" w:line="268" w:lineRule="auto"/>
        <w:rPr>
          <w:sz w:val="20"/>
          <w:szCs w:val="20"/>
          <w:color w:val="auto"/>
        </w:rPr>
      </w:pPr>
      <w:r>
        <w:rPr>
          <w:rFonts w:ascii="Arial" w:cs="Arial" w:eastAsia="Arial" w:hAnsi="Arial"/>
          <w:sz w:val="18"/>
          <w:szCs w:val="18"/>
          <w:color w:val="auto"/>
        </w:rPr>
        <w:t>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51" w:lineRule="exact"/>
        <w:rPr>
          <w:sz w:val="20"/>
          <w:szCs w:val="20"/>
          <w:color w:val="auto"/>
        </w:rPr>
      </w:pPr>
    </w:p>
    <w:p>
      <w:pPr>
        <w:ind w:left="460" w:right="120" w:firstLine="428"/>
        <w:spacing w:after="0" w:line="282" w:lineRule="auto"/>
        <w:tabs>
          <w:tab w:leader="none" w:pos="1140" w:val="left"/>
        </w:tabs>
        <w:numPr>
          <w:ilvl w:val="1"/>
          <w:numId w:val="111"/>
        </w:numPr>
        <w:rPr>
          <w:rFonts w:ascii="Arial" w:cs="Arial" w:eastAsia="Arial" w:hAnsi="Arial"/>
          <w:sz w:val="16"/>
          <w:szCs w:val="16"/>
          <w:color w:val="auto"/>
        </w:rPr>
      </w:pPr>
      <w:r>
        <w:rPr>
          <w:rFonts w:ascii="Arial" w:cs="Arial" w:eastAsia="Arial" w:hAnsi="Arial"/>
          <w:sz w:val="16"/>
          <w:szCs w:val="16"/>
          <w:i w:val="1"/>
          <w:iCs w:val="1"/>
          <w:color w:val="auto"/>
        </w:rPr>
        <w:t>Audit Rights</w:t>
      </w:r>
      <w:r>
        <w:rPr>
          <w:rFonts w:ascii="Arial" w:cs="Arial" w:eastAsia="Arial" w:hAnsi="Arial"/>
          <w:sz w:val="16"/>
          <w:szCs w:val="16"/>
          <w:color w:val="auto"/>
        </w:rPr>
        <w:t>. It will permit the Administrative Agent and any Lender (or any representatives thereof (including any consultants, accountants,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lawyers and appraisers)) to conduct evaluations and appraisals of the Borrower’s computation of the Borrowing Base and the assets included in the Borrowing Base no more than twice during any fiscal year of the Borrower. The Borrower shall pay the reasonable fees and expenses of any representatives retained by the Administrative Agent or any Lender to conduct any such evaluation or appraisal;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 the Borrower shall not be required to pay such fees and expenses for more than one such evaluation or appraisal during any calendar year unless an Event of Default has occurred and (ii) such evaluation or appraisal shall not be duplicative of the report required under </w:t>
      </w:r>
      <w:r>
        <w:rPr>
          <w:rFonts w:ascii="Arial" w:cs="Arial" w:eastAsia="Arial" w:hAnsi="Arial"/>
          <w:sz w:val="16"/>
          <w:szCs w:val="16"/>
          <w:u w:val="single" w:color="auto"/>
          <w:color w:val="auto"/>
        </w:rPr>
        <w:t>Section 8.08(b)</w:t>
      </w:r>
      <w:r>
        <w:rPr>
          <w:rFonts w:ascii="Arial" w:cs="Arial" w:eastAsia="Arial" w:hAnsi="Arial"/>
          <w:sz w:val="16"/>
          <w:szCs w:val="16"/>
          <w:color w:val="auto"/>
        </w:rPr>
        <w:t xml:space="preserve">. Each Lender agrees to use commercially reasonable terms to coordinate with the other Lenders in exercising their respective rights under this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and under </w:t>
      </w:r>
      <w:r>
        <w:rPr>
          <w:rFonts w:ascii="Arial" w:cs="Arial" w:eastAsia="Arial" w:hAnsi="Arial"/>
          <w:sz w:val="16"/>
          <w:szCs w:val="16"/>
          <w:u w:val="single" w:color="auto"/>
          <w:color w:val="auto"/>
        </w:rPr>
        <w:t>paragraph</w:t>
      </w:r>
    </w:p>
    <w:p>
      <w:pPr>
        <w:spacing w:after="0" w:line="5" w:lineRule="exact"/>
        <w:rPr>
          <w:rFonts w:ascii="Arial" w:cs="Arial" w:eastAsia="Arial" w:hAnsi="Arial"/>
          <w:sz w:val="16"/>
          <w:szCs w:val="16"/>
          <w:color w:val="auto"/>
        </w:rPr>
      </w:pPr>
    </w:p>
    <w:p>
      <w:pPr>
        <w:ind w:left="700" w:hanging="243"/>
        <w:spacing w:after="0"/>
        <w:tabs>
          <w:tab w:leader="none" w:pos="700" w:val="left"/>
        </w:tabs>
        <w:numPr>
          <w:ilvl w:val="0"/>
          <w:numId w:val="112"/>
        </w:numPr>
        <w:rPr>
          <w:rFonts w:ascii="Arial" w:cs="Arial" w:eastAsia="Arial" w:hAnsi="Arial"/>
          <w:sz w:val="18"/>
          <w:szCs w:val="18"/>
          <w:u w:val="single" w:color="auto"/>
          <w:color w:val="auto"/>
        </w:rPr>
      </w:pPr>
      <w:r>
        <w:rPr>
          <w:rFonts w:ascii="Arial" w:cs="Arial" w:eastAsia="Arial" w:hAnsi="Arial"/>
          <w:sz w:val="18"/>
          <w:szCs w:val="18"/>
          <w:color w:val="auto"/>
        </w:rPr>
        <w:t>above with a view to minimizing duplication of effort and expense by the Borrower.</w:t>
      </w:r>
    </w:p>
    <w:p>
      <w:pPr>
        <w:spacing w:after="0" w:line="83" w:lineRule="exact"/>
        <w:rPr>
          <w:rFonts w:ascii="Arial" w:cs="Arial" w:eastAsia="Arial" w:hAnsi="Arial"/>
          <w:sz w:val="18"/>
          <w:szCs w:val="18"/>
          <w:u w:val="single" w:color="auto"/>
          <w:color w:val="auto"/>
        </w:rPr>
      </w:pPr>
    </w:p>
    <w:p>
      <w:pPr>
        <w:ind w:left="460" w:right="80" w:firstLine="428"/>
        <w:spacing w:after="0" w:line="259" w:lineRule="auto"/>
        <w:tabs>
          <w:tab w:leader="none" w:pos="1140" w:val="left"/>
        </w:tabs>
        <w:numPr>
          <w:ilvl w:val="1"/>
          <w:numId w:val="112"/>
        </w:numPr>
        <w:rPr>
          <w:rFonts w:ascii="Arial" w:cs="Arial" w:eastAsia="Arial" w:hAnsi="Arial"/>
          <w:sz w:val="18"/>
          <w:szCs w:val="18"/>
          <w:color w:val="auto"/>
        </w:rPr>
      </w:pPr>
      <w:r>
        <w:rPr>
          <w:rFonts w:ascii="Arial" w:cs="Arial" w:eastAsia="Arial" w:hAnsi="Arial"/>
          <w:sz w:val="18"/>
          <w:szCs w:val="18"/>
          <w:i w:val="1"/>
          <w:iCs w:val="1"/>
          <w:color w:val="auto"/>
        </w:rPr>
        <w:t>Opinions as to Collateral</w:t>
      </w:r>
      <w:r>
        <w:rPr>
          <w:rFonts w:ascii="Arial" w:cs="Arial" w:eastAsia="Arial" w:hAnsi="Arial"/>
          <w:sz w:val="18"/>
          <w:szCs w:val="18"/>
          <w:color w:val="auto"/>
        </w:rPr>
        <w:t>. On or before each five (5) year anniversary of the Closing Date, the Borrower shall furnish to the Agents an opinion</w:t>
      </w:r>
      <w:r>
        <w:rPr>
          <w:rFonts w:ascii="Arial" w:cs="Arial" w:eastAsia="Arial" w:hAnsi="Arial"/>
          <w:sz w:val="18"/>
          <w:szCs w:val="18"/>
          <w:i w:val="1"/>
          <w:iCs w:val="1"/>
          <w:color w:val="auto"/>
        </w:rPr>
        <w:t xml:space="preserve"> </w:t>
      </w:r>
      <w:r>
        <w:rPr>
          <w:rFonts w:ascii="Arial" w:cs="Arial" w:eastAsia="Arial" w:hAnsi="Arial"/>
          <w:sz w:val="18"/>
          <w:szCs w:val="18"/>
          <w:color w:val="auto"/>
        </w:rPr>
        <w:t>of counsel, addressed to the Borrower and the Agents, relating to the continued perfection of the security interest granted by the Borrower to the Collateral Agent hereunder.</w:t>
      </w:r>
    </w:p>
    <w:p>
      <w:pPr>
        <w:spacing w:after="0" w:line="58" w:lineRule="exact"/>
        <w:rPr>
          <w:rFonts w:ascii="Arial" w:cs="Arial" w:eastAsia="Arial" w:hAnsi="Arial"/>
          <w:sz w:val="18"/>
          <w:szCs w:val="18"/>
          <w:color w:val="auto"/>
        </w:rPr>
      </w:pPr>
    </w:p>
    <w:p>
      <w:pPr>
        <w:ind w:left="460" w:right="120" w:firstLine="428"/>
        <w:spacing w:after="0" w:line="294" w:lineRule="auto"/>
        <w:tabs>
          <w:tab w:leader="none" w:pos="1101" w:val="left"/>
        </w:tabs>
        <w:numPr>
          <w:ilvl w:val="1"/>
          <w:numId w:val="112"/>
        </w:numPr>
        <w:rPr>
          <w:rFonts w:ascii="Arial" w:cs="Arial" w:eastAsia="Arial" w:hAnsi="Arial"/>
          <w:sz w:val="16"/>
          <w:szCs w:val="16"/>
          <w:color w:val="auto"/>
        </w:rPr>
      </w:pPr>
      <w:r>
        <w:rPr>
          <w:rFonts w:ascii="Arial" w:cs="Arial" w:eastAsia="Arial" w:hAnsi="Arial"/>
          <w:sz w:val="16"/>
          <w:szCs w:val="16"/>
          <w:i w:val="1"/>
          <w:iCs w:val="1"/>
          <w:color w:val="auto"/>
        </w:rPr>
        <w:t>No Other Business</w:t>
      </w:r>
      <w:r>
        <w:rPr>
          <w:rFonts w:ascii="Arial" w:cs="Arial" w:eastAsia="Arial" w:hAnsi="Arial"/>
          <w:sz w:val="16"/>
          <w:szCs w:val="16"/>
          <w:color w:val="auto"/>
        </w:rPr>
        <w:t>. The Borrower shall not engage in any business or activity other than borrowing Advances pursuant to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originating, funding, acquiring, owning, holding, administering, selling, enforcing, lending, exchanging, redeeming, pledging, contracting for the management of and otherwise dealing with Collateral Loans, Eligible Investments and the other Collateral in connection therewith and entering into the Facility Documents, any applicable Related Documents and any other agreements contemplated by this Agreement, and shall not engage in any activity or take any other action that would cause the Borrower to be subject to U.S. Federal, state or local income tax on a net income basis.</w:t>
      </w:r>
    </w:p>
    <w:p>
      <w:pPr>
        <w:spacing w:after="0" w:line="34" w:lineRule="exact"/>
        <w:rPr>
          <w:rFonts w:ascii="Arial" w:cs="Arial" w:eastAsia="Arial" w:hAnsi="Arial"/>
          <w:sz w:val="16"/>
          <w:szCs w:val="16"/>
          <w:color w:val="auto"/>
        </w:rPr>
      </w:pPr>
    </w:p>
    <w:p>
      <w:pPr>
        <w:ind w:left="460" w:right="100" w:firstLine="428"/>
        <w:spacing w:after="0" w:line="306" w:lineRule="auto"/>
        <w:tabs>
          <w:tab w:leader="none" w:pos="1101" w:val="left"/>
        </w:tabs>
        <w:numPr>
          <w:ilvl w:val="1"/>
          <w:numId w:val="112"/>
        </w:numPr>
        <w:rPr>
          <w:rFonts w:ascii="Arial" w:cs="Arial" w:eastAsia="Arial" w:hAnsi="Arial"/>
          <w:sz w:val="16"/>
          <w:szCs w:val="16"/>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The Borrower shall (and each Lender hereby agrees to) treat the Advances as debt for U.S. Federal income tax purposes and will</w:t>
      </w:r>
      <w:r>
        <w:rPr>
          <w:rFonts w:ascii="Arial" w:cs="Arial" w:eastAsia="Arial" w:hAnsi="Arial"/>
          <w:sz w:val="16"/>
          <w:szCs w:val="16"/>
          <w:i w:val="1"/>
          <w:iCs w:val="1"/>
          <w:color w:val="auto"/>
        </w:rPr>
        <w:t xml:space="preserve"> </w:t>
      </w:r>
      <w:r>
        <w:rPr>
          <w:rFonts w:ascii="Arial" w:cs="Arial" w:eastAsia="Arial" w:hAnsi="Arial"/>
          <w:sz w:val="16"/>
          <w:szCs w:val="16"/>
          <w:color w:val="auto"/>
        </w:rPr>
        <w:t>take no contrary position. Assuming that such treatment is correct, the Borrower shall at all times maintain its status as an entity disregarded as an entity separate from its owner for U.S. Federal income tax purposes. The Borrower shall at all times ensure that its owner is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280" w:right="339" w:bottom="1440" w:gutter="0" w:footer="0" w:header="0"/>
        </w:sectPr>
      </w:pPr>
    </w:p>
    <w:bookmarkStart w:id="121" w:name="page122"/>
    <w:bookmarkEnd w:id="121"/>
    <w:p>
      <w:pPr>
        <w:ind w:left="46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 remain a United States person as defined by Section 7701(a)(30) of the Code. Notwithstanding any contrary agreement or understanding, the Collateral Manager, the Borrower, the Agents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w:t>
      </w:r>
    </w:p>
    <w:p>
      <w:pPr>
        <w:spacing w:after="0" w:line="23" w:lineRule="exact"/>
        <w:rPr>
          <w:sz w:val="20"/>
          <w:szCs w:val="20"/>
          <w:color w:val="auto"/>
        </w:rPr>
      </w:pPr>
    </w:p>
    <w:p>
      <w:pPr>
        <w:ind w:left="460" w:right="80" w:firstLine="428"/>
        <w:spacing w:after="0" w:line="306" w:lineRule="auto"/>
        <w:tabs>
          <w:tab w:leader="none" w:pos="1140"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Changes to Related Documents</w:t>
      </w:r>
      <w:r>
        <w:rPr>
          <w:rFonts w:ascii="Arial" w:cs="Arial" w:eastAsia="Arial" w:hAnsi="Arial"/>
          <w:sz w:val="16"/>
          <w:szCs w:val="16"/>
          <w:color w:val="auto"/>
        </w:rPr>
        <w:t>. If any amendment, consent, waiver or other modification with respect to a Related Document (other than a</w:t>
      </w:r>
      <w:r>
        <w:rPr>
          <w:rFonts w:ascii="Arial" w:cs="Arial" w:eastAsia="Arial" w:hAnsi="Arial"/>
          <w:sz w:val="16"/>
          <w:szCs w:val="16"/>
          <w:i w:val="1"/>
          <w:iCs w:val="1"/>
          <w:color w:val="auto"/>
        </w:rPr>
        <w:t xml:space="preserve"> </w:t>
      </w:r>
      <w:r>
        <w:rPr>
          <w:rFonts w:ascii="Arial" w:cs="Arial" w:eastAsia="Arial" w:hAnsi="Arial"/>
          <w:sz w:val="16"/>
          <w:szCs w:val="16"/>
          <w:color w:val="auto"/>
        </w:rPr>
        <w:t>Defaulted Collateral Loan or an Ineligible Collateral Loan) would effect a Material Modification, then the Borrower shall not cause or vote in favor of any such Material Modification without the written consent of the Administrative Agent and the Required Lenders.</w:t>
      </w:r>
    </w:p>
    <w:p>
      <w:pPr>
        <w:spacing w:after="0" w:line="25" w:lineRule="exact"/>
        <w:rPr>
          <w:rFonts w:ascii="Arial" w:cs="Arial" w:eastAsia="Arial" w:hAnsi="Arial"/>
          <w:sz w:val="16"/>
          <w:szCs w:val="16"/>
          <w:color w:val="auto"/>
        </w:rPr>
      </w:pPr>
    </w:p>
    <w:p>
      <w:pPr>
        <w:ind w:left="460" w:right="80" w:firstLine="428"/>
        <w:spacing w:after="0" w:line="306" w:lineRule="auto"/>
        <w:tabs>
          <w:tab w:leader="none" w:pos="1101"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Hedge Agreements</w:t>
      </w:r>
      <w:r>
        <w:rPr>
          <w:rFonts w:ascii="Arial" w:cs="Arial" w:eastAsia="Arial" w:hAnsi="Arial"/>
          <w:sz w:val="16"/>
          <w:szCs w:val="16"/>
          <w:color w:val="auto"/>
        </w:rPr>
        <w:t>. The Borrower shall be permitted to enter into interest rate hedging agreements with respect to its Fixed Rate Obligations;</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(i) the notional amount of such hedging arrangements may not exceed the outstanding principal amount of the related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(ii) the counterparty with respect to such hedging agreement is a qualified Hedge Counterparty.</w:t>
      </w:r>
    </w:p>
    <w:p>
      <w:pPr>
        <w:spacing w:after="0" w:line="25" w:lineRule="exact"/>
        <w:rPr>
          <w:rFonts w:ascii="Arial" w:cs="Arial" w:eastAsia="Arial" w:hAnsi="Arial"/>
          <w:sz w:val="16"/>
          <w:szCs w:val="16"/>
          <w:color w:val="auto"/>
        </w:rPr>
      </w:pPr>
    </w:p>
    <w:p>
      <w:pPr>
        <w:ind w:left="460" w:right="480" w:firstLine="428"/>
        <w:spacing w:after="0" w:line="331" w:lineRule="auto"/>
        <w:tabs>
          <w:tab w:leader="none" w:pos="1188"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Collections</w:t>
      </w:r>
      <w:r>
        <w:rPr>
          <w:rFonts w:ascii="Arial" w:cs="Arial" w:eastAsia="Arial" w:hAnsi="Arial"/>
          <w:sz w:val="16"/>
          <w:szCs w:val="16"/>
          <w:color w:val="auto"/>
        </w:rPr>
        <w:t>. The Borrower shall direct all Obligors (and related paying agents) to pay all Collections directly to the Interest Collection</w:t>
      </w:r>
      <w:r>
        <w:rPr>
          <w:rFonts w:ascii="Arial" w:cs="Arial" w:eastAsia="Arial" w:hAnsi="Arial"/>
          <w:sz w:val="16"/>
          <w:szCs w:val="16"/>
          <w:i w:val="1"/>
          <w:iCs w:val="1"/>
          <w:color w:val="auto"/>
        </w:rPr>
        <w:t xml:space="preserve"> </w:t>
      </w:r>
      <w:r>
        <w:rPr>
          <w:rFonts w:ascii="Arial" w:cs="Arial" w:eastAsia="Arial" w:hAnsi="Arial"/>
          <w:sz w:val="16"/>
          <w:szCs w:val="16"/>
          <w:color w:val="auto"/>
        </w:rPr>
        <w:t>Subaccount (in the case of Interest Proceeds) or the Principal Collection Subaccount (in the case of Principal Proceeds).</w:t>
      </w:r>
    </w:p>
    <w:p>
      <w:pPr>
        <w:spacing w:after="0" w:line="5" w:lineRule="exact"/>
        <w:rPr>
          <w:rFonts w:ascii="Arial" w:cs="Arial" w:eastAsia="Arial" w:hAnsi="Arial"/>
          <w:sz w:val="16"/>
          <w:szCs w:val="16"/>
          <w:color w:val="auto"/>
        </w:rPr>
      </w:pPr>
    </w:p>
    <w:p>
      <w:pPr>
        <w:ind w:left="460" w:right="520" w:firstLine="428"/>
        <w:spacing w:after="0" w:line="268"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Priority of Payments. </w:t>
      </w:r>
      <w:r>
        <w:rPr>
          <w:rFonts w:ascii="Arial" w:cs="Arial" w:eastAsia="Arial" w:hAnsi="Arial"/>
          <w:sz w:val="18"/>
          <w:szCs w:val="18"/>
          <w:color w:val="auto"/>
        </w:rPr>
        <w:t>The Borrower shall ensure all Interest Proceeds and Principal Proceeds are applied solely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Agreement.</w:t>
      </w:r>
    </w:p>
    <w:p>
      <w:pPr>
        <w:spacing w:after="0" w:line="132" w:lineRule="exact"/>
        <w:rPr>
          <w:sz w:val="20"/>
          <w:szCs w:val="20"/>
          <w:color w:val="auto"/>
        </w:rPr>
      </w:pPr>
    </w:p>
    <w:p>
      <w:pPr>
        <w:ind w:right="60" w:firstLine="449"/>
        <w:spacing w:after="0" w:line="268" w:lineRule="auto"/>
        <w:rPr>
          <w:sz w:val="20"/>
          <w:szCs w:val="20"/>
          <w:color w:val="auto"/>
        </w:rPr>
      </w:pPr>
      <w:r>
        <w:rPr>
          <w:rFonts w:ascii="Arial" w:cs="Arial" w:eastAsia="Arial" w:hAnsi="Arial"/>
          <w:sz w:val="18"/>
          <w:szCs w:val="18"/>
          <w:i w:val="1"/>
          <w:iCs w:val="1"/>
          <w:color w:val="auto"/>
        </w:rPr>
        <w:t>Section 5.02. Negative Covenants of the Borrower</w:t>
      </w:r>
      <w:r>
        <w:rPr>
          <w:rFonts w:ascii="Arial" w:cs="Arial" w:eastAsia="Arial" w:hAnsi="Arial"/>
          <w:sz w:val="18"/>
          <w:szCs w:val="18"/>
          <w:color w:val="auto"/>
        </w:rPr>
        <w:t>. The Borrower covenants and agrees that, until the Final Maturity Date (and thereafter until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that all Obligations have been paid in full):</w:t>
      </w:r>
    </w:p>
    <w:p>
      <w:pPr>
        <w:spacing w:after="0" w:line="51" w:lineRule="exact"/>
        <w:rPr>
          <w:sz w:val="20"/>
          <w:szCs w:val="20"/>
          <w:color w:val="auto"/>
        </w:rPr>
      </w:pPr>
    </w:p>
    <w:p>
      <w:pPr>
        <w:ind w:left="460" w:right="20" w:firstLine="428"/>
        <w:spacing w:after="0" w:line="256" w:lineRule="auto"/>
        <w:tabs>
          <w:tab w:leader="none" w:pos="113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Restrictive Agreements</w:t>
      </w:r>
      <w:r>
        <w:rPr>
          <w:rFonts w:ascii="Arial" w:cs="Arial" w:eastAsia="Arial" w:hAnsi="Arial"/>
          <w:sz w:val="18"/>
          <w:szCs w:val="18"/>
          <w:color w:val="auto"/>
        </w:rPr>
        <w:t>. It shall not enter into or suffer to exist or become effective any agreement that prohibits, limits or imposes any</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280" w:right="479" w:bottom="1440" w:gutter="0" w:footer="0" w:header="0"/>
        </w:sectPr>
      </w:pPr>
    </w:p>
    <w:bookmarkStart w:id="122" w:name="page123"/>
    <w:bookmarkEnd w:id="122"/>
    <w:p>
      <w:pPr>
        <w:ind w:left="680" w:hanging="252"/>
        <w:spacing w:after="0"/>
        <w:tabs>
          <w:tab w:leader="none" w:pos="680"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Liquidation; Merger; Sale of Collateral</w:t>
      </w:r>
      <w:r>
        <w:rPr>
          <w:rFonts w:ascii="Arial" w:cs="Arial" w:eastAsia="Arial" w:hAnsi="Arial"/>
          <w:sz w:val="16"/>
          <w:szCs w:val="16"/>
          <w:color w:val="auto"/>
        </w:rPr>
        <w:t>. It shall not consummate any plan of liquidation, dissolution, partial liquidation, merger or</w:t>
      </w:r>
    </w:p>
    <w:p>
      <w:pPr>
        <w:spacing w:after="0" w:line="38" w:lineRule="exact"/>
        <w:rPr>
          <w:rFonts w:ascii="Arial" w:cs="Arial" w:eastAsia="Arial" w:hAnsi="Arial"/>
          <w:sz w:val="16"/>
          <w:szCs w:val="16"/>
          <w:color w:val="auto"/>
        </w:rPr>
      </w:pPr>
    </w:p>
    <w:p>
      <w:pPr>
        <w:ind w:right="80"/>
        <w:spacing w:after="0" w:line="302" w:lineRule="auto"/>
        <w:rPr>
          <w:rFonts w:ascii="Arial" w:cs="Arial" w:eastAsia="Arial" w:hAnsi="Arial"/>
          <w:sz w:val="16"/>
          <w:szCs w:val="16"/>
          <w:color w:val="auto"/>
        </w:rPr>
      </w:pPr>
      <w:r>
        <w:rPr>
          <w:rFonts w:ascii="Arial" w:cs="Arial" w:eastAsia="Arial" w:hAnsi="Arial"/>
          <w:sz w:val="16"/>
          <w:szCs w:val="16"/>
          <w:color w:val="auto"/>
        </w:rPr>
        <w:t>consolidation (or suffer any liquidation, dissolution or partial liquidation) nor sell, transfer, exchange or otherwise dispose of any of its assets, or enter into an agreement or commitment to do so or enter into or engage in any business with respect to any part of its assets, except as expressly permitted by this Agreement and the other Facility Documents (including in connection with the repayment in full of the Obligations).</w:t>
      </w:r>
    </w:p>
    <w:p>
      <w:pPr>
        <w:spacing w:after="0" w:line="28" w:lineRule="exact"/>
        <w:rPr>
          <w:rFonts w:ascii="Arial" w:cs="Arial" w:eastAsia="Arial" w:hAnsi="Arial"/>
          <w:sz w:val="16"/>
          <w:szCs w:val="16"/>
          <w:color w:val="auto"/>
        </w:rPr>
      </w:pPr>
    </w:p>
    <w:p>
      <w:pPr>
        <w:ind w:right="80" w:firstLine="428"/>
        <w:spacing w:after="0" w:line="256" w:lineRule="auto"/>
        <w:tabs>
          <w:tab w:leader="none" w:pos="67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Amendments to Constituent Documents, etc</w:t>
      </w:r>
      <w:r>
        <w:rPr>
          <w:rFonts w:ascii="Arial" w:cs="Arial" w:eastAsia="Arial" w:hAnsi="Arial"/>
          <w:sz w:val="18"/>
          <w:szCs w:val="18"/>
          <w:color w:val="auto"/>
        </w:rPr>
        <w:t>. Without the consent of the Administrative Agent and each of the Lenders, (i) it shall not amend,</w:t>
      </w:r>
      <w:r>
        <w:rPr>
          <w:rFonts w:ascii="Arial" w:cs="Arial" w:eastAsia="Arial" w:hAnsi="Arial"/>
          <w:sz w:val="18"/>
          <w:szCs w:val="18"/>
          <w:i w:val="1"/>
          <w:iCs w:val="1"/>
          <w:color w:val="auto"/>
        </w:rPr>
        <w:t xml:space="preserve"> </w:t>
      </w:r>
      <w:r>
        <w:rPr>
          <w:rFonts w:ascii="Arial" w:cs="Arial" w:eastAsia="Arial" w:hAnsi="Arial"/>
          <w:sz w:val="18"/>
          <w:szCs w:val="18"/>
          <w:color w:val="auto"/>
        </w:rPr>
        <w:t>modify or take any action inconsistent with its Constituent Documents and (ii) it will not amend, modify or waive any term or provision in any Facility Document (other than in accordance with any provision thereof requiring the consent of the Administrative Agent or all or a specified percentage of the Lenders).</w:t>
      </w:r>
    </w:p>
    <w:p>
      <w:pPr>
        <w:spacing w:after="0" w:line="61" w:lineRule="exact"/>
        <w:rPr>
          <w:rFonts w:ascii="Arial" w:cs="Arial" w:eastAsia="Arial" w:hAnsi="Arial"/>
          <w:sz w:val="18"/>
          <w:szCs w:val="18"/>
          <w:color w:val="auto"/>
        </w:rPr>
      </w:pPr>
    </w:p>
    <w:p>
      <w:pPr>
        <w:ind w:left="680" w:hanging="252"/>
        <w:spacing w:after="0"/>
        <w:tabs>
          <w:tab w:leader="none" w:pos="68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Neither it nor any member of the ERISA Group shall establish any Plan or Multiemployer Plan.</w:t>
      </w:r>
    </w:p>
    <w:p>
      <w:pPr>
        <w:spacing w:after="0" w:line="90" w:lineRule="exact"/>
        <w:rPr>
          <w:rFonts w:ascii="Arial" w:cs="Arial" w:eastAsia="Arial" w:hAnsi="Arial"/>
          <w:sz w:val="18"/>
          <w:szCs w:val="18"/>
          <w:color w:val="auto"/>
        </w:rPr>
      </w:pPr>
    </w:p>
    <w:p>
      <w:pPr>
        <w:ind w:right="200" w:firstLine="428"/>
        <w:spacing w:after="0" w:line="268" w:lineRule="auto"/>
        <w:tabs>
          <w:tab w:leader="none" w:pos="67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Liens</w:t>
      </w:r>
      <w:r>
        <w:rPr>
          <w:rFonts w:ascii="Arial" w:cs="Arial" w:eastAsia="Arial" w:hAnsi="Arial"/>
          <w:sz w:val="18"/>
          <w:szCs w:val="18"/>
          <w:color w:val="auto"/>
        </w:rPr>
        <w:t>. It shall not create, assume or suffer to exist any Lien on any of its assets now owned or hereafter acquired by it at any time, except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Liens or as otherwise expressly permitted by this Agreement and the other Facility Documents.</w:t>
      </w:r>
    </w:p>
    <w:p>
      <w:pPr>
        <w:spacing w:after="0" w:line="50" w:lineRule="exact"/>
        <w:rPr>
          <w:rFonts w:ascii="Arial" w:cs="Arial" w:eastAsia="Arial" w:hAnsi="Arial"/>
          <w:sz w:val="18"/>
          <w:szCs w:val="18"/>
          <w:color w:val="auto"/>
        </w:rPr>
      </w:pPr>
    </w:p>
    <w:p>
      <w:pPr>
        <w:ind w:right="60" w:firstLine="428"/>
        <w:spacing w:after="0" w:line="256" w:lineRule="auto"/>
        <w:tabs>
          <w:tab w:leader="none" w:pos="65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Margin Requirements</w:t>
      </w:r>
      <w:r>
        <w:rPr>
          <w:rFonts w:ascii="Arial" w:cs="Arial" w:eastAsia="Arial" w:hAnsi="Arial"/>
          <w:sz w:val="18"/>
          <w:szCs w:val="18"/>
          <w:color w:val="auto"/>
        </w:rPr>
        <w:t>. It shall not (i) extend credit to others for the purpose of buying or carrying any Margin Stock in such a manner as to</w:t>
      </w:r>
      <w:r>
        <w:rPr>
          <w:rFonts w:ascii="Arial" w:cs="Arial" w:eastAsia="Arial" w:hAnsi="Arial"/>
          <w:sz w:val="18"/>
          <w:szCs w:val="18"/>
          <w:i w:val="1"/>
          <w:iCs w:val="1"/>
          <w:color w:val="auto"/>
        </w:rPr>
        <w:t xml:space="preserve"> </w:t>
      </w:r>
      <w:r>
        <w:rPr>
          <w:rFonts w:ascii="Arial" w:cs="Arial" w:eastAsia="Arial" w:hAnsi="Arial"/>
          <w:sz w:val="18"/>
          <w:szCs w:val="18"/>
          <w:color w:val="auto"/>
        </w:rPr>
        <w:t>violate 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61" w:lineRule="exact"/>
        <w:rPr>
          <w:rFonts w:ascii="Arial" w:cs="Arial" w:eastAsia="Arial" w:hAnsi="Arial"/>
          <w:sz w:val="18"/>
          <w:szCs w:val="18"/>
          <w:color w:val="auto"/>
        </w:rPr>
      </w:pPr>
    </w:p>
    <w:p>
      <w:pPr>
        <w:ind w:right="40" w:firstLine="428"/>
        <w:spacing w:after="0" w:line="268" w:lineRule="auto"/>
        <w:tabs>
          <w:tab w:leader="none" w:pos="68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Restricted Payments</w:t>
      </w:r>
      <w:r>
        <w:rPr>
          <w:rFonts w:ascii="Arial" w:cs="Arial" w:eastAsia="Arial" w:hAnsi="Arial"/>
          <w:sz w:val="18"/>
          <w:szCs w:val="18"/>
          <w:color w:val="auto"/>
        </w:rPr>
        <w:t>. It shall not make, directly or indirectly, any Restricted Payment (whether in the form of cash or other assets) or incur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(contingent or otherwise) to do so (other than payments made pursuant to the Priority of Payments).</w:t>
      </w:r>
    </w:p>
    <w:p>
      <w:pPr>
        <w:spacing w:after="0" w:line="50" w:lineRule="exact"/>
        <w:rPr>
          <w:rFonts w:ascii="Arial" w:cs="Arial" w:eastAsia="Arial" w:hAnsi="Arial"/>
          <w:sz w:val="18"/>
          <w:szCs w:val="18"/>
          <w:color w:val="auto"/>
        </w:rPr>
      </w:pPr>
    </w:p>
    <w:p>
      <w:pPr>
        <w:ind w:firstLine="428"/>
        <w:spacing w:after="0" w:line="294" w:lineRule="auto"/>
        <w:tabs>
          <w:tab w:leader="none" w:pos="680"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Changes to Filing Information</w:t>
      </w:r>
      <w:r>
        <w:rPr>
          <w:rFonts w:ascii="Arial" w:cs="Arial" w:eastAsia="Arial" w:hAnsi="Arial"/>
          <w:sz w:val="16"/>
          <w:szCs w:val="16"/>
          <w:color w:val="auto"/>
        </w:rPr>
        <w:t>. It shall not change its name or its jurisdiction of organization from that referred to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4.01(a)</w:t>
      </w:r>
      <w:r>
        <w:rPr>
          <w:rFonts w:ascii="Arial" w:cs="Arial" w:eastAsia="Arial" w:hAnsi="Arial"/>
          <w:sz w:val="16"/>
          <w:szCs w:val="16"/>
          <w:color w:val="auto"/>
        </w:rPr>
        <w:t>, unless it</w:t>
      </w:r>
      <w:r>
        <w:rPr>
          <w:rFonts w:ascii="Arial" w:cs="Arial" w:eastAsia="Arial" w:hAnsi="Arial"/>
          <w:sz w:val="16"/>
          <w:szCs w:val="16"/>
          <w:i w:val="1"/>
          <w:iCs w:val="1"/>
          <w:color w:val="auto"/>
        </w:rPr>
        <w:t xml:space="preserve"> </w:t>
      </w:r>
      <w:r>
        <w:rPr>
          <w:rFonts w:ascii="Arial" w:cs="Arial" w:eastAsia="Arial" w:hAnsi="Arial"/>
          <w:sz w:val="16"/>
          <w:szCs w:val="16"/>
          <w:color w:val="auto"/>
        </w:rPr>
        <w:t>gives thirty (30) days’ prior written notice to the Agents and takes all actions necessary to protect and perfect the Collateral Agent’s perfected security interest in the Collateral and shall promptly file appropriate amendments to all previously filed financing statements and continuation statements that are necessary to perfect the security interests of the Collateral Agent under this Agreement under each method of perfection required herein with respect to the Collateral (and shall provide copy of such amendments to the Collateral Agent and the Administrative Agent).</w:t>
      </w:r>
    </w:p>
    <w:p>
      <w:pPr>
        <w:spacing w:after="0" w:line="10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720"/>
          </w:cols>
          <w:pgMar w:left="780" w:top="280" w:right="399" w:bottom="1440" w:gutter="0" w:footer="0" w:header="0"/>
        </w:sectPr>
      </w:pPr>
    </w:p>
    <w:bookmarkStart w:id="123" w:name="page124"/>
    <w:bookmarkEnd w:id="123"/>
    <w:p>
      <w:pPr>
        <w:ind w:firstLine="428"/>
        <w:spacing w:after="0" w:line="254" w:lineRule="auto"/>
        <w:tabs>
          <w:tab w:leader="none" w:pos="641"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Transactions with Affiliates</w:t>
      </w:r>
      <w:r>
        <w:rPr>
          <w:rFonts w:ascii="Arial" w:cs="Arial" w:eastAsia="Arial" w:hAnsi="Arial"/>
          <w:sz w:val="18"/>
          <w:szCs w:val="18"/>
          <w:color w:val="auto"/>
        </w:rPr>
        <w:t>. It shall not sell, lease or otherwise transfer any property or assets to, or purchase, lease or otherwise acquire any</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or assets from, or otherwise engage in any other transactions with, any of its Affiliates (including, without limitation, sales of Defaulted Collateral Loans and other Collateral Loans), unless such transaction is upon terms no less favorable to the Borrower than it would obtain in a comparable arm’s length transaction with a Person that is not an Affiliate (it being agreed that any purchase or sale at par shall be deemed to comply with this provision).</w:t>
      </w:r>
    </w:p>
    <w:p>
      <w:pPr>
        <w:spacing w:after="0" w:line="65" w:lineRule="exact"/>
        <w:rPr>
          <w:rFonts w:ascii="Arial" w:cs="Arial" w:eastAsia="Arial" w:hAnsi="Arial"/>
          <w:sz w:val="18"/>
          <w:szCs w:val="18"/>
          <w:color w:val="auto"/>
        </w:rPr>
      </w:pPr>
    </w:p>
    <w:p>
      <w:pPr>
        <w:ind w:left="640" w:hanging="212"/>
        <w:spacing w:after="0"/>
        <w:tabs>
          <w:tab w:leader="none" w:pos="64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Investment Company Restriction</w:t>
      </w:r>
      <w:r>
        <w:rPr>
          <w:rFonts w:ascii="Arial" w:cs="Arial" w:eastAsia="Arial" w:hAnsi="Arial"/>
          <w:sz w:val="16"/>
          <w:szCs w:val="16"/>
          <w:color w:val="auto"/>
        </w:rPr>
        <w:t>. It shall not become required to register as an “investment company” under the Investment Company Act.</w:t>
      </w:r>
    </w:p>
    <w:p>
      <w:pPr>
        <w:spacing w:after="0" w:line="113" w:lineRule="exact"/>
        <w:rPr>
          <w:rFonts w:ascii="Arial" w:cs="Arial" w:eastAsia="Arial" w:hAnsi="Arial"/>
          <w:sz w:val="16"/>
          <w:szCs w:val="16"/>
          <w:color w:val="auto"/>
        </w:rPr>
      </w:pPr>
    </w:p>
    <w:p>
      <w:pPr>
        <w:ind w:right="180" w:firstLine="428"/>
        <w:spacing w:after="0" w:line="259" w:lineRule="auto"/>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Subject Laws</w:t>
      </w:r>
      <w:r>
        <w:rPr>
          <w:rFonts w:ascii="Arial" w:cs="Arial" w:eastAsia="Arial" w:hAnsi="Arial"/>
          <w:sz w:val="18"/>
          <w:szCs w:val="18"/>
          <w:color w:val="auto"/>
        </w:rPr>
        <w:t>. It shall not utilize directly or indirectly the proceeds of any Advance for the benefit of any Person controlling, controlled by,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 common control with any other Person, whose name appears on the List of Specially Designated Nationals and Blocked Persons maintained by OFAC or otherwise in violation of any Subject Laws.</w:t>
      </w:r>
    </w:p>
    <w:p>
      <w:pPr>
        <w:spacing w:after="0" w:line="58" w:lineRule="exact"/>
        <w:rPr>
          <w:rFonts w:ascii="Arial" w:cs="Arial" w:eastAsia="Arial" w:hAnsi="Arial"/>
          <w:sz w:val="18"/>
          <w:szCs w:val="18"/>
          <w:color w:val="auto"/>
        </w:rPr>
      </w:pPr>
    </w:p>
    <w:p>
      <w:pPr>
        <w:ind w:right="80" w:firstLine="428"/>
        <w:spacing w:after="0" w:line="259" w:lineRule="auto"/>
        <w:tabs>
          <w:tab w:leader="none" w:pos="641"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No Claims Against Advances</w:t>
      </w:r>
      <w:r>
        <w:rPr>
          <w:rFonts w:ascii="Arial" w:cs="Arial" w:eastAsia="Arial" w:hAnsi="Arial"/>
          <w:sz w:val="18"/>
          <w:szCs w:val="18"/>
          <w:color w:val="auto"/>
        </w:rPr>
        <w:t>. Subject to Applicable Law, it shall not claim any credit on, make any deduction from, or dispute the</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enforceability of payment of the principal or interest payable (or any other amount) in respect of the Advances or assert any claim against any present or future Lender, by reason of the payment of any taxes levied or assessed upon any part of the Collateral.</w:t>
      </w:r>
    </w:p>
    <w:p>
      <w:pPr>
        <w:spacing w:after="0" w:line="58" w:lineRule="exact"/>
        <w:rPr>
          <w:rFonts w:ascii="Arial" w:cs="Arial" w:eastAsia="Arial" w:hAnsi="Arial"/>
          <w:sz w:val="18"/>
          <w:szCs w:val="18"/>
          <w:color w:val="auto"/>
        </w:rPr>
      </w:pPr>
    </w:p>
    <w:p>
      <w:pPr>
        <w:ind w:right="20" w:firstLine="428"/>
        <w:spacing w:after="0" w:line="254" w:lineRule="auto"/>
        <w:tabs>
          <w:tab w:leader="none" w:pos="728"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Indebtedness; Guarantees; Securities; Other Assets</w:t>
      </w:r>
      <w:r>
        <w:rPr>
          <w:rFonts w:ascii="Arial" w:cs="Arial" w:eastAsia="Arial" w:hAnsi="Arial"/>
          <w:sz w:val="18"/>
          <w:szCs w:val="18"/>
          <w:color w:val="auto"/>
        </w:rPr>
        <w:t>. It shall not incur or assume or guarantee any indebtedness, obligations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obligations) or other liabilities, or issue any additional securities, whether debt or equity, in each case other than (i) pursuant to or as expressly permitted by this Agreement and the other Facility Documents, (ii) obligations under its Constituent Documents or (iii) pursuant to customary indemnification and expense reimbursement and similar provisions under the Related Documents. The Borrower shall not acquire any Collateral Loans or other property other than as expressly permitted hereunder.</w:t>
      </w:r>
    </w:p>
    <w:p>
      <w:pPr>
        <w:spacing w:after="0" w:line="65" w:lineRule="exact"/>
        <w:rPr>
          <w:rFonts w:ascii="Arial" w:cs="Arial" w:eastAsia="Arial" w:hAnsi="Arial"/>
          <w:sz w:val="18"/>
          <w:szCs w:val="18"/>
          <w:color w:val="auto"/>
        </w:rPr>
      </w:pPr>
    </w:p>
    <w:p>
      <w:pPr>
        <w:ind w:right="60" w:firstLine="428"/>
        <w:spacing w:after="0" w:line="298" w:lineRule="auto"/>
        <w:tabs>
          <w:tab w:leader="none" w:pos="68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Validity of this Agreement</w:t>
      </w:r>
      <w:r>
        <w:rPr>
          <w:rFonts w:ascii="Arial" w:cs="Arial" w:eastAsia="Arial" w:hAnsi="Arial"/>
          <w:sz w:val="16"/>
          <w:szCs w:val="16"/>
          <w:color w:val="auto"/>
        </w:rPr>
        <w:t>. It shall not (i) permit the validity or effectiveness of this Agreement or any grant of Collateral hereunder to be</w:t>
      </w:r>
      <w:r>
        <w:rPr>
          <w:rFonts w:ascii="Arial" w:cs="Arial" w:eastAsia="Arial" w:hAnsi="Arial"/>
          <w:sz w:val="16"/>
          <w:szCs w:val="16"/>
          <w:i w:val="1"/>
          <w:iCs w:val="1"/>
          <w:color w:val="auto"/>
        </w:rPr>
        <w:t xml:space="preserve"> </w:t>
      </w:r>
      <w:r>
        <w:rPr>
          <w:rFonts w:ascii="Arial" w:cs="Arial" w:eastAsia="Arial" w:hAnsi="Arial"/>
          <w:sz w:val="16"/>
          <w:szCs w:val="16"/>
          <w:color w:val="auto"/>
        </w:rPr>
        <w:t>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31" w:lineRule="exact"/>
        <w:rPr>
          <w:rFonts w:ascii="Arial" w:cs="Arial" w:eastAsia="Arial" w:hAnsi="Arial"/>
          <w:sz w:val="16"/>
          <w:szCs w:val="16"/>
          <w:color w:val="auto"/>
        </w:rPr>
      </w:pPr>
    </w:p>
    <w:p>
      <w:pPr>
        <w:ind w:right="340" w:firstLine="428"/>
        <w:spacing w:after="0" w:line="268" w:lineRule="auto"/>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Priority of Payments</w:t>
      </w:r>
      <w:r>
        <w:rPr>
          <w:rFonts w:ascii="Arial" w:cs="Arial" w:eastAsia="Arial" w:hAnsi="Arial"/>
          <w:sz w:val="18"/>
          <w:szCs w:val="18"/>
          <w:color w:val="auto"/>
        </w:rPr>
        <w:t>. It shall not pay any distributions other than in accordance with the Priority of Payments (it being understood that any</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paid to the Borrower pursuant to the Priority of Payments may be distributed to the BDC).</w:t>
      </w:r>
    </w:p>
    <w:p>
      <w:pPr>
        <w:spacing w:after="0" w:line="50" w:lineRule="exact"/>
        <w:rPr>
          <w:rFonts w:ascii="Arial" w:cs="Arial" w:eastAsia="Arial" w:hAnsi="Arial"/>
          <w:sz w:val="18"/>
          <w:szCs w:val="18"/>
          <w:color w:val="auto"/>
        </w:rPr>
      </w:pPr>
    </w:p>
    <w:p>
      <w:pPr>
        <w:ind w:left="680" w:hanging="252"/>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Subsidiaries</w:t>
      </w:r>
      <w:r>
        <w:rPr>
          <w:rFonts w:ascii="Arial" w:cs="Arial" w:eastAsia="Arial" w:hAnsi="Arial"/>
          <w:sz w:val="18"/>
          <w:szCs w:val="18"/>
          <w:color w:val="auto"/>
        </w:rPr>
        <w:t>. It shall not have or permit the formation of any subsidiaries.</w:t>
      </w:r>
    </w:p>
    <w:p>
      <w:pPr>
        <w:spacing w:after="0" w:line="90" w:lineRule="exact"/>
        <w:rPr>
          <w:rFonts w:ascii="Arial" w:cs="Arial" w:eastAsia="Arial" w:hAnsi="Arial"/>
          <w:sz w:val="18"/>
          <w:szCs w:val="18"/>
          <w:color w:val="auto"/>
        </w:rPr>
      </w:pPr>
    </w:p>
    <w:p>
      <w:pPr>
        <w:ind w:left="680" w:hanging="252"/>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Name</w:t>
      </w:r>
      <w:r>
        <w:rPr>
          <w:rFonts w:ascii="Arial" w:cs="Arial" w:eastAsia="Arial" w:hAnsi="Arial"/>
          <w:sz w:val="18"/>
          <w:szCs w:val="18"/>
          <w:color w:val="auto"/>
        </w:rPr>
        <w:t>. It shall not conduct business under any name other than its own.</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780"/>
          </w:cols>
          <w:pgMar w:left="780" w:top="280" w:right="339" w:bottom="1440" w:gutter="0" w:footer="0" w:header="0"/>
        </w:sectPr>
      </w:pPr>
    </w:p>
    <w:bookmarkStart w:id="124" w:name="page125"/>
    <w:bookmarkEnd w:id="124"/>
    <w:p>
      <w:pPr>
        <w:ind w:left="640" w:hanging="212"/>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Employees</w:t>
      </w:r>
      <w:r>
        <w:rPr>
          <w:rFonts w:ascii="Arial" w:cs="Arial" w:eastAsia="Arial" w:hAnsi="Arial"/>
          <w:sz w:val="18"/>
          <w:szCs w:val="18"/>
          <w:color w:val="auto"/>
        </w:rPr>
        <w:t>. It shall not have any employees (other than officers and directors to the extent they are employees).</w:t>
      </w:r>
    </w:p>
    <w:p>
      <w:pPr>
        <w:spacing w:after="0" w:line="90" w:lineRule="exact"/>
        <w:rPr>
          <w:rFonts w:ascii="Arial" w:cs="Arial" w:eastAsia="Arial" w:hAnsi="Arial"/>
          <w:sz w:val="18"/>
          <w:szCs w:val="18"/>
          <w:color w:val="auto"/>
        </w:rPr>
      </w:pPr>
    </w:p>
    <w:p>
      <w:pPr>
        <w:ind w:right="20" w:firstLine="428"/>
        <w:spacing w:after="0" w:line="291" w:lineRule="auto"/>
        <w:tabs>
          <w:tab w:leader="none" w:pos="66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Non-Petition</w:t>
      </w:r>
      <w:r>
        <w:rPr>
          <w:rFonts w:ascii="Arial" w:cs="Arial" w:eastAsia="Arial" w:hAnsi="Arial"/>
          <w:sz w:val="16"/>
          <w:szCs w:val="16"/>
          <w:color w:val="auto"/>
        </w:rPr>
        <w:t>. The Borrower shall not be party to any agreements under which it has any material obligations or liability (direct or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using commercially reasonable efforts to include customary “non-petition” and “limited recourse” provisions therein (and shall not amend or eliminate such provisions in any agreement to which it is party), except for loan agreements, related loan documents, bond indentures and related bond documents, any agreements related to the purchase and sale of any Collateral Loans which contain customary (as determined by the Collateral Manager) purchase or sale terms or which are documented using customary (as determined by the Collateral Manager) loan trading documentation, and customary service contracts and engagement letters entered into with Permitted Agents in connection with the Collateral Loans.</w:t>
      </w:r>
    </w:p>
    <w:p>
      <w:pPr>
        <w:spacing w:after="0" w:line="38" w:lineRule="exact"/>
        <w:rPr>
          <w:rFonts w:ascii="Arial" w:cs="Arial" w:eastAsia="Arial" w:hAnsi="Arial"/>
          <w:sz w:val="16"/>
          <w:szCs w:val="16"/>
          <w:color w:val="auto"/>
        </w:rPr>
      </w:pPr>
    </w:p>
    <w:p>
      <w:pPr>
        <w:jc w:val="both"/>
        <w:ind w:right="160" w:firstLine="428"/>
        <w:spacing w:after="0" w:line="259" w:lineRule="auto"/>
        <w:tabs>
          <w:tab w:leader="none" w:pos="641"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Certificated Securities</w:t>
      </w:r>
      <w:r>
        <w:rPr>
          <w:rFonts w:ascii="Arial" w:cs="Arial" w:eastAsia="Arial" w:hAnsi="Arial"/>
          <w:sz w:val="18"/>
          <w:szCs w:val="18"/>
          <w:color w:val="auto"/>
        </w:rPr>
        <w:t>. The Borrower shall not acquire or hold any Certificated Securities in bearer form (other than securities not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in registered form under Section 163(f)(2)(A) of the Code) in a manner that does not satisfy the requirements of United States Treasury Regulations section 1.165-12(c) (as determined by the Collateral Manager).</w:t>
      </w:r>
    </w:p>
    <w:p>
      <w:pPr>
        <w:spacing w:after="0" w:line="58" w:lineRule="exact"/>
        <w:rPr>
          <w:rFonts w:ascii="Arial" w:cs="Arial" w:eastAsia="Arial" w:hAnsi="Arial"/>
          <w:sz w:val="18"/>
          <w:szCs w:val="18"/>
          <w:color w:val="auto"/>
        </w:rPr>
      </w:pPr>
    </w:p>
    <w:p>
      <w:pPr>
        <w:ind w:firstLine="428"/>
        <w:spacing w:after="0" w:line="285" w:lineRule="auto"/>
        <w:tabs>
          <w:tab w:leader="none" w:pos="68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Independent Manager</w:t>
      </w:r>
      <w:r>
        <w:rPr>
          <w:rFonts w:ascii="Arial" w:cs="Arial" w:eastAsia="Arial" w:hAnsi="Arial"/>
          <w:sz w:val="16"/>
          <w:szCs w:val="16"/>
          <w:color w:val="auto"/>
        </w:rPr>
        <w:t>. Without limiting anything in the Borrower LLC Agreement, the Borrower shall at all times maintain at least one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independent manager who (A) for the five year period prior to his or her appointment as independent manager has not been, and during the continuation of his or her service as independent manager, is not: (i) an employee, manager, member, stockholder, partner or officer of the Borrower or any of its Affiliates (other than his or her service as an independent manager of the Borrower or any of its Affiliates), (ii) a significant customer or supplier of the Borrower or any of its Affiliates, (iii) a Person controlling or under common control with any partner, shareholder, member, manager, Affiliate or supplier of the Borrower or any Affiliate of the Borrower, or (iv) any member of the immediate family of a Person described in </w:t>
      </w:r>
      <w:r>
        <w:rPr>
          <w:rFonts w:ascii="Arial" w:cs="Arial" w:eastAsia="Arial" w:hAnsi="Arial"/>
          <w:sz w:val="16"/>
          <w:szCs w:val="16"/>
          <w:u w:val="single" w:color="auto"/>
          <w:color w:val="auto"/>
        </w:rPr>
        <w:t>clause (i), (ii) or (iii)</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an independent manager may serve in similar capacities for other special purpose entities established from time to time by Affiliates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Borrower and (B) is a Professional Independent Manager. The criteria set forth above in this </w:t>
      </w:r>
      <w:r>
        <w:rPr>
          <w:rFonts w:ascii="Arial" w:cs="Arial" w:eastAsia="Arial" w:hAnsi="Arial"/>
          <w:sz w:val="16"/>
          <w:szCs w:val="16"/>
          <w:u w:val="single" w:color="auto"/>
          <w:color w:val="auto"/>
        </w:rPr>
        <w:t>Section 5.02(u)</w:t>
      </w:r>
      <w:r>
        <w:rPr>
          <w:rFonts w:ascii="Arial" w:cs="Arial" w:eastAsia="Arial" w:hAnsi="Arial"/>
          <w:sz w:val="16"/>
          <w:szCs w:val="16"/>
          <w:color w:val="auto"/>
        </w:rPr>
        <w:t xml:space="preserve"> are referred to herein as the </w:t>
      </w:r>
      <w:r>
        <w:rPr>
          <w:rFonts w:ascii="Arial" w:cs="Arial" w:eastAsia="Arial" w:hAnsi="Arial"/>
          <w:sz w:val="16"/>
          <w:szCs w:val="16"/>
          <w:i w:val="1"/>
          <w:iCs w:val="1"/>
          <w:color w:val="auto"/>
        </w:rPr>
        <w:t>“Independent</w:t>
      </w:r>
      <w:r>
        <w:rPr>
          <w:rFonts w:ascii="Arial" w:cs="Arial" w:eastAsia="Arial" w:hAnsi="Arial"/>
          <w:sz w:val="16"/>
          <w:szCs w:val="16"/>
          <w:color w:val="auto"/>
        </w:rPr>
        <w:t xml:space="preserve"> </w:t>
      </w:r>
      <w:r>
        <w:rPr>
          <w:rFonts w:ascii="Arial" w:cs="Arial" w:eastAsia="Arial" w:hAnsi="Arial"/>
          <w:sz w:val="16"/>
          <w:szCs w:val="16"/>
          <w:i w:val="1"/>
          <w:iCs w:val="1"/>
          <w:color w:val="auto"/>
        </w:rPr>
        <w:t>Manager Criteria”</w:t>
      </w:r>
      <w:r>
        <w:rPr>
          <w:rFonts w:ascii="Arial" w:cs="Arial" w:eastAsia="Arial" w:hAnsi="Arial"/>
          <w:sz w:val="16"/>
          <w:szCs w:val="16"/>
          <w:color w:val="auto"/>
        </w:rPr>
        <w:t>. Each of the Collateral Manager and the Borrower shall notify the Administrative Agent of any decision to appoint a new manager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Borrower as the “independent manager” for purposes of this Agreement, such notice shall be delivered not less than ten (10) days prior to the proposed effective date of such appointment and shall certify that the designated Person satisfies the Independent Manager Criteria. The Borrower shall not appoint a new manager as the independent manager without first confirming that such proposed new independent manager is acceptable to the Administrative Agent as evidenced in a writing executed by the Administrative Agent. In no event shall any Independent Manager be removed or expelled except for Cause.</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740"/>
          </w:cols>
          <w:pgMar w:left="780" w:top="280" w:right="379" w:bottom="1440" w:gutter="0" w:footer="0" w:header="0"/>
        </w:sectPr>
      </w:pPr>
    </w:p>
    <w:bookmarkStart w:id="125" w:name="page126"/>
    <w:bookmarkEnd w:id="125"/>
    <w:p>
      <w:pPr>
        <w:ind w:right="280" w:firstLine="449"/>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5.03. Affirmative Covenants of the Collateral Manager</w:t>
      </w:r>
      <w:r>
        <w:rPr>
          <w:rFonts w:ascii="Arial" w:cs="Arial" w:eastAsia="Arial" w:hAnsi="Arial"/>
          <w:sz w:val="18"/>
          <w:szCs w:val="18"/>
          <w:color w:val="auto"/>
        </w:rPr>
        <w:t>. The Collateral Manager covenants and agrees that, until the Final Maturity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until the date that all Obligations have been paid in full):</w:t>
      </w:r>
    </w:p>
    <w:p>
      <w:pPr>
        <w:spacing w:after="0" w:line="51" w:lineRule="exact"/>
        <w:rPr>
          <w:sz w:val="20"/>
          <w:szCs w:val="20"/>
          <w:color w:val="auto"/>
        </w:rPr>
      </w:pPr>
    </w:p>
    <w:p>
      <w:pPr>
        <w:ind w:left="460" w:right="40" w:firstLine="428"/>
        <w:spacing w:after="0" w:line="303" w:lineRule="auto"/>
        <w:tabs>
          <w:tab w:leader="none" w:pos="1130" w:val="left"/>
        </w:tabs>
        <w:numPr>
          <w:ilvl w:val="1"/>
          <w:numId w:val="118"/>
        </w:numPr>
        <w:rPr>
          <w:rFonts w:ascii="Arial" w:cs="Arial" w:eastAsia="Arial" w:hAnsi="Arial"/>
          <w:sz w:val="15"/>
          <w:szCs w:val="15"/>
          <w:color w:val="auto"/>
        </w:rPr>
      </w:pPr>
      <w:r>
        <w:rPr>
          <w:rFonts w:ascii="Arial" w:cs="Arial" w:eastAsia="Arial" w:hAnsi="Arial"/>
          <w:sz w:val="15"/>
          <w:szCs w:val="15"/>
          <w:i w:val="1"/>
          <w:iCs w:val="1"/>
          <w:color w:val="auto"/>
        </w:rPr>
        <w:t>Compliance with Agreements, Laws, Etc</w:t>
      </w:r>
      <w:r>
        <w:rPr>
          <w:rFonts w:ascii="Arial" w:cs="Arial" w:eastAsia="Arial" w:hAnsi="Arial"/>
          <w:sz w:val="15"/>
          <w:szCs w:val="15"/>
          <w:color w:val="auto"/>
        </w:rPr>
        <w:t>. It shall (i) duly observe, comply in all material respects with all Applicable Laws relative to the</w:t>
      </w:r>
      <w:r>
        <w:rPr>
          <w:rFonts w:ascii="Arial" w:cs="Arial" w:eastAsia="Arial" w:hAnsi="Arial"/>
          <w:sz w:val="15"/>
          <w:szCs w:val="15"/>
          <w:i w:val="1"/>
          <w:iCs w:val="1"/>
          <w:color w:val="auto"/>
        </w:rPr>
        <w:t xml:space="preserve"> </w:t>
      </w:r>
      <w:r>
        <w:rPr>
          <w:rFonts w:ascii="Arial" w:cs="Arial" w:eastAsia="Arial" w:hAnsi="Arial"/>
          <w:sz w:val="15"/>
          <w:szCs w:val="15"/>
          <w:color w:val="auto"/>
        </w:rPr>
        <w:t>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w:t>
      </w:r>
    </w:p>
    <w:p>
      <w:pPr>
        <w:spacing w:after="0" w:line="1" w:lineRule="exact"/>
        <w:rPr>
          <w:rFonts w:ascii="Arial" w:cs="Arial" w:eastAsia="Arial" w:hAnsi="Arial"/>
          <w:sz w:val="15"/>
          <w:szCs w:val="15"/>
          <w:color w:val="auto"/>
        </w:rPr>
      </w:pPr>
    </w:p>
    <w:p>
      <w:pPr>
        <w:ind w:left="760" w:hanging="303"/>
        <w:spacing w:after="0"/>
        <w:tabs>
          <w:tab w:leader="none" w:pos="7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comply with the terms and conditions of each Facility Document, Constituent Document and each Related Document to which it is a party, and</w:t>
      </w:r>
    </w:p>
    <w:p>
      <w:pPr>
        <w:spacing w:after="0" w:line="32" w:lineRule="exact"/>
        <w:rPr>
          <w:rFonts w:ascii="Arial" w:cs="Arial" w:eastAsia="Arial" w:hAnsi="Arial"/>
          <w:sz w:val="16"/>
          <w:szCs w:val="16"/>
          <w:color w:val="auto"/>
        </w:rPr>
      </w:pPr>
    </w:p>
    <w:p>
      <w:pPr>
        <w:ind w:left="460" w:right="320" w:hanging="3"/>
        <w:spacing w:after="0" w:line="255" w:lineRule="auto"/>
        <w:tabs>
          <w:tab w:leader="none" w:pos="70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the Constituent Documents and the Related Documents to which it is a party.</w:t>
      </w:r>
    </w:p>
    <w:p>
      <w:pPr>
        <w:spacing w:after="0" w:line="62" w:lineRule="exact"/>
        <w:rPr>
          <w:rFonts w:ascii="Arial" w:cs="Arial" w:eastAsia="Arial" w:hAnsi="Arial"/>
          <w:sz w:val="18"/>
          <w:szCs w:val="18"/>
          <w:color w:val="auto"/>
        </w:rPr>
      </w:pPr>
    </w:p>
    <w:p>
      <w:pPr>
        <w:ind w:left="460" w:right="220" w:firstLine="428"/>
        <w:spacing w:after="0" w:line="304" w:lineRule="auto"/>
        <w:tabs>
          <w:tab w:leader="none" w:pos="1140" w:val="left"/>
        </w:tabs>
        <w:numPr>
          <w:ilvl w:val="1"/>
          <w:numId w:val="119"/>
        </w:numPr>
        <w:rPr>
          <w:rFonts w:ascii="Arial" w:cs="Arial" w:eastAsia="Arial" w:hAnsi="Arial"/>
          <w:sz w:val="15"/>
          <w:szCs w:val="15"/>
          <w:color w:val="auto"/>
        </w:rPr>
      </w:pPr>
      <w:r>
        <w:rPr>
          <w:rFonts w:ascii="Arial" w:cs="Arial" w:eastAsia="Arial" w:hAnsi="Arial"/>
          <w:sz w:val="15"/>
          <w:szCs w:val="15"/>
          <w:i w:val="1"/>
          <w:iCs w:val="1"/>
          <w:color w:val="auto"/>
        </w:rPr>
        <w:t>Enforcement</w:t>
      </w:r>
      <w:r>
        <w:rPr>
          <w:rFonts w:ascii="Arial" w:cs="Arial" w:eastAsia="Arial" w:hAnsi="Arial"/>
          <w:sz w:val="15"/>
          <w:szCs w:val="15"/>
          <w:color w:val="auto"/>
        </w:rPr>
        <w:t>. (i) It shall not take any action, and will use commercially reasonable efforts not to permit any action to be taken by others, that</w:t>
      </w:r>
      <w:r>
        <w:rPr>
          <w:rFonts w:ascii="Arial" w:cs="Arial" w:eastAsia="Arial" w:hAnsi="Arial"/>
          <w:sz w:val="15"/>
          <w:szCs w:val="15"/>
          <w:i w:val="1"/>
          <w:iCs w:val="1"/>
          <w:color w:val="auto"/>
        </w:rPr>
        <w:t xml:space="preserve"> </w:t>
      </w:r>
      <w:r>
        <w:rPr>
          <w:rFonts w:ascii="Arial" w:cs="Arial" w:eastAsia="Arial" w:hAnsi="Arial"/>
          <w:sz w:val="15"/>
          <w:szCs w:val="15"/>
          <w:color w:val="auto"/>
        </w:rPr>
        <w:t>would release any Person from any of such Person’s covenants or obligations under any instrument included in the Collateral, except in the case of</w:t>
      </w:r>
    </w:p>
    <w:p>
      <w:pPr>
        <w:spacing w:after="0" w:line="1" w:lineRule="exact"/>
        <w:rPr>
          <w:rFonts w:ascii="Arial" w:cs="Arial" w:eastAsia="Arial" w:hAnsi="Arial"/>
          <w:sz w:val="15"/>
          <w:szCs w:val="15"/>
          <w:color w:val="auto"/>
        </w:rPr>
      </w:pPr>
    </w:p>
    <w:p>
      <w:pPr>
        <w:ind w:left="460" w:right="80"/>
        <w:spacing w:after="0" w:line="253" w:lineRule="auto"/>
        <w:rPr>
          <w:rFonts w:ascii="Arial" w:cs="Arial" w:eastAsia="Arial" w:hAnsi="Arial"/>
          <w:sz w:val="15"/>
          <w:szCs w:val="15"/>
          <w:color w:val="auto"/>
        </w:rPr>
      </w:pPr>
      <w:r>
        <w:rPr>
          <w:rFonts w:ascii="Arial" w:cs="Arial" w:eastAsia="Arial" w:hAnsi="Arial"/>
          <w:sz w:val="18"/>
          <w:szCs w:val="18"/>
          <w:color w:val="auto"/>
        </w:rPr>
        <w:t>(A) repayment of Collateral Loans, (B) subject to the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 taken or work-out with respect to any Defaulted Collateral Loan in accordance with the provisions hereof, and (C) actions by the Collateral Manager under this Agreement and in conformity with this Agreement or as otherwise required hereby.</w:t>
      </w:r>
    </w:p>
    <w:p>
      <w:pPr>
        <w:spacing w:after="0" w:line="64" w:lineRule="exact"/>
        <w:rPr>
          <w:sz w:val="20"/>
          <w:szCs w:val="20"/>
          <w:color w:val="auto"/>
        </w:rPr>
      </w:pPr>
    </w:p>
    <w:p>
      <w:pPr>
        <w:ind w:left="460" w:right="360" w:firstLine="428"/>
        <w:spacing w:after="0" w:line="294" w:lineRule="auto"/>
        <w:tabs>
          <w:tab w:leader="none" w:pos="115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It will not, without the prior written consent of the Administrative Agent and the Required Lenders, contract with other Persons for the performance of actions and obligations to be performed by the Collateral Manager hereunder. Notwithstanding any such arrangement, the Collateral Manager shall remain primarily liable with respect thereto. In the event of such contract, the performance of such actions and obligations by such Persons shall be deemed to be performance of such actions and obligations by the Collateral Manager, and the Collateral Manager will punctually perform all of its obligations and agreements contained in this Agreement or any such other agreement.</w:t>
      </w:r>
    </w:p>
    <w:p>
      <w:pPr>
        <w:spacing w:after="0" w:line="34" w:lineRule="exact"/>
        <w:rPr>
          <w:sz w:val="20"/>
          <w:szCs w:val="20"/>
          <w:color w:val="auto"/>
        </w:rPr>
      </w:pPr>
    </w:p>
    <w:p>
      <w:pPr>
        <w:ind w:left="460" w:firstLine="428"/>
        <w:spacing w:after="0" w:line="291" w:lineRule="auto"/>
        <w:tabs>
          <w:tab w:leader="none" w:pos="113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Further Assurances</w:t>
      </w:r>
      <w:r>
        <w:rPr>
          <w:rFonts w:ascii="Arial" w:cs="Arial" w:eastAsia="Arial" w:hAnsi="Arial"/>
          <w:sz w:val="16"/>
          <w:szCs w:val="16"/>
          <w:color w:val="auto"/>
        </w:rPr>
        <w:t>. It shall promptly at the Borrower’s expense, execute and deliver such further instruments and take such further action in</w:t>
      </w:r>
      <w:r>
        <w:rPr>
          <w:rFonts w:ascii="Arial" w:cs="Arial" w:eastAsia="Arial" w:hAnsi="Arial"/>
          <w:sz w:val="16"/>
          <w:szCs w:val="16"/>
          <w:i w:val="1"/>
          <w:iCs w:val="1"/>
          <w:color w:val="auto"/>
        </w:rPr>
        <w:t xml:space="preserve"> </w:t>
      </w:r>
      <w:r>
        <w:rPr>
          <w:rFonts w:ascii="Arial" w:cs="Arial" w:eastAsia="Arial" w:hAnsi="Arial"/>
          <w:sz w:val="16"/>
          <w:szCs w:val="16"/>
          <w:color w:val="auto"/>
        </w:rPr>
        <w:t>order to maintain and protect the Collateral Agent’s first-priority perfected security interest in the Collateral pledged by the Borrower for the benefit of the Secured Parties free and clear of any Liens (subject to Permitted Liens). The Collateral Manager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280" w:right="359" w:bottom="1440" w:gutter="0" w:footer="0" w:header="0"/>
        </w:sectPr>
      </w:pPr>
    </w:p>
    <w:bookmarkStart w:id="126" w:name="page127"/>
    <w:bookmarkEnd w:id="126"/>
    <w:p>
      <w:pPr>
        <w:ind w:right="240" w:firstLine="449"/>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the Collateral Manager will take such reasonable action from time to time as shall be necessary to ensure that all assets (including all Covered Accounts) of the Borrower constitute “</w:t>
      </w:r>
      <w:r>
        <w:rPr>
          <w:rFonts w:ascii="Arial" w:cs="Arial" w:eastAsia="Arial" w:hAnsi="Arial"/>
          <w:sz w:val="16"/>
          <w:szCs w:val="16"/>
          <w:i w:val="1"/>
          <w:iCs w:val="1"/>
          <w:color w:val="auto"/>
        </w:rPr>
        <w:t>Collateral</w:t>
      </w:r>
      <w:r>
        <w:rPr>
          <w:rFonts w:ascii="Arial" w:cs="Arial" w:eastAsia="Arial" w:hAnsi="Arial"/>
          <w:sz w:val="16"/>
          <w:szCs w:val="16"/>
          <w:color w:val="auto"/>
        </w:rPr>
        <w:t>” hereunder. Subject to the foregoing, the Collateral Manager will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w:t>
      </w:r>
    </w:p>
    <w:p>
      <w:pPr>
        <w:spacing w:after="0" w:line="31" w:lineRule="exact"/>
        <w:rPr>
          <w:sz w:val="20"/>
          <w:szCs w:val="20"/>
          <w:color w:val="auto"/>
        </w:rPr>
      </w:pPr>
    </w:p>
    <w:p>
      <w:pPr>
        <w:ind w:left="460" w:right="120" w:firstLine="428"/>
        <w:spacing w:after="0" w:line="306" w:lineRule="auto"/>
        <w:tabs>
          <w:tab w:leader="none" w:pos="114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Changes to Related Documents</w:t>
      </w:r>
      <w:r>
        <w:rPr>
          <w:rFonts w:ascii="Arial" w:cs="Arial" w:eastAsia="Arial" w:hAnsi="Arial"/>
          <w:sz w:val="16"/>
          <w:szCs w:val="16"/>
          <w:color w:val="auto"/>
        </w:rPr>
        <w:t>. If any amendment, consent, waiver or other modification with respect to a Related Document (other than a</w:t>
      </w:r>
      <w:r>
        <w:rPr>
          <w:rFonts w:ascii="Arial" w:cs="Arial" w:eastAsia="Arial" w:hAnsi="Arial"/>
          <w:sz w:val="16"/>
          <w:szCs w:val="16"/>
          <w:i w:val="1"/>
          <w:iCs w:val="1"/>
          <w:color w:val="auto"/>
        </w:rPr>
        <w:t xml:space="preserve"> </w:t>
      </w:r>
      <w:r>
        <w:rPr>
          <w:rFonts w:ascii="Arial" w:cs="Arial" w:eastAsia="Arial" w:hAnsi="Arial"/>
          <w:sz w:val="16"/>
          <w:szCs w:val="16"/>
          <w:color w:val="auto"/>
        </w:rPr>
        <w:t>Defaulted Collateral Loan or an Ineligible Collateral Loan) would effect a Material Modification, then the Collateral Manager shall not cause or vote in favor of any such Material Modification to occur without the written consent of the Administrative Agent and the Required Lenders.</w:t>
      </w:r>
    </w:p>
    <w:p>
      <w:pPr>
        <w:spacing w:after="0" w:line="25" w:lineRule="exact"/>
        <w:rPr>
          <w:rFonts w:ascii="Arial" w:cs="Arial" w:eastAsia="Arial" w:hAnsi="Arial"/>
          <w:sz w:val="16"/>
          <w:szCs w:val="16"/>
          <w:color w:val="auto"/>
        </w:rPr>
      </w:pPr>
    </w:p>
    <w:p>
      <w:pPr>
        <w:ind w:left="460" w:right="40" w:firstLine="428"/>
        <w:spacing w:after="0" w:line="287" w:lineRule="auto"/>
        <w:tabs>
          <w:tab w:leader="none" w:pos="113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Access to Records and Documents</w:t>
      </w:r>
      <w:r>
        <w:rPr>
          <w:rFonts w:ascii="Arial" w:cs="Arial" w:eastAsia="Arial" w:hAnsi="Arial"/>
          <w:sz w:val="16"/>
          <w:szCs w:val="16"/>
          <w:color w:val="auto"/>
        </w:rPr>
        <w:t>. It shall permit the Administrative Agent and each Lender (or any Person designated by the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so long as no Event of Default has occurred, each Person entitled to so visit and inspect the Collateral Manager’s records under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may only exercise its rights under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twice during any fiscal year of the Collateral Manager (it being understood that the Borrower shall be responsible for all costs and expenses for only one such visit per fiscal year). Each Lender agrees to use commercially reasonable efforts to coordinate with the other Lenders in exercising their respective rights under this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and under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below with a view to minimizing duplication of effort and expense by the Borrower and the Collateral Manager.</w:t>
      </w:r>
    </w:p>
    <w:p>
      <w:pPr>
        <w:spacing w:after="0" w:line="40" w:lineRule="exact"/>
        <w:rPr>
          <w:rFonts w:ascii="Arial" w:cs="Arial" w:eastAsia="Arial" w:hAnsi="Arial"/>
          <w:sz w:val="16"/>
          <w:szCs w:val="16"/>
          <w:color w:val="auto"/>
        </w:rPr>
      </w:pPr>
    </w:p>
    <w:p>
      <w:pPr>
        <w:ind w:left="460" w:firstLine="428"/>
        <w:spacing w:after="0" w:line="291" w:lineRule="auto"/>
        <w:tabs>
          <w:tab w:leader="none" w:pos="111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Audit Rights</w:t>
      </w:r>
      <w:r>
        <w:rPr>
          <w:rFonts w:ascii="Arial" w:cs="Arial" w:eastAsia="Arial" w:hAnsi="Arial"/>
          <w:sz w:val="16"/>
          <w:szCs w:val="16"/>
          <w:color w:val="auto"/>
        </w:rPr>
        <w:t>. It will permit the Administrative Agent and any Lender (or any representatives thereof (including any consultants, accountants,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lawyers and appraisers)) to conduct evaluations and appraisals of the Collateral Manager’s computation of the Borrowing Base and the assets included in the Borrowing Base no more than twice during any fiscal year of the Collateral Manager. The Borrower shall pay the reasonable fees and expenses of any representatives retained by the Administrative Agent or any Lender to conduct any such evaluation or appraisal;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 the Borrower shall not be required to pay such fees and expenses for more than one such evaluation or appraisal during any calendar year unless an Event of Default has occurred and (ii) such evaluation or appraisal shall not be duplicative of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280" w:right="359" w:bottom="1440" w:gutter="0" w:footer="0" w:header="0"/>
        </w:sectPr>
      </w:pPr>
    </w:p>
    <w:bookmarkStart w:id="127" w:name="page128"/>
    <w:bookmarkEnd w:id="127"/>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report required under </w:t>
      </w:r>
      <w:r>
        <w:rPr>
          <w:rFonts w:ascii="Arial" w:cs="Arial" w:eastAsia="Arial" w:hAnsi="Arial"/>
          <w:sz w:val="18"/>
          <w:szCs w:val="18"/>
          <w:u w:val="single" w:color="auto"/>
          <w:color w:val="auto"/>
        </w:rPr>
        <w:t>Section 8.08(b)</w:t>
      </w:r>
      <w:r>
        <w:rPr>
          <w:rFonts w:ascii="Arial" w:cs="Arial" w:eastAsia="Arial" w:hAnsi="Arial"/>
          <w:sz w:val="18"/>
          <w:szCs w:val="18"/>
          <w:color w:val="auto"/>
        </w:rPr>
        <w:t xml:space="preserve"> or any audit pursuant to </w:t>
      </w:r>
      <w:r>
        <w:rPr>
          <w:rFonts w:ascii="Arial" w:cs="Arial" w:eastAsia="Arial" w:hAnsi="Arial"/>
          <w:sz w:val="18"/>
          <w:szCs w:val="18"/>
          <w:u w:val="single" w:color="auto"/>
          <w:color w:val="auto"/>
        </w:rPr>
        <w:t>Section 5.01(g)</w:t>
      </w:r>
      <w:r>
        <w:rPr>
          <w:rFonts w:ascii="Arial" w:cs="Arial" w:eastAsia="Arial" w:hAnsi="Arial"/>
          <w:sz w:val="18"/>
          <w:szCs w:val="18"/>
          <w:color w:val="auto"/>
        </w:rPr>
        <w:t xml:space="preserve">. Each Lender agrees to use commercially reasonable terms to coordinate with the other Lenders in exercising their respective rights under this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and under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above with a view to minimizing duplication of effort and expense by the Borrower.</w:t>
      </w:r>
    </w:p>
    <w:p>
      <w:pPr>
        <w:spacing w:after="0" w:line="140" w:lineRule="exact"/>
        <w:rPr>
          <w:sz w:val="20"/>
          <w:szCs w:val="20"/>
          <w:color w:val="auto"/>
        </w:rPr>
      </w:pPr>
    </w:p>
    <w:p>
      <w:pPr>
        <w:ind w:right="400" w:firstLine="449"/>
        <w:spacing w:after="0" w:line="268" w:lineRule="auto"/>
        <w:rPr>
          <w:sz w:val="20"/>
          <w:szCs w:val="20"/>
          <w:color w:val="auto"/>
        </w:rPr>
      </w:pPr>
      <w:r>
        <w:rPr>
          <w:rFonts w:ascii="Arial" w:cs="Arial" w:eastAsia="Arial" w:hAnsi="Arial"/>
          <w:sz w:val="18"/>
          <w:szCs w:val="18"/>
          <w:i w:val="1"/>
          <w:iCs w:val="1"/>
          <w:color w:val="auto"/>
        </w:rPr>
        <w:t>Section 5.04. Negative Covenants of the Collateral Manager</w:t>
      </w:r>
      <w:r>
        <w:rPr>
          <w:rFonts w:ascii="Arial" w:cs="Arial" w:eastAsia="Arial" w:hAnsi="Arial"/>
          <w:sz w:val="18"/>
          <w:szCs w:val="18"/>
          <w:color w:val="auto"/>
        </w:rPr>
        <w:t>. The Collateral Manager covenants and agrees that, until the Final Maturity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until the date that all Obligations have been paid in full):</w:t>
      </w:r>
    </w:p>
    <w:p>
      <w:pPr>
        <w:spacing w:after="0" w:line="51" w:lineRule="exact"/>
        <w:rPr>
          <w:sz w:val="20"/>
          <w:szCs w:val="20"/>
          <w:color w:val="auto"/>
        </w:rPr>
      </w:pPr>
    </w:p>
    <w:p>
      <w:pPr>
        <w:ind w:left="460" w:right="620" w:firstLine="428"/>
        <w:spacing w:after="0" w:line="268" w:lineRule="auto"/>
        <w:tabs>
          <w:tab w:leader="none" w:pos="113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Restrictive Agreements</w:t>
      </w:r>
      <w:r>
        <w:rPr>
          <w:rFonts w:ascii="Arial" w:cs="Arial" w:eastAsia="Arial" w:hAnsi="Arial"/>
          <w:sz w:val="18"/>
          <w:szCs w:val="18"/>
          <w:color w:val="auto"/>
        </w:rPr>
        <w:t>. It shall not enter into or suffer to exist or become effective any agreement that prohibits, limits or imposes any</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upon its ability to perform its obligations under the Facility Documents.</w:t>
      </w:r>
    </w:p>
    <w:p>
      <w:pPr>
        <w:spacing w:after="0" w:line="50" w:lineRule="exact"/>
        <w:rPr>
          <w:rFonts w:ascii="Arial" w:cs="Arial" w:eastAsia="Arial" w:hAnsi="Arial"/>
          <w:sz w:val="18"/>
          <w:szCs w:val="18"/>
          <w:color w:val="auto"/>
        </w:rPr>
      </w:pPr>
    </w:p>
    <w:p>
      <w:pPr>
        <w:ind w:left="460" w:firstLine="428"/>
        <w:spacing w:after="0" w:line="298" w:lineRule="auto"/>
        <w:tabs>
          <w:tab w:leader="none" w:pos="1140"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Validity of this Agreement</w:t>
      </w:r>
      <w:r>
        <w:rPr>
          <w:rFonts w:ascii="Arial" w:cs="Arial" w:eastAsia="Arial" w:hAnsi="Arial"/>
          <w:sz w:val="16"/>
          <w:szCs w:val="16"/>
          <w:color w:val="auto"/>
        </w:rPr>
        <w:t>. It shall not (i) permit the validity or effectiveness of this Agreement or any grant of Collateral hereunder to be</w:t>
      </w:r>
      <w:r>
        <w:rPr>
          <w:rFonts w:ascii="Arial" w:cs="Arial" w:eastAsia="Arial" w:hAnsi="Arial"/>
          <w:sz w:val="16"/>
          <w:szCs w:val="16"/>
          <w:i w:val="1"/>
          <w:iCs w:val="1"/>
          <w:color w:val="auto"/>
        </w:rPr>
        <w:t xml:space="preserve"> </w:t>
      </w:r>
      <w:r>
        <w:rPr>
          <w:rFonts w:ascii="Arial" w:cs="Arial" w:eastAsia="Arial" w:hAnsi="Arial"/>
          <w:sz w:val="16"/>
          <w:szCs w:val="16"/>
          <w:color w:val="auto"/>
        </w:rPr>
        <w:t>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31" w:lineRule="exact"/>
        <w:rPr>
          <w:rFonts w:ascii="Arial" w:cs="Arial" w:eastAsia="Arial" w:hAnsi="Arial"/>
          <w:sz w:val="16"/>
          <w:szCs w:val="16"/>
          <w:color w:val="auto"/>
        </w:rPr>
      </w:pPr>
    </w:p>
    <w:p>
      <w:pPr>
        <w:ind w:left="1120" w:hanging="232"/>
        <w:spacing w:after="0"/>
        <w:tabs>
          <w:tab w:leader="none" w:pos="1120"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Liquidation; Merger; Disposition of Assets. </w:t>
      </w:r>
      <w:r>
        <w:rPr>
          <w:rFonts w:ascii="Arial" w:cs="Arial" w:eastAsia="Arial" w:hAnsi="Arial"/>
          <w:sz w:val="16"/>
          <w:szCs w:val="16"/>
          <w:color w:val="auto"/>
        </w:rPr>
        <w:t>It shall not consummate any plan of liquidation, dissolution, partial liquidation, merger or</w:t>
      </w:r>
    </w:p>
    <w:p>
      <w:pPr>
        <w:spacing w:after="0" w:line="38" w:lineRule="exact"/>
        <w:rPr>
          <w:rFonts w:ascii="Arial" w:cs="Arial" w:eastAsia="Arial" w:hAnsi="Arial"/>
          <w:sz w:val="16"/>
          <w:szCs w:val="16"/>
          <w:color w:val="auto"/>
        </w:rPr>
      </w:pPr>
    </w:p>
    <w:p>
      <w:pPr>
        <w:ind w:left="460"/>
        <w:spacing w:after="0" w:line="260" w:lineRule="auto"/>
        <w:rPr>
          <w:rFonts w:ascii="Arial" w:cs="Arial" w:eastAsia="Arial" w:hAnsi="Arial"/>
          <w:sz w:val="16"/>
          <w:szCs w:val="16"/>
          <w:color w:val="auto"/>
        </w:rPr>
      </w:pPr>
      <w:r>
        <w:rPr>
          <w:rFonts w:ascii="Arial" w:cs="Arial" w:eastAsia="Arial" w:hAnsi="Arial"/>
          <w:sz w:val="18"/>
          <w:szCs w:val="18"/>
          <w:color w:val="auto"/>
        </w:rPr>
        <w:t>consolidation (or suffer any liquidation, dissolution or partial liquidation) nor sell, transfer, exchange or otherwise dispose of all or substantially all of its assets or enter into any agreement or commitment to do so.</w:t>
      </w:r>
    </w:p>
    <w:p>
      <w:pPr>
        <w:spacing w:after="0" w:line="139" w:lineRule="exact"/>
        <w:rPr>
          <w:sz w:val="20"/>
          <w:szCs w:val="20"/>
          <w:color w:val="auto"/>
        </w:rPr>
      </w:pPr>
    </w:p>
    <w:p>
      <w:pPr>
        <w:ind w:right="120" w:firstLine="449"/>
        <w:spacing w:after="0" w:line="306" w:lineRule="auto"/>
        <w:rPr>
          <w:sz w:val="20"/>
          <w:szCs w:val="20"/>
          <w:color w:val="auto"/>
        </w:rPr>
      </w:pPr>
      <w:r>
        <w:rPr>
          <w:rFonts w:ascii="Arial" w:cs="Arial" w:eastAsia="Arial" w:hAnsi="Arial"/>
          <w:sz w:val="16"/>
          <w:szCs w:val="16"/>
          <w:i w:val="1"/>
          <w:iCs w:val="1"/>
          <w:color w:val="auto"/>
        </w:rPr>
        <w:t>Section 5.05. Certain Undertakings Relating to Separateness</w:t>
      </w:r>
      <w:r>
        <w:rPr>
          <w:rFonts w:ascii="Arial" w:cs="Arial" w:eastAsia="Arial" w:hAnsi="Arial"/>
          <w:sz w:val="16"/>
          <w:szCs w:val="16"/>
          <w:color w:val="auto"/>
        </w:rPr>
        <w:t>. (a) Without limiting any, and subject to all, other covenants of the Borrower contained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the Borrower shall conduct its business and operations separate and apart from that any other Person (including the Collateral Manager and any of its Affiliates, the holders of the Equity and their respective Affiliates) and in furtherance of the foregoing:</w:t>
      </w:r>
    </w:p>
    <w:p>
      <w:pPr>
        <w:spacing w:after="0" w:line="25" w:lineRule="exact"/>
        <w:rPr>
          <w:sz w:val="20"/>
          <w:szCs w:val="20"/>
          <w:color w:val="auto"/>
        </w:rPr>
      </w:pPr>
    </w:p>
    <w:p>
      <w:pPr>
        <w:ind w:left="460" w:right="160" w:firstLine="428"/>
        <w:spacing w:after="0" w:line="331" w:lineRule="auto"/>
        <w:tabs>
          <w:tab w:leader="none" w:pos="11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Borrower shall maintain its accounts, financial statements, books, accounting and other records, and other Borrower documents separate from those of any 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may be consolidated into the BDC solely for tax and accounting purposes.</w:t>
      </w:r>
    </w:p>
    <w:p>
      <w:pPr>
        <w:spacing w:after="0" w:line="5" w:lineRule="exact"/>
        <w:rPr>
          <w:rFonts w:ascii="Arial" w:cs="Arial" w:eastAsia="Arial" w:hAnsi="Arial"/>
          <w:sz w:val="16"/>
          <w:szCs w:val="16"/>
          <w:color w:val="auto"/>
        </w:rPr>
      </w:pPr>
    </w:p>
    <w:p>
      <w:pPr>
        <w:ind w:left="460" w:right="120" w:firstLine="428"/>
        <w:spacing w:after="0" w:line="268" w:lineRule="auto"/>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50" w:lineRule="exact"/>
        <w:rPr>
          <w:rFonts w:ascii="Arial" w:cs="Arial" w:eastAsia="Arial" w:hAnsi="Arial"/>
          <w:sz w:val="18"/>
          <w:szCs w:val="18"/>
          <w:color w:val="auto"/>
        </w:rPr>
      </w:pPr>
    </w:p>
    <w:p>
      <w:pPr>
        <w:ind w:left="460" w:right="240" w:firstLine="428"/>
        <w:spacing w:after="0" w:line="268" w:lineRule="auto"/>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Borrower shall conduct its own business in its own name and, for all purposes, shall not operate, or purport to operate, collectively as a single or consolidated business entity with respect to any Person.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320" w:top="280" w:right="399" w:bottom="1440" w:gutter="0" w:footer="0" w:header="0"/>
        </w:sectPr>
      </w:pPr>
    </w:p>
    <w:bookmarkStart w:id="128" w:name="page129"/>
    <w:bookmarkEnd w:id="128"/>
    <w:p>
      <w:pPr>
        <w:ind w:right="20" w:firstLine="428"/>
        <w:spacing w:after="0" w:line="268" w:lineRule="auto"/>
        <w:tabs>
          <w:tab w:leader="none" w:pos="6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shall pay its own debts, liabilities and expenses (including overhead expenses, if any) only out of its own assets as the same shall become due.</w:t>
      </w:r>
    </w:p>
    <w:p>
      <w:pPr>
        <w:spacing w:after="0" w:line="50" w:lineRule="exact"/>
        <w:rPr>
          <w:rFonts w:ascii="Arial" w:cs="Arial" w:eastAsia="Arial" w:hAnsi="Arial"/>
          <w:sz w:val="18"/>
          <w:szCs w:val="18"/>
          <w:color w:val="auto"/>
        </w:rPr>
      </w:pPr>
    </w:p>
    <w:p>
      <w:pPr>
        <w:ind w:right="40" w:firstLine="428"/>
        <w:spacing w:after="0" w:line="298" w:lineRule="auto"/>
        <w:tabs>
          <w:tab w:leader="none" w:pos="6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Borrower has observed, and shall observe all (A) Delaware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bankruptcy-remote special purpose entity.</w:t>
      </w:r>
    </w:p>
    <w:p>
      <w:pPr>
        <w:spacing w:after="0" w:line="31" w:lineRule="exact"/>
        <w:rPr>
          <w:rFonts w:ascii="Arial" w:cs="Arial" w:eastAsia="Arial" w:hAnsi="Arial"/>
          <w:sz w:val="16"/>
          <w:szCs w:val="16"/>
          <w:color w:val="auto"/>
        </w:rPr>
      </w:pPr>
    </w:p>
    <w:p>
      <w:pPr>
        <w:ind w:firstLine="428"/>
        <w:spacing w:after="0" w:line="259" w:lineRule="auto"/>
        <w:tabs>
          <w:tab w:leader="none" w:pos="6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58" w:lineRule="exact"/>
        <w:rPr>
          <w:rFonts w:ascii="Arial" w:cs="Arial" w:eastAsia="Arial" w:hAnsi="Arial"/>
          <w:sz w:val="18"/>
          <w:szCs w:val="18"/>
          <w:color w:val="auto"/>
        </w:rPr>
      </w:pPr>
    </w:p>
    <w:p>
      <w:pPr>
        <w:ind w:right="440" w:firstLine="428"/>
        <w:spacing w:after="0" w:line="356" w:lineRule="auto"/>
        <w:tabs>
          <w:tab w:leader="none" w:pos="6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 xml:space="preserve">The Borrower shall, at all times, hold itself out to the public as a legal entity separate and distinct from any other Person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assets of the Borrower may be consolidated into the BDC for accounting purposes and included in publicly filed financial statements of the BDC.</w:t>
      </w:r>
    </w:p>
    <w:p>
      <w:pPr>
        <w:spacing w:after="0" w:line="1" w:lineRule="exact"/>
        <w:rPr>
          <w:rFonts w:ascii="Arial" w:cs="Arial" w:eastAsia="Arial" w:hAnsi="Arial"/>
          <w:sz w:val="15"/>
          <w:szCs w:val="15"/>
          <w:color w:val="auto"/>
        </w:rPr>
      </w:pPr>
    </w:p>
    <w:p>
      <w:pPr>
        <w:ind w:left="680" w:hanging="252"/>
        <w:spacing w:after="0"/>
        <w:tabs>
          <w:tab w:leader="none" w:pos="6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 shall not identify itself as a division of any other Person.</w:t>
      </w:r>
    </w:p>
    <w:p>
      <w:pPr>
        <w:spacing w:after="0" w:line="90" w:lineRule="exact"/>
        <w:rPr>
          <w:rFonts w:ascii="Arial" w:cs="Arial" w:eastAsia="Arial" w:hAnsi="Arial"/>
          <w:sz w:val="18"/>
          <w:szCs w:val="18"/>
          <w:color w:val="auto"/>
        </w:rPr>
      </w:pPr>
    </w:p>
    <w:p>
      <w:pPr>
        <w:ind w:right="340" w:firstLine="428"/>
        <w:spacing w:after="0" w:line="268" w:lineRule="auto"/>
        <w:tabs>
          <w:tab w:leader="none" w:pos="6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 shall maintain its assets in such a manner that it will not be costly or difficult to segregate, ascertain or identify its individual assets from those of any Affiliate or any other Person.</w:t>
      </w:r>
    </w:p>
    <w:p>
      <w:pPr>
        <w:spacing w:after="0" w:line="50" w:lineRule="exact"/>
        <w:rPr>
          <w:rFonts w:ascii="Arial" w:cs="Arial" w:eastAsia="Arial" w:hAnsi="Arial"/>
          <w:sz w:val="18"/>
          <w:szCs w:val="18"/>
          <w:color w:val="auto"/>
        </w:rPr>
      </w:pPr>
    </w:p>
    <w:p>
      <w:pPr>
        <w:ind w:left="760" w:hanging="332"/>
        <w:spacing w:after="0"/>
        <w:tabs>
          <w:tab w:leader="none" w:pos="7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 shall not use its separate existence to perpetrate a fraud in violation of Applicable Law.</w:t>
      </w:r>
    </w:p>
    <w:p>
      <w:pPr>
        <w:spacing w:after="0" w:line="90" w:lineRule="exact"/>
        <w:rPr>
          <w:rFonts w:ascii="Arial" w:cs="Arial" w:eastAsia="Arial" w:hAnsi="Arial"/>
          <w:sz w:val="18"/>
          <w:szCs w:val="18"/>
          <w:color w:val="auto"/>
        </w:rPr>
      </w:pPr>
    </w:p>
    <w:p>
      <w:pPr>
        <w:ind w:right="580" w:firstLine="428"/>
        <w:spacing w:after="0" w:line="268" w:lineRule="auto"/>
        <w:tabs>
          <w:tab w:leader="none" w:pos="76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 shall not, in connection with the Facility Documents, act with an intent to hinder, delay or defraud any of its creditors in violation of Applicable Law.</w:t>
      </w:r>
    </w:p>
    <w:p>
      <w:pPr>
        <w:spacing w:after="0" w:line="50" w:lineRule="exact"/>
        <w:rPr>
          <w:rFonts w:ascii="Arial" w:cs="Arial" w:eastAsia="Arial" w:hAnsi="Arial"/>
          <w:sz w:val="18"/>
          <w:szCs w:val="18"/>
          <w:color w:val="auto"/>
        </w:rPr>
      </w:pPr>
    </w:p>
    <w:p>
      <w:pPr>
        <w:ind w:left="760" w:hanging="332"/>
        <w:spacing w:after="0"/>
        <w:tabs>
          <w:tab w:leader="none" w:pos="7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 shall maintain an arm’s length relationship with its Affiliates and the Collateral Manager.</w:t>
      </w:r>
    </w:p>
    <w:p>
      <w:pPr>
        <w:spacing w:after="0" w:line="90" w:lineRule="exact"/>
        <w:rPr>
          <w:rFonts w:ascii="Arial" w:cs="Arial" w:eastAsia="Arial" w:hAnsi="Arial"/>
          <w:sz w:val="18"/>
          <w:szCs w:val="18"/>
          <w:color w:val="auto"/>
        </w:rPr>
      </w:pPr>
    </w:p>
    <w:p>
      <w:pPr>
        <w:ind w:right="20" w:firstLine="428"/>
        <w:spacing w:after="0" w:line="268" w:lineRule="auto"/>
        <w:tabs>
          <w:tab w:leader="none" w:pos="76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Except as permitted by or pursuant to the Facility Documents, the Borrower shall not grant a security interest or otherwise pledge its assets for the benefit of any other Person.</w:t>
      </w:r>
    </w:p>
    <w:p>
      <w:pPr>
        <w:spacing w:after="0" w:line="50" w:lineRule="exact"/>
        <w:rPr>
          <w:rFonts w:ascii="Arial" w:cs="Arial" w:eastAsia="Arial" w:hAnsi="Arial"/>
          <w:sz w:val="18"/>
          <w:szCs w:val="18"/>
          <w:color w:val="auto"/>
        </w:rPr>
      </w:pPr>
    </w:p>
    <w:p>
      <w:pPr>
        <w:ind w:right="80" w:firstLine="428"/>
        <w:spacing w:after="0" w:line="268" w:lineRule="auto"/>
        <w:tabs>
          <w:tab w:leader="none" w:pos="76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Except as provided in the Facility Documents, the Borrower shall not acquire any securities or debt instruments of the Collateral Manager, its Affiliates or any other Person.</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780"/>
          </w:cols>
          <w:pgMar w:left="780" w:top="280" w:right="339" w:bottom="1440" w:gutter="0" w:footer="0" w:header="0"/>
        </w:sectPr>
      </w:pPr>
    </w:p>
    <w:bookmarkStart w:id="129" w:name="page130"/>
    <w:bookmarkEnd w:id="129"/>
    <w:p>
      <w:pPr>
        <w:ind w:left="460" w:right="80" w:firstLine="428"/>
        <w:spacing w:after="0" w:line="268" w:lineRule="auto"/>
        <w:tabs>
          <w:tab w:leader="none" w:pos="12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shall not make loans or advances to any Person, except for the Collateral Loans and as permitted by or pursuant to the Facility Documents.</w:t>
      </w:r>
    </w:p>
    <w:p>
      <w:pPr>
        <w:spacing w:after="0" w:line="50" w:lineRule="exact"/>
        <w:rPr>
          <w:rFonts w:ascii="Arial" w:cs="Arial" w:eastAsia="Arial" w:hAnsi="Arial"/>
          <w:sz w:val="18"/>
          <w:szCs w:val="18"/>
          <w:color w:val="auto"/>
        </w:rPr>
      </w:pPr>
    </w:p>
    <w:p>
      <w:pPr>
        <w:ind w:left="1220" w:hanging="332"/>
        <w:spacing w:after="0"/>
        <w:tabs>
          <w:tab w:leader="none" w:pos="1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make no transfer of its assets except as permitted by or pursuant to the Facility Documents.</w:t>
      </w:r>
    </w:p>
    <w:p>
      <w:pPr>
        <w:spacing w:after="0" w:line="90" w:lineRule="exact"/>
        <w:rPr>
          <w:rFonts w:ascii="Arial" w:cs="Arial" w:eastAsia="Arial" w:hAnsi="Arial"/>
          <w:sz w:val="18"/>
          <w:szCs w:val="18"/>
          <w:color w:val="auto"/>
        </w:rPr>
      </w:pPr>
    </w:p>
    <w:p>
      <w:pPr>
        <w:ind w:left="460" w:right="360" w:firstLine="428"/>
        <w:spacing w:after="0" w:line="331" w:lineRule="auto"/>
        <w:tabs>
          <w:tab w:leader="none" w:pos="122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5" w:lineRule="exact"/>
        <w:rPr>
          <w:rFonts w:ascii="Arial" w:cs="Arial" w:eastAsia="Arial" w:hAnsi="Arial"/>
          <w:sz w:val="16"/>
          <w:szCs w:val="16"/>
          <w:color w:val="auto"/>
        </w:rPr>
      </w:pPr>
    </w:p>
    <w:p>
      <w:pPr>
        <w:ind w:left="1220" w:hanging="332"/>
        <w:spacing w:after="0"/>
        <w:tabs>
          <w:tab w:leader="none" w:pos="1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not acquire obligations or securities of its members.</w:t>
      </w:r>
    </w:p>
    <w:p>
      <w:pPr>
        <w:spacing w:after="0" w:line="90" w:lineRule="exact"/>
        <w:rPr>
          <w:rFonts w:ascii="Arial" w:cs="Arial" w:eastAsia="Arial" w:hAnsi="Arial"/>
          <w:sz w:val="18"/>
          <w:szCs w:val="18"/>
          <w:color w:val="auto"/>
        </w:rPr>
      </w:pPr>
    </w:p>
    <w:p>
      <w:pPr>
        <w:ind w:left="1220" w:hanging="332"/>
        <w:spacing w:after="0"/>
        <w:tabs>
          <w:tab w:leader="none" w:pos="1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use separate stationary, invoices and checks.</w:t>
      </w:r>
    </w:p>
    <w:p>
      <w:pPr>
        <w:spacing w:after="0" w:line="90" w:lineRule="exact"/>
        <w:rPr>
          <w:rFonts w:ascii="Arial" w:cs="Arial" w:eastAsia="Arial" w:hAnsi="Arial"/>
          <w:sz w:val="18"/>
          <w:szCs w:val="18"/>
          <w:color w:val="auto"/>
        </w:rPr>
      </w:pPr>
    </w:p>
    <w:p>
      <w:pPr>
        <w:ind w:left="1220" w:hanging="332"/>
        <w:spacing w:after="0"/>
        <w:tabs>
          <w:tab w:leader="none" w:pos="1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correct any known misunderstanding regarding its separate identity.</w:t>
      </w:r>
    </w:p>
    <w:p>
      <w:pPr>
        <w:spacing w:after="0" w:line="90" w:lineRule="exact"/>
        <w:rPr>
          <w:rFonts w:ascii="Arial" w:cs="Arial" w:eastAsia="Arial" w:hAnsi="Arial"/>
          <w:sz w:val="18"/>
          <w:szCs w:val="18"/>
          <w:color w:val="auto"/>
        </w:rPr>
      </w:pPr>
    </w:p>
    <w:p>
      <w:pPr>
        <w:ind w:left="1220" w:hanging="332"/>
        <w:spacing w:after="0"/>
        <w:tabs>
          <w:tab w:leader="none" w:pos="1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maintain adequate capital in light of its contemplated business operations.</w:t>
      </w:r>
    </w:p>
    <w:p>
      <w:pPr>
        <w:spacing w:after="0" w:line="90" w:lineRule="exact"/>
        <w:rPr>
          <w:rFonts w:ascii="Arial" w:cs="Arial" w:eastAsia="Arial" w:hAnsi="Arial"/>
          <w:sz w:val="18"/>
          <w:szCs w:val="18"/>
          <w:color w:val="auto"/>
        </w:rPr>
      </w:pPr>
    </w:p>
    <w:p>
      <w:pPr>
        <w:ind w:left="460" w:right="140" w:firstLine="428"/>
        <w:spacing w:after="0" w:line="268" w:lineRule="auto"/>
        <w:tabs>
          <w:tab w:leader="none" w:pos="12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at all times be organized as a single-purpose entity with organizational documents substantially similar to those in effect on the Closing Date.</w:t>
      </w:r>
    </w:p>
    <w:p>
      <w:pPr>
        <w:spacing w:after="0" w:line="50" w:lineRule="exact"/>
        <w:rPr>
          <w:rFonts w:ascii="Arial" w:cs="Arial" w:eastAsia="Arial" w:hAnsi="Arial"/>
          <w:sz w:val="18"/>
          <w:szCs w:val="18"/>
          <w:color w:val="auto"/>
        </w:rPr>
      </w:pPr>
    </w:p>
    <w:p>
      <w:pPr>
        <w:ind w:left="460" w:right="400" w:firstLine="428"/>
        <w:spacing w:after="0" w:line="331" w:lineRule="auto"/>
        <w:tabs>
          <w:tab w:leader="none" w:pos="122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Borrower shall at all times conduct its business so that any assumptions made with respect to the Borrower in any “substantive non-consolidation” opinion letter delivered in connection with the Facility Documents will continue to be true and correct in all respects.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EVENTS OF DEFAULT</w:t>
      </w:r>
    </w:p>
    <w:p>
      <w:pPr>
        <w:spacing w:after="0" w:line="17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i w:val="1"/>
          <w:iCs w:val="1"/>
          <w:color w:val="auto"/>
        </w:rPr>
        <w:t>Section 6.01. Events of Default</w:t>
      </w:r>
      <w:r>
        <w:rPr>
          <w:rFonts w:ascii="Arial" w:cs="Arial" w:eastAsia="Arial" w:hAnsi="Arial"/>
          <w:sz w:val="18"/>
          <w:szCs w:val="18"/>
          <w:color w:val="auto"/>
        </w:rPr>
        <w:t>. “</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means any one of the following events (whatever the reason for such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and whether it shall be voluntary or involuntary or be effected by operation of law or pursuant to any judgment, decree or order of any court or any order, rule or regulation of any administrative or governmental body):</w:t>
      </w:r>
    </w:p>
    <w:p>
      <w:pPr>
        <w:spacing w:after="0" w:line="59" w:lineRule="exact"/>
        <w:rPr>
          <w:sz w:val="20"/>
          <w:szCs w:val="20"/>
          <w:color w:val="auto"/>
        </w:rPr>
      </w:pPr>
    </w:p>
    <w:p>
      <w:pPr>
        <w:ind w:left="460" w:firstLine="428"/>
        <w:spacing w:after="0" w:line="268" w:lineRule="auto"/>
        <w:tabs>
          <w:tab w:leader="none" w:pos="113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default in the payment, when due and payable, of any interest on or Commitment Fee in respect of the Advances and such default is not cured within two (2) Business Days; or</w:t>
      </w:r>
    </w:p>
    <w:p>
      <w:pPr>
        <w:spacing w:after="0" w:line="50" w:lineRule="exact"/>
        <w:rPr>
          <w:rFonts w:ascii="Arial" w:cs="Arial" w:eastAsia="Arial" w:hAnsi="Arial"/>
          <w:sz w:val="18"/>
          <w:szCs w:val="18"/>
          <w:color w:val="auto"/>
        </w:rPr>
      </w:pPr>
    </w:p>
    <w:p>
      <w:pPr>
        <w:ind w:left="1140" w:hanging="252"/>
        <w:spacing w:after="0"/>
        <w:tabs>
          <w:tab w:leader="none" w:pos="11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failure to reduce the Advances to $0 on the Final Maturity Date;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20" w:top="280" w:right="379" w:bottom="1440" w:gutter="0" w:footer="0" w:header="0"/>
        </w:sectPr>
      </w:pPr>
    </w:p>
    <w:bookmarkStart w:id="130" w:name="page131"/>
    <w:bookmarkEnd w:id="130"/>
    <w:p>
      <w:pPr>
        <w:ind w:right="20" w:firstLine="431"/>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 the Borrower becomes an investment company required to be registered under the Investment Company Act or (ii) the BDC is required to be registered under the Investment Company Act and is not otherwise registered; or</w:t>
      </w:r>
    </w:p>
    <w:p>
      <w:pPr>
        <w:spacing w:after="0" w:line="51" w:lineRule="exact"/>
        <w:rPr>
          <w:sz w:val="20"/>
          <w:szCs w:val="20"/>
          <w:color w:val="auto"/>
        </w:rPr>
      </w:pPr>
    </w:p>
    <w:p>
      <w:pPr>
        <w:ind w:firstLine="428"/>
        <w:spacing w:after="0" w:line="253" w:lineRule="auto"/>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w:t>
      </w:r>
      <w:r>
        <w:rPr>
          <w:rFonts w:ascii="Arial" w:cs="Arial" w:eastAsia="Arial" w:hAnsi="Arial"/>
          <w:sz w:val="18"/>
          <w:szCs w:val="18"/>
          <w:u w:val="single" w:color="auto"/>
          <w:color w:val="auto"/>
        </w:rPr>
        <w:t>Section 6.01</w:t>
      </w:r>
      <w:r>
        <w:rPr>
          <w:rFonts w:ascii="Arial" w:cs="Arial" w:eastAsia="Arial" w:hAnsi="Arial"/>
          <w:sz w:val="18"/>
          <w:szCs w:val="18"/>
          <w:color w:val="auto"/>
        </w:rPr>
        <w:t>, a default in any material respect in the performance, or breach in any material respect, of any other covenant or other agreement of the Borrower under this Agreement or the other Facility Documents, or the failure of any representation or warranty of the Borrower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Borrower or the Collateral Manager (which may be by email) by either Agent or the Collateral Manager (as the case may be), and (y) actual knowledge of the Borrower or the Collateral Manager; or</w:t>
      </w:r>
    </w:p>
    <w:p>
      <w:pPr>
        <w:spacing w:after="0" w:line="65" w:lineRule="exact"/>
        <w:rPr>
          <w:rFonts w:ascii="Arial" w:cs="Arial" w:eastAsia="Arial" w:hAnsi="Arial"/>
          <w:sz w:val="18"/>
          <w:szCs w:val="18"/>
          <w:color w:val="auto"/>
        </w:rPr>
      </w:pPr>
    </w:p>
    <w:p>
      <w:pPr>
        <w:ind w:right="60" w:firstLine="428"/>
        <w:spacing w:after="0" w:line="294" w:lineRule="auto"/>
        <w:tabs>
          <w:tab w:leader="none" w:pos="67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rendering of one or more final judgments, decrees or orders by a court or arbitrator of competent jurisdiction for the payment of money in excess individually or in the aggregate of $2,000,000 against the BDC, or $250,000 against the Borrower (exclusive of judgment amounts fully covered by insurance), and the aforementioned parties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w:t>
      </w:r>
    </w:p>
    <w:p>
      <w:pPr>
        <w:spacing w:after="0" w:line="34" w:lineRule="exact"/>
        <w:rPr>
          <w:rFonts w:ascii="Arial" w:cs="Arial" w:eastAsia="Arial" w:hAnsi="Arial"/>
          <w:sz w:val="16"/>
          <w:szCs w:val="16"/>
          <w:color w:val="auto"/>
        </w:rPr>
      </w:pPr>
    </w:p>
    <w:p>
      <w:pPr>
        <w:ind w:left="640" w:hanging="212"/>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Insolvency Event relating to the Borrower or the BDC occurs; or</w:t>
      </w:r>
    </w:p>
    <w:p>
      <w:pPr>
        <w:spacing w:after="0" w:line="90" w:lineRule="exact"/>
        <w:rPr>
          <w:rFonts w:ascii="Arial" w:cs="Arial" w:eastAsia="Arial" w:hAnsi="Arial"/>
          <w:sz w:val="18"/>
          <w:szCs w:val="18"/>
          <w:color w:val="auto"/>
        </w:rPr>
      </w:pPr>
    </w:p>
    <w:p>
      <w:pPr>
        <w:ind w:left="680" w:hanging="252"/>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Collateral Manager Event of Default shall have occurred and be continuing; or</w:t>
      </w:r>
    </w:p>
    <w:p>
      <w:pPr>
        <w:spacing w:after="0" w:line="90" w:lineRule="exact"/>
        <w:rPr>
          <w:sz w:val="20"/>
          <w:szCs w:val="20"/>
          <w:color w:val="auto"/>
        </w:rPr>
      </w:pPr>
    </w:p>
    <w:p>
      <w:pPr>
        <w:ind w:firstLine="431"/>
        <w:spacing w:after="0" w:line="294" w:lineRule="auto"/>
        <w:rPr>
          <w:sz w:val="20"/>
          <w:szCs w:val="20"/>
          <w:color w:val="auto"/>
        </w:rPr>
      </w:pPr>
      <w:r>
        <w:rPr>
          <w:rFonts w:ascii="Arial" w:cs="Arial" w:eastAsia="Arial" w:hAnsi="Arial"/>
          <w:sz w:val="16"/>
          <w:szCs w:val="16"/>
          <w:color w:val="auto"/>
        </w:rPr>
        <w:t>(h)(i) the Internal Revenue Service shall file notice of a Lien pursuant to Section 6323 of the Code with regard to any assets of the Borrower and such Lien shall not have been released within five (5) Business Days or (ii) the PBGC shall file notice of a Lien pursuant to Section 4068 of ERISA with regard to any of the assets of the Borrower and such Lien shall not have been released within five (5) Business Days, unless in each case a reserve has been established therefor in accordance with GAAP and such action is being diligently contested in good faith by appropriate proceedings (except to the extent that the amount secured by such Lien exceeds $750,000); or</w:t>
      </w:r>
    </w:p>
    <w:p>
      <w:pPr>
        <w:spacing w:after="0" w:line="34" w:lineRule="exact"/>
        <w:rPr>
          <w:sz w:val="20"/>
          <w:szCs w:val="20"/>
          <w:color w:val="auto"/>
        </w:rPr>
      </w:pPr>
    </w:p>
    <w:p>
      <w:pPr>
        <w:ind w:right="20" w:firstLine="431"/>
        <w:spacing w:after="0" w:line="268" w:lineRule="auto"/>
        <w:rPr>
          <w:sz w:val="20"/>
          <w:szCs w:val="20"/>
          <w:color w:val="auto"/>
        </w:rPr>
      </w:pPr>
      <w:r>
        <w:rPr>
          <w:rFonts w:ascii="Arial" w:cs="Arial" w:eastAsia="Arial" w:hAnsi="Arial"/>
          <w:sz w:val="18"/>
          <w:szCs w:val="18"/>
          <w:color w:val="auto"/>
        </w:rPr>
        <w:t>(i)(i) a Change of Control occurs with respect to the Borrower, or (ii) the BDC shall merge into any other Person or more than 50.0% of the Voting Shares of the BDC are sold to any Person and/or such Person’s Affiliates; or</w:t>
      </w:r>
    </w:p>
    <w:p>
      <w:pPr>
        <w:spacing w:after="0" w:line="51" w:lineRule="exact"/>
        <w:rPr>
          <w:sz w:val="20"/>
          <w:szCs w:val="20"/>
          <w:color w:val="auto"/>
        </w:rPr>
      </w:pPr>
    </w:p>
    <w:p>
      <w:pPr>
        <w:ind w:left="5020" w:right="3880" w:hanging="4592"/>
        <w:spacing w:after="0" w:line="440" w:lineRule="auto"/>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occurrence of a Material Adverse Effect with respect to the BDC or the Borrower; or -83-</w:t>
      </w:r>
    </w:p>
    <w:p>
      <w:pPr>
        <w:sectPr>
          <w:pgSz w:w="11900" w:h="16838" w:orient="portrait"/>
          <w:cols w:equalWidth="0" w:num="1">
            <w:col w:w="10740"/>
          </w:cols>
          <w:pgMar w:left="780" w:top="280" w:right="379" w:bottom="1440" w:gutter="0" w:footer="0" w:header="0"/>
        </w:sectPr>
      </w:pPr>
    </w:p>
    <w:bookmarkStart w:id="131" w:name="page132"/>
    <w:bookmarkEnd w:id="131"/>
    <w:p>
      <w:pPr>
        <w:ind w:left="460" w:right="80" w:firstLine="431"/>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(k)(i) the failure of the BDC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 or</w:t>
      </w:r>
    </w:p>
    <w:p>
      <w:pPr>
        <w:spacing w:after="0" w:line="25" w:lineRule="exact"/>
        <w:rPr>
          <w:sz w:val="20"/>
          <w:szCs w:val="20"/>
          <w:color w:val="auto"/>
        </w:rPr>
      </w:pPr>
    </w:p>
    <w:p>
      <w:pPr>
        <w:ind w:left="1100" w:hanging="212"/>
        <w:spacing w:after="0"/>
        <w:tabs>
          <w:tab w:leader="none" w:pos="11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BDC shall fail to maintain “business development company” status under the Investment Company Act; or</w:t>
      </w:r>
    </w:p>
    <w:p>
      <w:pPr>
        <w:spacing w:after="0" w:line="90" w:lineRule="exact"/>
        <w:rPr>
          <w:rFonts w:ascii="Arial" w:cs="Arial" w:eastAsia="Arial" w:hAnsi="Arial"/>
          <w:sz w:val="18"/>
          <w:szCs w:val="18"/>
          <w:color w:val="auto"/>
        </w:rPr>
      </w:pPr>
    </w:p>
    <w:p>
      <w:pPr>
        <w:ind w:left="1180" w:hanging="292"/>
        <w:spacing w:after="0"/>
        <w:tabs>
          <w:tab w:leader="none" w:pos="11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failure to maintain the Interest Coverage Ratio Test for five (5) Business Days; or</w:t>
      </w:r>
    </w:p>
    <w:p>
      <w:pPr>
        <w:spacing w:after="0" w:line="90" w:lineRule="exact"/>
        <w:rPr>
          <w:rFonts w:ascii="Arial" w:cs="Arial" w:eastAsia="Arial" w:hAnsi="Arial"/>
          <w:sz w:val="18"/>
          <w:szCs w:val="18"/>
          <w:color w:val="auto"/>
        </w:rPr>
      </w:pPr>
    </w:p>
    <w:p>
      <w:pPr>
        <w:ind w:left="1140" w:hanging="252"/>
        <w:spacing w:after="0"/>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failure to maintain the Maximum Advance Rate Test for five (5) Business Days.</w:t>
      </w:r>
    </w:p>
    <w:p>
      <w:pPr>
        <w:spacing w:after="0" w:line="171"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Upon a Responsible Officer of the Borrower or Collateral Manager obtaining knowledge of the occurrence of an Event of Default, each of the Borrower and the Collateral Manager shall notify each other and the Agents, specifying the specific Event(s) of Default that occurred as well as all other Events of Default that are then known to be continuing. Upon the occurrence of an Event of Default known to a Responsible Officer of the Collateral Agent, the Collateral Agent shall promptly notify the Administrative Agent (which will notify the Lenders promptly) of such Event of Default in writing.</w:t>
      </w:r>
    </w:p>
    <w:p>
      <w:pPr>
        <w:spacing w:after="0" w:line="11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 xml:space="preserve">Upon the occurrence and during the continuance of any Event of Default, in addition to all rights and remedies specified in this Agreement and the other Facility Documents, including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the rights and remedies of a secured party under Applicable Law, including the UCC, the Administrative Agent or the Majority Lenders, by notice to the Borrower (with a copy to the Collateral Agent), may do any one or more of the following: (1) declare the Commitments to be terminated forthwith, whereupon the Commitments shall forthwith terminate, and (2) declare the principal of and the accrued interest on the Advances and all other amounts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upon the occurrence of any Event of Default described in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6.02</w:t>
      </w:r>
      <w:r>
        <w:rPr>
          <w:rFonts w:ascii="Arial" w:cs="Arial" w:eastAsia="Arial" w:hAnsi="Arial"/>
          <w:sz w:val="16"/>
          <w:szCs w:val="16"/>
          <w:color w:val="auto"/>
        </w:rPr>
        <w:t>, the Commitments shall automatically terminate and the Advances and all such other amounts shall automatically become due and payable, without any further action by any party.</w:t>
      </w:r>
    </w:p>
    <w:p>
      <w:pPr>
        <w:spacing w:after="0" w:line="124" w:lineRule="exact"/>
        <w:rPr>
          <w:sz w:val="20"/>
          <w:szCs w:val="20"/>
          <w:color w:val="auto"/>
        </w:rPr>
      </w:pPr>
    </w:p>
    <w:p>
      <w:pPr>
        <w:ind w:right="120" w:firstLine="449"/>
        <w:spacing w:after="0" w:line="284" w:lineRule="auto"/>
        <w:rPr>
          <w:sz w:val="20"/>
          <w:szCs w:val="20"/>
          <w:color w:val="auto"/>
        </w:rPr>
      </w:pPr>
      <w:r>
        <w:rPr>
          <w:rFonts w:ascii="Arial" w:cs="Arial" w:eastAsia="Arial" w:hAnsi="Arial"/>
          <w:sz w:val="16"/>
          <w:szCs w:val="16"/>
          <w:color w:val="auto"/>
        </w:rPr>
        <w:t>In addition, upon the occurrence and during the continuation of an Event of Default, following written notice by the Administrative Agent (provided in its sole discretion or at the direction of the Required Lenders) of the exercise of control rights with respect to the Collateral: (w) the Collateral Manager’s unilateral power to consent to modifications to and direct the acquisition, sales and other dispositions of Collateral Loans will be immediately suspended,</w:t>
      </w:r>
    </w:p>
    <w:p>
      <w:pPr>
        <w:spacing w:after="0" w:line="1" w:lineRule="exact"/>
        <w:rPr>
          <w:sz w:val="20"/>
          <w:szCs w:val="20"/>
          <w:color w:val="auto"/>
        </w:rPr>
      </w:pPr>
    </w:p>
    <w:p>
      <w:pPr>
        <w:ind w:right="20" w:firstLine="8"/>
        <w:spacing w:after="0" w:line="302" w:lineRule="auto"/>
        <w:tabs>
          <w:tab w:leader="none" w:pos="24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Collateral Manager will be required to obtain the consent of the Administrative Agent) before causing the Borrower to agree to any modification of any Collateral Loan or before causing the Borrower to acquire, sell or otherwise dispose of any Collateral Loan, and (y) the Collateral Manager will cause the Borrower to acquire, sell or otherwise dispose of any Collateral Loan as directed by the Administrative Agent in its sole discretion.</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320" w:top="280" w:right="399" w:bottom="1440" w:gutter="0" w:footer="0" w:header="0"/>
        </w:sectPr>
      </w:pPr>
    </w:p>
    <w:bookmarkStart w:id="132" w:name="page133"/>
    <w:bookmarkEnd w:id="132"/>
    <w:p>
      <w:pPr>
        <w:ind w:right="40" w:firstLine="449"/>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6.02. Collateral Manager Events of Default</w:t>
      </w:r>
      <w:r>
        <w:rPr>
          <w:rFonts w:ascii="Arial" w:cs="Arial" w:eastAsia="Arial" w:hAnsi="Arial"/>
          <w:sz w:val="16"/>
          <w:szCs w:val="16"/>
          <w:color w:val="auto"/>
        </w:rPr>
        <w:t>. “</w:t>
      </w:r>
      <w:r>
        <w:rPr>
          <w:rFonts w:ascii="Arial" w:cs="Arial" w:eastAsia="Arial" w:hAnsi="Arial"/>
          <w:sz w:val="16"/>
          <w:szCs w:val="16"/>
          <w:i w:val="1"/>
          <w:iCs w:val="1"/>
          <w:color w:val="auto"/>
        </w:rPr>
        <w:t>Collateral Manager Event of Default</w:t>
      </w:r>
      <w:r>
        <w:rPr>
          <w:rFonts w:ascii="Arial" w:cs="Arial" w:eastAsia="Arial" w:hAnsi="Arial"/>
          <w:sz w:val="16"/>
          <w:szCs w:val="16"/>
          <w:color w:val="auto"/>
        </w:rPr>
        <w:t>”, wherever used herein, means any one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events (whatever the reason for such Collateral Manager Event of Default and whether it shall be voluntary or involuntary or be effected by operation of law or pursuant to any judgment, decree or order of any court or any order, rule or regulation of any administrative or governmental body):</w:t>
      </w:r>
    </w:p>
    <w:p>
      <w:pPr>
        <w:spacing w:after="0" w:line="25" w:lineRule="exact"/>
        <w:rPr>
          <w:sz w:val="20"/>
          <w:szCs w:val="20"/>
          <w:color w:val="auto"/>
        </w:rPr>
      </w:pPr>
    </w:p>
    <w:p>
      <w:pPr>
        <w:ind w:left="460" w:firstLine="428"/>
        <w:spacing w:after="0" w:line="268" w:lineRule="auto"/>
        <w:tabs>
          <w:tab w:leader="none" w:pos="113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default in the payment by the Collateral Manager, when due and payable, of (i) any interest on or Commitment Fee in respect of the Advances or (ii) any principal of any Advance on the Final Maturity Date; or</w:t>
      </w:r>
    </w:p>
    <w:p>
      <w:pPr>
        <w:spacing w:after="0" w:line="50" w:lineRule="exact"/>
        <w:rPr>
          <w:rFonts w:ascii="Arial" w:cs="Arial" w:eastAsia="Arial" w:hAnsi="Arial"/>
          <w:sz w:val="18"/>
          <w:szCs w:val="18"/>
          <w:color w:val="auto"/>
        </w:rPr>
      </w:pPr>
    </w:p>
    <w:p>
      <w:pPr>
        <w:ind w:left="1140" w:hanging="252"/>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Collateral Manager is required to be registered under the Investment Company Act and is not otherwise registered; or</w:t>
      </w:r>
    </w:p>
    <w:p>
      <w:pPr>
        <w:spacing w:after="0" w:line="90" w:lineRule="exact"/>
        <w:rPr>
          <w:rFonts w:ascii="Arial" w:cs="Arial" w:eastAsia="Arial" w:hAnsi="Arial"/>
          <w:sz w:val="18"/>
          <w:szCs w:val="18"/>
          <w:color w:val="auto"/>
        </w:rPr>
      </w:pPr>
    </w:p>
    <w:p>
      <w:pPr>
        <w:ind w:left="460" w:right="60" w:firstLine="428"/>
        <w:spacing w:after="0" w:line="291" w:lineRule="auto"/>
        <w:tabs>
          <w:tab w:leader="none" w:pos="113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Section 6.02</w:t>
      </w:r>
      <w:r>
        <w:rPr>
          <w:rFonts w:ascii="Arial" w:cs="Arial" w:eastAsia="Arial" w:hAnsi="Arial"/>
          <w:sz w:val="16"/>
          <w:szCs w:val="16"/>
          <w:color w:val="auto"/>
        </w:rPr>
        <w:t>, a default in any material respect in the performance, or breach in any material respect, of any other covenant or other agreement of the Collateral Manager under this Agreement or the other Facility Documents, or the failure of any representation or warranty of the Collateral Manager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Collateral Manager (which may be by email) by the Agent, and (y) actual knowledge of the Collateral Manager; or</w:t>
      </w:r>
    </w:p>
    <w:p>
      <w:pPr>
        <w:spacing w:after="0" w:line="38" w:lineRule="exact"/>
        <w:rPr>
          <w:rFonts w:ascii="Arial" w:cs="Arial" w:eastAsia="Arial" w:hAnsi="Arial"/>
          <w:sz w:val="16"/>
          <w:szCs w:val="16"/>
          <w:color w:val="auto"/>
        </w:rPr>
      </w:pPr>
    </w:p>
    <w:p>
      <w:pPr>
        <w:ind w:left="460" w:right="180" w:firstLine="428"/>
        <w:spacing w:after="0" w:line="294" w:lineRule="auto"/>
        <w:tabs>
          <w:tab w:leader="none" w:pos="11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rendering of one or more final judgments, decrees or orders by a court or arbitrator of competent jurisdiction for the payment of money in excess individually or in the aggregate of $2,000,000 against the Collateral Manager (exclusive of judgment amounts fully covered by insurance), and the Collateral Manager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w:t>
      </w:r>
    </w:p>
    <w:p>
      <w:pPr>
        <w:spacing w:after="0" w:line="34" w:lineRule="exact"/>
        <w:rPr>
          <w:rFonts w:ascii="Arial" w:cs="Arial" w:eastAsia="Arial" w:hAnsi="Arial"/>
          <w:sz w:val="16"/>
          <w:szCs w:val="16"/>
          <w:color w:val="auto"/>
        </w:rPr>
      </w:pPr>
    </w:p>
    <w:p>
      <w:pPr>
        <w:ind w:left="1120" w:hanging="232"/>
        <w:spacing w:after="0"/>
        <w:tabs>
          <w:tab w:leader="none" w:pos="11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Insolvency Event relating to the Collateral Manager occurs; or</w:t>
      </w:r>
    </w:p>
    <w:p>
      <w:pPr>
        <w:spacing w:after="0" w:line="90" w:lineRule="exact"/>
        <w:rPr>
          <w:sz w:val="20"/>
          <w:szCs w:val="20"/>
          <w:color w:val="auto"/>
        </w:rPr>
      </w:pPr>
    </w:p>
    <w:p>
      <w:pPr>
        <w:ind w:left="460" w:right="20" w:firstLine="431"/>
        <w:spacing w:after="0" w:line="291" w:lineRule="auto"/>
        <w:rPr>
          <w:sz w:val="20"/>
          <w:szCs w:val="20"/>
          <w:color w:val="auto"/>
        </w:rPr>
      </w:pPr>
      <w:r>
        <w:rPr>
          <w:rFonts w:ascii="Arial" w:cs="Arial" w:eastAsia="Arial" w:hAnsi="Arial"/>
          <w:sz w:val="16"/>
          <w:szCs w:val="16"/>
          <w:color w:val="auto"/>
        </w:rPr>
        <w:t>(f)(1) any Facility Document shall (except in accordance with its terms) terminate, cease to be effective or cease to be the legally valid, binding and enforceable obligation of the Borrower or the Collateral Manager, (2) the Borrower or the Collateral Manager or any other party shall, directly or indirectly, contest in any manner the effectiveness, validity, binding nature or enforceability of any Facility Document or any Lien purported to be created thereunder, or (3) any Lien securing any obligation under any Facility Document shall, in whole or in part (other than in respect of a de minimis amount of Collateral), cease to be a first priority perfected security interest of the Collateral Agent except as otherwise expressly permitted in accordance with the applicable Facility Document and except Permitted Liens;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280" w:right="339" w:bottom="1440" w:gutter="0" w:footer="0" w:header="0"/>
        </w:sectPr>
      </w:pPr>
    </w:p>
    <w:bookmarkStart w:id="133" w:name="page134"/>
    <w:bookmarkEnd w:id="133"/>
    <w:p>
      <w:pPr>
        <w:ind w:left="460" w:right="480" w:firstLine="431"/>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(g)(i) the Collateral Manager shall fail to comply with </w:t>
      </w:r>
      <w:r>
        <w:rPr>
          <w:rFonts w:ascii="Arial" w:cs="Arial" w:eastAsia="Arial" w:hAnsi="Arial"/>
          <w:sz w:val="18"/>
          <w:szCs w:val="18"/>
          <w:u w:val="single" w:color="auto"/>
          <w:color w:val="auto"/>
        </w:rPr>
        <w:t>Section 5.04(c)</w:t>
      </w:r>
      <w:r>
        <w:rPr>
          <w:rFonts w:ascii="Arial" w:cs="Arial" w:eastAsia="Arial" w:hAnsi="Arial"/>
          <w:sz w:val="18"/>
          <w:szCs w:val="18"/>
          <w:color w:val="auto"/>
        </w:rPr>
        <w:t>, or (ii) the owners of the outstanding equity interests in the Collateral Manager as of the date hereof cease to own 51% of the equity interests in the Collateral Manager at any time; or</w:t>
      </w:r>
    </w:p>
    <w:p>
      <w:pPr>
        <w:spacing w:after="0" w:line="51" w:lineRule="exact"/>
        <w:rPr>
          <w:sz w:val="20"/>
          <w:szCs w:val="20"/>
          <w:color w:val="auto"/>
        </w:rPr>
      </w:pPr>
    </w:p>
    <w:p>
      <w:pPr>
        <w:jc w:val="both"/>
        <w:ind w:left="460" w:right="40" w:firstLine="428"/>
        <w:spacing w:after="0" w:line="335" w:lineRule="auto"/>
        <w:tabs>
          <w:tab w:leader="none" w:pos="114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 xml:space="preserve">Arthur Penn ceases to be involved in the day-to-day activities of the Collateral Manager and is not replaced by a Person reasonably acceptable to the Administrative Agent within 60 consecutive calendar days of such occurrence,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this </w:t>
      </w:r>
      <w:r>
        <w:rPr>
          <w:rFonts w:ascii="Arial" w:cs="Arial" w:eastAsia="Arial" w:hAnsi="Arial"/>
          <w:sz w:val="15"/>
          <w:szCs w:val="15"/>
          <w:u w:val="single" w:color="auto"/>
          <w:color w:val="auto"/>
        </w:rPr>
        <w:t>clause (h)</w:t>
      </w:r>
      <w:r>
        <w:rPr>
          <w:rFonts w:ascii="Arial" w:cs="Arial" w:eastAsia="Arial" w:hAnsi="Arial"/>
          <w:sz w:val="15"/>
          <w:szCs w:val="15"/>
          <w:color w:val="auto"/>
        </w:rPr>
        <w:t xml:space="preserve"> shall not apply to the extent that the Borrower’s Shareholders’ Equity as of the last day of the most recent fiscal quarter of the Borrower is greater than $150,000,000; or</w:t>
      </w:r>
    </w:p>
    <w:p>
      <w:pPr>
        <w:spacing w:after="0" w:line="6" w:lineRule="exact"/>
        <w:rPr>
          <w:rFonts w:ascii="Arial" w:cs="Arial" w:eastAsia="Arial" w:hAnsi="Arial"/>
          <w:sz w:val="15"/>
          <w:szCs w:val="15"/>
          <w:color w:val="auto"/>
        </w:rPr>
      </w:pPr>
    </w:p>
    <w:p>
      <w:pPr>
        <w:ind w:left="460" w:right="380" w:firstLine="428"/>
        <w:spacing w:after="0" w:line="268" w:lineRule="auto"/>
        <w:tabs>
          <w:tab w:leader="none" w:pos="110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change to the Credit and Collection Policies that could reasonably be expected to have a material adverse effect on the Lenders or any change to the Credit and Collection Policies without prior written notice to the Administrative Agent; or</w:t>
      </w:r>
    </w:p>
    <w:p>
      <w:pPr>
        <w:spacing w:after="0" w:line="50" w:lineRule="exact"/>
        <w:rPr>
          <w:rFonts w:ascii="Arial" w:cs="Arial" w:eastAsia="Arial" w:hAnsi="Arial"/>
          <w:sz w:val="18"/>
          <w:szCs w:val="18"/>
          <w:color w:val="auto"/>
        </w:rPr>
      </w:pPr>
    </w:p>
    <w:p>
      <w:pPr>
        <w:ind w:left="1100" w:hanging="212"/>
        <w:spacing w:after="0"/>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occurrence of a Material Adverse Effect with respect to the Collateral Manager; or</w:t>
      </w:r>
    </w:p>
    <w:p>
      <w:pPr>
        <w:spacing w:after="0" w:line="90" w:lineRule="exact"/>
        <w:rPr>
          <w:sz w:val="20"/>
          <w:szCs w:val="20"/>
          <w:color w:val="auto"/>
        </w:rPr>
      </w:pPr>
    </w:p>
    <w:p>
      <w:pPr>
        <w:jc w:val="both"/>
        <w:ind w:left="460" w:firstLine="431"/>
        <w:spacing w:after="0" w:line="306" w:lineRule="auto"/>
        <w:rPr>
          <w:sz w:val="20"/>
          <w:szCs w:val="20"/>
          <w:color w:val="auto"/>
        </w:rPr>
      </w:pPr>
      <w:r>
        <w:rPr>
          <w:rFonts w:ascii="Arial" w:cs="Arial" w:eastAsia="Arial" w:hAnsi="Arial"/>
          <w:sz w:val="16"/>
          <w:szCs w:val="16"/>
          <w:color w:val="auto"/>
        </w:rPr>
        <w:t>(k)(i) the failure of the Collateral Manager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 or</w:t>
      </w:r>
    </w:p>
    <w:p>
      <w:pPr>
        <w:spacing w:after="0" w:line="25" w:lineRule="exact"/>
        <w:rPr>
          <w:sz w:val="20"/>
          <w:szCs w:val="20"/>
          <w:color w:val="auto"/>
        </w:rPr>
      </w:pPr>
    </w:p>
    <w:p>
      <w:pPr>
        <w:jc w:val="both"/>
        <w:ind w:left="460" w:right="40" w:firstLine="428"/>
        <w:spacing w:after="0" w:line="356" w:lineRule="auto"/>
        <w:tabs>
          <w:tab w:leader="none" w:pos="1101"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the Collateral Manager shall fail to maintain at least $350,000,000 of assets (including cash) under management (which shall be reported in the Monthly Report occurring on the first Monthly Reporting Date to occur after the delivery of the statements required pursuant to </w:t>
      </w:r>
      <w:r>
        <w:rPr>
          <w:rFonts w:ascii="Arial" w:cs="Arial" w:eastAsia="Arial" w:hAnsi="Arial"/>
          <w:sz w:val="15"/>
          <w:szCs w:val="15"/>
          <w:u w:val="single" w:color="auto"/>
          <w:color w:val="auto"/>
        </w:rPr>
        <w:t>Section 5.01(d)(iii)</w:t>
      </w:r>
      <w:r>
        <w:rPr>
          <w:rFonts w:ascii="Arial" w:cs="Arial" w:eastAsia="Arial" w:hAnsi="Arial"/>
          <w:sz w:val="15"/>
          <w:szCs w:val="15"/>
          <w:color w:val="auto"/>
        </w:rPr>
        <w:t>); or</w:t>
      </w:r>
    </w:p>
    <w:p>
      <w:pPr>
        <w:spacing w:after="0" w:line="1" w:lineRule="exact"/>
        <w:rPr>
          <w:rFonts w:ascii="Arial" w:cs="Arial" w:eastAsia="Arial" w:hAnsi="Arial"/>
          <w:sz w:val="15"/>
          <w:szCs w:val="15"/>
          <w:color w:val="auto"/>
        </w:rPr>
      </w:pPr>
    </w:p>
    <w:p>
      <w:pPr>
        <w:ind w:left="1180" w:hanging="292"/>
        <w:spacing w:after="0"/>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Collateral Manager shall have a Consolidated Leverage Ratio in excess of 4.0x.</w:t>
      </w:r>
    </w:p>
    <w:p>
      <w:pPr>
        <w:spacing w:after="0" w:line="171"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Upon a Responsible Officer of the Borrower or Collateral Manager obtaining knowledge of the occurrence of Collateral Manager Event of Default or a Collateral Manager Replacement Event, each of the Borrower and the Collateral Manager shall notify each other and the Agents, specifying the specific Collateral Manager Event(s) of Default or Collateral Manager Replacement Event(s) that occurred as well as all other Collateral Manager Events of Default or Collateral Manager Replacement Events that are then known to be continuing. Upon the occurrence of a Collateral Manager Event of Default or a Collateral Manager Replacement Event known to a Responsible Officer of the Collateral Agent, the Collateral Agent shall promptly notify the Administrative Agent (which will notify the Lenders promptly) of such Collateral Manager Event of Default or Collateral Manager Replacement Event in writing.</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80"/>
          </w:cols>
          <w:pgMar w:left="320" w:top="280" w:right="399" w:bottom="1440" w:gutter="0" w:footer="0" w:header="0"/>
        </w:sectPr>
      </w:pPr>
    </w:p>
    <w:bookmarkStart w:id="134" w:name="page135"/>
    <w:bookmarkEnd w:id="134"/>
    <w:p>
      <w:pPr>
        <w:ind w:firstLine="449"/>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the occurrence and during the continuance of a Collateral Manager Default or a Collateral Manager Replacement Event, the Administrative Agent, by written notice to the Collateral Manager (with a copy to the Backup Collateral Manager, the Custodian, the Collateral Administrator and the Collateral Agent) (a </w:t>
      </w:r>
      <w:r>
        <w:rPr>
          <w:rFonts w:ascii="Arial" w:cs="Arial" w:eastAsia="Arial" w:hAnsi="Arial"/>
          <w:sz w:val="18"/>
          <w:szCs w:val="18"/>
          <w:i w:val="1"/>
          <w:iCs w:val="1"/>
          <w:color w:val="auto"/>
        </w:rPr>
        <w:t>“Collateral Manager Termination Notice”</w:t>
      </w:r>
      <w:r>
        <w:rPr>
          <w:rFonts w:ascii="Arial" w:cs="Arial" w:eastAsia="Arial" w:hAnsi="Arial"/>
          <w:sz w:val="18"/>
          <w:szCs w:val="18"/>
          <w:color w:val="auto"/>
        </w:rPr>
        <w:t xml:space="preserve">), may terminate all of the rights and obligations of the Collateral Manager as Collateral Manager under this Agreement in accordance with </w:t>
      </w:r>
      <w:r>
        <w:rPr>
          <w:rFonts w:ascii="Arial" w:cs="Arial" w:eastAsia="Arial" w:hAnsi="Arial"/>
          <w:sz w:val="18"/>
          <w:szCs w:val="18"/>
          <w:u w:val="single" w:color="auto"/>
          <w:color w:val="auto"/>
        </w:rPr>
        <w:t>Section 11.09</w:t>
      </w:r>
      <w:r>
        <w:rPr>
          <w:rFonts w:ascii="Arial" w:cs="Arial" w:eastAsia="Arial" w:hAnsi="Arial"/>
          <w:sz w:val="18"/>
          <w:szCs w:val="18"/>
          <w:color w:val="auto"/>
        </w:rPr>
        <w:t>.</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PLEDGE OF COLLATERAL; RIGHTS OF THE COLLATERAL AGENT</w:t>
      </w:r>
    </w:p>
    <w:p>
      <w:pPr>
        <w:spacing w:after="0" w:line="17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i w:val="1"/>
          <w:iCs w:val="1"/>
          <w:color w:val="auto"/>
        </w:rPr>
        <w:t>Section 7.01. Grant of Security</w:t>
      </w:r>
      <w:r>
        <w:rPr>
          <w:rFonts w:ascii="Arial" w:cs="Arial" w:eastAsia="Arial" w:hAnsi="Arial"/>
          <w:sz w:val="18"/>
          <w:szCs w:val="18"/>
          <w:color w:val="auto"/>
        </w:rPr>
        <w:t>. (a) The Borrower hereby grants, pledges, transfers and collaterally assigns to the Collateral Agent, for the benefit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being collectively referred to herein as the </w:t>
      </w:r>
      <w:r>
        <w:rPr>
          <w:rFonts w:ascii="Arial" w:cs="Arial" w:eastAsia="Arial" w:hAnsi="Arial"/>
          <w:sz w:val="18"/>
          <w:szCs w:val="18"/>
          <w:i w:val="1"/>
          <w:iCs w:val="1"/>
          <w:color w:val="auto"/>
        </w:rPr>
        <w:t>“Collateral”</w:t>
      </w:r>
      <w:r>
        <w:rPr>
          <w:rFonts w:ascii="Arial" w:cs="Arial" w:eastAsia="Arial" w:hAnsi="Arial"/>
          <w:sz w:val="18"/>
          <w:szCs w:val="18"/>
          <w:color w:val="auto"/>
        </w:rPr>
        <w:t>):</w:t>
      </w:r>
    </w:p>
    <w:p>
      <w:pPr>
        <w:spacing w:after="0" w:line="66" w:lineRule="exact"/>
        <w:rPr>
          <w:sz w:val="20"/>
          <w:szCs w:val="20"/>
          <w:color w:val="auto"/>
        </w:rPr>
      </w:pPr>
    </w:p>
    <w:p>
      <w:pPr>
        <w:ind w:left="900" w:right="580" w:firstLine="420"/>
        <w:spacing w:after="0" w:line="268" w:lineRule="auto"/>
        <w:tabs>
          <w:tab w:leader="none" w:pos="152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all Collateral Loans and Related Documents (listed, as of the Closing Date,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both now and hereafter owned, including all collections and other proceeds thereon or with respect thereto;</w:t>
      </w:r>
    </w:p>
    <w:p>
      <w:pPr>
        <w:spacing w:after="0" w:line="50" w:lineRule="exact"/>
        <w:rPr>
          <w:rFonts w:ascii="Arial" w:cs="Arial" w:eastAsia="Arial" w:hAnsi="Arial"/>
          <w:sz w:val="18"/>
          <w:szCs w:val="18"/>
          <w:color w:val="auto"/>
        </w:rPr>
      </w:pPr>
    </w:p>
    <w:p>
      <w:pPr>
        <w:jc w:val="both"/>
        <w:ind w:left="900" w:right="120" w:firstLine="420"/>
        <w:spacing w:after="0" w:line="331" w:lineRule="auto"/>
        <w:tabs>
          <w:tab w:leader="none" w:pos="157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each Covered Account and all money and all investment property (including all securities, all security entitlements with respect to such Covered Account and all financial assets carried in such Covered Account) from time to time on deposit in or credited to each Covered Account;</w:t>
      </w:r>
    </w:p>
    <w:p>
      <w:pPr>
        <w:spacing w:after="0" w:line="5" w:lineRule="exact"/>
        <w:rPr>
          <w:rFonts w:ascii="Arial" w:cs="Arial" w:eastAsia="Arial" w:hAnsi="Arial"/>
          <w:sz w:val="16"/>
          <w:szCs w:val="16"/>
          <w:color w:val="auto"/>
        </w:rPr>
      </w:pPr>
    </w:p>
    <w:p>
      <w:pPr>
        <w:ind w:left="900" w:right="180" w:firstLine="420"/>
        <w:spacing w:after="0" w:line="331" w:lineRule="auto"/>
        <w:tabs>
          <w:tab w:leader="none" w:pos="16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all interest, dividends, stock dividends, stock splits, distributions and other money or property of any kind distributed in respect of the Collateral Loans of the Borrower, which the Borrower is entitled to receive, including all Collections in respect of its Collateral Loans;</w:t>
      </w:r>
    </w:p>
    <w:p>
      <w:pPr>
        <w:spacing w:after="0" w:line="5" w:lineRule="exact"/>
        <w:rPr>
          <w:rFonts w:ascii="Arial" w:cs="Arial" w:eastAsia="Arial" w:hAnsi="Arial"/>
          <w:sz w:val="16"/>
          <w:szCs w:val="16"/>
          <w:color w:val="auto"/>
        </w:rPr>
      </w:pPr>
    </w:p>
    <w:p>
      <w:pPr>
        <w:jc w:val="both"/>
        <w:ind w:left="900" w:firstLine="420"/>
        <w:spacing w:after="0" w:line="298" w:lineRule="auto"/>
        <w:tabs>
          <w:tab w:leader="none" w:pos="161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31" w:lineRule="exact"/>
        <w:rPr>
          <w:rFonts w:ascii="Arial" w:cs="Arial" w:eastAsia="Arial" w:hAnsi="Arial"/>
          <w:sz w:val="16"/>
          <w:szCs w:val="16"/>
          <w:color w:val="auto"/>
        </w:rPr>
      </w:pPr>
    </w:p>
    <w:p>
      <w:pPr>
        <w:ind w:left="1560" w:hanging="240"/>
        <w:spacing w:after="0"/>
        <w:tabs>
          <w:tab w:leader="none" w:pos="15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Cash or Money in possession of the Borrower or delivered to the Collateral Agent (or its bailee);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320" w:top="280" w:right="379" w:bottom="1440" w:gutter="0" w:footer="0" w:header="0"/>
        </w:sectPr>
      </w:pPr>
    </w:p>
    <w:bookmarkStart w:id="135" w:name="page136"/>
    <w:bookmarkEnd w:id="135"/>
    <w:p>
      <w:pPr>
        <w:ind w:left="900" w:right="20" w:firstLine="420"/>
        <w:spacing w:after="0" w:line="268" w:lineRule="auto"/>
        <w:tabs>
          <w:tab w:leader="none" w:pos="1611" w:val="left"/>
        </w:tabs>
        <w:numPr>
          <w:ilvl w:val="1"/>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accounts, chattel paper, deposit accounts, financial assets, general intangibles, instruments, investment property, letter-of-credit rights and other supporting obligations relating to the foregoing (in each case as defined in the UCC);</w:t>
      </w:r>
    </w:p>
    <w:p>
      <w:pPr>
        <w:spacing w:after="0" w:line="50" w:lineRule="exact"/>
        <w:rPr>
          <w:rFonts w:ascii="Arial" w:cs="Arial" w:eastAsia="Arial" w:hAnsi="Arial"/>
          <w:sz w:val="18"/>
          <w:szCs w:val="18"/>
          <w:color w:val="auto"/>
        </w:rPr>
      </w:pPr>
    </w:p>
    <w:p>
      <w:pPr>
        <w:ind w:left="900" w:right="180" w:firstLine="420"/>
        <w:spacing w:after="0" w:line="268" w:lineRule="auto"/>
        <w:tabs>
          <w:tab w:leader="none" w:pos="1659"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other property of the Borrower and all property of the Borrower which is delivered to the Collateral Agent (or the Custodian on its behalf) by or on behalf of the Borrower (whether or not constituting Collateral Loans or Eligible Investments);</w:t>
      </w:r>
    </w:p>
    <w:p>
      <w:pPr>
        <w:spacing w:after="0" w:line="50" w:lineRule="exact"/>
        <w:rPr>
          <w:rFonts w:ascii="Arial" w:cs="Arial" w:eastAsia="Arial" w:hAnsi="Arial"/>
          <w:sz w:val="18"/>
          <w:szCs w:val="18"/>
          <w:color w:val="auto"/>
        </w:rPr>
      </w:pPr>
    </w:p>
    <w:p>
      <w:pPr>
        <w:ind w:left="900" w:right="120" w:firstLine="420"/>
        <w:spacing w:after="0" w:line="331" w:lineRule="auto"/>
        <w:tabs>
          <w:tab w:leader="none" w:pos="170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5" w:lineRule="exact"/>
        <w:rPr>
          <w:rFonts w:ascii="Arial" w:cs="Arial" w:eastAsia="Arial" w:hAnsi="Arial"/>
          <w:sz w:val="16"/>
          <w:szCs w:val="16"/>
          <w:color w:val="auto"/>
        </w:rPr>
      </w:pPr>
    </w:p>
    <w:p>
      <w:pPr>
        <w:ind w:left="1620" w:hanging="300"/>
        <w:spacing w:after="0"/>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Proceeds of any and all of the foregoing.</w:t>
      </w:r>
    </w:p>
    <w:p>
      <w:pPr>
        <w:spacing w:after="0" w:line="90" w:lineRule="exact"/>
        <w:rPr>
          <w:rFonts w:ascii="Arial" w:cs="Arial" w:eastAsia="Arial" w:hAnsi="Arial"/>
          <w:sz w:val="18"/>
          <w:szCs w:val="18"/>
          <w:color w:val="auto"/>
        </w:rPr>
      </w:pPr>
    </w:p>
    <w:p>
      <w:pPr>
        <w:ind w:left="460" w:right="80" w:firstLine="428"/>
        <w:spacing w:after="0" w:line="268"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All terms used in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that are defined in the UCC but are not defined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have the respective meanings assigned to such terms in the UCC.</w:t>
      </w:r>
    </w:p>
    <w:p>
      <w:pPr>
        <w:spacing w:after="0" w:line="132" w:lineRule="exact"/>
        <w:rPr>
          <w:sz w:val="20"/>
          <w:szCs w:val="20"/>
          <w:color w:val="auto"/>
        </w:rPr>
      </w:pPr>
    </w:p>
    <w:p>
      <w:pPr>
        <w:ind w:right="120" w:firstLine="449"/>
        <w:spacing w:after="0" w:line="312" w:lineRule="auto"/>
        <w:rPr>
          <w:sz w:val="20"/>
          <w:szCs w:val="20"/>
          <w:color w:val="auto"/>
        </w:rPr>
      </w:pPr>
      <w:r>
        <w:rPr>
          <w:rFonts w:ascii="Arial" w:cs="Arial" w:eastAsia="Arial" w:hAnsi="Arial"/>
          <w:sz w:val="15"/>
          <w:szCs w:val="15"/>
          <w:i w:val="1"/>
          <w:iCs w:val="1"/>
          <w:color w:val="auto"/>
        </w:rPr>
        <w:t>Section 7.02. Release of Security Interest</w:t>
      </w:r>
      <w:r>
        <w:rPr>
          <w:rFonts w:ascii="Arial" w:cs="Arial" w:eastAsia="Arial" w:hAnsi="Arial"/>
          <w:sz w:val="15"/>
          <w:szCs w:val="15"/>
          <w:color w:val="auto"/>
        </w:rPr>
        <w:t>. If and only if all Obligations have been paid in full and all Commitments have been terminated, the Secured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Secured Parties shall, at the expense of the Borrower, execute, deliver and file or authorize for filing such instrument as the Borrower shall reasonably request to reflect or evidence such termination. Any and all actions under this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in respect of the Collateral shall be without any recourse to, or representation or warranty by any Secured Party and shall be at the sole cost and expense of the Borrower.</w:t>
      </w:r>
    </w:p>
    <w:p>
      <w:pPr>
        <w:spacing w:after="0" w:line="104"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i w:val="1"/>
          <w:iCs w:val="1"/>
          <w:color w:val="auto"/>
        </w:rPr>
        <w:t>Section 7.03. Rights and Remedies</w:t>
      </w:r>
      <w:r>
        <w:rPr>
          <w:rFonts w:ascii="Arial" w:cs="Arial" w:eastAsia="Arial" w:hAnsi="Arial"/>
          <w:sz w:val="16"/>
          <w:szCs w:val="16"/>
          <w:color w:val="auto"/>
        </w:rPr>
        <w:t>. The Collateral Agent (for itself and on behalf of the other Secured Parties) shall have all of the rights and remedies of</w:t>
      </w:r>
      <w:r>
        <w:rPr>
          <w:rFonts w:ascii="Arial" w:cs="Arial" w:eastAsia="Arial" w:hAnsi="Arial"/>
          <w:sz w:val="16"/>
          <w:szCs w:val="16"/>
          <w:i w:val="1"/>
          <w:iCs w:val="1"/>
          <w:color w:val="auto"/>
        </w:rPr>
        <w:t xml:space="preserve"> </w:t>
      </w:r>
      <w:r>
        <w:rPr>
          <w:rFonts w:ascii="Arial" w:cs="Arial" w:eastAsia="Arial" w:hAnsi="Arial"/>
          <w:sz w:val="16"/>
          <w:szCs w:val="16"/>
          <w:color w:val="auto"/>
        </w:rPr>
        <w:t>a secured party under the UCC and other Applicable Law. Upon the occurrence and during the continuance of an Event of Default, the Collateral Agent or its designees shall, at the written direction of the Administrative Agent or the Required Lenders acting through the Administrative Agent, (i) instruct the Borrower to deliver any or all of the Collateral, the Related Documents and any other documents relating to the Collateral to the Collateral Agent or its designees and otherwise give all instructions for the Borrower regarding the Collateral; (ii) sell or otherwise dispose of the Collateral in a commercially reasonable manner, all without judicial process or proceedings; (iii) take control of the Proceeds of any such Collateral; (iv) 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immediately take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280" w:right="359" w:bottom="1440" w:gutter="0" w:footer="0" w:header="0"/>
        </w:sectPr>
      </w:pPr>
    </w:p>
    <w:bookmarkStart w:id="136" w:name="page137"/>
    <w:bookmarkEnd w:id="136"/>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actions necessary to cause the liquidation of the Collateral in order to pay all amounts due and payable in respect of the Obligations, in accordance with the terms of the Related Documents; (ix) to redeem or withdraw or cause the Borrower to redeem or withdraw any asset of the Borrower to pay amounts due and payable in respect of the Obligations; (x) make copies of or, if necessary, remove from the Borrower’s, the Collateral Manager’s and their respective agents’ place of business all books, records and documents relating to the Collateral; and (xi) endorse the name of the Borrower upon any items of payment relating to the Collateral or upon any proof of claim in bankruptcy against an account debtor.</w:t>
      </w:r>
    </w:p>
    <w:p>
      <w:pPr>
        <w:spacing w:after="0" w:line="115"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 xml:space="preserve">The Borrower hereby agrees that, upon the occurrence and during the continuance of an Event of Default, at the request of either Agent or the Required Lenders (acting through the Administrative Agent), it shall execute all documents and agreements which are necessary or appropriate to have the Collateral to be assigned to the Collateral Agent or its designee. For purposes of taking the actions described in </w:t>
      </w:r>
      <w:r>
        <w:rPr>
          <w:rFonts w:ascii="Arial" w:cs="Arial" w:eastAsia="Arial" w:hAnsi="Arial"/>
          <w:sz w:val="16"/>
          <w:szCs w:val="16"/>
          <w:u w:val="single" w:color="auto"/>
          <w:color w:val="auto"/>
        </w:rPr>
        <w:t>clauses (i) through (xi)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the Borrower hereby irrevocably appoints the Collateral Agent as its attorney-in-fact (which appointment being coupled with an interest and is irrevocable while any of the Obligations remain unpaid, with power of substitution), in the name of the Collateral Agent or in the name of the Borrower or otherwise, for the use and benefit of the Collateral Agent (for the benefit of the Secured Parties), but at the cost and expense of the Borrower and, except as permitted by applicable law, without notice to the Borrower.</w:t>
      </w:r>
    </w:p>
    <w:p>
      <w:pPr>
        <w:spacing w:after="0" w:line="118"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i w:val="1"/>
          <w:iCs w:val="1"/>
          <w:color w:val="auto"/>
        </w:rPr>
        <w:t>Section 7.04. Remedies Cumulative</w:t>
      </w:r>
      <w:r>
        <w:rPr>
          <w:rFonts w:ascii="Arial" w:cs="Arial" w:eastAsia="Arial" w:hAnsi="Arial"/>
          <w:sz w:val="16"/>
          <w:szCs w:val="16"/>
          <w:color w:val="auto"/>
        </w:rPr>
        <w:t>. Each right, power, and remedy of the Agents and the other Secured Parties, or any of them, as provided for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the Agents or any other Secured Party of any one or more of such rights, powers, or remedies shall not preclude the simultaneous or later exercise by such Persons of any or all such other rights, powers, or remedies.</w:t>
      </w:r>
    </w:p>
    <w:p>
      <w:pPr>
        <w:spacing w:after="0" w:line="115"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i w:val="1"/>
          <w:iCs w:val="1"/>
          <w:color w:val="auto"/>
        </w:rPr>
        <w:t>Section 7.05. Related Documents</w:t>
      </w:r>
      <w:r>
        <w:rPr>
          <w:rFonts w:ascii="Arial" w:cs="Arial" w:eastAsia="Arial" w:hAnsi="Arial"/>
          <w:sz w:val="18"/>
          <w:szCs w:val="18"/>
          <w:color w:val="auto"/>
        </w:rPr>
        <w:t>. (a) Each of the Borrower and the Collateral Manager hereby agrees that, to the extent not expressly prohibited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Related Documents, after the occurrence and during the continuance of an Event of Default, it shall (i) upon the written request of either Agent, promptly forward to such Agent and the Backup Collateral Manager all material information and notices which it receives under or in connection with the Related Documents relating to the Collateral, and (ii) upon the written request of either Agent, act and refrain from acting in respect of any request, act, decision or vote under or in connection with the Related Documents relating to the Collateral only in accordance with the direction of the Administrative Agent.</w:t>
      </w:r>
    </w:p>
    <w:p>
      <w:pPr>
        <w:spacing w:after="0" w:line="63" w:lineRule="exact"/>
        <w:rPr>
          <w:sz w:val="20"/>
          <w:szCs w:val="20"/>
          <w:color w:val="auto"/>
        </w:rPr>
      </w:pPr>
    </w:p>
    <w:p>
      <w:pPr>
        <w:ind w:left="460" w:right="280" w:firstLine="428"/>
        <w:spacing w:after="0" w:line="256"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 agrees that, to the extent the same shall be in the Borrower’s possession, it will hold all Related Documents relating to the Collateral in trust for the Collateral Agent on behalf of the Secured Parties, and upon request of either Agent following the occurrence and during the continuance of an Event of Default or as otherwise provided herein, promptly deliver the same to the Collateral Agent or its designee (including the Custodian).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280" w:right="359" w:bottom="1440" w:gutter="0" w:footer="0" w:header="0"/>
        </w:sectPr>
      </w:pPr>
    </w:p>
    <w:bookmarkStart w:id="137" w:name="page138"/>
    <w:bookmarkEnd w:id="137"/>
    <w:p>
      <w:pPr>
        <w:jc w:val="both"/>
        <w:ind w:left="46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addition, in accordance with </w:t>
      </w:r>
      <w:r>
        <w:rPr>
          <w:rFonts w:ascii="Arial" w:cs="Arial" w:eastAsia="Arial" w:hAnsi="Arial"/>
          <w:sz w:val="18"/>
          <w:szCs w:val="18"/>
          <w:u w:val="single" w:color="auto"/>
          <w:color w:val="auto"/>
        </w:rPr>
        <w:t>Article XIV</w:t>
      </w:r>
      <w:r>
        <w:rPr>
          <w:rFonts w:ascii="Arial" w:cs="Arial" w:eastAsia="Arial" w:hAnsi="Arial"/>
          <w:sz w:val="18"/>
          <w:szCs w:val="18"/>
          <w:color w:val="auto"/>
        </w:rPr>
        <w:t>, promptly following its acquisition of any Collateral Loan the Borrower shall deliver to the Custodian copies of the principal underlying documentation with respect to such Collateral Loan (e.g., loan or credit agreement, primary security agreement and guarantees, etc.).</w:t>
      </w:r>
    </w:p>
    <w:p>
      <w:pPr>
        <w:spacing w:after="0" w:line="140"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i w:val="1"/>
          <w:iCs w:val="1"/>
          <w:color w:val="auto"/>
        </w:rPr>
        <w:t>Section 7.06. Borrower Remains Liable</w:t>
      </w:r>
      <w:r>
        <w:rPr>
          <w:rFonts w:ascii="Arial" w:cs="Arial" w:eastAsia="Arial" w:hAnsi="Arial"/>
          <w:sz w:val="18"/>
          <w:szCs w:val="18"/>
          <w:color w:val="auto"/>
        </w:rPr>
        <w:t>. (a) Notwithstanding anything herein to the contrary, (i) the Borrower shall remain liable under the contracts and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66" w:lineRule="exact"/>
        <w:rPr>
          <w:sz w:val="20"/>
          <w:szCs w:val="20"/>
          <w:color w:val="auto"/>
        </w:rPr>
      </w:pPr>
    </w:p>
    <w:p>
      <w:pPr>
        <w:ind w:left="460" w:firstLine="428"/>
        <w:spacing w:after="0" w:line="256" w:lineRule="auto"/>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obligation or liability of the Borrower is intended to be assumed by the Administrative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Administrative Agent and the other Secured Parties expressly disclaim any such assumption.</w:t>
      </w:r>
    </w:p>
    <w:p>
      <w:pPr>
        <w:spacing w:after="0" w:line="143"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i w:val="1"/>
          <w:iCs w:val="1"/>
          <w:color w:val="auto"/>
        </w:rPr>
        <w:t>Section 7.07. Protection of Collateral</w:t>
      </w:r>
      <w:r>
        <w:rPr>
          <w:rFonts w:ascii="Arial" w:cs="Arial" w:eastAsia="Arial" w:hAnsi="Arial"/>
          <w:sz w:val="16"/>
          <w:szCs w:val="16"/>
          <w:color w:val="auto"/>
        </w:rPr>
        <w:t>. The Borrower shall from time to time execute and deliver all such supplements and amendments hereto and file or</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 the filing of all such UCC-1 financing statements, continuation statements, instruments of further assurance and other instruments, and shall take such other action as may be necessary or advisable or desirable to secure the rights and remedies of the Secured Parties hereunder and to:</w:t>
      </w:r>
    </w:p>
    <w:p>
      <w:pPr>
        <w:spacing w:after="0" w:line="25" w:lineRule="exact"/>
        <w:rPr>
          <w:sz w:val="20"/>
          <w:szCs w:val="20"/>
          <w:color w:val="auto"/>
        </w:rPr>
      </w:pPr>
    </w:p>
    <w:p>
      <w:pPr>
        <w:ind w:left="1520" w:hanging="200"/>
        <w:spacing w:after="0"/>
        <w:tabs>
          <w:tab w:leader="none" w:pos="15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grant security more effectively on all or any portion of the Collateral;</w:t>
      </w:r>
    </w:p>
    <w:p>
      <w:pPr>
        <w:spacing w:after="0" w:line="90" w:lineRule="exact"/>
        <w:rPr>
          <w:rFonts w:ascii="Arial" w:cs="Arial" w:eastAsia="Arial" w:hAnsi="Arial"/>
          <w:sz w:val="18"/>
          <w:szCs w:val="18"/>
          <w:color w:val="auto"/>
        </w:rPr>
      </w:pPr>
    </w:p>
    <w:p>
      <w:pPr>
        <w:ind w:left="900" w:right="20" w:firstLine="420"/>
        <w:spacing w:after="0" w:line="268" w:lineRule="auto"/>
        <w:tabs>
          <w:tab w:leader="none" w:pos="157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maintain, preserve and perfect any grant of security made or to be made by this Agreement including, without limitation, the first priority nature of the lien or carry out more effectively the purposes hereof;</w:t>
      </w:r>
    </w:p>
    <w:p>
      <w:pPr>
        <w:spacing w:after="0" w:line="50" w:lineRule="exact"/>
        <w:rPr>
          <w:rFonts w:ascii="Arial" w:cs="Arial" w:eastAsia="Arial" w:hAnsi="Arial"/>
          <w:sz w:val="18"/>
          <w:szCs w:val="18"/>
          <w:color w:val="auto"/>
        </w:rPr>
      </w:pPr>
    </w:p>
    <w:p>
      <w:pPr>
        <w:ind w:left="900" w:right="180" w:firstLine="420"/>
        <w:spacing w:after="0" w:line="268" w:lineRule="auto"/>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perfect, publish notice of or protect the validity of any grant made or to be made by this Agreement (including, without limitation, any and all actions necessary or desirable as a result of changes in law or regulations);</w:t>
      </w:r>
    </w:p>
    <w:p>
      <w:pPr>
        <w:spacing w:after="0" w:line="50" w:lineRule="exact"/>
        <w:rPr>
          <w:rFonts w:ascii="Arial" w:cs="Arial" w:eastAsia="Arial" w:hAnsi="Arial"/>
          <w:sz w:val="18"/>
          <w:szCs w:val="18"/>
          <w:color w:val="auto"/>
        </w:rPr>
      </w:pPr>
    </w:p>
    <w:p>
      <w:pPr>
        <w:ind w:left="1620" w:hanging="300"/>
        <w:spacing w:after="0"/>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enforce any of the Collateral or other instruments or property included in the Collateral;</w:t>
      </w:r>
    </w:p>
    <w:p>
      <w:pPr>
        <w:spacing w:after="0" w:line="90" w:lineRule="exact"/>
        <w:rPr>
          <w:rFonts w:ascii="Arial" w:cs="Arial" w:eastAsia="Arial" w:hAnsi="Arial"/>
          <w:sz w:val="18"/>
          <w:szCs w:val="18"/>
          <w:color w:val="auto"/>
        </w:rPr>
      </w:pPr>
    </w:p>
    <w:p>
      <w:pPr>
        <w:ind w:left="900" w:right="180" w:firstLine="420"/>
        <w:spacing w:after="0" w:line="268" w:lineRule="auto"/>
        <w:tabs>
          <w:tab w:leader="none" w:pos="156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preserve and defend title to the Collateral and the rights therein of the Collateral Agent and the Secured Parties in the Collateral against the claims of all third parties; and</w:t>
      </w:r>
    </w:p>
    <w:p>
      <w:pPr>
        <w:spacing w:after="0" w:line="50" w:lineRule="exact"/>
        <w:rPr>
          <w:rFonts w:ascii="Arial" w:cs="Arial" w:eastAsia="Arial" w:hAnsi="Arial"/>
          <w:sz w:val="18"/>
          <w:szCs w:val="18"/>
          <w:color w:val="auto"/>
        </w:rPr>
      </w:pPr>
    </w:p>
    <w:p>
      <w:pPr>
        <w:ind w:left="1620" w:hanging="300"/>
        <w:spacing w:after="0"/>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pay or cause to be paid any and all taxes levied or assessed upon all or any part of the Collateral.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280" w:right="339" w:bottom="1440" w:gutter="0" w:footer="0" w:header="0"/>
        </w:sectPr>
      </w:pPr>
    </w:p>
    <w:bookmarkStart w:id="138" w:name="page139"/>
    <w:bookmarkEnd w:id="138"/>
    <w:p>
      <w:pPr>
        <w:ind w:right="200" w:firstLine="449"/>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hereby designates the Collateral Agent as its agent and attorney in fact to prepare and file any UCC-1 financing statement, continuation statement and all other instruments, and take all other actions, required pursuant to this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Such designation shall not impose upon the Collateral Agent, or release or diminish, the Borrower’s obligations under this </w:t>
      </w:r>
      <w:r>
        <w:rPr>
          <w:rFonts w:ascii="Arial" w:cs="Arial" w:eastAsia="Arial" w:hAnsi="Arial"/>
          <w:sz w:val="16"/>
          <w:szCs w:val="16"/>
          <w:u w:val="single" w:color="auto"/>
          <w:color w:val="auto"/>
        </w:rPr>
        <w:t>Section 7.07 or Section 5.01(c)</w:t>
      </w:r>
      <w:r>
        <w:rPr>
          <w:rFonts w:ascii="Arial" w:cs="Arial" w:eastAsia="Arial" w:hAnsi="Arial"/>
          <w:sz w:val="16"/>
          <w:szCs w:val="16"/>
          <w:color w:val="auto"/>
        </w:rPr>
        <w:t>. The Borrower further authorizes and shall cause the Borrower’s counsel to file, without the Borrower’s signature, UCC- 1 financing statements that names the Borrower as debtor and the Collateral Agent as secured party and that describes “all assets in which the debtor now or hereafter has rights” as the Collateral in which the Collateral Agent has a grant of security hereunder and any amendments or continuation statements that may be necessary or desirable.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ACCOUNTS, ACCOUNTINGS AND RELEASES</w:t>
      </w:r>
    </w:p>
    <w:p>
      <w:pPr>
        <w:spacing w:after="0" w:line="177" w:lineRule="exact"/>
        <w:rPr>
          <w:sz w:val="20"/>
          <w:szCs w:val="20"/>
          <w:color w:val="auto"/>
        </w:rPr>
      </w:pPr>
    </w:p>
    <w:p>
      <w:pPr>
        <w:ind w:right="160" w:firstLine="449"/>
        <w:spacing w:after="0" w:line="290" w:lineRule="auto"/>
        <w:rPr>
          <w:sz w:val="20"/>
          <w:szCs w:val="20"/>
          <w:color w:val="auto"/>
        </w:rPr>
      </w:pPr>
      <w:r>
        <w:rPr>
          <w:rFonts w:ascii="Arial" w:cs="Arial" w:eastAsia="Arial" w:hAnsi="Arial"/>
          <w:sz w:val="16"/>
          <w:szCs w:val="16"/>
          <w:i w:val="1"/>
          <w:iCs w:val="1"/>
          <w:color w:val="auto"/>
        </w:rPr>
        <w:t>Section 8.01. Collection of Money</w:t>
      </w:r>
      <w:r>
        <w:rPr>
          <w:rFonts w:ascii="Arial" w:cs="Arial" w:eastAsia="Arial" w:hAnsi="Arial"/>
          <w:sz w:val="16"/>
          <w:szCs w:val="16"/>
          <w:color w:val="auto"/>
        </w:rPr>
        <w:t>. Except as otherwise expressly provided herein, the Collateral Agent may demand payment or delivery of, and shall</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and hold all such Money and property received by it in trust for the Secured Parties and shall apply it as provided in this Agreement. Each Covered Account shall be established and maintained under the Account Control Agreement with a Qualified Institution. Any Covered Account may contain any number of subaccounts for the convenience of the Collateral Agent or as required by the Collateral Manager for convenience in administering the Covered Account or the Collateral.</w:t>
      </w:r>
    </w:p>
    <w:p>
      <w:pPr>
        <w:spacing w:after="0" w:line="118"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i w:val="1"/>
          <w:iCs w:val="1"/>
          <w:color w:val="auto"/>
        </w:rPr>
        <w:t>Section 8.02. Collection Account</w:t>
      </w:r>
      <w:r>
        <w:rPr>
          <w:rFonts w:ascii="Arial" w:cs="Arial" w:eastAsia="Arial" w:hAnsi="Arial"/>
          <w:sz w:val="16"/>
          <w:szCs w:val="16"/>
          <w:color w:val="auto"/>
        </w:rPr>
        <w:t>. (a) In accordance with this Agreement and the Account Control Agreement, the Collateral Agent shall, on or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Closing Date, establish at the Custodian a single, segregated trust account in the name “PennantPark Floating Rate Funding I, LLC Collection Account, subject to the lien of the Collateral Agent”, which shall be designated as the “Collection Account”, which shall be maintained with the Custodian in accordance with the Account Control Agreement and which shall be subject to the lien of the Collateral Agent. In addition, the Collateral Agent shall establish two segregated subaccounts within the Collection Account, one of which will be designated the “Interest Collection Subaccount” and one of which will be designated the “Principal Collection Subaccount”. The Collateral Agent shall from time to time deposit into the Interest Collection Subaccount, in addition to the deposits required pursuant to </w:t>
      </w:r>
      <w:r>
        <w:rPr>
          <w:rFonts w:ascii="Arial" w:cs="Arial" w:eastAsia="Arial" w:hAnsi="Arial"/>
          <w:sz w:val="16"/>
          <w:szCs w:val="16"/>
          <w:u w:val="single" w:color="auto"/>
          <w:color w:val="auto"/>
        </w:rPr>
        <w:t>Section 8.05(a)</w:t>
      </w:r>
      <w:r>
        <w:rPr>
          <w:rFonts w:ascii="Arial" w:cs="Arial" w:eastAsia="Arial" w:hAnsi="Arial"/>
          <w:sz w:val="16"/>
          <w:szCs w:val="16"/>
          <w:color w:val="auto"/>
        </w:rPr>
        <w:t xml:space="preserve">, immediately upon receipt thereof all Interest Proceeds received by the Collateral Agent. The Collateral Agent shall deposit immediately upon receipt thereof all other amounts remitted to the Collection Account into the Principal Collection Subaccount including, in addition to the deposits required pursuant to </w:t>
      </w:r>
      <w:r>
        <w:rPr>
          <w:rFonts w:ascii="Arial" w:cs="Arial" w:eastAsia="Arial" w:hAnsi="Arial"/>
          <w:sz w:val="16"/>
          <w:szCs w:val="16"/>
          <w:u w:val="single" w:color="auto"/>
          <w:color w:val="auto"/>
        </w:rPr>
        <w:t>Section 8.05(a)</w:t>
      </w:r>
      <w:r>
        <w:rPr>
          <w:rFonts w:ascii="Arial" w:cs="Arial" w:eastAsia="Arial" w:hAnsi="Arial"/>
          <w:sz w:val="16"/>
          <w:szCs w:val="16"/>
          <w:color w:val="auto"/>
        </w:rPr>
        <w:t xml:space="preserve">, all Principal Proceeds (unless simultaneously reinvested in additional Collateral Loans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in Eligible Investments or required to be deposited in the Revolving Reserve Account pursuant to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received by the Collateral Agent. All Monies deposited from time to time in the Collection Account pursuant to this Agreement shall be held by the Collateral Agent as part of the Collateral and shall be applied to the purposes herein provided. Subject to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amounts in the Collection Account shall be reinvested pursuant to </w:t>
      </w:r>
      <w:r>
        <w:rPr>
          <w:rFonts w:ascii="Arial" w:cs="Arial" w:eastAsia="Arial" w:hAnsi="Arial"/>
          <w:sz w:val="16"/>
          <w:szCs w:val="16"/>
          <w:u w:val="single" w:color="auto"/>
          <w:color w:val="auto"/>
        </w:rPr>
        <w:t>Section 8.05(a)</w:t>
      </w:r>
      <w:r>
        <w:rPr>
          <w:rFonts w:ascii="Arial" w:cs="Arial" w:eastAsia="Arial" w:hAnsi="Arial"/>
          <w:sz w:val="16"/>
          <w:szCs w:val="16"/>
          <w:color w:val="auto"/>
        </w:rPr>
        <w: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320" w:top="280" w:right="379" w:bottom="1440" w:gutter="0" w:footer="0" w:header="0"/>
        </w:sectPr>
      </w:pPr>
    </w:p>
    <w:bookmarkStart w:id="139" w:name="page140"/>
    <w:bookmarkEnd w:id="139"/>
    <w:p>
      <w:pPr>
        <w:ind w:left="460" w:right="40" w:firstLine="428"/>
        <w:spacing w:after="0" w:line="288" w:lineRule="auto"/>
        <w:tabs>
          <w:tab w:leader="none" w:pos="11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At any time when reinvestment is permitted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the Collateral Manager on behalf of the Borrower may by delivery of a certificate of a Responsible Officer direct the Collateral Agent to, and upon receipt of such certificate the Collateral Agent shall, withdraw funds on deposit in the Principal Collection Subaccount representing Principal Proceeds (together with accrued interest received with regard to any Collateral Loan and Interest Proceeds but only to the extent used to pay for accrued interest on an additional Collateral Loan) and reinvest such funds in additional Collateral Loans or exercise a warrant held in the Collateral, in each case in accordance with the requirements of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such certificate. At any time as of which no funds are on deposit in the Revolving Reserve Account, the Collateral Manager on behalf of the Borrower may by delivery of a certificate of a Responsible Officer direct the Collateral Agent to, and upon receipt of such certificate the Collateral Agent shall, withdraw funds on deposit in the Principal Collection Subaccount representing Principal Proceeds and remit such funds as so directed by the Collateral Manager to meet the Borrower’s funding obligations in respect of Delayed Drawdown Collateral Loans or Revolving Collateral Loans.</w:t>
      </w:r>
    </w:p>
    <w:p>
      <w:pPr>
        <w:spacing w:after="0" w:line="37" w:lineRule="exact"/>
        <w:rPr>
          <w:rFonts w:ascii="Arial" w:cs="Arial" w:eastAsia="Arial" w:hAnsi="Arial"/>
          <w:sz w:val="16"/>
          <w:szCs w:val="16"/>
          <w:color w:val="auto"/>
        </w:rPr>
      </w:pPr>
    </w:p>
    <w:p>
      <w:pPr>
        <w:ind w:left="460" w:right="200" w:firstLine="428"/>
        <w:spacing w:after="0" w:line="268" w:lineRule="auto"/>
        <w:tabs>
          <w:tab w:leader="none" w:pos="113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Collateral Agent shall transfer to the Payment Account, from the Collection Account for application pursuant to </w:t>
      </w:r>
      <w:r>
        <w:rPr>
          <w:rFonts w:ascii="Arial" w:cs="Arial" w:eastAsia="Arial" w:hAnsi="Arial"/>
          <w:sz w:val="18"/>
          <w:szCs w:val="18"/>
          <w:u w:val="single" w:color="auto"/>
          <w:color w:val="auto"/>
        </w:rPr>
        <w:t>Section 9.01(a)</w:t>
      </w:r>
      <w:r>
        <w:rPr>
          <w:rFonts w:ascii="Arial" w:cs="Arial" w:eastAsia="Arial" w:hAnsi="Arial"/>
          <w:sz w:val="18"/>
          <w:szCs w:val="18"/>
          <w:color w:val="auto"/>
        </w:rPr>
        <w:t>, on each Payment Date, the amount set forth to be so transferred in the Payment Date Report for such Payment Date.</w:t>
      </w:r>
    </w:p>
    <w:p>
      <w:pPr>
        <w:spacing w:after="0" w:line="132" w:lineRule="exact"/>
        <w:rPr>
          <w:sz w:val="20"/>
          <w:szCs w:val="20"/>
          <w:color w:val="auto"/>
        </w:rPr>
      </w:pPr>
    </w:p>
    <w:p>
      <w:pPr>
        <w:ind w:right="60" w:firstLine="449"/>
        <w:spacing w:after="0" w:line="283" w:lineRule="auto"/>
        <w:rPr>
          <w:sz w:val="20"/>
          <w:szCs w:val="20"/>
          <w:color w:val="auto"/>
        </w:rPr>
      </w:pPr>
      <w:r>
        <w:rPr>
          <w:rFonts w:ascii="Arial" w:cs="Arial" w:eastAsia="Arial" w:hAnsi="Arial"/>
          <w:sz w:val="16"/>
          <w:szCs w:val="16"/>
          <w:i w:val="1"/>
          <w:iCs w:val="1"/>
          <w:color w:val="auto"/>
        </w:rPr>
        <w:t>Section 8.03. Transaction Accounts</w:t>
      </w:r>
      <w:r>
        <w:rPr>
          <w:rFonts w:ascii="Arial" w:cs="Arial" w:eastAsia="Arial" w:hAnsi="Arial"/>
          <w:sz w:val="16"/>
          <w:szCs w:val="16"/>
          <w:color w:val="auto"/>
        </w:rPr>
        <w:t>. (a)</w:t>
      </w:r>
      <w:r>
        <w:rPr>
          <w:rFonts w:ascii="Arial" w:cs="Arial" w:eastAsia="Arial" w:hAnsi="Arial"/>
          <w:sz w:val="16"/>
          <w:szCs w:val="16"/>
          <w:i w:val="1"/>
          <w:iCs w:val="1"/>
          <w:color w:val="auto"/>
        </w:rPr>
        <w:t xml:space="preserve"> Payment Account</w:t>
      </w:r>
      <w:r>
        <w:rPr>
          <w:rFonts w:ascii="Arial" w:cs="Arial" w:eastAsia="Arial" w:hAnsi="Arial"/>
          <w:sz w:val="16"/>
          <w:szCs w:val="16"/>
          <w:color w:val="auto"/>
        </w:rPr>
        <w:t>. In accordance with this Agreement and the Account Control Agreement, the Borrower shall,</w:t>
      </w:r>
      <w:r>
        <w:rPr>
          <w:rFonts w:ascii="Arial" w:cs="Arial" w:eastAsia="Arial" w:hAnsi="Arial"/>
          <w:sz w:val="16"/>
          <w:szCs w:val="16"/>
          <w:i w:val="1"/>
          <w:iCs w:val="1"/>
          <w:color w:val="auto"/>
        </w:rPr>
        <w:t xml:space="preserve"> </w:t>
      </w:r>
      <w:r>
        <w:rPr>
          <w:rFonts w:ascii="Arial" w:cs="Arial" w:eastAsia="Arial" w:hAnsi="Arial"/>
          <w:sz w:val="16"/>
          <w:szCs w:val="16"/>
          <w:color w:val="auto"/>
        </w:rPr>
        <w:t>on or prior to the Closing Date, establish at the Custodian a single, segregated trust account in the name “PennantPark Floating Rate Funding I, LLC Payment Account, subject to the lien of the Collateral Agent”, which shall be designated as the “Payment Account”, which shall be maintained by the Borrower with the Custodian in accordance with the Account Control Agreement and which shall be subject to the lien of the Collateral Agent. Except as provided in</w:t>
      </w:r>
    </w:p>
    <w:p>
      <w:pPr>
        <w:spacing w:after="0" w:line="3"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u w:val="single" w:color="auto"/>
          <w:color w:val="auto"/>
        </w:rPr>
        <w:t>Section 9.01</w:t>
      </w:r>
      <w:r>
        <w:rPr>
          <w:rFonts w:ascii="Arial" w:cs="Arial" w:eastAsia="Arial" w:hAnsi="Arial"/>
          <w:sz w:val="18"/>
          <w:szCs w:val="18"/>
          <w:color w:val="auto"/>
        </w:rPr>
        <w:t>, the only permitted withdrawal from or application of funds on deposit in, or otherwise to the credit of, the Payment Account shall be to pay amounts due and payable under the Priority of Payments on the Payment Dates in accordance with their terms and the provisions of this Agreement. The Borrower shall not have any legal, equitable or beneficial interest in the Payment Account other than in accordance with this Agreement and the Priority of Payments.</w:t>
      </w:r>
    </w:p>
    <w:p>
      <w:pPr>
        <w:spacing w:after="0" w:line="66" w:lineRule="exact"/>
        <w:rPr>
          <w:sz w:val="20"/>
          <w:szCs w:val="20"/>
          <w:color w:val="auto"/>
        </w:rPr>
      </w:pPr>
    </w:p>
    <w:p>
      <w:pPr>
        <w:ind w:left="460" w:firstLine="428"/>
        <w:spacing w:after="0" w:line="253" w:lineRule="auto"/>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Custodial Account</w:t>
      </w:r>
      <w:r>
        <w:rPr>
          <w:rFonts w:ascii="Arial" w:cs="Arial" w:eastAsia="Arial" w:hAnsi="Arial"/>
          <w:sz w:val="18"/>
          <w:szCs w:val="18"/>
          <w:color w:val="auto"/>
        </w:rPr>
        <w:t>. In accordance with this Agreement and the Account Control Agreement, the Borrower shall, on or prior to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establish at the Custodian a single, segregated trust account in the name “PennantPark Floating Rate Funding I, LLC Custodial Account, subject to the lien of the Collateral Agent”, which shall be designated as the “Custodial Account”, which shall be maintained by the Borrower with the Custodian in accordance with the Account Control Agreement and which shall be subject to the lien of the Collateral Agent. All Collateral Loans (other than such Loans evidenced by Participation Interests, Noteless Loans or which is an account or general intangible) shall be credited to the Custodial Account. The only permitted withdrawals from the Custodial Account shall be in accordance with the provisions of this Agreement. The Collateral Agent agrees to give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280" w:right="339" w:bottom="1440" w:gutter="0" w:footer="0" w:header="0"/>
        </w:sectPr>
      </w:pPr>
    </w:p>
    <w:bookmarkStart w:id="140" w:name="page141"/>
    <w:bookmarkEnd w:id="140"/>
    <w:p>
      <w:pPr>
        <w:ind w:left="460" w:right="40"/>
        <w:spacing w:after="0" w:line="33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prompt notice if (to the Collateral Agent’s actual knowledge) the Custodial Account or any assets or securities on deposit therein, or otherwise to the credit of the Custodial Account, shall become subject to any writ, order, judgment, warrant of attachment, execution or similar process.</w:t>
      </w:r>
    </w:p>
    <w:p>
      <w:pPr>
        <w:spacing w:after="0" w:line="8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i w:val="1"/>
          <w:iCs w:val="1"/>
          <w:color w:val="auto"/>
        </w:rPr>
        <w:t>Section 8.04. The Revolving Reserve Account; Fundings</w:t>
      </w:r>
      <w:r>
        <w:rPr>
          <w:rFonts w:ascii="Arial" w:cs="Arial" w:eastAsia="Arial" w:hAnsi="Arial"/>
          <w:sz w:val="18"/>
          <w:szCs w:val="18"/>
          <w:color w:val="auto"/>
        </w:rPr>
        <w:t>. (a) In accordance with this Agreement and the Account Control Agreement, the Borrower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or prior to the Closing Date, establish at the Custodian a single, segregated trust account in the name “PennantPark Floating Rate Funding I, LLC Revolving Reserve Account, subject to the lien of the Collateral Agent”, which shall be designated as the </w:t>
      </w:r>
      <w:r>
        <w:rPr>
          <w:rFonts w:ascii="Arial" w:cs="Arial" w:eastAsia="Arial" w:hAnsi="Arial"/>
          <w:sz w:val="18"/>
          <w:szCs w:val="18"/>
          <w:i w:val="1"/>
          <w:iCs w:val="1"/>
          <w:color w:val="auto"/>
        </w:rPr>
        <w:t>“Revolving Reserve Account”,</w:t>
      </w:r>
      <w:r>
        <w:rPr>
          <w:rFonts w:ascii="Arial" w:cs="Arial" w:eastAsia="Arial" w:hAnsi="Arial"/>
          <w:sz w:val="18"/>
          <w:szCs w:val="18"/>
          <w:color w:val="auto"/>
        </w:rPr>
        <w:t xml:space="preserve"> which shall be maintained by the Borrower with the Custodian in accordance with the Account Control Agreement and which shall be subject to the lien of the Collateral Agent. The only permitted deposits to or withdrawals from the Revolving Reserve Account shall be in accordance with the provisions of this Agreement. The Borrower shall not have any legal, equitable or beneficial interest in the Revolving Reserve Account other than in accordance with this Agreement and the Priority of Payments.</w:t>
      </w:r>
    </w:p>
    <w:p>
      <w:pPr>
        <w:spacing w:after="0" w:line="66" w:lineRule="exact"/>
        <w:rPr>
          <w:sz w:val="20"/>
          <w:szCs w:val="20"/>
          <w:color w:val="auto"/>
        </w:rPr>
      </w:pPr>
    </w:p>
    <w:p>
      <w:pPr>
        <w:ind w:left="460" w:right="40" w:firstLine="431"/>
        <w:spacing w:after="0" w:line="291" w:lineRule="auto"/>
        <w:rPr>
          <w:sz w:val="20"/>
          <w:szCs w:val="20"/>
          <w:color w:val="auto"/>
        </w:rPr>
      </w:pPr>
      <w:r>
        <w:rPr>
          <w:rFonts w:ascii="Arial" w:cs="Arial" w:eastAsia="Arial" w:hAnsi="Arial"/>
          <w:sz w:val="16"/>
          <w:szCs w:val="16"/>
          <w:color w:val="auto"/>
        </w:rPr>
        <w:t xml:space="preserve">On the Commitment Termination Date and at all times thereafter, the Borrower shall maintain an amount (the </w:t>
      </w:r>
      <w:r>
        <w:rPr>
          <w:rFonts w:ascii="Arial" w:cs="Arial" w:eastAsia="Arial" w:hAnsi="Arial"/>
          <w:sz w:val="16"/>
          <w:szCs w:val="16"/>
          <w:i w:val="1"/>
          <w:iCs w:val="1"/>
          <w:color w:val="auto"/>
        </w:rPr>
        <w:t>“Revolving Reserve Required</w:t>
      </w:r>
      <w:r>
        <w:rPr>
          <w:rFonts w:ascii="Arial" w:cs="Arial" w:eastAsia="Arial" w:hAnsi="Arial"/>
          <w:sz w:val="16"/>
          <w:szCs w:val="16"/>
          <w:color w:val="auto"/>
        </w:rPr>
        <w:t xml:space="preserve"> </w:t>
      </w:r>
      <w:r>
        <w:rPr>
          <w:rFonts w:ascii="Arial" w:cs="Arial" w:eastAsia="Arial" w:hAnsi="Arial"/>
          <w:sz w:val="16"/>
          <w:szCs w:val="16"/>
          <w:i w:val="1"/>
          <w:iCs w:val="1"/>
          <w:color w:val="auto"/>
        </w:rPr>
        <w:t>Amount”</w:t>
      </w:r>
      <w:r>
        <w:rPr>
          <w:rFonts w:ascii="Arial" w:cs="Arial" w:eastAsia="Arial" w:hAnsi="Arial"/>
          <w:sz w:val="16"/>
          <w:szCs w:val="16"/>
          <w:color w:val="auto"/>
        </w:rPr>
        <w:t>) in the Revolving Reserve Account equal the sum of (x) the aggregate unfunded commitments in respect of all Revolving Collateral Loans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Delayed Drawdown Collateral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aggregate amount of funds needed to settle purchases of Collateral Loans which the Borrower committed, prior to the end of the Reinvestment Period, to acquire after the Commitment Termination Date. Prior to or immediately after the occurrence of the Commitment Termination Date (other than a Commitment Termination Date following the occurrence of an Insolvency Event with respect to the Borrower), the Borrower shall request a final Borrowing in an amount sufficient to fund the Revolving Reserve Required Amount.</w:t>
      </w:r>
    </w:p>
    <w:p>
      <w:pPr>
        <w:spacing w:after="0" w:line="39" w:lineRule="exact"/>
        <w:rPr>
          <w:sz w:val="20"/>
          <w:szCs w:val="20"/>
          <w:color w:val="auto"/>
        </w:rPr>
      </w:pPr>
    </w:p>
    <w:p>
      <w:pPr>
        <w:ind w:left="460" w:right="20" w:firstLine="431"/>
        <w:spacing w:after="0" w:line="253" w:lineRule="auto"/>
        <w:rPr>
          <w:sz w:val="20"/>
          <w:szCs w:val="20"/>
          <w:color w:val="auto"/>
        </w:rPr>
      </w:pPr>
      <w:r>
        <w:rPr>
          <w:rFonts w:ascii="Arial" w:cs="Arial" w:eastAsia="Arial" w:hAnsi="Arial"/>
          <w:sz w:val="18"/>
          <w:szCs w:val="18"/>
          <w:color w:val="auto"/>
        </w:rPr>
        <w:t xml:space="preserve">Amounts on deposit in the Revolving Reserve Account will be invested in overnight funds that are Eligible Investments selected by the Collateral Manager pursuant to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and earnings from all such investments will be deposited in the Interest Collection Subaccount as Interest Proceeds. Funds in the Revolving Reserve Account (other than earnings from Eligible Investments therein) will be available solely to cover drawdowns on the Delayed Drawdown Collateral Loans and Revolving Collateral Loans,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to the extent that the aggregate amount of funds on deposit therein at any time exceeds the Revolving Reserve Required Amount, the Borrower shall direct the Collateral Agent to and the Collateral Agent shall remit such excess to the Principal Collection Subaccount. In addition, following the occurrence and during the continuance of an Event of Default, funds in the Revolving Reserve Account may be withdrawn by the Collateral Agent and deposited into the Principal Collection Subaccount at the direction of the Administrative Agent.</w:t>
      </w:r>
    </w:p>
    <w:p>
      <w:pPr>
        <w:spacing w:after="0" w:line="144" w:lineRule="exact"/>
        <w:rPr>
          <w:sz w:val="20"/>
          <w:szCs w:val="20"/>
          <w:color w:val="auto"/>
        </w:rPr>
      </w:pPr>
    </w:p>
    <w:p>
      <w:pPr>
        <w:jc w:val="both"/>
        <w:ind w:right="140" w:firstLine="449"/>
        <w:spacing w:after="0" w:line="306" w:lineRule="auto"/>
        <w:rPr>
          <w:sz w:val="20"/>
          <w:szCs w:val="20"/>
          <w:color w:val="auto"/>
        </w:rPr>
      </w:pPr>
      <w:r>
        <w:rPr>
          <w:rFonts w:ascii="Arial" w:cs="Arial" w:eastAsia="Arial" w:hAnsi="Arial"/>
          <w:sz w:val="16"/>
          <w:szCs w:val="16"/>
          <w:i w:val="1"/>
          <w:iCs w:val="1"/>
          <w:color w:val="auto"/>
        </w:rPr>
        <w:t>Section 8.05. Reinvestment of Funds in Covered Accounts; Reports by Collateral Agent</w:t>
      </w:r>
      <w:r>
        <w:rPr>
          <w:rFonts w:ascii="Arial" w:cs="Arial" w:eastAsia="Arial" w:hAnsi="Arial"/>
          <w:sz w:val="16"/>
          <w:szCs w:val="16"/>
          <w:color w:val="auto"/>
        </w:rPr>
        <w:t>. (a) By delivery of a certificate of a Responsible Officer (which</w:t>
      </w:r>
      <w:r>
        <w:rPr>
          <w:rFonts w:ascii="Arial" w:cs="Arial" w:eastAsia="Arial" w:hAnsi="Arial"/>
          <w:sz w:val="16"/>
          <w:szCs w:val="16"/>
          <w:i w:val="1"/>
          <w:iCs w:val="1"/>
          <w:color w:val="auto"/>
        </w:rPr>
        <w:t xml:space="preserve"> </w:t>
      </w:r>
      <w:r>
        <w:rPr>
          <w:rFonts w:ascii="Arial" w:cs="Arial" w:eastAsia="Arial" w:hAnsi="Arial"/>
          <w:sz w:val="16"/>
          <w:szCs w:val="16"/>
          <w:color w:val="auto"/>
        </w:rPr>
        <w:t>may be in the form of standing instructions), the Borrower (or the Collateral Manager on behalf of the Borrower) shall at all times direct the Collateral Agent to, and, upon receipt of such certificate, the Collateral Agent shall, invest all funds on deposit in the Collection Account (including the Principal Collection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280" w:right="359" w:bottom="1440" w:gutter="0" w:footer="0" w:header="0"/>
        </w:sectPr>
      </w:pPr>
    </w:p>
    <w:bookmarkStart w:id="141" w:name="page142"/>
    <w:bookmarkEnd w:id="141"/>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Subaccount and the Interest Collection Subaccount) and the Revolving Reserve Account as so directed in Eligible Investments having stated maturities no later than the Business Day preceding the next Payment Date (or such shorter maturities expressly provided herein). If, prior to the occurrence and continuance of an Event of Default, the Borrower shall not have given any such investment directions, the Collateral Agent shall seek instructions from the Collateral Manager within three (3) Business Days after transfer of any funds to such accounts and shall immediately invest in Specified Eligible Investments that mature overnight. If the Collateral Agent does not thereafter receive written instructions from the Collateral Manager within five (5) Business Days after transfer of such funds to such accounts, it shall invest and reinvest the funds held in such accounts, as fully as practicable, but only in Specified Eligible Investments selected by the Administrative Agent maturing no later than the Business Day immediately preceding the next Payment Date (or such shorter maturities expressly provided herein). During the continuance of an Event of Default the Collateral Agent (as directed by the Administrative Agent) shall invest and reinvest such Monies as fully as practicable in Specified Eligible Investments selected by the Administrative Agent maturing not later than the earlier of</w:t>
      </w:r>
    </w:p>
    <w:p>
      <w:pPr>
        <w:spacing w:after="0" w:line="5" w:lineRule="exact"/>
        <w:rPr>
          <w:sz w:val="20"/>
          <w:szCs w:val="20"/>
          <w:color w:val="auto"/>
        </w:rPr>
      </w:pPr>
    </w:p>
    <w:p>
      <w:pPr>
        <w:ind w:firstLine="8"/>
        <w:spacing w:after="0" w:line="295" w:lineRule="auto"/>
        <w:tabs>
          <w:tab w:leader="none" w:pos="21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thirty (30) days after the date of such investment (unless putable at par to the issuer thereof) or (ii) the Business Day immediately preceding the next Payment Date (or such shorter maturities expressly provided herein). Except to the extent expressly provided otherwise herein, all interest, gain, loss and other income from such investments shall be deposited, credited or charged (as applicable) in and to the Interest Collection Subaccount. The Collateral Agent shall in no way be liable for any insufficiency in a Covered Account resulting from any loss relating to any such investment.</w:t>
      </w:r>
    </w:p>
    <w:p>
      <w:pPr>
        <w:spacing w:after="0" w:line="34" w:lineRule="exact"/>
        <w:rPr>
          <w:rFonts w:ascii="Arial" w:cs="Arial" w:eastAsia="Arial" w:hAnsi="Arial"/>
          <w:sz w:val="16"/>
          <w:szCs w:val="16"/>
          <w:color w:val="auto"/>
        </w:rPr>
      </w:pPr>
    </w:p>
    <w:p>
      <w:pPr>
        <w:ind w:left="460" w:right="180" w:firstLine="428"/>
        <w:spacing w:after="0" w:line="331" w:lineRule="auto"/>
        <w:tabs>
          <w:tab w:leader="none" w:pos="114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w:t>
      </w:r>
    </w:p>
    <w:p>
      <w:pPr>
        <w:spacing w:after="0" w:line="5" w:lineRule="exact"/>
        <w:rPr>
          <w:rFonts w:ascii="Arial" w:cs="Arial" w:eastAsia="Arial" w:hAnsi="Arial"/>
          <w:sz w:val="16"/>
          <w:szCs w:val="16"/>
          <w:color w:val="auto"/>
        </w:rPr>
      </w:pPr>
    </w:p>
    <w:p>
      <w:pPr>
        <w:ind w:left="460" w:right="20" w:firstLine="428"/>
        <w:spacing w:after="0" w:line="288" w:lineRule="auto"/>
        <w:tabs>
          <w:tab w:leader="none" w:pos="113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The Collateral Agent shall supply, in a timely fashion, to the Borrower and the Collateral Manager (with a copy to the Backup Collateral Manager) any information regularly maintained by the Collateral Agent that the Borrower or the Collateral Manager may from time to time reasonably request with respect to the Collateral, the Covered Accounts and the other Collateral and provide any other requested information reasonably available to the Collateral Agent and required to be provided by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or to permit the Collateral Manager to perform its obligations hereunder or the Borrower’s obligations hereunder that have been delegated to the Collateral Manager. The Collateral Agent shall promptly forward to the Collateral Manager and the Backup Collateral Manager copies of notices and other writings received by it from the Obligor of any Collateral Loan or from any Clearing Agency with respect to any Collateral Loan which notices or writings advise the holders of such Collateral Loan of any rights that the holders might have with respect thereto (including, without limitation, requests to vote with respect to amendments or waivers and notices of prepayments and redemptions) as well as all periodic financial reports received from such issuer and Clearing Agencies with respect to such Obligor.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280" w:right="359" w:bottom="1440" w:gutter="0" w:footer="0" w:header="0"/>
        </w:sectPr>
      </w:pPr>
    </w:p>
    <w:bookmarkStart w:id="142" w:name="page143"/>
    <w:bookmarkEnd w:id="142"/>
    <w:p>
      <w:pPr>
        <w:ind w:firstLine="449"/>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8.06. Accountings</w:t>
      </w:r>
      <w:r>
        <w:rPr>
          <w:rFonts w:ascii="Arial" w:cs="Arial" w:eastAsia="Arial" w:hAnsi="Arial"/>
          <w:sz w:val="16"/>
          <w:szCs w:val="16"/>
          <w:color w:val="auto"/>
        </w:rPr>
        <w:t>. (a)</w:t>
      </w:r>
      <w:r>
        <w:rPr>
          <w:rFonts w:ascii="Arial" w:cs="Arial" w:eastAsia="Arial" w:hAnsi="Arial"/>
          <w:sz w:val="16"/>
          <w:szCs w:val="16"/>
          <w:i w:val="1"/>
          <w:iCs w:val="1"/>
          <w:color w:val="auto"/>
        </w:rPr>
        <w:t xml:space="preserve"> Monthly</w:t>
      </w:r>
      <w:r>
        <w:rPr>
          <w:rFonts w:ascii="Arial" w:cs="Arial" w:eastAsia="Arial" w:hAnsi="Arial"/>
          <w:sz w:val="16"/>
          <w:szCs w:val="16"/>
          <w:color w:val="auto"/>
        </w:rPr>
        <w:t>. The Collateral Manager shall compile and provide (or cause to be compiled and provided) to the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Administrator and the Administrative Agent a loan data file (the </w:t>
      </w:r>
      <w:r>
        <w:rPr>
          <w:rFonts w:ascii="Arial" w:cs="Arial" w:eastAsia="Arial" w:hAnsi="Arial"/>
          <w:sz w:val="16"/>
          <w:szCs w:val="16"/>
          <w:i w:val="1"/>
          <w:iCs w:val="1"/>
          <w:color w:val="auto"/>
        </w:rPr>
        <w:t>“Data File”</w:t>
      </w:r>
      <w:r>
        <w:rPr>
          <w:rFonts w:ascii="Arial" w:cs="Arial" w:eastAsia="Arial" w:hAnsi="Arial"/>
          <w:sz w:val="16"/>
          <w:szCs w:val="16"/>
          <w:color w:val="auto"/>
        </w:rPr>
        <w:t xml:space="preserve">) for the previous monthly period ending on the Monthly Report Determination Date (containing such information agreed upon by the Collateral Manager, the Collateral Administrator and the Administrative Agent). The Collateral Manager shall use reasonable commercial efforts to provide the Data File and designate the row of the Matrix and corresponding Matrix Inputs applicable to such Data File to the Collateral Administrator by no later than 12:00 noon at least ten (10) days prior to the Monthly Reporting Date. The Collateral Administrator shall, based on such Data File, such designated Matrix Inputs and the information contained in its collateral database, compile and provide (or cause to be compiled and provided) to the Collateral Manager a monthly report on a settlement basis (each, a </w:t>
      </w:r>
      <w:r>
        <w:rPr>
          <w:rFonts w:ascii="Arial" w:cs="Arial" w:eastAsia="Arial" w:hAnsi="Arial"/>
          <w:sz w:val="16"/>
          <w:szCs w:val="16"/>
          <w:i w:val="1"/>
          <w:iCs w:val="1"/>
          <w:color w:val="auto"/>
        </w:rPr>
        <w:t>“Monthly Report”</w:t>
      </w:r>
      <w:r>
        <w:rPr>
          <w:rFonts w:ascii="Arial" w:cs="Arial" w:eastAsia="Arial" w:hAnsi="Arial"/>
          <w:sz w:val="16"/>
          <w:szCs w:val="16"/>
          <w:color w:val="auto"/>
        </w:rPr>
        <w:t>) (containing such information agreed upon by the Collateral Agent, the Collateral Manager, the Collateral Administrator and the Administrative Agent). The Collateral Administrator shall use commercially reasonable efforts to provide such Monthly Report to the Collateral Manager by no later than 12:00 noon at least five (5) days prior to the Monthly Reporting Date. To the extent that the Maximum Advance Rate Test is not satisfied in any Monthly Report which is compiled and provided by the Collateral Administrator to the Collateral Manager, the Collateral Manager in consultation with the Collateral Administrator shall select a different row of the Matrix and corresponding combination of Matrix Inputs that, when used to calculate the Maximum Advance Rate Test, allow the Maximum Advance Rate Test to be satisfied. The Collateral Administrator shall then promptly provide the Collateral Manager with an updated Monthly Report calculated based on the new combination of Matrix Inputs applicable to the selected row of the Matrix. The Collateral Manager shall use commercially reasonable efforts to review and confirm the calculations made by the Collateral Administrator in any such Monthly Report within five (5) days of the receipt thereof. Upon receipt of such confirmation from the Collateral Manager and in any event by no later than the Monthly Reporting Date, the Collateral Administrator shall compile and provide to the Agents, the Collateral Manager, the Backup Collateral Manager and the Lenders the Monthly Report. As used herein, the “</w:t>
      </w:r>
      <w:r>
        <w:rPr>
          <w:rFonts w:ascii="Arial" w:cs="Arial" w:eastAsia="Arial" w:hAnsi="Arial"/>
          <w:sz w:val="16"/>
          <w:szCs w:val="16"/>
          <w:i w:val="1"/>
          <w:iCs w:val="1"/>
          <w:color w:val="auto"/>
        </w:rPr>
        <w:t>Monthly Report</w:t>
      </w:r>
      <w:r>
        <w:rPr>
          <w:rFonts w:ascii="Arial" w:cs="Arial" w:eastAsia="Arial" w:hAnsi="Arial"/>
          <w:sz w:val="16"/>
          <w:szCs w:val="16"/>
          <w:color w:val="auto"/>
        </w:rPr>
        <w:t xml:space="preserve"> </w:t>
      </w:r>
      <w:r>
        <w:rPr>
          <w:rFonts w:ascii="Arial" w:cs="Arial" w:eastAsia="Arial" w:hAnsi="Arial"/>
          <w:sz w:val="16"/>
          <w:szCs w:val="16"/>
          <w:i w:val="1"/>
          <w:iCs w:val="1"/>
          <w:color w:val="auto"/>
        </w:rPr>
        <w:t>Determination Date</w:t>
      </w:r>
      <w:r>
        <w:rPr>
          <w:rFonts w:ascii="Arial" w:cs="Arial" w:eastAsia="Arial" w:hAnsi="Arial"/>
          <w:sz w:val="16"/>
          <w:szCs w:val="16"/>
          <w:color w:val="auto"/>
        </w:rPr>
        <w:t>” with respect to any calendar month will be the last day of the previous calendar month. The Monthly Report delivered for any calendar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month shall contain the information with respect to the Collateral Loans and Eligible Investments included in the Collateral set forth in </w:t>
      </w:r>
      <w:r>
        <w:rPr>
          <w:rFonts w:ascii="Arial" w:cs="Arial" w:eastAsia="Arial" w:hAnsi="Arial"/>
          <w:sz w:val="16"/>
          <w:szCs w:val="16"/>
          <w:u w:val="single" w:color="auto"/>
          <w:color w:val="auto"/>
        </w:rPr>
        <w:t>Part 1</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and shall be determined as of the Monthly Report Determination Date applicable to such Monthly Report. Additionally, each Monthly Report that is delivered on the first Monthly Reporting Date to occur after the delivery of the quarterly valuation statements for the BDC pursuant to </w:t>
      </w:r>
      <w:r>
        <w:rPr>
          <w:rFonts w:ascii="Arial" w:cs="Arial" w:eastAsia="Arial" w:hAnsi="Arial"/>
          <w:sz w:val="16"/>
          <w:szCs w:val="16"/>
          <w:u w:val="single" w:color="auto"/>
          <w:color w:val="auto"/>
        </w:rPr>
        <w:t>Section 5.01(d)(iii)</w:t>
      </w:r>
      <w:r>
        <w:rPr>
          <w:rFonts w:ascii="Arial" w:cs="Arial" w:eastAsia="Arial" w:hAnsi="Arial"/>
          <w:sz w:val="16"/>
          <w:szCs w:val="16"/>
          <w:color w:val="auto"/>
        </w:rPr>
        <w:t xml:space="preserve"> shall include a statement reporting the assets (including cash) under management by the Collateral Manager. The Collateral Manager shall provide such statement to the Collateral Administrator to be included in the Monthly Report at least five (5) days prior to such Monthly Reporting Date.</w:t>
      </w:r>
    </w:p>
    <w:p>
      <w:pPr>
        <w:spacing w:after="0" w:line="42" w:lineRule="exact"/>
        <w:rPr>
          <w:sz w:val="20"/>
          <w:szCs w:val="20"/>
          <w:color w:val="auto"/>
        </w:rPr>
      </w:pPr>
    </w:p>
    <w:p>
      <w:pPr>
        <w:ind w:left="460" w:right="60" w:firstLine="431"/>
        <w:spacing w:after="0" w:line="291" w:lineRule="auto"/>
        <w:rPr>
          <w:sz w:val="20"/>
          <w:szCs w:val="20"/>
          <w:color w:val="auto"/>
        </w:rPr>
      </w:pPr>
      <w:r>
        <w:rPr>
          <w:rFonts w:ascii="Arial" w:cs="Arial" w:eastAsia="Arial" w:hAnsi="Arial"/>
          <w:sz w:val="16"/>
          <w:szCs w:val="16"/>
          <w:color w:val="auto"/>
        </w:rPr>
        <w:t>In addition, the Collateral Manager shall provide together with each Data File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Monthly Report Determination Date for the immediately prior Monthly Report (or, in respect of the first Monthly Report, from the Closing Date) together with a listing of each Collateral Loan with respect to which one of the foregoing amendments, modifications or waivers is being provided.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280" w:right="359" w:bottom="1440" w:gutter="0" w:footer="0" w:header="0"/>
        </w:sectPr>
      </w:pPr>
    </w:p>
    <w:bookmarkStart w:id="143" w:name="page144"/>
    <w:bookmarkEnd w:id="143"/>
    <w:p>
      <w:pPr>
        <w:ind w:left="440" w:right="20" w:firstLine="420"/>
        <w:spacing w:after="0" w:line="285" w:lineRule="auto"/>
        <w:tabs>
          <w:tab w:leader="none" w:pos="1102" w:val="left"/>
        </w:tabs>
        <w:numPr>
          <w:ilvl w:val="0"/>
          <w:numId w:val="14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Payment Date Accounting. </w:t>
      </w:r>
      <w:r>
        <w:rPr>
          <w:rFonts w:ascii="Arial" w:cs="Arial" w:eastAsia="Arial" w:hAnsi="Arial"/>
          <w:sz w:val="16"/>
          <w:szCs w:val="16"/>
          <w:color w:val="auto"/>
        </w:rPr>
        <w:t>The Collateral Manager shall compile and provide (or cause to be compiled and provided) to the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Administrator and the Administrative Agent a Data File for the previous Collection Period ending on the Determination Date (containing such information agreed upon by the Collateral Agent, the Collateral Manager, the Collateral Administrator and the Administrative Agent). The Collateral Manager shall use reasonable commercial efforts to provide the Data File by no later than 12:00 noon at least ten (10) days prior to each Payment Date. The Collateral Administrator shall, based on such Data File, the information contained in its database and information provided by the Lenders, compile and provide (or cause to be compiled and provided) to the Collateral Manager an accounting and report for such Collection Period (each, a </w:t>
      </w:r>
      <w:r>
        <w:rPr>
          <w:rFonts w:ascii="Arial" w:cs="Arial" w:eastAsia="Arial" w:hAnsi="Arial"/>
          <w:sz w:val="16"/>
          <w:szCs w:val="16"/>
          <w:i w:val="1"/>
          <w:iCs w:val="1"/>
          <w:color w:val="auto"/>
        </w:rPr>
        <w:t>“Payment Date Report”</w:t>
      </w:r>
      <w:r>
        <w:rPr>
          <w:rFonts w:ascii="Arial" w:cs="Arial" w:eastAsia="Arial" w:hAnsi="Arial"/>
          <w:sz w:val="16"/>
          <w:szCs w:val="16"/>
          <w:color w:val="auto"/>
        </w:rPr>
        <w:t xml:space="preserve">) (containing such information agreed upon by the Collateral Manager, the Collateral Administrator and the Administrative Agent). The Collateral Administrator shall use commercially reasonable efforts to provide such Payment Date Report to the Collateral Manager by no later than 12:00 noon at least five (5) days prior to the Payment Date. The Collateral Manager shall use commercially reasonable efforts to review and confirm the calculations made by the Collateral Administrator in such Payment Date Report within five (5) days of the receipt thereof but in any event no later than the Business Day preceding the Payment Date. Upon receipt of such confirmation from the Collateral Manager and in any event by no later than the Payment Date, the Collateral Administrator shall compile and provide to the Agents, the Collateral Manager, the Backup Collateral Manager and the Lenders the Payment Date Report. The Payment Date Report shall contain the information set forth in </w:t>
      </w:r>
      <w:r>
        <w:rPr>
          <w:rFonts w:ascii="Arial" w:cs="Arial" w:eastAsia="Arial" w:hAnsi="Arial"/>
          <w:sz w:val="16"/>
          <w:szCs w:val="16"/>
          <w:u w:val="single" w:color="auto"/>
          <w:color w:val="auto"/>
        </w:rPr>
        <w:t>Part 2 of Schedule 2</w:t>
      </w:r>
      <w:r>
        <w:rPr>
          <w:rFonts w:ascii="Arial" w:cs="Arial" w:eastAsia="Arial" w:hAnsi="Arial"/>
          <w:sz w:val="16"/>
          <w:szCs w:val="16"/>
          <w:color w:val="auto"/>
        </w:rPr>
        <w:t xml:space="preserve"> hereto.</w:t>
      </w:r>
    </w:p>
    <w:p>
      <w:pPr>
        <w:spacing w:after="0" w:line="46" w:lineRule="exact"/>
        <w:rPr>
          <w:sz w:val="20"/>
          <w:szCs w:val="20"/>
          <w:color w:val="auto"/>
        </w:rPr>
      </w:pPr>
    </w:p>
    <w:p>
      <w:pPr>
        <w:ind w:right="60" w:firstLine="431"/>
        <w:spacing w:after="0" w:line="254" w:lineRule="auto"/>
        <w:rPr>
          <w:sz w:val="20"/>
          <w:szCs w:val="20"/>
          <w:color w:val="auto"/>
        </w:rPr>
      </w:pPr>
      <w:r>
        <w:rPr>
          <w:rFonts w:ascii="Arial" w:cs="Arial" w:eastAsia="Arial" w:hAnsi="Arial"/>
          <w:sz w:val="18"/>
          <w:szCs w:val="18"/>
          <w:color w:val="auto"/>
        </w:rPr>
        <w:t>In addition, the Collateral Manager shall provide together with each Data File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Monthly Report Determination Date for the most recently delivered Monthly Report together with a listing of each Collateral Loan with respect to which one of the foregoing amendments, modifications or waivers is being provided.</w:t>
      </w:r>
    </w:p>
    <w:p>
      <w:pPr>
        <w:spacing w:after="0" w:line="63" w:lineRule="exact"/>
        <w:rPr>
          <w:sz w:val="20"/>
          <w:szCs w:val="20"/>
          <w:color w:val="auto"/>
        </w:rPr>
      </w:pPr>
    </w:p>
    <w:p>
      <w:pPr>
        <w:ind w:left="440" w:firstLine="420"/>
        <w:spacing w:after="0" w:line="306" w:lineRule="auto"/>
        <w:tabs>
          <w:tab w:leader="none" w:pos="1092"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Failure to Provide Accounting</w:t>
      </w:r>
      <w:r>
        <w:rPr>
          <w:rFonts w:ascii="Arial" w:cs="Arial" w:eastAsia="Arial" w:hAnsi="Arial"/>
          <w:sz w:val="16"/>
          <w:szCs w:val="16"/>
          <w:color w:val="auto"/>
        </w:rPr>
        <w:t>. If the Collateral Administrator shall not have received any accounting provided for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8.06</w:t>
      </w:r>
      <w:r>
        <w:rPr>
          <w:rFonts w:ascii="Arial" w:cs="Arial" w:eastAsia="Arial" w:hAnsi="Arial"/>
          <w:sz w:val="16"/>
          <w:szCs w:val="16"/>
          <w:i w:val="1"/>
          <w:iCs w:val="1"/>
          <w:color w:val="auto"/>
        </w:rPr>
        <w:t xml:space="preserve"> </w:t>
      </w:r>
      <w:r>
        <w:rPr>
          <w:rFonts w:ascii="Arial" w:cs="Arial" w:eastAsia="Arial" w:hAnsi="Arial"/>
          <w:sz w:val="16"/>
          <w:szCs w:val="16"/>
          <w:color w:val="auto"/>
        </w:rPr>
        <w:t>on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Business Day after the date on which such accounting is due to the Collateral Administrator, the Collateral Administrator shall notify the Collateral Manager who shall use all reasonable efforts to obtain such accounting by the applicable Payment Date.</w:t>
      </w:r>
    </w:p>
    <w:p>
      <w:pPr>
        <w:spacing w:after="0" w:line="25" w:lineRule="exact"/>
        <w:rPr>
          <w:rFonts w:ascii="Arial" w:cs="Arial" w:eastAsia="Arial" w:hAnsi="Arial"/>
          <w:sz w:val="16"/>
          <w:szCs w:val="16"/>
          <w:color w:val="auto"/>
        </w:rPr>
      </w:pPr>
    </w:p>
    <w:p>
      <w:pPr>
        <w:ind w:left="440" w:right="160" w:firstLine="420"/>
        <w:spacing w:after="0" w:line="259" w:lineRule="auto"/>
        <w:tabs>
          <w:tab w:leader="none" w:pos="1102"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Collateral Administrator Protections. </w:t>
      </w:r>
      <w:r>
        <w:rPr>
          <w:rFonts w:ascii="Arial" w:cs="Arial" w:eastAsia="Arial" w:hAnsi="Arial"/>
          <w:sz w:val="18"/>
          <w:szCs w:val="18"/>
          <w:color w:val="auto"/>
        </w:rPr>
        <w:t>In preparing the Payment Date Report, Monthly Report, and other information and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hereunder, the Collateral Administrator shall have the rights, protections, and immunities provided to it in the Collateral Administration Agreement.</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760"/>
          </w:cols>
          <w:pgMar w:left="780" w:top="280" w:right="359" w:bottom="1440" w:gutter="0" w:footer="0" w:header="0"/>
        </w:sectPr>
      </w:pPr>
    </w:p>
    <w:bookmarkStart w:id="144" w:name="page145"/>
    <w:bookmarkEnd w:id="144"/>
    <w:p>
      <w:pPr>
        <w:ind w:right="60" w:firstLine="449"/>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8.07. Release of Securities</w:t>
      </w:r>
      <w:r>
        <w:rPr>
          <w:rFonts w:ascii="Arial" w:cs="Arial" w:eastAsia="Arial" w:hAnsi="Arial"/>
          <w:sz w:val="16"/>
          <w:szCs w:val="16"/>
          <w:color w:val="auto"/>
        </w:rPr>
        <w:t>. (a) If no Event of Default has occurred and is continuing, the Borrower may, by delivery of a certificate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Responsible Officer of the Collateral Manager delivered to the Collateral Agent at least one Business Day prior to the settlement date for any sale of a security certifying that the sale of such security is being made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such sale complies with all applicable requirements of</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direct the Collateral Agent to release or cause to be released such security from the lien of this Agreement and, upon receipt of such certificate, the Collateral Agent (or Custodian, as applicable) shall deliver any such security, if in physical form, duly endorsed to the broker or purchaser designated in such certificate or, if such security is a Clearing Corporation Security, cause an appropriate transfer thereof to be made, in each case against receipt of the sales price therefor as specified by the Collateral Manager in such certificate;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Collateral Agent may deliver any such security in physical form for examination in accordance with street delivery custom.</w:t>
      </w:r>
    </w:p>
    <w:p>
      <w:pPr>
        <w:spacing w:after="0" w:line="64" w:lineRule="exact"/>
        <w:rPr>
          <w:sz w:val="20"/>
          <w:szCs w:val="20"/>
          <w:color w:val="auto"/>
        </w:rPr>
      </w:pPr>
    </w:p>
    <w:p>
      <w:pPr>
        <w:ind w:left="460" w:firstLine="428"/>
        <w:spacing w:after="0" w:line="317" w:lineRule="auto"/>
        <w:tabs>
          <w:tab w:leader="none" w:pos="11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Subject to the terms of this Agreement, the Collateral Agent or Custodian, as applicable, shall, upon the receipt of a certificate of the Borrower, by delivery of a certificate of a Responsible Officer of the Collateral Manager, deliver any Collateral as instructed in such certificate, and execute such documents or instruments as are presented by the Borrower or the Collateral Manager and are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spacing w:after="0" w:line="21" w:lineRule="exact"/>
        <w:rPr>
          <w:rFonts w:ascii="Arial" w:cs="Arial" w:eastAsia="Arial" w:hAnsi="Arial"/>
          <w:sz w:val="15"/>
          <w:szCs w:val="15"/>
          <w:color w:val="auto"/>
        </w:rPr>
      </w:pPr>
    </w:p>
    <w:p>
      <w:pPr>
        <w:ind w:left="1120" w:hanging="232"/>
        <w:spacing w:after="0"/>
        <w:tabs>
          <w:tab w:leader="none" w:pos="11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As provided in </w:t>
      </w:r>
      <w:r>
        <w:rPr>
          <w:rFonts w:ascii="Arial" w:cs="Arial" w:eastAsia="Arial" w:hAnsi="Arial"/>
          <w:sz w:val="16"/>
          <w:szCs w:val="16"/>
          <w:u w:val="single" w:color="auto"/>
          <w:color w:val="auto"/>
        </w:rPr>
        <w:t>Section 8.02(a)</w:t>
      </w:r>
      <w:r>
        <w:rPr>
          <w:rFonts w:ascii="Arial" w:cs="Arial" w:eastAsia="Arial" w:hAnsi="Arial"/>
          <w:sz w:val="16"/>
          <w:szCs w:val="16"/>
          <w:color w:val="auto"/>
        </w:rPr>
        <w:t>, the Collateral Agent shall deposit any proceeds received by it from the disposition of Collateral in the</w:t>
      </w:r>
    </w:p>
    <w:p>
      <w:pPr>
        <w:spacing w:after="0" w:line="38" w:lineRule="exact"/>
        <w:rPr>
          <w:rFonts w:ascii="Arial" w:cs="Arial" w:eastAsia="Arial" w:hAnsi="Arial"/>
          <w:sz w:val="16"/>
          <w:szCs w:val="16"/>
          <w:color w:val="auto"/>
        </w:rPr>
      </w:pPr>
    </w:p>
    <w:p>
      <w:pPr>
        <w:ind w:left="46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applicable subaccount of the Collection Account, unless simultaneously applied to the purchase of additional Collateral Loans or Eligible Investments as permitted under and in accordance with the requirements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58" w:lineRule="exact"/>
        <w:rPr>
          <w:rFonts w:ascii="Arial" w:cs="Arial" w:eastAsia="Arial" w:hAnsi="Arial"/>
          <w:sz w:val="16"/>
          <w:szCs w:val="16"/>
          <w:color w:val="auto"/>
        </w:rPr>
      </w:pPr>
    </w:p>
    <w:p>
      <w:pPr>
        <w:ind w:left="460" w:right="160" w:firstLine="428"/>
        <w:spacing w:after="0" w:line="259" w:lineRule="auto"/>
        <w:tabs>
          <w:tab w:leader="none" w:pos="1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Collateral Agent shall, upon receipt of a certificate of a Responsible Officer of the Borrower (or the Collateral Manager on its behalf), at such time as there are no Commitments outstanding and all Obligations of the Borrower hereunder and under the other Facility Documents have been satisfied, release any remaining Collateral from the lien of this Agreement.</w:t>
      </w:r>
    </w:p>
    <w:p>
      <w:pPr>
        <w:spacing w:after="0" w:line="58" w:lineRule="exact"/>
        <w:rPr>
          <w:rFonts w:ascii="Arial" w:cs="Arial" w:eastAsia="Arial" w:hAnsi="Arial"/>
          <w:sz w:val="18"/>
          <w:szCs w:val="18"/>
          <w:color w:val="auto"/>
        </w:rPr>
      </w:pPr>
    </w:p>
    <w:p>
      <w:pPr>
        <w:ind w:left="460" w:right="200" w:firstLine="428"/>
        <w:spacing w:after="0" w:line="268" w:lineRule="auto"/>
        <w:tabs>
          <w:tab w:leader="none" w:pos="11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Any security, Collateral Loan or amounts that are released pursuant to </w:t>
      </w:r>
      <w:r>
        <w:rPr>
          <w:rFonts w:ascii="Arial" w:cs="Arial" w:eastAsia="Arial" w:hAnsi="Arial"/>
          <w:sz w:val="18"/>
          <w:szCs w:val="18"/>
          <w:u w:val="single" w:color="auto"/>
          <w:color w:val="auto"/>
        </w:rPr>
        <w:t>Section 8.07(a)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automatically be released from the Lien of this Agreement.</w:t>
      </w:r>
    </w:p>
    <w:p>
      <w:pPr>
        <w:spacing w:after="0" w:line="132"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i w:val="1"/>
          <w:iCs w:val="1"/>
          <w:color w:val="auto"/>
        </w:rPr>
        <w:t>Section 8.08. Reports by Independent Accountants</w:t>
      </w:r>
      <w:r>
        <w:rPr>
          <w:rFonts w:ascii="Arial" w:cs="Arial" w:eastAsia="Arial" w:hAnsi="Arial"/>
          <w:sz w:val="16"/>
          <w:szCs w:val="16"/>
          <w:color w:val="auto"/>
        </w:rPr>
        <w:t>. (a) As of the Closing Date, the Borrower has appointed a firm of independent certified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accountants, independent auditors or independent consultants (together with its successors, the </w:t>
      </w:r>
      <w:r>
        <w:rPr>
          <w:rFonts w:ascii="Arial" w:cs="Arial" w:eastAsia="Arial" w:hAnsi="Arial"/>
          <w:sz w:val="16"/>
          <w:szCs w:val="16"/>
          <w:i w:val="1"/>
          <w:iCs w:val="1"/>
          <w:color w:val="auto"/>
        </w:rPr>
        <w:t>“Independent Accountants”</w:t>
      </w:r>
      <w:r>
        <w:rPr>
          <w:rFonts w:ascii="Arial" w:cs="Arial" w:eastAsia="Arial" w:hAnsi="Arial"/>
          <w:sz w:val="16"/>
          <w:szCs w:val="16"/>
          <w:color w:val="auto"/>
        </w:rPr>
        <w:t>), in each case reasonably acceptable to the Administrative Agent and the Required Lenders, for purposes of reviewing and delivering the reports or certificates of such accountants required by this Agreement, which may be the firm of independent certified public accountants, independent auditors or independent consultants that performs accounting services for the Borrower or the Collateral Manager. The Borrower may remove any firm of Independent Accountants at any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320" w:top="280" w:right="379" w:bottom="1440" w:gutter="0" w:footer="0" w:header="0"/>
        </w:sectPr>
      </w:pPr>
    </w:p>
    <w:bookmarkStart w:id="145" w:name="page146"/>
    <w:bookmarkEnd w:id="14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time upon notice to, but without the consent of any of, the Lenders. Upon any resignation by such firm or removal of such firm by the Borrower, the Borrower (or the Collateral Manager on behalf of the Borrower) shall promptly appoint, by a certificate of a Responsible Officer of the Borrower delivered to the Administrative Agent and the Collateral Agent, a successor thereto that shall also be a firm of independent certified public accountants, independent auditors or independent consultants of recognized standing, which may be a firm of independent certified public accountants, independent auditors or independent consultants that performs accounting services for the Borrower or the Collateral Manager. If the Borrower shall fail to appoint a successor Independent Accountants within thirty (30) days after such resignation, the Borrower shall promptly notify the Agents and the Collateral Manager of such failure in writing and the Collateral Manager shall promptly appoint a successor Independent Accountant of recognized standing. The fees of such Independent Accountants and any successor shall be payable by the Borrower.</w:t>
      </w:r>
    </w:p>
    <w:p>
      <w:pPr>
        <w:spacing w:after="0" w:line="43" w:lineRule="exact"/>
        <w:rPr>
          <w:sz w:val="20"/>
          <w:szCs w:val="20"/>
          <w:color w:val="auto"/>
        </w:rPr>
      </w:pPr>
    </w:p>
    <w:p>
      <w:pPr>
        <w:ind w:left="460" w:right="40" w:firstLine="428"/>
        <w:spacing w:after="0" w:line="302" w:lineRule="auto"/>
        <w:tabs>
          <w:tab w:leader="none" w:pos="114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The Borrower or the Collateral Manager will cause a firm of nationally recognized independent public accountants (who may also render other services to the Collateral Manager) to furnish to the Administrative Agent and each Lender (with a copy to the Collateral Agent, the Collateral Administrator and the Backup Collateral Manager) once during each 365-day period ending on June 23</w:t>
      </w:r>
      <w:r>
        <w:rPr>
          <w:rFonts w:ascii="Arial" w:cs="Arial" w:eastAsia="Arial" w:hAnsi="Arial"/>
          <w:sz w:val="10"/>
          <w:szCs w:val="10"/>
          <w:color w:val="auto"/>
        </w:rPr>
        <w:t>rd</w:t>
      </w:r>
      <w:r>
        <w:rPr>
          <w:rFonts w:ascii="Arial" w:cs="Arial" w:eastAsia="Arial" w:hAnsi="Arial"/>
          <w:sz w:val="15"/>
          <w:szCs w:val="15"/>
          <w:color w:val="auto"/>
        </w:rPr>
        <w:t xml:space="preserve"> of each calendar year, with the first such report due by no later than June 23, 2012, a report relating to such fiscal year to the effect that (i) such firm has applied certain agreed-upon procedures, and</w:t>
      </w:r>
    </w:p>
    <w:p>
      <w:pPr>
        <w:spacing w:after="0" w:line="2" w:lineRule="exact"/>
        <w:rPr>
          <w:rFonts w:ascii="Arial" w:cs="Arial" w:eastAsia="Arial" w:hAnsi="Arial"/>
          <w:sz w:val="15"/>
          <w:szCs w:val="15"/>
          <w:color w:val="auto"/>
        </w:rPr>
      </w:pPr>
    </w:p>
    <w:p>
      <w:pPr>
        <w:ind w:left="460" w:right="160" w:hanging="3"/>
        <w:spacing w:after="0" w:line="253" w:lineRule="auto"/>
        <w:tabs>
          <w:tab w:leader="none" w:pos="71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such examination, such firm is of the opinion that the Monthly Reports and Payment Date Reports for such year were prepared in compliance with this Agreement, except for such exceptions as it believes to be immaterial and such other exceptions as will be set forth in such firm’s report (including, with respect to any such exceptions, an explanation of how each such exception arose and reflecting the input/explanation of the Collateral Manager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8.09. Covered Account Details</w:t>
      </w:r>
      <w:r>
        <w:rPr>
          <w:rFonts w:ascii="Arial" w:cs="Arial" w:eastAsia="Arial" w:hAnsi="Arial"/>
          <w:sz w:val="18"/>
          <w:szCs w:val="18"/>
          <w:color w:val="auto"/>
        </w:rPr>
        <w:t>. The account number of each Covered Account is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7</w:t>
      </w:r>
      <w:r>
        <w:rPr>
          <w:rFonts w:ascii="Arial" w:cs="Arial" w:eastAsia="Arial" w:hAnsi="Arial"/>
          <w:sz w:val="18"/>
          <w:szCs w:val="18"/>
          <w:i w:val="1"/>
          <w:iCs w:val="1"/>
          <w:color w:val="auto"/>
        </w:rPr>
        <w:t xml:space="preserve"> </w:t>
      </w:r>
      <w:r>
        <w:rPr>
          <w:rFonts w:ascii="Arial" w:cs="Arial" w:eastAsia="Arial" w:hAnsi="Arial"/>
          <w:sz w:val="18"/>
          <w:szCs w:val="18"/>
          <w:color w:val="auto"/>
        </w:rPr>
        <w:t>hereto</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280" w:right="35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APPLICATION OF MONIES</w:t>
      </w:r>
    </w:p>
    <w:p>
      <w:pPr>
        <w:spacing w:after="0" w:line="177" w:lineRule="exact"/>
        <w:rPr>
          <w:sz w:val="20"/>
          <w:szCs w:val="20"/>
          <w:color w:val="auto"/>
        </w:rPr>
      </w:pPr>
    </w:p>
    <w:p>
      <w:pPr>
        <w:ind w:right="240" w:firstLine="449"/>
        <w:spacing w:after="0" w:line="306" w:lineRule="auto"/>
        <w:rPr>
          <w:sz w:val="20"/>
          <w:szCs w:val="20"/>
          <w:color w:val="auto"/>
        </w:rPr>
      </w:pPr>
      <w:r>
        <w:rPr>
          <w:rFonts w:ascii="Arial" w:cs="Arial" w:eastAsia="Arial" w:hAnsi="Arial"/>
          <w:sz w:val="16"/>
          <w:szCs w:val="16"/>
          <w:i w:val="1"/>
          <w:iCs w:val="1"/>
          <w:color w:val="auto"/>
        </w:rPr>
        <w:t>Section 9.01. Disbursements of Monies from Payment Account</w:t>
      </w:r>
      <w:r>
        <w:rPr>
          <w:rFonts w:ascii="Arial" w:cs="Arial" w:eastAsia="Arial" w:hAnsi="Arial"/>
          <w:sz w:val="16"/>
          <w:szCs w:val="16"/>
          <w:color w:val="auto"/>
        </w:rPr>
        <w:t>. (a) Notwithstanding any other provision in this Agreement, but subject to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subsections of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on each Payment Date, the Collateral Agent shall disburse amounts transferred from the Collection Account to the Payment Account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in accordance with the following priorities (the </w:t>
      </w:r>
      <w:r>
        <w:rPr>
          <w:rFonts w:ascii="Arial" w:cs="Arial" w:eastAsia="Arial" w:hAnsi="Arial"/>
          <w:sz w:val="16"/>
          <w:szCs w:val="16"/>
          <w:i w:val="1"/>
          <w:iCs w:val="1"/>
          <w:color w:val="auto"/>
        </w:rPr>
        <w:t>“Priority of Payments”</w:t>
      </w:r>
      <w:r>
        <w:rPr>
          <w:rFonts w:ascii="Arial" w:cs="Arial" w:eastAsia="Arial" w:hAnsi="Arial"/>
          <w:sz w:val="16"/>
          <w:szCs w:val="16"/>
          <w:color w:val="auto"/>
        </w:rPr>
        <w:t>) and related Payment Date Report:</w:t>
      </w:r>
    </w:p>
    <w:p>
      <w:pPr>
        <w:spacing w:after="0" w:line="25" w:lineRule="exact"/>
        <w:rPr>
          <w:sz w:val="20"/>
          <w:szCs w:val="20"/>
          <w:color w:val="auto"/>
        </w:rPr>
      </w:pPr>
    </w:p>
    <w:p>
      <w:pPr>
        <w:jc w:val="both"/>
        <w:ind w:left="900" w:right="60" w:firstLine="420"/>
        <w:spacing w:after="0" w:line="259" w:lineRule="auto"/>
        <w:tabs>
          <w:tab w:leader="none" w:pos="152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 each Payment Date, Interest Proceeds on deposit in the Interest Collection Subaccount, to the extent received on or before the related Determination Date (or, if such Determination Date is not a Business Day, the next succeeding Business Day) will be transferred into the Payment Account, to be applied in the following order of priority:</w:t>
      </w:r>
    </w:p>
    <w:p>
      <w:pPr>
        <w:spacing w:after="0" w:line="59" w:lineRule="exact"/>
        <w:rPr>
          <w:sz w:val="20"/>
          <w:szCs w:val="20"/>
          <w:color w:val="auto"/>
        </w:rPr>
      </w:pPr>
    </w:p>
    <w:p>
      <w:pPr>
        <w:ind w:left="1460" w:right="120" w:firstLine="391"/>
        <w:spacing w:after="0" w:line="254" w:lineRule="auto"/>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pay all out-of-pocket costs and expenses of the Collateral Agent incurred in connection with any sale of Collateral or other exercises of its remedial rights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(2)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pay other Administrative Expenses in accordance with the priorities specified in the definition thereof,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amount applied under this </w:t>
      </w:r>
      <w:r>
        <w:rPr>
          <w:rFonts w:ascii="Arial" w:cs="Arial" w:eastAsia="Arial" w:hAnsi="Arial"/>
          <w:sz w:val="18"/>
          <w:szCs w:val="18"/>
          <w:u w:val="single" w:color="auto"/>
          <w:color w:val="auto"/>
        </w:rPr>
        <w:t>clause (A)(2)</w:t>
      </w:r>
      <w:r>
        <w:rPr>
          <w:rFonts w:ascii="Arial" w:cs="Arial" w:eastAsia="Arial" w:hAnsi="Arial"/>
          <w:sz w:val="18"/>
          <w:szCs w:val="18"/>
          <w:color w:val="auto"/>
        </w:rPr>
        <w:t xml:space="preserve"> for such Payment Date shall not exceed the Administrative Expense Cap for such Payment Date, and (3) </w:t>
      </w:r>
      <w:r>
        <w:rPr>
          <w:rFonts w:ascii="Arial" w:cs="Arial" w:eastAsia="Arial" w:hAnsi="Arial"/>
          <w:sz w:val="18"/>
          <w:szCs w:val="18"/>
          <w:i w:val="1"/>
          <w:iCs w:val="1"/>
          <w:color w:val="auto"/>
        </w:rPr>
        <w:t>third</w:t>
      </w:r>
      <w:r>
        <w:rPr>
          <w:rFonts w:ascii="Arial" w:cs="Arial" w:eastAsia="Arial" w:hAnsi="Arial"/>
          <w:sz w:val="18"/>
          <w:szCs w:val="18"/>
          <w:color w:val="auto"/>
        </w:rPr>
        <w:t>, upon appointment of the Backup Collateral Manager as Successor Collateral Manager, to payment of the One-Time Successor Servicer Engagement Fee (as defined in the Backup Collateral Manager Fee Letter);</w:t>
      </w:r>
    </w:p>
    <w:p>
      <w:pPr>
        <w:spacing w:after="0" w:line="63" w:lineRule="exact"/>
        <w:rPr>
          <w:sz w:val="20"/>
          <w:szCs w:val="20"/>
          <w:color w:val="auto"/>
        </w:rPr>
      </w:pPr>
    </w:p>
    <w:p>
      <w:pPr>
        <w:ind w:left="1460" w:firstLine="399"/>
        <w:spacing w:after="0" w:line="268" w:lineRule="auto"/>
        <w:tabs>
          <w:tab w:leader="none" w:pos="212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pay regular scheduled payments, any fees and expenses incurred under any hedge agreement (excluding any hedge termination payments);</w:t>
      </w:r>
    </w:p>
    <w:p>
      <w:pPr>
        <w:spacing w:after="0" w:line="50" w:lineRule="exact"/>
        <w:rPr>
          <w:rFonts w:ascii="Arial" w:cs="Arial" w:eastAsia="Arial" w:hAnsi="Arial"/>
          <w:sz w:val="18"/>
          <w:szCs w:val="18"/>
          <w:color w:val="auto"/>
        </w:rPr>
      </w:pPr>
    </w:p>
    <w:p>
      <w:pPr>
        <w:ind w:left="2140" w:hanging="281"/>
        <w:spacing w:after="0"/>
        <w:tabs>
          <w:tab w:leader="none" w:pos="2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2140" w:hanging="281"/>
        <w:spacing w:after="0"/>
        <w:tabs>
          <w:tab w:leader="none" w:pos="2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the BDC to pay accrued and unpaid Senior Collateral Management Fees;</w:t>
      </w:r>
    </w:p>
    <w:p>
      <w:pPr>
        <w:spacing w:after="0" w:line="90" w:lineRule="exact"/>
        <w:rPr>
          <w:rFonts w:ascii="Arial" w:cs="Arial" w:eastAsia="Arial" w:hAnsi="Arial"/>
          <w:sz w:val="18"/>
          <w:szCs w:val="18"/>
          <w:color w:val="auto"/>
        </w:rPr>
      </w:pPr>
    </w:p>
    <w:p>
      <w:pPr>
        <w:ind w:left="1460" w:right="280" w:firstLine="399"/>
        <w:spacing w:after="0" w:line="268" w:lineRule="auto"/>
        <w:tabs>
          <w:tab w:leader="none" w:pos="211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to each Lender to pay accrued and unpaid interest on the Advances and Commitment Fees due each such Lender and amounts payable to each such Lender under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51" w:lineRule="exact"/>
        <w:rPr>
          <w:sz w:val="20"/>
          <w:szCs w:val="20"/>
          <w:color w:val="auto"/>
        </w:rPr>
      </w:pPr>
    </w:p>
    <w:p>
      <w:pPr>
        <w:ind w:left="1460" w:right="80" w:firstLine="391"/>
        <w:spacing w:after="0" w:line="298" w:lineRule="auto"/>
        <w:rPr>
          <w:sz w:val="20"/>
          <w:szCs w:val="20"/>
          <w:color w:val="auto"/>
        </w:rPr>
      </w:pPr>
      <w:r>
        <w:rPr>
          <w:rFonts w:ascii="Arial" w:cs="Arial" w:eastAsia="Arial" w:hAnsi="Arial"/>
          <w:sz w:val="16"/>
          <w:szCs w:val="16"/>
          <w:color w:val="auto"/>
        </w:rPr>
        <w:t>(F)(1) prior to the occurrence and continuance of an Event of Default, if the Maximum Advance Rate Test is not satisfied as of the related Determination Date, to pay the principal of the Advances of each Lender (</w:t>
      </w:r>
      <w:r>
        <w:rPr>
          <w:rFonts w:ascii="Arial" w:cs="Arial" w:eastAsia="Arial" w:hAnsi="Arial"/>
          <w:sz w:val="16"/>
          <w:szCs w:val="16"/>
          <w:i w:val="1"/>
          <w:iCs w:val="1"/>
          <w:color w:val="auto"/>
        </w:rPr>
        <w:t>pro rata</w:t>
      </w:r>
      <w:r>
        <w:rPr>
          <w:rFonts w:ascii="Arial" w:cs="Arial" w:eastAsia="Arial" w:hAnsi="Arial"/>
          <w:sz w:val="16"/>
          <w:szCs w:val="16"/>
          <w:color w:val="auto"/>
        </w:rPr>
        <w:t>, based on each Lender’s Percentage) until the Maximum Advance Rate Test is satisfied (on a pro forma basis as at such Determination Date) and (2) during the continuance of an Event of Default, to pay the Advances of each Lender (</w:t>
      </w:r>
      <w:r>
        <w:rPr>
          <w:rFonts w:ascii="Arial" w:cs="Arial" w:eastAsia="Arial" w:hAnsi="Arial"/>
          <w:sz w:val="16"/>
          <w:szCs w:val="16"/>
          <w:i w:val="1"/>
          <w:iCs w:val="1"/>
          <w:color w:val="auto"/>
        </w:rPr>
        <w:t>pro rata</w:t>
      </w:r>
      <w:r>
        <w:rPr>
          <w:rFonts w:ascii="Arial" w:cs="Arial" w:eastAsia="Arial" w:hAnsi="Arial"/>
          <w:sz w:val="16"/>
          <w:szCs w:val="16"/>
          <w:color w:val="auto"/>
        </w:rPr>
        <w:t>, based on each Lender’s Percentage) until paid in full;</w:t>
      </w:r>
    </w:p>
    <w:p>
      <w:pPr>
        <w:spacing w:after="0" w:line="31" w:lineRule="exact"/>
        <w:rPr>
          <w:sz w:val="20"/>
          <w:szCs w:val="20"/>
          <w:color w:val="auto"/>
        </w:rPr>
      </w:pPr>
    </w:p>
    <w:p>
      <w:pPr>
        <w:ind w:left="1460" w:right="180" w:firstLine="399"/>
        <w:spacing w:after="0" w:line="268" w:lineRule="auto"/>
        <w:tabs>
          <w:tab w:leader="none" w:pos="213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to the payment or application of amounts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(in the same order of priority specified therein), to the extent not paid in full pursuant to applications under such clauses;</w:t>
      </w:r>
    </w:p>
    <w:p>
      <w:pPr>
        <w:spacing w:after="0" w:line="50" w:lineRule="exact"/>
        <w:rPr>
          <w:rFonts w:ascii="Arial" w:cs="Arial" w:eastAsia="Arial" w:hAnsi="Arial"/>
          <w:sz w:val="18"/>
          <w:szCs w:val="18"/>
          <w:color w:val="auto"/>
        </w:rPr>
      </w:pPr>
    </w:p>
    <w:p>
      <w:pPr>
        <w:ind w:left="2140" w:hanging="281"/>
        <w:spacing w:after="0"/>
        <w:tabs>
          <w:tab w:leader="none" w:pos="2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to pay accrued and unpaid amounts owing to Affected Persons (if any)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15.03</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80" w:hanging="221"/>
        <w:spacing w:after="0"/>
        <w:tabs>
          <w:tab w:leader="none" w:pos="2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the BDC to pay accrued and unpaid Subordinated Collateral Management Fees;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274" w:right="339" w:bottom="1440" w:gutter="0" w:footer="0" w:header="0"/>
        </w:sectPr>
      </w:pPr>
    </w:p>
    <w:bookmarkStart w:id="147" w:name="page148"/>
    <w:bookmarkEnd w:id="147"/>
    <w:p>
      <w:pPr>
        <w:ind w:left="960" w:hanging="221"/>
        <w:spacing w:after="0"/>
        <w:tabs>
          <w:tab w:leader="none" w:pos="960" w:val="left"/>
        </w:tabs>
        <w:numPr>
          <w:ilvl w:val="1"/>
          <w:numId w:val="1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during the Reinvestment Period, to the payment of any hedge breakage or termination costs owed by the Borrower;</w:t>
      </w:r>
    </w:p>
    <w:p>
      <w:pPr>
        <w:spacing w:after="0" w:line="113" w:lineRule="exact"/>
        <w:rPr>
          <w:rFonts w:ascii="Arial" w:cs="Arial" w:eastAsia="Arial" w:hAnsi="Arial"/>
          <w:sz w:val="16"/>
          <w:szCs w:val="16"/>
          <w:color w:val="auto"/>
        </w:rPr>
      </w:pPr>
    </w:p>
    <w:p>
      <w:pPr>
        <w:jc w:val="both"/>
        <w:ind w:left="340" w:firstLine="399"/>
        <w:spacing w:after="0" w:line="298" w:lineRule="auto"/>
        <w:tabs>
          <w:tab w:leader="none" w:pos="1018"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remainder to be allocated at the discretion of the Collateral Manager (in written notice to the Agents delivered on or prior to the related Determination Date) to any one or more of the following payments: (i) to the Principal Collection Subaccount for the purchase of additional Collateral Loans (including funding Revolving Collateral Loans and Delayed Drawdown Collateral Loans), (ii) to prepay the Advances, (iii) for deposit into the Revolving Reserve Account, and (iv) to the Borrower;</w:t>
      </w:r>
    </w:p>
    <w:p>
      <w:pPr>
        <w:spacing w:after="0" w:line="31" w:lineRule="exact"/>
        <w:rPr>
          <w:rFonts w:ascii="Arial" w:cs="Arial" w:eastAsia="Arial" w:hAnsi="Arial"/>
          <w:sz w:val="16"/>
          <w:szCs w:val="16"/>
          <w:color w:val="auto"/>
        </w:rPr>
      </w:pPr>
    </w:p>
    <w:p>
      <w:pPr>
        <w:ind w:left="1000" w:hanging="261"/>
        <w:spacing w:after="0"/>
        <w:tabs>
          <w:tab w:leader="none" w:pos="10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after the Reinvestment Period, to pay the Advances of each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each Lender’s Percentage) until paid in</w:t>
      </w:r>
    </w:p>
    <w:p>
      <w:pPr>
        <w:spacing w:after="0" w:line="3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full;</w:t>
      </w:r>
    </w:p>
    <w:p>
      <w:pPr>
        <w:spacing w:after="0" w:line="83" w:lineRule="exact"/>
        <w:rPr>
          <w:rFonts w:ascii="Arial" w:cs="Arial" w:eastAsia="Arial" w:hAnsi="Arial"/>
          <w:sz w:val="16"/>
          <w:szCs w:val="16"/>
          <w:color w:val="auto"/>
        </w:rPr>
      </w:pPr>
    </w:p>
    <w:p>
      <w:pPr>
        <w:ind w:left="1060" w:hanging="321"/>
        <w:spacing w:after="0"/>
        <w:tabs>
          <w:tab w:leader="none" w:pos="10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to the payment of any hedge breakage or termination costs owed by the Borrower;</w:t>
      </w:r>
    </w:p>
    <w:p>
      <w:pPr>
        <w:spacing w:after="0" w:line="90" w:lineRule="exact"/>
        <w:rPr>
          <w:rFonts w:ascii="Arial" w:cs="Arial" w:eastAsia="Arial" w:hAnsi="Arial"/>
          <w:sz w:val="18"/>
          <w:szCs w:val="18"/>
          <w:color w:val="auto"/>
        </w:rPr>
      </w:pPr>
    </w:p>
    <w:p>
      <w:pPr>
        <w:ind w:left="340" w:right="240" w:firstLine="399"/>
        <w:spacing w:after="0" w:line="268" w:lineRule="auto"/>
        <w:tabs>
          <w:tab w:leader="none" w:pos="101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to the payment of any other amounts owed to the Collateral Manager or U.S Bank National Association pursuant to a Facility Document or pursuant to this Agreement (including indemnities); and</w:t>
      </w:r>
    </w:p>
    <w:p>
      <w:pPr>
        <w:spacing w:after="0" w:line="50" w:lineRule="exact"/>
        <w:rPr>
          <w:rFonts w:ascii="Arial" w:cs="Arial" w:eastAsia="Arial" w:hAnsi="Arial"/>
          <w:sz w:val="18"/>
          <w:szCs w:val="18"/>
          <w:color w:val="auto"/>
        </w:rPr>
      </w:pPr>
    </w:p>
    <w:p>
      <w:pPr>
        <w:ind w:left="1020" w:hanging="281"/>
        <w:spacing w:after="0"/>
        <w:tabs>
          <w:tab w:leader="none" w:pos="10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remainder to the Borrower.</w:t>
      </w:r>
    </w:p>
    <w:p>
      <w:pPr>
        <w:spacing w:after="0" w:line="90" w:lineRule="exact"/>
        <w:rPr>
          <w:rFonts w:ascii="Arial" w:cs="Arial" w:eastAsia="Arial" w:hAnsi="Arial"/>
          <w:sz w:val="18"/>
          <w:szCs w:val="18"/>
          <w:color w:val="auto"/>
        </w:rPr>
      </w:pPr>
    </w:p>
    <w:p>
      <w:pPr>
        <w:ind w:left="-220" w:right="180" w:firstLine="420"/>
        <w:spacing w:after="0" w:line="298" w:lineRule="auto"/>
        <w:tabs>
          <w:tab w:leader="none" w:pos="45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On each Payment Date, Principal Proceeds on deposit in the Principal Collection Subaccount that are received on or before the related Determination Date and that are not designated for reinvestment by the Collateral Manager will be transferred to the Payment Account and applied, except for any such Principal Proceeds that will be used to settle binding commitments (entered into prior to the related Determination Date) for the purchase of Collateral Loans, in the following order of priority:</w:t>
      </w:r>
    </w:p>
    <w:p>
      <w:pPr>
        <w:spacing w:after="0" w:line="31" w:lineRule="exact"/>
        <w:rPr>
          <w:rFonts w:ascii="Arial" w:cs="Arial" w:eastAsia="Arial" w:hAnsi="Arial"/>
          <w:sz w:val="16"/>
          <w:szCs w:val="16"/>
          <w:color w:val="auto"/>
        </w:rPr>
      </w:pPr>
    </w:p>
    <w:p>
      <w:pPr>
        <w:ind w:left="340" w:right="400" w:firstLine="399"/>
        <w:spacing w:after="0" w:line="268" w:lineRule="auto"/>
        <w:tabs>
          <w:tab w:leader="none" w:pos="101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to the payment of unpaid amounts under </w:t>
      </w:r>
      <w:r>
        <w:rPr>
          <w:rFonts w:ascii="Arial" w:cs="Arial" w:eastAsia="Arial" w:hAnsi="Arial"/>
          <w:sz w:val="18"/>
          <w:szCs w:val="18"/>
          <w:u w:val="single" w:color="auto"/>
          <w:color w:val="auto"/>
        </w:rPr>
        <w:t>clauses (A) through (G)</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(in the same order of priority specified therein), to the extent not paid in full thereunder;</w:t>
      </w:r>
    </w:p>
    <w:p>
      <w:pPr>
        <w:spacing w:after="0" w:line="50" w:lineRule="exact"/>
        <w:rPr>
          <w:rFonts w:ascii="Arial" w:cs="Arial" w:eastAsia="Arial" w:hAnsi="Arial"/>
          <w:sz w:val="18"/>
          <w:szCs w:val="18"/>
          <w:color w:val="auto"/>
        </w:rPr>
      </w:pPr>
    </w:p>
    <w:p>
      <w:pPr>
        <w:ind w:left="340" w:right="160" w:firstLine="399"/>
        <w:spacing w:after="0" w:line="256" w:lineRule="auto"/>
        <w:tabs>
          <w:tab w:leader="none" w:pos="100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during the Reinvestment Period, at the discretion of the Collateral Manager, all remaining amounts shall be applied in any combination of the following three options: (1) to the Principal Collection Subaccount for the purpose of acquiring additional Collateral Loans (including funding Revolving Collateral Loans and Delayed Drawdown Collateral Loans), and/or (2) to prepay the Advances, and/or (3) for deposit into the Revolving Reserve Account;</w:t>
      </w:r>
    </w:p>
    <w:p>
      <w:pPr>
        <w:spacing w:after="0" w:line="61" w:lineRule="exact"/>
        <w:rPr>
          <w:rFonts w:ascii="Arial" w:cs="Arial" w:eastAsia="Arial" w:hAnsi="Arial"/>
          <w:sz w:val="18"/>
          <w:szCs w:val="18"/>
          <w:color w:val="auto"/>
        </w:rPr>
      </w:pPr>
    </w:p>
    <w:p>
      <w:pPr>
        <w:jc w:val="both"/>
        <w:ind w:left="340" w:right="60" w:firstLine="399"/>
        <w:spacing w:after="0" w:line="259" w:lineRule="auto"/>
        <w:tabs>
          <w:tab w:leader="none" w:pos="100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after the Reinvestment Period, (1) </w:t>
      </w:r>
      <w:r>
        <w:rPr>
          <w:rFonts w:ascii="Arial" w:cs="Arial" w:eastAsia="Arial" w:hAnsi="Arial"/>
          <w:sz w:val="18"/>
          <w:szCs w:val="18"/>
          <w:i w:val="1"/>
          <w:iCs w:val="1"/>
          <w:color w:val="auto"/>
        </w:rPr>
        <w:t>first</w:t>
      </w:r>
      <w:r>
        <w:rPr>
          <w:rFonts w:ascii="Arial" w:cs="Arial" w:eastAsia="Arial" w:hAnsi="Arial"/>
          <w:sz w:val="18"/>
          <w:szCs w:val="18"/>
          <w:color w:val="auto"/>
        </w:rPr>
        <w:t xml:space="preserve">, for deposit into the Revolving Reserve Account until the amounts on deposit therein are equal to the Revolving Reserve Required Amount; and (2) </w:t>
      </w:r>
      <w:r>
        <w:rPr>
          <w:rFonts w:ascii="Arial" w:cs="Arial" w:eastAsia="Arial" w:hAnsi="Arial"/>
          <w:sz w:val="18"/>
          <w:szCs w:val="18"/>
          <w:i w:val="1"/>
          <w:iCs w:val="1"/>
          <w:color w:val="auto"/>
        </w:rPr>
        <w:t>second</w:t>
      </w:r>
      <w:r>
        <w:rPr>
          <w:rFonts w:ascii="Arial" w:cs="Arial" w:eastAsia="Arial" w:hAnsi="Arial"/>
          <w:sz w:val="18"/>
          <w:szCs w:val="18"/>
          <w:color w:val="auto"/>
        </w:rPr>
        <w:t>, to pay the Advances of each Lender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each Lender’s Percentage) until the Advances are paid in full;</w:t>
      </w:r>
    </w:p>
    <w:p>
      <w:pPr>
        <w:spacing w:after="0" w:line="12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060"/>
          </w:cols>
          <w:pgMar w:left="1440" w:top="280" w:right="399" w:bottom="1440" w:gutter="0" w:footer="0" w:header="0"/>
        </w:sectPr>
      </w:pPr>
    </w:p>
    <w:bookmarkStart w:id="148" w:name="page149"/>
    <w:bookmarkEnd w:id="148"/>
    <w:p>
      <w:pPr>
        <w:ind w:left="900" w:right="320" w:firstLine="420"/>
        <w:spacing w:after="0" w:line="268" w:lineRule="auto"/>
        <w:tabs>
          <w:tab w:leader="none" w:pos="1601" w:val="left"/>
        </w:tabs>
        <w:numPr>
          <w:ilvl w:val="1"/>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after the Reinvestment Period, to the payment of amounts referred to in </w:t>
      </w:r>
      <w:r>
        <w:rPr>
          <w:rFonts w:ascii="Arial" w:cs="Arial" w:eastAsia="Arial" w:hAnsi="Arial"/>
          <w:sz w:val="18"/>
          <w:szCs w:val="18"/>
          <w:u w:val="single" w:color="auto"/>
          <w:color w:val="auto"/>
        </w:rPr>
        <w:t>clauses (G), (H), (I) and (M)</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(in the same order of priority specified therein), to the extent not paid in full thereunder; and</w:t>
      </w:r>
    </w:p>
    <w:p>
      <w:pPr>
        <w:spacing w:after="0" w:line="50" w:lineRule="exact"/>
        <w:rPr>
          <w:rFonts w:ascii="Arial" w:cs="Arial" w:eastAsia="Arial" w:hAnsi="Arial"/>
          <w:sz w:val="18"/>
          <w:szCs w:val="18"/>
          <w:color w:val="auto"/>
        </w:rPr>
      </w:pPr>
    </w:p>
    <w:p>
      <w:pPr>
        <w:ind w:left="1580" w:hanging="260"/>
        <w:spacing w:after="0"/>
        <w:tabs>
          <w:tab w:leader="none" w:pos="15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remainder to the Borrower.</w:t>
      </w:r>
    </w:p>
    <w:p>
      <w:pPr>
        <w:spacing w:after="0" w:line="90" w:lineRule="exact"/>
        <w:rPr>
          <w:rFonts w:ascii="Arial" w:cs="Arial" w:eastAsia="Arial" w:hAnsi="Arial"/>
          <w:sz w:val="18"/>
          <w:szCs w:val="18"/>
          <w:color w:val="auto"/>
        </w:rPr>
      </w:pPr>
    </w:p>
    <w:p>
      <w:pPr>
        <w:ind w:left="460" w:right="120" w:firstLine="428"/>
        <w:spacing w:after="0" w:line="259" w:lineRule="auto"/>
        <w:tabs>
          <w:tab w:leader="none" w:pos="11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If on any Payment Date the amount available in the Payment Account is insufficient to make the full amount of the disbursements required by the Payment Date Report, the Collateral Agent shall make the disbursements called for in the order and according to the priority set forth under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to the extent funds are available therefor.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OF COLLATERAL LOANS; PURCHASE OF ADDITIONAL COLLATERAL LOANS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Section 10.01. Sales of Collateral Loans</w:t>
      </w:r>
      <w:r>
        <w:rPr>
          <w:rFonts w:ascii="Arial" w:cs="Arial" w:eastAsia="Arial" w:hAnsi="Arial"/>
          <w:sz w:val="16"/>
          <w:szCs w:val="16"/>
          <w:color w:val="auto"/>
        </w:rPr>
        <w:t>. (a)</w:t>
      </w:r>
      <w:r>
        <w:rPr>
          <w:rFonts w:ascii="Arial" w:cs="Arial" w:eastAsia="Arial" w:hAnsi="Arial"/>
          <w:sz w:val="16"/>
          <w:szCs w:val="16"/>
          <w:i w:val="1"/>
          <w:iCs w:val="1"/>
          <w:color w:val="auto"/>
        </w:rPr>
        <w:t xml:space="preserve"> Discretionary Sales of Collateral Loans</w:t>
      </w:r>
      <w:r>
        <w:rPr>
          <w:rFonts w:ascii="Arial" w:cs="Arial" w:eastAsia="Arial" w:hAnsi="Arial"/>
          <w:sz w:val="16"/>
          <w:szCs w:val="16"/>
          <w:color w:val="auto"/>
        </w:rPr>
        <w:t>. Subject to the satisfaction of the conditions specified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the Collateral Manager on behalf of the Borrower may, but will not be required to, direct the Collateral Agent to sell, and the Collateral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sell in the manner directed by the Collateral Manager, any Collateral Loan, Credit Risk Collateral Loan, Defaulted Collateral Loan, or Ineligible Collateral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 if such sale meets the requirements set forth below:</w:t>
      </w:r>
    </w:p>
    <w:p>
      <w:pPr>
        <w:spacing w:after="0" w:line="84" w:lineRule="exact"/>
        <w:rPr>
          <w:sz w:val="20"/>
          <w:szCs w:val="20"/>
          <w:color w:val="auto"/>
        </w:rPr>
      </w:pPr>
    </w:p>
    <w:p>
      <w:pPr>
        <w:ind w:left="900" w:right="140" w:hanging="447"/>
        <w:spacing w:after="0" w:line="268"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Default or Event of Default is continuing or would result upon giving effect thereto (unless, in the case of such a Default, such Default will be cured upon giving effect to such sale and the application of the proceeds thereof);</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upon giving effect thereto and the application of the proceeds thereof, the Maximum Advance Rate Test is satisfied;</w:t>
      </w:r>
    </w:p>
    <w:p>
      <w:pPr>
        <w:spacing w:after="0" w:line="90" w:lineRule="exact"/>
        <w:rPr>
          <w:rFonts w:ascii="Arial" w:cs="Arial" w:eastAsia="Arial" w:hAnsi="Arial"/>
          <w:sz w:val="18"/>
          <w:szCs w:val="18"/>
          <w:color w:val="auto"/>
        </w:rPr>
      </w:pPr>
    </w:p>
    <w:p>
      <w:pPr>
        <w:ind w:left="900" w:right="160" w:hanging="447"/>
        <w:spacing w:after="0" w:line="268"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upon giving effect thereto and the application of the proceeds thereof, each other Coverage Test is satisfied (or if any such other Coverage Test is not satisfied, such test is maintained or improved after giving effect to such sale);</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such sale is made for Cash;</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such sale is made for a purchase price at least equal to the original percentage of par paid by the Borrower; and</w:t>
      </w:r>
    </w:p>
    <w:p>
      <w:pPr>
        <w:spacing w:after="0" w:line="90" w:lineRule="exact"/>
        <w:rPr>
          <w:rFonts w:ascii="Arial" w:cs="Arial" w:eastAsia="Arial" w:hAnsi="Arial"/>
          <w:sz w:val="18"/>
          <w:szCs w:val="18"/>
          <w:color w:val="auto"/>
        </w:rPr>
      </w:pPr>
    </w:p>
    <w:p>
      <w:pPr>
        <w:ind w:left="900" w:right="420" w:hanging="447"/>
        <w:spacing w:after="0" w:line="259"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in the reasonable judgment of the Collateral Manager, there is no adverse selection of such Collateral Loans;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restrictions in </w:t>
      </w:r>
      <w:r>
        <w:rPr>
          <w:rFonts w:ascii="Arial" w:cs="Arial" w:eastAsia="Arial" w:hAnsi="Arial"/>
          <w:sz w:val="18"/>
          <w:szCs w:val="18"/>
          <w:u w:val="single" w:color="auto"/>
          <w:color w:val="auto"/>
        </w:rPr>
        <w:t>clauses (iii), (v) and (vi)</w:t>
      </w:r>
      <w:r>
        <w:rPr>
          <w:rFonts w:ascii="Arial" w:cs="Arial" w:eastAsia="Arial" w:hAnsi="Arial"/>
          <w:sz w:val="18"/>
          <w:szCs w:val="18"/>
          <w:color w:val="auto"/>
        </w:rPr>
        <w:t xml:space="preserve"> above in this </w:t>
      </w:r>
      <w:r>
        <w:rPr>
          <w:rFonts w:ascii="Arial" w:cs="Arial" w:eastAsia="Arial" w:hAnsi="Arial"/>
          <w:sz w:val="18"/>
          <w:szCs w:val="18"/>
          <w:u w:val="single" w:color="auto"/>
          <w:color w:val="auto"/>
        </w:rPr>
        <w:t>Section 10.01(a)</w:t>
      </w:r>
      <w:r>
        <w:rPr>
          <w:rFonts w:ascii="Arial" w:cs="Arial" w:eastAsia="Arial" w:hAnsi="Arial"/>
          <w:sz w:val="18"/>
          <w:szCs w:val="18"/>
          <w:color w:val="auto"/>
        </w:rPr>
        <w:t xml:space="preserve"> shall not apply to sales of Credit Risk Collateral Loans, Defaulted Collateral Loans or Ineligible Collateral Loans.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280" w:right="339" w:bottom="1440" w:gutter="0" w:footer="0" w:header="0"/>
        </w:sectPr>
      </w:pPr>
    </w:p>
    <w:bookmarkStart w:id="149" w:name="page150"/>
    <w:bookmarkEnd w:id="149"/>
    <w:p>
      <w:pPr>
        <w:ind w:left="460" w:firstLine="43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above that would otherwise prohibit the sale of a Collateral Loan after the occurrence or during the continuance of a Default or an Event of Default, if the Borrower entered into an agreement to sell any such Collateral Loan prior to the occurrence and continuance of such Default or an Event of Default, but such sale did not settle prior to the occurrence of such Default or an Event of Default, then the Borrower shall be permitted to consummate such sale notwithstanding the occurrence and continuance of such Default or an Event of Default,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such sale was not entered into in contemplation of the occurrence of such Default or Event of Default and such settlement occurs within the customary settlement period for similar trades.</w:t>
      </w:r>
    </w:p>
    <w:p>
      <w:pPr>
        <w:spacing w:after="0" w:line="63" w:lineRule="exact"/>
        <w:rPr>
          <w:sz w:val="20"/>
          <w:szCs w:val="20"/>
          <w:color w:val="auto"/>
        </w:rPr>
      </w:pPr>
    </w:p>
    <w:p>
      <w:pPr>
        <w:jc w:val="both"/>
        <w:ind w:left="460" w:firstLine="428"/>
        <w:spacing w:after="0" w:line="335" w:lineRule="auto"/>
        <w:tabs>
          <w:tab w:leader="none" w:pos="1140" w:val="left"/>
        </w:tabs>
        <w:numPr>
          <w:ilvl w:val="0"/>
          <w:numId w:val="157"/>
        </w:numPr>
        <w:rPr>
          <w:rFonts w:ascii="Arial" w:cs="Arial" w:eastAsia="Arial" w:hAnsi="Arial"/>
          <w:sz w:val="15"/>
          <w:szCs w:val="15"/>
          <w:color w:val="auto"/>
        </w:rPr>
      </w:pPr>
      <w:r>
        <w:rPr>
          <w:rFonts w:ascii="Arial" w:cs="Arial" w:eastAsia="Arial" w:hAnsi="Arial"/>
          <w:sz w:val="15"/>
          <w:szCs w:val="15"/>
          <w:i w:val="1"/>
          <w:iCs w:val="1"/>
          <w:color w:val="auto"/>
        </w:rPr>
        <w:t xml:space="preserve">Sales of Equity Securities. </w:t>
      </w:r>
      <w:r>
        <w:rPr>
          <w:rFonts w:ascii="Arial" w:cs="Arial" w:eastAsia="Arial" w:hAnsi="Arial"/>
          <w:sz w:val="15"/>
          <w:szCs w:val="15"/>
          <w:color w:val="auto"/>
        </w:rPr>
        <w:t>The Borrower may sell any Equity Security at any time without restriction, and shall use its commercially reasonable</w:t>
      </w:r>
      <w:r>
        <w:rPr>
          <w:rFonts w:ascii="Arial" w:cs="Arial" w:eastAsia="Arial" w:hAnsi="Arial"/>
          <w:sz w:val="15"/>
          <w:szCs w:val="15"/>
          <w:i w:val="1"/>
          <w:iCs w:val="1"/>
          <w:color w:val="auto"/>
        </w:rPr>
        <w:t xml:space="preserve"> </w:t>
      </w:r>
      <w:r>
        <w:rPr>
          <w:rFonts w:ascii="Arial" w:cs="Arial" w:eastAsia="Arial" w:hAnsi="Arial"/>
          <w:sz w:val="15"/>
          <w:szCs w:val="15"/>
          <w:color w:val="auto"/>
        </w:rPr>
        <w:t>efforts to effect the sale of any Equity Security, regardless of price within forty-five (45) days of receipt if such Equity Security constitutes Margin Stock, unless such sale is prohibited by Applicable Law, in which case such Equity Security should be sold as soon as such sale is permitted by Applicable Law.</w:t>
      </w:r>
    </w:p>
    <w:p>
      <w:pPr>
        <w:spacing w:after="0" w:line="6" w:lineRule="exact"/>
        <w:rPr>
          <w:rFonts w:ascii="Arial" w:cs="Arial" w:eastAsia="Arial" w:hAnsi="Arial"/>
          <w:sz w:val="15"/>
          <w:szCs w:val="15"/>
          <w:color w:val="auto"/>
        </w:rPr>
      </w:pPr>
    </w:p>
    <w:p>
      <w:pPr>
        <w:ind w:left="460" w:right="240" w:firstLine="428"/>
        <w:spacing w:after="0" w:line="306" w:lineRule="auto"/>
        <w:tabs>
          <w:tab w:leader="none" w:pos="1130"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Certain Restrictions. </w:t>
      </w:r>
      <w:r>
        <w:rPr>
          <w:rFonts w:ascii="Arial" w:cs="Arial" w:eastAsia="Arial" w:hAnsi="Arial"/>
          <w:sz w:val="16"/>
          <w:szCs w:val="16"/>
          <w:color w:val="auto"/>
        </w:rPr>
        <w:t>In the case of a sale of a Defaulted Collateral Loan, a Credit Risk Collateral Loan or an Ineligible Collateral Loan to an</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 of the Borrower at a price less than the original percentage of par paid by the Borrower, the purchase price shall not be less than the Market Value of such Defaulted Collateral Loan, Credit Risk Collateral Loan or Ineligible Collateral Loan.</w:t>
      </w:r>
    </w:p>
    <w:p>
      <w:pPr>
        <w:spacing w:after="0" w:line="25" w:lineRule="exact"/>
        <w:rPr>
          <w:rFonts w:ascii="Arial" w:cs="Arial" w:eastAsia="Arial" w:hAnsi="Arial"/>
          <w:sz w:val="16"/>
          <w:szCs w:val="16"/>
          <w:color w:val="auto"/>
        </w:rPr>
      </w:pPr>
    </w:p>
    <w:p>
      <w:pPr>
        <w:ind w:left="460" w:right="460" w:firstLine="428"/>
        <w:spacing w:after="0" w:line="268" w:lineRule="auto"/>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Terms of Sales</w:t>
      </w:r>
      <w:r>
        <w:rPr>
          <w:rFonts w:ascii="Arial" w:cs="Arial" w:eastAsia="Arial" w:hAnsi="Arial"/>
          <w:sz w:val="18"/>
          <w:szCs w:val="18"/>
          <w:color w:val="auto"/>
        </w:rPr>
        <w:t>. All sales of Collateral Loans and other property of the Borrower under the provisions above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10.01</w:t>
      </w:r>
      <w:r>
        <w:rPr>
          <w:rFonts w:ascii="Arial" w:cs="Arial" w:eastAsia="Arial" w:hAnsi="Arial"/>
          <w:sz w:val="18"/>
          <w:szCs w:val="18"/>
          <w:i w:val="1"/>
          <w:iCs w:val="1"/>
          <w:color w:val="auto"/>
        </w:rPr>
        <w:t xml:space="preserve"> </w:t>
      </w:r>
      <w:r>
        <w:rPr>
          <w:rFonts w:ascii="Arial" w:cs="Arial" w:eastAsia="Arial" w:hAnsi="Arial"/>
          <w:sz w:val="18"/>
          <w:szCs w:val="18"/>
          <w:color w:val="auto"/>
        </w:rPr>
        <w:t>must be</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exclusively for Cash.</w:t>
      </w:r>
    </w:p>
    <w:p>
      <w:pPr>
        <w:spacing w:after="0" w:line="132"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i w:val="1"/>
          <w:iCs w:val="1"/>
          <w:color w:val="auto"/>
        </w:rPr>
        <w:t>Section 10.02. Purchase of Additional Collateral Loans</w:t>
      </w:r>
      <w:r>
        <w:rPr>
          <w:rFonts w:ascii="Arial" w:cs="Arial" w:eastAsia="Arial" w:hAnsi="Arial"/>
          <w:sz w:val="16"/>
          <w:szCs w:val="16"/>
          <w:color w:val="auto"/>
        </w:rPr>
        <w:t>. (a)</w:t>
      </w:r>
      <w:r>
        <w:rPr>
          <w:rFonts w:ascii="Arial" w:cs="Arial" w:eastAsia="Arial" w:hAnsi="Arial"/>
          <w:sz w:val="16"/>
          <w:szCs w:val="16"/>
          <w:i w:val="1"/>
          <w:iCs w:val="1"/>
          <w:color w:val="auto"/>
        </w:rPr>
        <w:t xml:space="preserve"> Purchase of Collateral Loans</w:t>
      </w:r>
      <w:r>
        <w:rPr>
          <w:rFonts w:ascii="Arial" w:cs="Arial" w:eastAsia="Arial" w:hAnsi="Arial"/>
          <w:sz w:val="16"/>
          <w:szCs w:val="16"/>
          <w:color w:val="auto"/>
        </w:rPr>
        <w:t>. On any date during the Reinvestment Period, if no Event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Default has occurred and is continuing, the Collateral Manager on behalf of the Borrower may, if each of the conditions specified in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are met, invest Principal Proceeds and accrued interest received with respect to any Collateral Loan to the extent used to pay for accrued interest on additional Collateral Loans in additional Collateral Loans,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that no Collateral Loan may be purchased unless each of the following conditions are satisfied as of the date the Collateral Manager commits on behalf of the Borrower to make such purchase, in each case after giving effect to such purchase and all other sales or purchases previously or simultaneously committed to:</w:t>
      </w:r>
    </w:p>
    <w:p>
      <w:pPr>
        <w:spacing w:after="0" w:line="39" w:lineRule="exact"/>
        <w:rPr>
          <w:sz w:val="20"/>
          <w:szCs w:val="20"/>
          <w:color w:val="auto"/>
        </w:rPr>
      </w:pPr>
    </w:p>
    <w:p>
      <w:pPr>
        <w:ind w:left="1520" w:hanging="200"/>
        <w:spacing w:after="0"/>
        <w:tabs>
          <w:tab w:leader="none" w:pos="15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such obligation is a Collateral Loan; and</w:t>
      </w:r>
    </w:p>
    <w:p>
      <w:pPr>
        <w:spacing w:after="0" w:line="90" w:lineRule="exact"/>
        <w:rPr>
          <w:rFonts w:ascii="Arial" w:cs="Arial" w:eastAsia="Arial" w:hAnsi="Arial"/>
          <w:sz w:val="18"/>
          <w:szCs w:val="18"/>
          <w:color w:val="auto"/>
        </w:rPr>
      </w:pPr>
    </w:p>
    <w:p>
      <w:pPr>
        <w:ind w:left="900" w:right="260" w:firstLine="420"/>
        <w:spacing w:after="0" w:line="268" w:lineRule="auto"/>
        <w:tabs>
          <w:tab w:leader="none" w:pos="157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each Coverage Test is satisfied (or if any such Coverage Test is not satisfied, such test is maintained or improved after giving effect to such purchase).</w:t>
      </w:r>
    </w:p>
    <w:p>
      <w:pPr>
        <w:spacing w:after="0" w:line="50" w:lineRule="exact"/>
        <w:rPr>
          <w:rFonts w:ascii="Arial" w:cs="Arial" w:eastAsia="Arial" w:hAnsi="Arial"/>
          <w:sz w:val="18"/>
          <w:szCs w:val="18"/>
          <w:color w:val="auto"/>
        </w:rPr>
      </w:pPr>
    </w:p>
    <w:p>
      <w:pPr>
        <w:ind w:left="460" w:right="180" w:firstLine="428"/>
        <w:spacing w:after="0" w:line="306" w:lineRule="auto"/>
        <w:tabs>
          <w:tab w:leader="none" w:pos="1140"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Purchase of Collateral Loans Involving Affiliates</w:t>
      </w:r>
      <w:r>
        <w:rPr>
          <w:rFonts w:ascii="Arial" w:cs="Arial" w:eastAsia="Arial" w:hAnsi="Arial"/>
          <w:sz w:val="16"/>
          <w:szCs w:val="16"/>
          <w:color w:val="auto"/>
        </w:rPr>
        <w:t>. Additional Collateral Loans may be purchased from time to time by the Borrower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Manager or any of its Affiliates only if (x) the terms and conditions thereof are no less favorable to the Borrower than the terms it would obtain in a comparable, timely sale with a non-Affiliate, (y) the transactions are effected in accordance with all Applicable Laws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280" w:right="339" w:bottom="1440" w:gutter="0" w:footer="0" w:header="0"/>
        </w:sectPr>
      </w:pPr>
    </w:p>
    <w:bookmarkStart w:id="150" w:name="page151"/>
    <w:bookmarkEnd w:id="150"/>
    <w:p>
      <w:pPr>
        <w:ind w:left="46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(z) such purchase is for an amount equal to or less than the lesser of (A) the original purchase price paid by the Collateral Manager or such Affiliate (after adjustment for any borrowings or repayments and exclusive of interest) and (B) the Collateral Manager’s current mark with respect to such Collateral Loan.</w:t>
      </w:r>
    </w:p>
    <w:p>
      <w:pPr>
        <w:spacing w:after="0" w:line="140"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i w:val="1"/>
          <w:iCs w:val="1"/>
          <w:color w:val="auto"/>
        </w:rPr>
        <w:t>Section 10.03. Substitution and Transfer of Loans</w:t>
      </w:r>
      <w:r>
        <w:rPr>
          <w:rFonts w:ascii="Arial" w:cs="Arial" w:eastAsia="Arial" w:hAnsi="Arial"/>
          <w:sz w:val="16"/>
          <w:szCs w:val="16"/>
          <w:color w:val="auto"/>
        </w:rPr>
        <w:t>. (a)</w:t>
      </w:r>
      <w:r>
        <w:rPr>
          <w:rFonts w:ascii="Arial" w:cs="Arial" w:eastAsia="Arial" w:hAnsi="Arial"/>
          <w:sz w:val="16"/>
          <w:szCs w:val="16"/>
          <w:i w:val="1"/>
          <w:iCs w:val="1"/>
          <w:color w:val="auto"/>
        </w:rPr>
        <w:t xml:space="preserve"> Substitutions</w:t>
      </w:r>
      <w:r>
        <w:rPr>
          <w:rFonts w:ascii="Arial" w:cs="Arial" w:eastAsia="Arial" w:hAnsi="Arial"/>
          <w:sz w:val="16"/>
          <w:szCs w:val="16"/>
          <w:color w:val="auto"/>
        </w:rPr>
        <w:t>. The Borrower may (including in connection with any retransfer of a Collateral Loan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BDC under the Purchase and Contribution Agreement) with the consent of the Administrative Agent in its sole discretion replace any Collateral Loan with another Collateral Loan (a </w:t>
      </w:r>
      <w:r>
        <w:rPr>
          <w:rFonts w:ascii="Arial" w:cs="Arial" w:eastAsia="Arial" w:hAnsi="Arial"/>
          <w:sz w:val="16"/>
          <w:szCs w:val="16"/>
          <w:i w:val="1"/>
          <w:iCs w:val="1"/>
          <w:color w:val="auto"/>
        </w:rPr>
        <w:t>“Substitute Loan”</w:t>
      </w:r>
      <w:r>
        <w:rPr>
          <w:rFonts w:ascii="Arial" w:cs="Arial" w:eastAsia="Arial" w:hAnsi="Arial"/>
          <w:sz w:val="16"/>
          <w:szCs w:val="16"/>
          <w:color w:val="auto"/>
        </w:rPr>
        <w:t xml:space="preserve">), subject to the satisfaction of the conditions set forth below and in </w:t>
      </w:r>
      <w:r>
        <w:rPr>
          <w:rFonts w:ascii="Arial" w:cs="Arial" w:eastAsia="Arial" w:hAnsi="Arial"/>
          <w:sz w:val="16"/>
          <w:szCs w:val="16"/>
          <w:u w:val="single" w:color="auto"/>
          <w:color w:val="auto"/>
        </w:rPr>
        <w:t>Section 10.04(c)</w:t>
      </w:r>
      <w:r>
        <w:rPr>
          <w:rFonts w:ascii="Arial" w:cs="Arial" w:eastAsia="Arial" w:hAnsi="Arial"/>
          <w:sz w:val="16"/>
          <w:szCs w:val="16"/>
          <w:color w:val="auto"/>
        </w:rPr>
        <w:t>.</w:t>
      </w:r>
    </w:p>
    <w:p>
      <w:pPr>
        <w:spacing w:after="0" w:line="25" w:lineRule="exact"/>
        <w:rPr>
          <w:sz w:val="20"/>
          <w:szCs w:val="20"/>
          <w:color w:val="auto"/>
        </w:rPr>
      </w:pPr>
    </w:p>
    <w:p>
      <w:pPr>
        <w:ind w:left="460" w:right="200" w:firstLine="428"/>
        <w:spacing w:after="0" w:line="331" w:lineRule="auto"/>
        <w:tabs>
          <w:tab w:leader="none" w:pos="1140" w:val="left"/>
        </w:tabs>
        <w:numPr>
          <w:ilvl w:val="0"/>
          <w:numId w:val="160"/>
        </w:numPr>
        <w:rPr>
          <w:rFonts w:ascii="Arial" w:cs="Arial" w:eastAsia="Arial" w:hAnsi="Arial"/>
          <w:sz w:val="16"/>
          <w:szCs w:val="16"/>
          <w:color w:val="auto"/>
        </w:rPr>
      </w:pPr>
      <w:r>
        <w:rPr>
          <w:rFonts w:ascii="Arial" w:cs="Arial" w:eastAsia="Arial" w:hAnsi="Arial"/>
          <w:sz w:val="16"/>
          <w:szCs w:val="16"/>
          <w:i w:val="1"/>
          <w:iCs w:val="1"/>
          <w:color w:val="auto"/>
        </w:rPr>
        <w:t>Conditions to Substitution</w:t>
      </w:r>
      <w:r>
        <w:rPr>
          <w:rFonts w:ascii="Arial" w:cs="Arial" w:eastAsia="Arial" w:hAnsi="Arial"/>
          <w:sz w:val="16"/>
          <w:szCs w:val="16"/>
          <w:color w:val="auto"/>
        </w:rPr>
        <w:t>. No substitution of a Collateral Loan with a Substitute Loan shall occur unless each of the following conditions is</w:t>
      </w:r>
      <w:r>
        <w:rPr>
          <w:rFonts w:ascii="Arial" w:cs="Arial" w:eastAsia="Arial" w:hAnsi="Arial"/>
          <w:sz w:val="16"/>
          <w:szCs w:val="16"/>
          <w:i w:val="1"/>
          <w:iCs w:val="1"/>
          <w:color w:val="auto"/>
        </w:rPr>
        <w:t xml:space="preserve"> </w:t>
      </w:r>
      <w:r>
        <w:rPr>
          <w:rFonts w:ascii="Arial" w:cs="Arial" w:eastAsia="Arial" w:hAnsi="Arial"/>
          <w:sz w:val="16"/>
          <w:szCs w:val="16"/>
          <w:color w:val="auto"/>
        </w:rPr>
        <w:t>satisfied as of the date of such substitution (as certified to the Agents by the Borrower (or the Collateral Manager on behalf of the Borrower)):</w:t>
      </w:r>
    </w:p>
    <w:p>
      <w:pPr>
        <w:spacing w:after="0" w:line="5" w:lineRule="exact"/>
        <w:rPr>
          <w:rFonts w:ascii="Arial" w:cs="Arial" w:eastAsia="Arial" w:hAnsi="Arial"/>
          <w:sz w:val="16"/>
          <w:szCs w:val="16"/>
          <w:color w:val="auto"/>
        </w:rPr>
      </w:pPr>
    </w:p>
    <w:p>
      <w:pPr>
        <w:ind w:left="1520" w:hanging="200"/>
        <w:spacing w:after="0"/>
        <w:tabs>
          <w:tab w:leader="none" w:pos="15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each Substitute Loan satisfies the eligibility criteria set forth in the definition of Collateral Loan on the date of substitution;</w:t>
      </w:r>
    </w:p>
    <w:p>
      <w:pPr>
        <w:spacing w:after="0" w:line="90" w:lineRule="exact"/>
        <w:rPr>
          <w:rFonts w:ascii="Arial" w:cs="Arial" w:eastAsia="Arial" w:hAnsi="Arial"/>
          <w:sz w:val="18"/>
          <w:szCs w:val="18"/>
          <w:color w:val="auto"/>
        </w:rPr>
      </w:pPr>
    </w:p>
    <w:p>
      <w:pPr>
        <w:ind w:left="900" w:right="360" w:firstLine="420"/>
        <w:spacing w:after="0" w:line="268" w:lineRule="auto"/>
        <w:tabs>
          <w:tab w:leader="none" w:pos="157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after giving effect to any such substitution, each Coverage Test is satisfied (or if any such Coverage Test is not satisfied, such test is maintained or improved after giving effect to such substitution);</w:t>
      </w:r>
    </w:p>
    <w:p>
      <w:pPr>
        <w:spacing w:after="0" w:line="50" w:lineRule="exact"/>
        <w:rPr>
          <w:rFonts w:ascii="Arial" w:cs="Arial" w:eastAsia="Arial" w:hAnsi="Arial"/>
          <w:sz w:val="18"/>
          <w:szCs w:val="18"/>
          <w:color w:val="auto"/>
        </w:rPr>
      </w:pPr>
    </w:p>
    <w:p>
      <w:pPr>
        <w:ind w:left="900" w:right="320" w:firstLine="420"/>
        <w:spacing w:after="0" w:line="268" w:lineRule="auto"/>
        <w:tabs>
          <w:tab w:leader="none" w:pos="1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sum of the Principal Balances of such Substitute Loans shall be equal to or greater than the sum of the Principal Balances of the Collateral Loans being substituted for;</w:t>
      </w:r>
    </w:p>
    <w:p>
      <w:pPr>
        <w:spacing w:after="0" w:line="50" w:lineRule="exact"/>
        <w:rPr>
          <w:rFonts w:ascii="Arial" w:cs="Arial" w:eastAsia="Arial" w:hAnsi="Arial"/>
          <w:sz w:val="18"/>
          <w:szCs w:val="18"/>
          <w:color w:val="auto"/>
        </w:rPr>
      </w:pPr>
    </w:p>
    <w:p>
      <w:pPr>
        <w:ind w:left="1620" w:hanging="300"/>
        <w:spacing w:after="0"/>
        <w:tabs>
          <w:tab w:leader="none" w:pos="1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(before or after giving effect to such substitution);</w:t>
      </w:r>
    </w:p>
    <w:p>
      <w:pPr>
        <w:spacing w:after="0" w:line="90" w:lineRule="exact"/>
        <w:rPr>
          <w:rFonts w:ascii="Arial" w:cs="Arial" w:eastAsia="Arial" w:hAnsi="Arial"/>
          <w:sz w:val="18"/>
          <w:szCs w:val="18"/>
          <w:color w:val="auto"/>
        </w:rPr>
      </w:pPr>
    </w:p>
    <w:p>
      <w:pPr>
        <w:ind w:left="900" w:right="420" w:firstLine="420"/>
        <w:spacing w:after="0" w:line="268" w:lineRule="auto"/>
        <w:tabs>
          <w:tab w:leader="none" w:pos="156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no selection procedure adverse to the interests of the Secured Parties was utilized by the Borrower or the Collateral Manager in the selection of the Substitute Loan(s) or the Collateral Loans being substituted for;</w:t>
      </w:r>
    </w:p>
    <w:p>
      <w:pPr>
        <w:spacing w:after="0" w:line="50" w:lineRule="exact"/>
        <w:rPr>
          <w:rFonts w:ascii="Arial" w:cs="Arial" w:eastAsia="Arial" w:hAnsi="Arial"/>
          <w:sz w:val="18"/>
          <w:szCs w:val="18"/>
          <w:color w:val="auto"/>
        </w:rPr>
      </w:pPr>
    </w:p>
    <w:p>
      <w:pPr>
        <w:ind w:left="900" w:right="480" w:firstLine="420"/>
        <w:spacing w:after="0" w:line="256" w:lineRule="auto"/>
        <w:tabs>
          <w:tab w:leader="none" w:pos="161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Borrower and the Collateral Manager (on behalf of the Borrower) shall agree to pay the legal fees and expenses of the Administrative Agent and the Collateral Agent in connection with any such substitution (including, but not limited to, expenses incurred in connection with the release of the Lien of the Collateral Agent on behalf of the Secured Parties in connection with such sale, substitution or repurchase);</w:t>
      </w:r>
    </w:p>
    <w:p>
      <w:pPr>
        <w:spacing w:after="0" w:line="61" w:lineRule="exact"/>
        <w:rPr>
          <w:rFonts w:ascii="Arial" w:cs="Arial" w:eastAsia="Arial" w:hAnsi="Arial"/>
          <w:sz w:val="18"/>
          <w:szCs w:val="18"/>
          <w:color w:val="auto"/>
        </w:rPr>
      </w:pPr>
    </w:p>
    <w:p>
      <w:pPr>
        <w:ind w:left="900" w:right="120" w:firstLine="420"/>
        <w:spacing w:after="0" w:line="268" w:lineRule="auto"/>
        <w:tabs>
          <w:tab w:leader="none" w:pos="165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Borrower shall notify the Administrative Agent of any amount to be deposited into the Collection Account in connection with any such substitution and shall deliver to the Custodian the Related Documents for any Substitute Loans;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80"/>
          </w:cols>
          <w:pgMar w:left="320" w:top="280" w:right="399" w:bottom="1440" w:gutter="0" w:footer="0" w:header="0"/>
        </w:sectPr>
      </w:pPr>
    </w:p>
    <w:bookmarkStart w:id="151" w:name="page152"/>
    <w:bookmarkEnd w:id="151"/>
    <w:p>
      <w:pPr>
        <w:ind w:left="900" w:right="60" w:firstLine="420"/>
        <w:spacing w:after="0" w:line="288" w:lineRule="auto"/>
        <w:tabs>
          <w:tab w:leader="none" w:pos="1708" w:val="left"/>
        </w:tabs>
        <w:numPr>
          <w:ilvl w:val="0"/>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confirmation of the delivery of a Substitute Loan for each applicable Collateral Loan being substituted for (the date of such confirmation or delivery, the </w:t>
      </w:r>
      <w:r>
        <w:rPr>
          <w:rFonts w:ascii="Arial" w:cs="Arial" w:eastAsia="Arial" w:hAnsi="Arial"/>
          <w:sz w:val="16"/>
          <w:szCs w:val="16"/>
          <w:i w:val="1"/>
          <w:iCs w:val="1"/>
          <w:color w:val="auto"/>
        </w:rPr>
        <w:t>“Retransfer Date”</w:t>
      </w:r>
      <w:r>
        <w:rPr>
          <w:rFonts w:ascii="Arial" w:cs="Arial" w:eastAsia="Arial" w:hAnsi="Arial"/>
          <w:sz w:val="16"/>
          <w:szCs w:val="16"/>
          <w:color w:val="auto"/>
        </w:rPr>
        <w:t xml:space="preserve">), each applicable Collateral Loan being substituted for shall be removed from the Collateral and the applicable Substitute Loan(s) shall be included in the Collateral. On the Retransfer Date of a Collateral Loan, the Collateral Agent, for the benefit of the Secured Parties, shall automatically and without further action be deemed to release and transfer to the Borrower, without recourse, representation or warranty, all the right, title and interest of the Collateral Agent, for the benefit of the Secured Parties in, to and under such Collateral Loan being substituted for. The Collateral Agent, for the benefit of the Secured Parties, shall, at the sole expense of the Borrower, execute such documents and instruments of transfer as may be prepared by the Collateral Manager, on behalf of the Borrower, and take other such actions as shall reasonably be requested by the Collateral Manager on behalf of the Borrower to effect the release and transfer of such Collateral Loan pursuant to this </w:t>
      </w:r>
      <w:r>
        <w:rPr>
          <w:rFonts w:ascii="Arial" w:cs="Arial" w:eastAsia="Arial" w:hAnsi="Arial"/>
          <w:sz w:val="16"/>
          <w:szCs w:val="16"/>
          <w:u w:val="single" w:color="auto"/>
          <w:color w:val="auto"/>
        </w:rPr>
        <w:t>Section 10.03</w:t>
      </w:r>
      <w:r>
        <w:rPr>
          <w:rFonts w:ascii="Arial" w:cs="Arial" w:eastAsia="Arial" w:hAnsi="Arial"/>
          <w:sz w:val="16"/>
          <w:szCs w:val="16"/>
          <w:color w:val="auto"/>
        </w:rPr>
        <w:t>; and</w:t>
      </w:r>
    </w:p>
    <w:p>
      <w:pPr>
        <w:spacing w:after="0" w:line="37" w:lineRule="exact"/>
        <w:rPr>
          <w:rFonts w:ascii="Arial" w:cs="Arial" w:eastAsia="Arial" w:hAnsi="Arial"/>
          <w:sz w:val="16"/>
          <w:szCs w:val="16"/>
          <w:color w:val="auto"/>
        </w:rPr>
      </w:pPr>
    </w:p>
    <w:p>
      <w:pPr>
        <w:ind w:left="900" w:right="200" w:firstLine="420"/>
        <w:spacing w:after="0" w:line="268" w:lineRule="auto"/>
        <w:tabs>
          <w:tab w:leader="none" w:pos="161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Borrower shall deliver to the Administrative Agent on the date of such substitution a certificate of a Responsible Officer certifying that each of the foregoing is true and correct as of such date.</w:t>
      </w:r>
    </w:p>
    <w:p>
      <w:pPr>
        <w:spacing w:after="0" w:line="132"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i w:val="1"/>
          <w:iCs w:val="1"/>
          <w:color w:val="auto"/>
        </w:rPr>
        <w:t>Section 10.04. Conditions Applicable to All Sale and Purchase Transactions</w:t>
      </w:r>
      <w:r>
        <w:rPr>
          <w:rFonts w:ascii="Arial" w:cs="Arial" w:eastAsia="Arial" w:hAnsi="Arial"/>
          <w:sz w:val="16"/>
          <w:szCs w:val="16"/>
          <w:color w:val="auto"/>
        </w:rPr>
        <w:t>. (a) Any transaction effected under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X</w:t>
      </w:r>
      <w:r>
        <w:rPr>
          <w:rFonts w:ascii="Arial" w:cs="Arial" w:eastAsia="Arial" w:hAnsi="Arial"/>
          <w:sz w:val="16"/>
          <w:szCs w:val="16"/>
          <w:i w:val="1"/>
          <w:iCs w:val="1"/>
          <w:color w:val="auto"/>
        </w:rPr>
        <w:t xml:space="preserve"> </w:t>
      </w:r>
      <w:r>
        <w:rPr>
          <w:rFonts w:ascii="Arial" w:cs="Arial" w:eastAsia="Arial" w:hAnsi="Arial"/>
          <w:sz w:val="16"/>
          <w:szCs w:val="16"/>
          <w:color w:val="auto"/>
        </w:rPr>
        <w:t>or in connection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of additional Collateral Loans shall be conducted on an arm’s length basis and, if effected with a Person that is an Affiliate of the Collateral Manager (or with an account or portfolio for which the Collateral Manager or any of its Affiliates serves as investment adviser), shall be on terms no less favorable to the Borrower than would be the case if such Person were not such an Affiliate or as otherwise expressly permitted in this Agreement.</w:t>
      </w:r>
    </w:p>
    <w:p>
      <w:pPr>
        <w:spacing w:after="0" w:line="31" w:lineRule="exact"/>
        <w:rPr>
          <w:sz w:val="20"/>
          <w:szCs w:val="20"/>
          <w:color w:val="auto"/>
        </w:rPr>
      </w:pPr>
    </w:p>
    <w:p>
      <w:pPr>
        <w:ind w:left="460" w:firstLine="428"/>
        <w:spacing w:after="0" w:line="254" w:lineRule="auto"/>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Upon each contribution of one or more Collateral Loans from the BDC to the Borrower and upon each acquisition by the Borrower of a Collateral Loan from the BDC, the Collateral Manager or any of their respective Affiliates (each such contribution or other such acquisition, an </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w:t>
      </w:r>
      <w:r>
        <w:rPr>
          <w:rFonts w:ascii="Arial" w:cs="Arial" w:eastAsia="Arial" w:hAnsi="Arial"/>
          <w:sz w:val="18"/>
          <w:szCs w:val="18"/>
          <w:i w:val="1"/>
          <w:iCs w:val="1"/>
          <w:color w:val="auto"/>
        </w:rPr>
        <w:t>Loan Acquisition”</w:t>
      </w:r>
      <w:r>
        <w:rPr>
          <w:rFonts w:ascii="Arial" w:cs="Arial" w:eastAsia="Arial" w:hAnsi="Arial"/>
          <w:sz w:val="18"/>
          <w:szCs w:val="18"/>
          <w:color w:val="auto"/>
        </w:rPr>
        <w:t>) (i) all of the Borrower’s right, title and interest to such Collateral Loan shall be subject to the Lien granted to the Collateral Agent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pursuant to this Agreement and (ii) such Collateral Loan shall be Delivered to the Collateral Agent (or the Custodian on its behalf, as applicable),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the Related Documents and Loan Checklist may be delivered within ten (10) Business Days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or acquisition.</w:t>
      </w:r>
    </w:p>
    <w:p>
      <w:pPr>
        <w:spacing w:after="0" w:line="62" w:lineRule="exact"/>
        <w:rPr>
          <w:rFonts w:ascii="Arial" w:cs="Arial" w:eastAsia="Arial" w:hAnsi="Arial"/>
          <w:sz w:val="18"/>
          <w:szCs w:val="18"/>
          <w:color w:val="auto"/>
        </w:rPr>
      </w:pPr>
    </w:p>
    <w:p>
      <w:pPr>
        <w:ind w:left="460" w:right="40" w:firstLine="428"/>
        <w:spacing w:after="0" w:line="288" w:lineRule="auto"/>
        <w:tabs>
          <w:tab w:leader="none" w:pos="113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The Aggregate Principal Balance of the Collateral Loan(s) which are the subject of any sale to an Affiliate of the Borrower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substitution pursuant to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together with the sum of the Aggregate Principal Balance of all Collateral Loans sold to Affiliates or substituted in the 12 month period preceding the proposed date of sale or substitution (or such lesser number of months as shall have elapsed since the Closing Date) shall not exceed 20% of the Net Purchased Loan Balance;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sum of the Aggregate Principal Balance of all Defaulted Collateral Loans or Ineligible Collateral Loans sold to Affiliates or substituted in the 12 month period preceding the proposed date of sale or substitution (or such lesser number of months as shall have elapsed since the Closing Date) shall not exceed 10% of the Net Purchased Loan Balance. For the avoidance of doubt, the foregoing limitations shall not apply (i) to Warranty Loans (as defined in the Purchase and Sale Agreement) or (ii) where Collateral Loans are sold by the Borrower in connection with a Permitted Securitization.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280" w:right="339" w:bottom="1440" w:gutter="0" w:footer="0" w:header="0"/>
        </w:sectPr>
      </w:pPr>
    </w:p>
    <w:bookmarkStart w:id="152" w:name="page153"/>
    <w:bookmarkEnd w:id="152"/>
    <w:p>
      <w:pPr>
        <w:ind w:right="40" w:firstLine="449"/>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10.05. Additional Equity Contributions</w:t>
      </w:r>
      <w:r>
        <w:rPr>
          <w:rFonts w:ascii="Arial" w:cs="Arial" w:eastAsia="Arial" w:hAnsi="Arial"/>
          <w:sz w:val="16"/>
          <w:szCs w:val="16"/>
          <w:color w:val="auto"/>
        </w:rPr>
        <w:t>. The BDC may, but shall have no obligation to, at any time or from time to time contribute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equity to the Borrower, including for the purpose of curing any Default, satisfying any Coverage Test, enabling the acquisition or sale of any Collateral Loan or satisfying any conditions under </w:t>
      </w:r>
      <w:r>
        <w:rPr>
          <w:rFonts w:ascii="Arial" w:cs="Arial" w:eastAsia="Arial" w:hAnsi="Arial"/>
          <w:sz w:val="16"/>
          <w:szCs w:val="16"/>
          <w:u w:val="single" w:color="auto"/>
          <w:color w:val="auto"/>
        </w:rPr>
        <w:t>Section 3.02</w:t>
      </w:r>
      <w:r>
        <w:rPr>
          <w:rFonts w:ascii="Arial" w:cs="Arial" w:eastAsia="Arial" w:hAnsi="Arial"/>
          <w:sz w:val="16"/>
          <w:szCs w:val="16"/>
          <w:color w:val="auto"/>
        </w:rPr>
        <w:t>. Each equity contribution shall either be made (i) in Cash, (ii) by assignment and contribution of an Eligible Investment and/or (iii) by assignment and contribution of a Collateral Loan. All Cash contributed to the Borrower shall be treated as Principal Proceeds except to the extent that the Collateral Manager specifies that they shall constitute Interest Proceeds.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 AND SERVICING OF CONTRACTS</w:t>
      </w:r>
    </w:p>
    <w:p>
      <w:pPr>
        <w:spacing w:after="0" w:line="177"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i w:val="1"/>
          <w:iCs w:val="1"/>
          <w:color w:val="auto"/>
        </w:rPr>
        <w:t>Section 11.01. Designation of the Collateral Manager</w:t>
      </w:r>
      <w:r>
        <w:rPr>
          <w:rFonts w:ascii="Arial" w:cs="Arial" w:eastAsia="Arial" w:hAnsi="Arial"/>
          <w:sz w:val="18"/>
          <w:szCs w:val="18"/>
          <w:color w:val="auto"/>
        </w:rPr>
        <w:t>. (a)</w:t>
      </w:r>
      <w:r>
        <w:rPr>
          <w:rFonts w:ascii="Arial" w:cs="Arial" w:eastAsia="Arial" w:hAnsi="Arial"/>
          <w:sz w:val="18"/>
          <w:szCs w:val="18"/>
          <w:i w:val="1"/>
          <w:iCs w:val="1"/>
          <w:color w:val="auto"/>
        </w:rPr>
        <w:t xml:space="preserve"> Initial Collateral Manager</w:t>
      </w:r>
      <w:r>
        <w:rPr>
          <w:rFonts w:ascii="Arial" w:cs="Arial" w:eastAsia="Arial" w:hAnsi="Arial"/>
          <w:sz w:val="18"/>
          <w:szCs w:val="18"/>
          <w:color w:val="auto"/>
        </w:rPr>
        <w:t>. The servicing, administering and collection of the Collateral shall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conducted in accordance with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by the Person designated as the Collateral Manager hereunder. PennantPark Investment Advisors LLC is hereby appointed as, and hereby accepts such appointment and agrees to perform the duties and responsibilities, of Collateral Manager pursuant to the terms hereof. The Collateral Manager and the Borrower hereby acknowledge that each of the Secured Parties are third party beneficiaries of the obligations taken by the Collateral Manager hereunder.</w:t>
      </w:r>
    </w:p>
    <w:p>
      <w:pPr>
        <w:spacing w:after="0" w:line="66" w:lineRule="exact"/>
        <w:rPr>
          <w:sz w:val="20"/>
          <w:szCs w:val="20"/>
          <w:color w:val="auto"/>
        </w:rPr>
      </w:pPr>
    </w:p>
    <w:p>
      <w:pPr>
        <w:ind w:left="460" w:firstLine="428"/>
        <w:spacing w:after="0" w:line="302" w:lineRule="auto"/>
        <w:tabs>
          <w:tab w:leader="none" w:pos="1140" w:val="left"/>
        </w:tabs>
        <w:numPr>
          <w:ilvl w:val="1"/>
          <w:numId w:val="163"/>
        </w:numPr>
        <w:rPr>
          <w:rFonts w:ascii="Arial" w:cs="Arial" w:eastAsia="Arial" w:hAnsi="Arial"/>
          <w:sz w:val="15"/>
          <w:szCs w:val="15"/>
          <w:color w:val="auto"/>
        </w:rPr>
      </w:pPr>
      <w:r>
        <w:rPr>
          <w:rFonts w:ascii="Arial" w:cs="Arial" w:eastAsia="Arial" w:hAnsi="Arial"/>
          <w:sz w:val="15"/>
          <w:szCs w:val="15"/>
          <w:i w:val="1"/>
          <w:iCs w:val="1"/>
          <w:color w:val="auto"/>
        </w:rPr>
        <w:t>Subcontracts</w:t>
      </w:r>
      <w:r>
        <w:rPr>
          <w:rFonts w:ascii="Arial" w:cs="Arial" w:eastAsia="Arial" w:hAnsi="Arial"/>
          <w:sz w:val="15"/>
          <w:szCs w:val="15"/>
          <w:color w:val="auto"/>
        </w:rPr>
        <w:t>. The Collateral Manager may, with the prior written consent of the Administrative Agent, subcontract with any other Person for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servicing, administering or collecting the Collateral;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(i) the Collateral Manager shall select any such Person with reasonable care and shall be solely responsible for the fees and expenses payable to such Person, (ii) the Collateral Manager shall not be relieved of, and shall remain liable for, the performance of the duties and obligations of the Collateral Manager pursuant to the terms hereof without regard to any subcontracting arrangement and</w:t>
      </w:r>
    </w:p>
    <w:p>
      <w:pPr>
        <w:spacing w:after="0" w:line="2" w:lineRule="exact"/>
        <w:rPr>
          <w:rFonts w:ascii="Arial" w:cs="Arial" w:eastAsia="Arial" w:hAnsi="Arial"/>
          <w:sz w:val="15"/>
          <w:szCs w:val="15"/>
          <w:color w:val="auto"/>
        </w:rPr>
      </w:pPr>
    </w:p>
    <w:p>
      <w:pPr>
        <w:ind w:left="760" w:hanging="303"/>
        <w:spacing w:after="0"/>
        <w:tabs>
          <w:tab w:leader="none" w:pos="7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such subcontract shall be subject to the provisions hereof.</w:t>
      </w:r>
    </w:p>
    <w:p>
      <w:pPr>
        <w:spacing w:after="0" w:line="165"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i w:val="1"/>
          <w:iCs w:val="1"/>
          <w:color w:val="auto"/>
        </w:rPr>
        <w:t>Section 11.02. Duties of the Collateral Manager</w:t>
      </w:r>
      <w:r>
        <w:rPr>
          <w:rFonts w:ascii="Arial" w:cs="Arial" w:eastAsia="Arial" w:hAnsi="Arial"/>
          <w:sz w:val="18"/>
          <w:szCs w:val="18"/>
          <w:color w:val="auto"/>
        </w:rPr>
        <w:t>. (a)</w:t>
      </w:r>
      <w:r>
        <w:rPr>
          <w:rFonts w:ascii="Arial" w:cs="Arial" w:eastAsia="Arial" w:hAnsi="Arial"/>
          <w:sz w:val="18"/>
          <w:szCs w:val="18"/>
          <w:i w:val="1"/>
          <w:iCs w:val="1"/>
          <w:color w:val="auto"/>
        </w:rPr>
        <w:t xml:space="preserve"> Duties</w:t>
      </w:r>
      <w:r>
        <w:rPr>
          <w:rFonts w:ascii="Arial" w:cs="Arial" w:eastAsia="Arial" w:hAnsi="Arial"/>
          <w:sz w:val="18"/>
          <w:szCs w:val="18"/>
          <w:color w:val="auto"/>
        </w:rPr>
        <w:t>. The Collateral Manager shall take or cause to be taken all such actions as may be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or advisable to service, administer and collect on the Collateral from time to time, all in accordance with Applicable Law and the Collateral Management Standard. Without limiting the foregoing, the duties of the Collateral Manager shall include the following:</w:t>
      </w:r>
    </w:p>
    <w:p>
      <w:pPr>
        <w:spacing w:after="0" w:line="59" w:lineRule="exact"/>
        <w:rPr>
          <w:sz w:val="20"/>
          <w:szCs w:val="20"/>
          <w:color w:val="auto"/>
        </w:rPr>
      </w:pPr>
    </w:p>
    <w:p>
      <w:pPr>
        <w:ind w:left="900" w:right="200" w:firstLine="420"/>
        <w:spacing w:after="0" w:line="331" w:lineRule="auto"/>
        <w:tabs>
          <w:tab w:leader="none" w:pos="152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supervising the Collateral, including communicating with Obligors, executing amendments, providing consents and waivers, exercising voting rights, enforcing and collecting on the Collateral and otherwise managing the Collateral on behalf of the Borrower;</w:t>
      </w:r>
    </w:p>
    <w:p>
      <w:pPr>
        <w:spacing w:after="0" w:line="5" w:lineRule="exact"/>
        <w:rPr>
          <w:rFonts w:ascii="Arial" w:cs="Arial" w:eastAsia="Arial" w:hAnsi="Arial"/>
          <w:sz w:val="16"/>
          <w:szCs w:val="16"/>
          <w:color w:val="auto"/>
        </w:rPr>
      </w:pPr>
    </w:p>
    <w:p>
      <w:pPr>
        <w:ind w:left="1580" w:hanging="260"/>
        <w:spacing w:after="0"/>
        <w:tabs>
          <w:tab w:leader="none" w:pos="15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preparing and submitting claims to Obligors on each Collateral Loan;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280" w:right="339" w:bottom="1440" w:gutter="0" w:footer="0" w:header="0"/>
        </w:sectPr>
      </w:pPr>
    </w:p>
    <w:bookmarkStart w:id="153" w:name="page154"/>
    <w:bookmarkEnd w:id="153"/>
    <w:p>
      <w:pPr>
        <w:ind w:left="500" w:hanging="300"/>
        <w:spacing w:after="0"/>
        <w:tabs>
          <w:tab w:leader="none" w:pos="5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maintaining all necessary servicing records with respect to the Collateral;</w:t>
      </w:r>
    </w:p>
    <w:p>
      <w:pPr>
        <w:spacing w:after="0" w:line="90" w:lineRule="exact"/>
        <w:rPr>
          <w:rFonts w:ascii="Arial" w:cs="Arial" w:eastAsia="Arial" w:hAnsi="Arial"/>
          <w:sz w:val="18"/>
          <w:szCs w:val="18"/>
          <w:color w:val="auto"/>
        </w:rPr>
      </w:pPr>
    </w:p>
    <w:p>
      <w:pPr>
        <w:ind w:left="-220" w:right="280" w:firstLine="420"/>
        <w:spacing w:after="0" w:line="306" w:lineRule="auto"/>
        <w:tabs>
          <w:tab w:leader="none" w:pos="49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maintaining and implementing administrative and operating procedures (including, without limitation, an ability to recreate servicing records evidencing the Collateral in the event of the destruction of the originals thereof) and keeping and maintaining all documents, books, records and other information reasonably necessary or advisable for the collection of the Collateral;</w:t>
      </w:r>
    </w:p>
    <w:p>
      <w:pPr>
        <w:spacing w:after="0" w:line="25" w:lineRule="exact"/>
        <w:rPr>
          <w:rFonts w:ascii="Arial" w:cs="Arial" w:eastAsia="Arial" w:hAnsi="Arial"/>
          <w:sz w:val="16"/>
          <w:szCs w:val="16"/>
          <w:color w:val="auto"/>
        </w:rPr>
      </w:pPr>
    </w:p>
    <w:p>
      <w:pPr>
        <w:ind w:left="-220" w:firstLine="420"/>
        <w:spacing w:after="0" w:line="306" w:lineRule="auto"/>
        <w:tabs>
          <w:tab w:leader="none" w:pos="44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promptly delivering to the Administrative Agent, each Lender, the Collateral Administrator or the Collateral Agent, from time to time, such information and servicing records (including information relating to its performance under this Agreement) as the Administrative Agent, each Lender, the Collateral Administrator or the Collateral Agent may from time to time reasonably request;</w:t>
      </w:r>
    </w:p>
    <w:p>
      <w:pPr>
        <w:spacing w:after="0" w:line="25" w:lineRule="exact"/>
        <w:rPr>
          <w:rFonts w:ascii="Arial" w:cs="Arial" w:eastAsia="Arial" w:hAnsi="Arial"/>
          <w:sz w:val="16"/>
          <w:szCs w:val="16"/>
          <w:color w:val="auto"/>
        </w:rPr>
      </w:pPr>
    </w:p>
    <w:p>
      <w:pPr>
        <w:ind w:left="-220" w:right="120" w:firstLine="420"/>
        <w:spacing w:after="0" w:line="259" w:lineRule="auto"/>
        <w:tabs>
          <w:tab w:leader="none" w:pos="49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identifying each Collateral Loan clearly and unambiguously in its servicing records to reflect that such Collateral Loan is owned by the Borrower and that the Borrower is pledging a security interest therein to the Collateral Agent (for the benefit of the Secured Parties) pursuant to this Agreement;</w:t>
      </w:r>
    </w:p>
    <w:p>
      <w:pPr>
        <w:spacing w:after="0" w:line="58" w:lineRule="exact"/>
        <w:rPr>
          <w:rFonts w:ascii="Arial" w:cs="Arial" w:eastAsia="Arial" w:hAnsi="Arial"/>
          <w:sz w:val="18"/>
          <w:szCs w:val="18"/>
          <w:color w:val="auto"/>
        </w:rPr>
      </w:pPr>
    </w:p>
    <w:p>
      <w:pPr>
        <w:ind w:left="-220" w:right="100" w:firstLine="420"/>
        <w:spacing w:after="0" w:line="306" w:lineRule="auto"/>
        <w:tabs>
          <w:tab w:leader="none" w:pos="53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notifying the Administrative Agent and each Lender of any material action, suit, proceeding, dispute, offset, deduction, defense or counterclaim (1) that is or is threatened to be asserted by an Obligor with respect to any Collateral Loan (or portion thereof) of which it has actual knowledge or has received notice; or (2) that could reasonably be expected to have a Material Adverse Effect;</w:t>
      </w:r>
    </w:p>
    <w:p>
      <w:pPr>
        <w:spacing w:after="0" w:line="25" w:lineRule="exact"/>
        <w:rPr>
          <w:rFonts w:ascii="Arial" w:cs="Arial" w:eastAsia="Arial" w:hAnsi="Arial"/>
          <w:sz w:val="16"/>
          <w:szCs w:val="16"/>
          <w:color w:val="auto"/>
        </w:rPr>
      </w:pPr>
    </w:p>
    <w:p>
      <w:pPr>
        <w:ind w:left="600" w:hanging="400"/>
        <w:spacing w:after="0"/>
        <w:tabs>
          <w:tab w:leader="none" w:pos="6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maintaining the perfected security interest of the Collateral Agent, for the benefit of the Secured Parties, in the Collateral;</w:t>
      </w:r>
    </w:p>
    <w:p>
      <w:pPr>
        <w:spacing w:after="0" w:line="113" w:lineRule="exact"/>
        <w:rPr>
          <w:rFonts w:ascii="Arial" w:cs="Arial" w:eastAsia="Arial" w:hAnsi="Arial"/>
          <w:sz w:val="16"/>
          <w:szCs w:val="16"/>
          <w:color w:val="auto"/>
        </w:rPr>
      </w:pPr>
    </w:p>
    <w:p>
      <w:pPr>
        <w:ind w:left="-220" w:right="80" w:firstLine="420"/>
        <w:spacing w:after="0" w:line="331" w:lineRule="auto"/>
        <w:tabs>
          <w:tab w:leader="none" w:pos="49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with respect to each Collateral Loan included as part of the Collateral, making copies of the Related Documents available for inspection by the Administrative Agent, upon reasonable notice, at the offices of the Collateral Manager during normal business hours;</w:t>
      </w:r>
    </w:p>
    <w:p>
      <w:pPr>
        <w:spacing w:after="0" w:line="5" w:lineRule="exact"/>
        <w:rPr>
          <w:rFonts w:ascii="Arial" w:cs="Arial" w:eastAsia="Arial" w:hAnsi="Arial"/>
          <w:sz w:val="16"/>
          <w:szCs w:val="16"/>
          <w:color w:val="auto"/>
        </w:rPr>
      </w:pPr>
    </w:p>
    <w:p>
      <w:pPr>
        <w:ind w:left="-220" w:right="340" w:firstLine="420"/>
        <w:spacing w:after="0" w:line="268" w:lineRule="auto"/>
        <w:tabs>
          <w:tab w:leader="none" w:pos="44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directing the Collateral Agent to make payments pursuant to the terms of the Payment Date Report in accordance with the Priority of Payments;</w:t>
      </w:r>
    </w:p>
    <w:p>
      <w:pPr>
        <w:spacing w:after="0" w:line="50" w:lineRule="exact"/>
        <w:rPr>
          <w:rFonts w:ascii="Arial" w:cs="Arial" w:eastAsia="Arial" w:hAnsi="Arial"/>
          <w:sz w:val="18"/>
          <w:szCs w:val="18"/>
          <w:color w:val="auto"/>
        </w:rPr>
      </w:pPr>
    </w:p>
    <w:p>
      <w:pPr>
        <w:ind w:left="500" w:hanging="300"/>
        <w:spacing w:after="0"/>
        <w:tabs>
          <w:tab w:leader="none" w:pos="5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directing the acquisition, sale or substitution of Collateral in accordance with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540" w:hanging="340"/>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providing assistance to the Borrower with respect to the purchase and sale of the Collateral Loans;</w:t>
      </w:r>
    </w:p>
    <w:p>
      <w:pPr>
        <w:spacing w:after="0" w:line="90" w:lineRule="exact"/>
        <w:rPr>
          <w:rFonts w:ascii="Arial" w:cs="Arial" w:eastAsia="Arial" w:hAnsi="Arial"/>
          <w:sz w:val="18"/>
          <w:szCs w:val="18"/>
          <w:color w:val="auto"/>
        </w:rPr>
      </w:pPr>
    </w:p>
    <w:p>
      <w:pPr>
        <w:ind w:left="600" w:hanging="400"/>
        <w:spacing w:after="0"/>
        <w:tabs>
          <w:tab w:leader="none" w:pos="6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instructing the Obligors and the administrative agents on the Collateral Loans to make payments directly into the Collection Account;</w:t>
      </w:r>
    </w:p>
    <w:p>
      <w:pPr>
        <w:spacing w:after="0" w:line="18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120"/>
          </w:cols>
          <w:pgMar w:left="1440" w:top="280" w:right="339" w:bottom="1440" w:gutter="0" w:footer="0" w:header="0"/>
        </w:sectPr>
      </w:pPr>
    </w:p>
    <w:bookmarkStart w:id="154" w:name="page155"/>
    <w:bookmarkEnd w:id="154"/>
    <w:p>
      <w:pPr>
        <w:ind w:left="440" w:right="460" w:firstLine="420"/>
        <w:spacing w:after="0" w:line="259" w:lineRule="auto"/>
        <w:tabs>
          <w:tab w:leader="none" w:pos="1238"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cooperating with the Collateral Administrator in preparing the Monthly Reports and Payment Date Reports and in its other duties hereunder and under the Collateral Administration Agreement in the manner and at the times required hereunder and under the Collateral Administration Agreement; and</w:t>
      </w:r>
    </w:p>
    <w:p>
      <w:pPr>
        <w:spacing w:after="0" w:line="58" w:lineRule="exact"/>
        <w:rPr>
          <w:rFonts w:ascii="Arial" w:cs="Arial" w:eastAsia="Arial" w:hAnsi="Arial"/>
          <w:sz w:val="18"/>
          <w:szCs w:val="18"/>
          <w:color w:val="auto"/>
        </w:rPr>
      </w:pPr>
    </w:p>
    <w:p>
      <w:pPr>
        <w:ind w:left="1200" w:hanging="340"/>
        <w:spacing w:after="0"/>
        <w:tabs>
          <w:tab w:leader="none" w:pos="12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complying with such other duties and responsibilities as required of the Collateral Manager by this Agreement.</w:t>
      </w:r>
    </w:p>
    <w:p>
      <w:pPr>
        <w:spacing w:after="0" w:line="90" w:lineRule="exact"/>
        <w:rPr>
          <w:sz w:val="20"/>
          <w:szCs w:val="20"/>
          <w:color w:val="auto"/>
        </w:rPr>
      </w:pPr>
    </w:p>
    <w:p>
      <w:pPr>
        <w:jc w:val="both"/>
        <w:ind w:right="180" w:firstLine="431"/>
        <w:spacing w:after="0" w:line="259" w:lineRule="auto"/>
        <w:rPr>
          <w:sz w:val="20"/>
          <w:szCs w:val="20"/>
          <w:color w:val="auto"/>
        </w:rPr>
      </w:pPr>
      <w:r>
        <w:rPr>
          <w:rFonts w:ascii="Arial" w:cs="Arial" w:eastAsia="Arial" w:hAnsi="Arial"/>
          <w:sz w:val="18"/>
          <w:szCs w:val="18"/>
          <w:color w:val="auto"/>
        </w:rPr>
        <w:t>It is acknowledged and agreed that in circumstances in which a Person other than the Borrower or the Collateral Manager acts as lead agent with respect to any Collateral Loan, the Collateral Manager shall perform its servicing duties hereunder only to the extent that, as a lender under the Related Documents, it has the right to do so.</w:t>
      </w:r>
    </w:p>
    <w:p>
      <w:pPr>
        <w:spacing w:after="0" w:line="59" w:lineRule="exact"/>
        <w:rPr>
          <w:sz w:val="20"/>
          <w:szCs w:val="20"/>
          <w:color w:val="auto"/>
        </w:rPr>
      </w:pPr>
    </w:p>
    <w:p>
      <w:pPr>
        <w:ind w:right="80" w:firstLine="428"/>
        <w:spacing w:after="0" w:line="294" w:lineRule="auto"/>
        <w:tabs>
          <w:tab w:leader="none" w:pos="680"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Exercise of Remedies Not Release</w:t>
      </w:r>
      <w:r>
        <w:rPr>
          <w:rFonts w:ascii="Arial" w:cs="Arial" w:eastAsia="Arial" w:hAnsi="Arial"/>
          <w:sz w:val="16"/>
          <w:szCs w:val="16"/>
          <w:color w:val="auto"/>
        </w:rPr>
        <w:t>. Notwithstanding anything to the contrary contained herein, the exercise by the Administrative Agent,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Agent, each Lender and the Secured Parties of their rights hereunder or any other Facility Document shall not release the Collateral Manager or the Borrower from any of their duties or responsibilities with respect to the Collateral. The Secured Parties, the Administrative Agent, each Lender and the Collateral Agent shall not have any obligation or liability with respect to any Collateral, nor shall any of them be obligated to perform any of the obligations of the Collateral Manager hereunder.</w:t>
      </w:r>
    </w:p>
    <w:p>
      <w:pPr>
        <w:spacing w:after="0" w:line="34" w:lineRule="exact"/>
        <w:rPr>
          <w:rFonts w:ascii="Arial" w:cs="Arial" w:eastAsia="Arial" w:hAnsi="Arial"/>
          <w:sz w:val="16"/>
          <w:szCs w:val="16"/>
          <w:color w:val="auto"/>
        </w:rPr>
      </w:pPr>
    </w:p>
    <w:p>
      <w:pPr>
        <w:ind w:right="100" w:firstLine="428"/>
        <w:spacing w:after="0" w:line="298" w:lineRule="auto"/>
        <w:tabs>
          <w:tab w:leader="none" w:pos="670"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Application of Obligor Payments. </w:t>
      </w:r>
      <w:r>
        <w:rPr>
          <w:rFonts w:ascii="Arial" w:cs="Arial" w:eastAsia="Arial" w:hAnsi="Arial"/>
          <w:sz w:val="16"/>
          <w:szCs w:val="16"/>
          <w:color w:val="auto"/>
        </w:rPr>
        <w:t>Any payment by an Obligor in respect of any indebtedness owed by it to the Borrower shall,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specified by such Obligor or otherwise required by contract or law and unless otherwise instructed by the Administrative Agent, be applied as a collection of a payment by such Obligor (starting with the oldest such outstanding payment due) to the extent of any amounts then due and payable thereunder before being applied to any other receivable or other obligation of such Obligor.</w:t>
      </w:r>
    </w:p>
    <w:p>
      <w:pPr>
        <w:spacing w:after="0" w:line="31" w:lineRule="exact"/>
        <w:rPr>
          <w:rFonts w:ascii="Arial" w:cs="Arial" w:eastAsia="Arial" w:hAnsi="Arial"/>
          <w:sz w:val="16"/>
          <w:szCs w:val="16"/>
          <w:color w:val="auto"/>
        </w:rPr>
      </w:pPr>
    </w:p>
    <w:p>
      <w:pPr>
        <w:ind w:right="140" w:firstLine="428"/>
        <w:spacing w:after="0" w:line="259" w:lineRule="auto"/>
        <w:tabs>
          <w:tab w:leader="none" w:pos="680"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Cooperation with Backup Collateral Manager. </w:t>
      </w:r>
      <w:r>
        <w:rPr>
          <w:rFonts w:ascii="Arial" w:cs="Arial" w:eastAsia="Arial" w:hAnsi="Arial"/>
          <w:sz w:val="18"/>
          <w:szCs w:val="18"/>
          <w:color w:val="auto"/>
        </w:rPr>
        <w:t>The Collateral Manager shall perform the duties and take the actions necessary to comply with</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hereof in the manner and at the times set forth therein and shall cooperate with the Backup Collateral Manager in its performance of its duties hereunder.</w:t>
      </w:r>
    </w:p>
    <w:p>
      <w:pPr>
        <w:spacing w:after="0" w:line="58" w:lineRule="exact"/>
        <w:rPr>
          <w:rFonts w:ascii="Arial" w:cs="Arial" w:eastAsia="Arial" w:hAnsi="Arial"/>
          <w:sz w:val="18"/>
          <w:szCs w:val="18"/>
          <w:color w:val="auto"/>
        </w:rPr>
      </w:pPr>
    </w:p>
    <w:p>
      <w:pPr>
        <w:ind w:left="660" w:hanging="232"/>
        <w:spacing w:after="0"/>
        <w:tabs>
          <w:tab w:leader="none" w:pos="660"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Selection of Matrix Row and Matrix Inputs. </w:t>
      </w:r>
      <w:r>
        <w:rPr>
          <w:rFonts w:ascii="Arial" w:cs="Arial" w:eastAsia="Arial" w:hAnsi="Arial"/>
          <w:sz w:val="16"/>
          <w:szCs w:val="16"/>
          <w:color w:val="auto"/>
        </w:rPr>
        <w:t>The Collateral Manager shall be responsible for designating the row of the Matrix and the</w:t>
      </w:r>
    </w:p>
    <w:p>
      <w:pPr>
        <w:spacing w:after="0" w:line="38"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corresponding Matrix Inputs to be applicable under this Agreement from time to time as further provided herein. On or prior to the Restatement Effective Date, the Collateral Manager shall specify to the Agents and the Lenders the row of the Matrix and the corresponding combination of Matrix Inputs to be in effect for purposes of Matrix calculations pursuant to a closing certificate from the Borrower substantially in the form set forth on </w:t>
      </w:r>
      <w:r>
        <w:rPr>
          <w:rFonts w:ascii="Arial" w:cs="Arial" w:eastAsia="Arial" w:hAnsi="Arial"/>
          <w:sz w:val="16"/>
          <w:szCs w:val="16"/>
          <w:u w:val="single" w:color="auto"/>
          <w:color w:val="auto"/>
        </w:rPr>
        <w:t>Exhibit I</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spacing w:after="0" w:line="320" w:lineRule="auto"/>
        <w:rPr>
          <w:rFonts w:ascii="Arial" w:cs="Arial" w:eastAsia="Arial" w:hAnsi="Arial"/>
          <w:sz w:val="16"/>
          <w:szCs w:val="16"/>
          <w:color w:val="auto"/>
        </w:rPr>
      </w:pPr>
      <w:r>
        <w:rPr>
          <w:rFonts w:ascii="Arial" w:cs="Arial" w:eastAsia="Arial" w:hAnsi="Arial"/>
          <w:sz w:val="15"/>
          <w:szCs w:val="15"/>
          <w:color w:val="auto"/>
        </w:rPr>
        <w:t xml:space="preserve">Thereafter, upon not less than one Business Day’s notice to the Agents and the Lenders, the Collateral Manager may specify a different row of the Matrix and corresponding combination of Matrix Inputs to be in effect for purposes of Matrix calculations (i) in connection with the compilation of a Monthly Report by providing notice to the Collateral Administrator along with the Data File for such Monthly Report as further provided in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(with a copy of such notice to the Administrative Agent) or (ii) by delivering a Matrix Adjustment Notice to the Administrative Agent and the Collateral Agent;</w:t>
      </w:r>
    </w:p>
    <w:p>
      <w:pPr>
        <w:spacing w:after="0" w:line="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780"/>
          </w:cols>
          <w:pgMar w:left="780" w:top="280" w:right="339" w:bottom="1440" w:gutter="0" w:footer="0" w:header="0"/>
        </w:sectPr>
      </w:pPr>
    </w:p>
    <w:bookmarkStart w:id="155" w:name="page156"/>
    <w:bookmarkEnd w:id="155"/>
    <w:p>
      <w:pPr>
        <w:spacing w:after="0" w:line="254"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after giving effect to such change, each Coverage Test is satisfied and no Default or Event of Default would occur hereunder. If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“Minimum Diversity Score” Matrix Input or the “Ratings” Matrix Input is not satisfied, the Collateral Manager shall promptly provide a Matrix Adjustment Notice and shall select a different row of the Matrix and the corresponding combination of Matrix Inputs set forth in such row to be applicable (or specify a different row of the Matrix and corresponding combination of Matrix Inputs to the Collateral Administrator in connection with a Monthly Report as further provided in </w:t>
      </w:r>
      <w:r>
        <w:rPr>
          <w:rFonts w:ascii="Arial" w:cs="Arial" w:eastAsia="Arial" w:hAnsi="Arial"/>
          <w:sz w:val="18"/>
          <w:szCs w:val="18"/>
          <w:u w:val="single" w:color="auto"/>
          <w:color w:val="auto"/>
        </w:rPr>
        <w:t>Section 8.06</w:t>
      </w: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11.03. Liability of the Collateral Manager; Indemnification of the Collateral Manager Persons.</w:t>
      </w:r>
    </w:p>
    <w:p>
      <w:pPr>
        <w:spacing w:after="0" w:line="90" w:lineRule="exact"/>
        <w:rPr>
          <w:sz w:val="20"/>
          <w:szCs w:val="20"/>
          <w:color w:val="auto"/>
        </w:rPr>
      </w:pPr>
    </w:p>
    <w:p>
      <w:pPr>
        <w:ind w:right="20" w:firstLine="428"/>
        <w:spacing w:after="0" w:line="309" w:lineRule="auto"/>
        <w:tabs>
          <w:tab w:leader="none" w:pos="67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The Collateral Manager and any of its Affiliates, employees, shareholders, members, partners, assigns, representatives or agents (each such individual or entity, a “Collateral Manager Person”) shall not be liable to the Borrower, any Lender, the Administrative Agent, the Lead Arranger, the Collateral Agent, the Backup Collateral Manager, the Custodian or any other Person for any liability, loss (including amounts paid in settlement), damages, judgments, costs, expenses (including reasonable attorneys’ fees and expenses and accountant’s fees and expenses), demands, charges or claim (collectively, the “Damages”) incurred by reason of any act or omission or alleged act or omission performed or omitted by such Collateral Manager Person, or for any decrease in the value of the Collateral or any other losses suffered by any party; provided, however, that a Collateral Manager Person shall be liable for any Damages that arise (i) by reason of any act or omission constituting bad faith, willful misconduct, or gross negligence by any Collateral Manager Person in the performance of or reckless disregard of the Collateral Manager’s duties hereunder or (ii) by any breach of the representations and warranties of the Collateral Manager expressly set forth in this Agreement (each such breach, a “Collateral Manager Breach”).</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760"/>
          </w:cols>
          <w:pgMar w:left="780" w:top="280" w:right="359" w:bottom="1440" w:gutter="0" w:footer="0" w:header="0"/>
        </w:sectPr>
      </w:pPr>
    </w:p>
    <w:bookmarkStart w:id="156" w:name="page157"/>
    <w:bookmarkEnd w:id="156"/>
    <w:p>
      <w:pPr>
        <w:ind w:left="460" w:right="40" w:firstLine="428"/>
        <w:spacing w:after="0" w:line="256" w:lineRule="auto"/>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Collateral Manager may rely in good faith upon, and will incur no Damages for relying upon, (i) any authoritative source customarily used by firms performing services similar to those services provided by the Collateral Manager under this Agreement, and (ii) the advice of nationally recognized counsel, accountants or other advisors as the Collateral Manager determines reasonably appropriate in connection with the services provided by the Collateral Manager under this Agreement.</w:t>
      </w:r>
    </w:p>
    <w:p>
      <w:pPr>
        <w:spacing w:after="0" w:line="61" w:lineRule="exact"/>
        <w:rPr>
          <w:rFonts w:ascii="Arial" w:cs="Arial" w:eastAsia="Arial" w:hAnsi="Arial"/>
          <w:sz w:val="18"/>
          <w:szCs w:val="18"/>
          <w:color w:val="auto"/>
        </w:rPr>
      </w:pPr>
    </w:p>
    <w:p>
      <w:pPr>
        <w:ind w:left="460" w:firstLine="428"/>
        <w:spacing w:after="0" w:line="356" w:lineRule="auto"/>
        <w:tabs>
          <w:tab w:leader="none" w:pos="113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In no event shall the Collateral Manager be liable for special, indirect or consequential losses or damages of any kind whatsoever (including but not limited to lost profits) even if the Collateral Manager has been advised of the likelihood of such damages and regardless of the form of such action.</w:t>
      </w:r>
    </w:p>
    <w:p>
      <w:pPr>
        <w:spacing w:after="0" w:line="1" w:lineRule="exact"/>
        <w:rPr>
          <w:rFonts w:ascii="Arial" w:cs="Arial" w:eastAsia="Arial" w:hAnsi="Arial"/>
          <w:sz w:val="15"/>
          <w:szCs w:val="15"/>
          <w:color w:val="auto"/>
        </w:rPr>
      </w:pPr>
    </w:p>
    <w:p>
      <w:pPr>
        <w:ind w:left="460" w:right="100" w:firstLine="428"/>
        <w:spacing w:after="0" w:line="254" w:lineRule="auto"/>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Each Collateral Manager Person shall be held harmless and be indemnified by the Borrower for any Damages suffered by virtue of any acts or omissions or alleged acts or omissions arising out of the activities of such Collateral Manager Person in the performance of the obligations of the Collateral Manager under this Agreement or as a result of this Agreement, or the Borrower’s ownership interest in any portion of the Collateral Obligations, except to the extent any such Damage arises as a result of a Collateral Manager Breach. All amounts payable pursuant to this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shall be payable in accordance with the Priority of Payments.</w:t>
      </w:r>
    </w:p>
    <w:p>
      <w:pPr>
        <w:spacing w:after="0" w:line="147" w:lineRule="exact"/>
        <w:rPr>
          <w:sz w:val="20"/>
          <w:szCs w:val="20"/>
          <w:color w:val="auto"/>
        </w:rPr>
      </w:pPr>
    </w:p>
    <w:p>
      <w:pPr>
        <w:ind w:right="20" w:firstLine="449"/>
        <w:spacing w:after="0" w:line="285" w:lineRule="auto"/>
        <w:rPr>
          <w:sz w:val="20"/>
          <w:szCs w:val="20"/>
          <w:color w:val="auto"/>
        </w:rPr>
      </w:pPr>
      <w:r>
        <w:rPr>
          <w:rFonts w:ascii="Arial" w:cs="Arial" w:eastAsia="Arial" w:hAnsi="Arial"/>
          <w:sz w:val="16"/>
          <w:szCs w:val="16"/>
          <w:i w:val="1"/>
          <w:iCs w:val="1"/>
          <w:color w:val="auto"/>
        </w:rPr>
        <w:t>Section 11.04. Authorization of the Collateral Manager</w:t>
      </w:r>
      <w:r>
        <w:rPr>
          <w:rFonts w:ascii="Arial" w:cs="Arial" w:eastAsia="Arial" w:hAnsi="Arial"/>
          <w:sz w:val="16"/>
          <w:szCs w:val="16"/>
          <w:color w:val="auto"/>
        </w:rPr>
        <w:t>. The Borrower hereby authorizes the Collateral Manager to take any and all reasonable steps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its name and on its behalf necessary or desirable in the determination of the Collateral Manager and not inconsistent with the pledge of the Collateral by the Borrower to the Collateral Agent, on behalf of the Secured Parties, hereunder, to collect all amounts due under any and all Collateral, including, without limitation, endorsing its name on checks and other instruments representing Collections, executing and delivering any and all instruments of satisfaction or cancellation, or of partial or full release or discharge, and all other comparable instruments, with respect to the Collateral and, after the delinquency of any Collateral and to the extent permitted under and in compliance with Applicable Law, to commence proceedings with respect to enforcing payment thereof, to the same extent as the Collateral Manager could have done if it owned such Collateral. The Borrower shall furnish the Collateral Manager (and any successors thereto) with any powers of attorney and other documents necessary or appropriate to enable the Collateral Manager to carry out its collateral management duties hereunder, and shall cooperate with the Collateral Manager to the fullest extent in order to ensure the collectability of the Collateral. In no event shall the Collateral Manager be entitled to make the Secured Parties, the Collateral Agent, the Collateral Administrator, the Backup Collateral Manager, the Administrative Agent or any Lender a party to any litigation without such party’s express prior written consent, or to make the Borrower a party to any litigation (other than any foreclosure or similar collection procedure) without the Administrative Agent’s consent. Following the occurrence and continuance of an Event of Default (unless otherwise waived by the Lenders in accordance with </w:t>
      </w:r>
      <w:r>
        <w:rPr>
          <w:rFonts w:ascii="Arial" w:cs="Arial" w:eastAsia="Arial" w:hAnsi="Arial"/>
          <w:sz w:val="16"/>
          <w:szCs w:val="16"/>
          <w:u w:val="single" w:color="auto"/>
          <w:color w:val="auto"/>
        </w:rPr>
        <w:t>Section 15.01</w:t>
      </w:r>
      <w:r>
        <w:rPr>
          <w:rFonts w:ascii="Arial" w:cs="Arial" w:eastAsia="Arial" w:hAnsi="Arial"/>
          <w:sz w:val="16"/>
          <w:szCs w:val="16"/>
          <w:color w:val="auto"/>
        </w:rPr>
        <w:t xml:space="preserve">), the Administrative Agent (acting in its sole discretion or at the direction of the Required Lenders) may provide notice to the Collateral Manager (with a copy to the Backup Collateral Manager, the Collateral Administrator, the Custodian and the Collateral Agent) that the Secured Parties are exercising their control rights with respect to the Collateral in accordance with the last paragraph of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280" w:right="339" w:bottom="1440" w:gutter="0" w:footer="0" w:header="0"/>
        </w:sectPr>
      </w:pPr>
    </w:p>
    <w:bookmarkStart w:id="157" w:name="page158"/>
    <w:bookmarkEnd w:id="157"/>
    <w:p>
      <w:pPr>
        <w:ind w:right="80" w:firstLine="449"/>
        <w:spacing w:after="0" w:line="308"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11.05. Realization Upon Defaulted Collateral Loans</w:t>
      </w:r>
      <w:r>
        <w:rPr>
          <w:rFonts w:ascii="Arial" w:cs="Arial" w:eastAsia="Arial" w:hAnsi="Arial"/>
          <w:sz w:val="15"/>
          <w:szCs w:val="15"/>
          <w:color w:val="auto"/>
        </w:rPr>
        <w:t>. The Collateral Manager will use reasonable efforts consistent with the Collateral</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Standard, this Agreement and the Related Documents to exercise (on behalf of the Borrower) available remedies (which may include liquidating, foreclosing upon or repossessing, as applicable, or otherwise comparably converting the ownership of any related property) with respect to any Defaulted Collateral Loan. The Collateral Manager will comply with the Collateral Management Standard, the Related Documents and Applicable Law in realizing upon such related property, and employ practices and procedures, including reasonable efforts, consistent with the Collateral Management Standard and the Related Documents, to enforce all obligations of Obligors. Without limiting the generality of the foregoing, the Collateral Manager may cause the sale of any such related property to the Collateral Manager or its Affiliates for a purchase price equal to the then fair market value thereof, any such sale to be evidenced by a certificate of a Responsible Officer of the Collateral Manager delivered to the Administrative Agent setting forth the Collateral Loan, the related property, the sale price of the related property and certifying that such sale price is the fair market value of such related property. The Collateral Manager will remit to the Collection Account the recoveries received in connection with the sale or disposition of related property relating to any Defaulted Collateral Loan hereunder.</w:t>
      </w:r>
    </w:p>
    <w:p>
      <w:pPr>
        <w:spacing w:after="0" w:line="108"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i w:val="1"/>
          <w:iCs w:val="1"/>
          <w:color w:val="auto"/>
        </w:rPr>
        <w:t>Section 11.06. Collateral Management Compensation</w:t>
      </w:r>
      <w:r>
        <w:rPr>
          <w:rFonts w:ascii="Arial" w:cs="Arial" w:eastAsia="Arial" w:hAnsi="Arial"/>
          <w:sz w:val="16"/>
          <w:szCs w:val="16"/>
          <w:color w:val="auto"/>
        </w:rPr>
        <w:t>. As compensation for its servicing and collateral management activities hereunder and</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reimbursement for its expenses, the Collateral Manager shall be entitled to receive the Senior and Subordinated Collateral Management Fees to the extent of funds available therefor pursuant to the Priority of Payments, as applicable. In consideration of the transactions contemplated by the investment advisory agreement between as PennantPark Investment Advisers, LLC and the BDC, for so long as PennantPark Investment Advisers, LLC is the Collateral Manager, the Collateral Manager hereby irrevocably directs the Borrower and the Collateral Agent to pay all Senior Collateral Management Fees and Subordinated Collateral Management Fees payable to the Collateral Manager hereunder directly to the BDC.</w:t>
      </w:r>
    </w:p>
    <w:p>
      <w:pPr>
        <w:spacing w:after="0" w:line="120"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i w:val="1"/>
          <w:iCs w:val="1"/>
          <w:color w:val="auto"/>
        </w:rPr>
        <w:t>Section 11.07. Payment of Certain Expenses by Collateral Manager</w:t>
      </w:r>
      <w:r>
        <w:rPr>
          <w:rFonts w:ascii="Arial" w:cs="Arial" w:eastAsia="Arial" w:hAnsi="Arial"/>
          <w:sz w:val="18"/>
          <w:szCs w:val="18"/>
          <w:color w:val="auto"/>
        </w:rPr>
        <w:t>. The Collateral Manager (if the Collateral Manager is an Affiliate of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required to pay all expenses incurred by it in connection with its activities under this Agreement, including fees and disbursements of its independent accountants, Taxes imposed on the Collateral Manager, expenses incurred by the Collateral Manager in connection with the production of reports pursuant to this Agreement, and all other fees and expenses not expressly stated under this Agreement for the account of the Borrower. The Collateral Manager shall be required to pay such expenses for its own account and shall not be entitled to any payment therefor other than the Senior or Subordinated Collateral Management Fees.</w:t>
      </w:r>
    </w:p>
    <w:p>
      <w:pPr>
        <w:spacing w:after="0" w:line="144"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i w:val="1"/>
          <w:iCs w:val="1"/>
          <w:color w:val="auto"/>
        </w:rPr>
        <w:t>Section 11.08. The Collateral Manager Not to Resign; Assignment</w:t>
      </w:r>
      <w:r>
        <w:rPr>
          <w:rFonts w:ascii="Arial" w:cs="Arial" w:eastAsia="Arial" w:hAnsi="Arial"/>
          <w:sz w:val="16"/>
          <w:szCs w:val="16"/>
          <w:color w:val="auto"/>
        </w:rPr>
        <w:t>. The Collateral Manager shall not resign from the obligations and duties hereby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imposed on it except upon the Collateral Manager’s determination that the performance of its duties hereunder is or becomes impermissible under Applicable Law. Any such determination permitting the resignation of the Collateral Manager shall be evidenced by an opinion of counsel to such effect delivered to the Administrative Agent and each Lender. No such resignation shall become effective until a Successor Collateral Manager shall have assumed the responsibilities and obligations of the Collateral Manager in accordance with </w:t>
      </w:r>
      <w:r>
        <w:rPr>
          <w:rFonts w:ascii="Arial" w:cs="Arial" w:eastAsia="Arial" w:hAnsi="Arial"/>
          <w:sz w:val="16"/>
          <w:szCs w:val="16"/>
          <w:u w:val="single" w:color="auto"/>
          <w:color w:val="auto"/>
        </w:rPr>
        <w:t>Section 11.09</w:t>
      </w:r>
      <w:r>
        <w:rPr>
          <w:rFonts w:ascii="Arial" w:cs="Arial" w:eastAsia="Arial" w:hAnsi="Arial"/>
          <w:sz w:val="16"/>
          <w:szCs w:val="16"/>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280" w:right="339" w:bottom="1440" w:gutter="0" w:footer="0" w:header="0"/>
        </w:sectPr>
      </w:pPr>
    </w:p>
    <w:bookmarkStart w:id="158" w:name="page159"/>
    <w:bookmarkEnd w:id="158"/>
    <w:p>
      <w:pPr>
        <w:ind w:firstLine="449"/>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11.09. Appointment of Successor Collateral Manager</w:t>
      </w:r>
      <w:r>
        <w:rPr>
          <w:rFonts w:ascii="Arial" w:cs="Arial" w:eastAsia="Arial" w:hAnsi="Arial"/>
          <w:sz w:val="16"/>
          <w:szCs w:val="16"/>
          <w:color w:val="auto"/>
        </w:rPr>
        <w:t>. (a) Upon resignation of the Collateral Manager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11.08</w:t>
      </w:r>
      <w:r>
        <w:rPr>
          <w:rFonts w:ascii="Arial" w:cs="Arial" w:eastAsia="Arial" w:hAnsi="Arial"/>
          <w:sz w:val="16"/>
          <w:szCs w:val="16"/>
          <w:i w:val="1"/>
          <w:iCs w:val="1"/>
          <w:color w:val="auto"/>
        </w:rPr>
        <w:t xml:space="preserve"> </w:t>
      </w:r>
      <w:r>
        <w:rPr>
          <w:rFonts w:ascii="Arial" w:cs="Arial" w:eastAsia="Arial" w:hAnsi="Arial"/>
          <w:sz w:val="16"/>
          <w:szCs w:val="16"/>
          <w:color w:val="auto"/>
        </w:rPr>
        <w:t>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occurrence and continuance of a Collateral Manager Default or a Collateral Manager Replacement Event, the Administrative Agent may (with the consent of the Required Lenders) at any time appoint a successor collateral manager (the </w:t>
      </w:r>
      <w:r>
        <w:rPr>
          <w:rFonts w:ascii="Arial" w:cs="Arial" w:eastAsia="Arial" w:hAnsi="Arial"/>
          <w:sz w:val="16"/>
          <w:szCs w:val="16"/>
          <w:i w:val="1"/>
          <w:iCs w:val="1"/>
          <w:color w:val="auto"/>
        </w:rPr>
        <w:t>“Successor Collateral Manager”</w:t>
      </w:r>
      <w:r>
        <w:rPr>
          <w:rFonts w:ascii="Arial" w:cs="Arial" w:eastAsia="Arial" w:hAnsi="Arial"/>
          <w:sz w:val="16"/>
          <w:szCs w:val="16"/>
          <w:color w:val="auto"/>
        </w:rPr>
        <w:t xml:space="preserve">), which, for the avoidance of doubt may be the Backup Collateral Manager, the Administrative Agent or any Lender, and such Successor Collateral Manager shall accept its appointment by a written assumption in a form acceptable to the Administrative Agent. No assignment of this Agreement by the Collateral Manager (including, without limitation, a change in control or management of the Collateral Manager which would be deemed an “assignment” under the Investment Advisers Act of 1940, as amended) shall be made unless such assignment is consented to in writing by the Borrower,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xml:space="preserve"> that nothing herein shall be construed to restrict the ability of the Administrative Agent to replace the Collateral Manager upon the occurrence of a Collateral Manager Default or a Collateral Manager Replacement Event pursuant to </w:t>
      </w:r>
      <w:r>
        <w:rPr>
          <w:rFonts w:ascii="Arial" w:cs="Arial" w:eastAsia="Arial" w:hAnsi="Arial"/>
          <w:sz w:val="16"/>
          <w:szCs w:val="16"/>
          <w:u w:val="single" w:color="auto"/>
          <w:color w:val="auto"/>
        </w:rPr>
        <w:t>Section 11.09</w:t>
      </w:r>
      <w:r>
        <w:rPr>
          <w:rFonts w:ascii="Arial" w:cs="Arial" w:eastAsia="Arial" w:hAnsi="Arial"/>
          <w:sz w:val="16"/>
          <w:szCs w:val="16"/>
          <w:color w:val="auto"/>
        </w:rPr>
        <w:t xml:space="preserve"> hereof or any obligations of the Collateral Manager in connection with such provisions.</w:t>
      </w:r>
    </w:p>
    <w:p>
      <w:pPr>
        <w:spacing w:after="0" w:line="38" w:lineRule="exact"/>
        <w:rPr>
          <w:sz w:val="20"/>
          <w:szCs w:val="20"/>
          <w:color w:val="auto"/>
        </w:rPr>
      </w:pPr>
    </w:p>
    <w:p>
      <w:pPr>
        <w:ind w:left="460" w:firstLine="428"/>
        <w:spacing w:after="0" w:line="284" w:lineRule="auto"/>
        <w:tabs>
          <w:tab w:leader="none" w:pos="11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Upon its appointment (the “</w:t>
      </w:r>
      <w:r>
        <w:rPr>
          <w:rFonts w:ascii="Arial" w:cs="Arial" w:eastAsia="Arial" w:hAnsi="Arial"/>
          <w:sz w:val="16"/>
          <w:szCs w:val="16"/>
          <w:i w:val="1"/>
          <w:iCs w:val="1"/>
          <w:color w:val="auto"/>
        </w:rPr>
        <w:t>Assumption Date</w:t>
      </w:r>
      <w:r>
        <w:rPr>
          <w:rFonts w:ascii="Arial" w:cs="Arial" w:eastAsia="Arial" w:hAnsi="Arial"/>
          <w:sz w:val="16"/>
          <w:szCs w:val="16"/>
          <w:color w:val="auto"/>
        </w:rPr>
        <w:t xml:space="preserve">”), the Successor Collateral Manager shall be the successor in all respects to the Collateral Manager with respect to collateral management functions under this Agreement and shall be subject to all the responsibilities, duties and liabilities relating thereto placed on the Collateral Manager by the terms and provisions hereof, and all references in this Agreement to the Collateral Manager shall be deemed to refer to the Successor Collateral Manager;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Successor Collateral Manager shall not (i) be deemed to have assumed or to become liable for, or otherwise have any liability for, any duties, responsibilities, actions performed, breaches, defaults, claims, obligations or liabilities of the terminated Collateral Manager or any other predecessor Collateral Manager arising before the Assumption Date, (ii) have any obligation to pay any taxes required to be paid by the terminated Collateral Manager or any other predecessor Collateral Manager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Successor Collateral Manager shall pay any income taxes for which it is liable), (iii) have any liability for any failure to perform its duties as Collateral Manager, or any loss or damages arising from such failure, that results from the actions (or inaction) of the terminated Collateral Manager or any other predecessor Collateral Manager on or before the Assumption Date, (iv) have any obligation to perform advancing or repurchase obligations, if any, of the Borrower, the terminated Collateral Manager or any other predecessor Collateral Manager unless it elects to do so in its sole discretion, (v) have any obligation to pay any of the fees and expenses of any other party to the transaction contemplated by this Agreement or any Facility Document, (vi) have any liability with respect to any of the representations and warranties of the Collateral Manager under this Agreement, (vii) have any obligation to expend or risk its own funds or otherwise incur any financial liability in the performance of its duties hereunder or in the exercise of any of its rights and powers, if, in its reasonable judgment, it shall believe that repayment of such funds or adequate indemnity against such risk or liability is not assured to it and (viii) have any obligation to file or record any financing statements or other documents in order to perfect or continue any security interests contemplated by this Agreement unless it has been directed by the Administrative Agent to make such filing or recordation. The indemnification obligations of the Successor Collateral Manager, upon becoming a Successor Collateral Manager, are expressly limited to those arising on account of its failure to act in good faith and with reasonable care under the circumstances.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280" w:right="359" w:bottom="1440" w:gutter="0" w:footer="0" w:header="0"/>
        </w:sectPr>
      </w:pPr>
    </w:p>
    <w:bookmarkStart w:id="159" w:name="page160"/>
    <w:bookmarkEnd w:id="159"/>
    <w:p>
      <w:pPr>
        <w:ind w:firstLine="428"/>
        <w:spacing w:after="0" w:line="287" w:lineRule="auto"/>
        <w:tabs>
          <w:tab w:leader="none" w:pos="670"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Collateral Manager agrees to cooperate and use its commercially reasonable efforts in effecting the transition of the responsibilities and rights of servicing of the Collateral, including, without limitation, the transfer to the Successor Collateral Manager for the administration by it of all cash amounts that shall at the time be held by the Collateral Manager for deposit, or have been deposited by the Collateral Manager, or thereafter received with respect to the Collateral and the delivery to the Successor Collateral Manager in an orderly and timely fashion of all files and records with respect to the Collateral and a computer data file in readable form containing all information necessary to enable the Successor Collateral Manager to service the Collateral. In addition, the Collateral Manager agrees to cooperate and use its commercially reasonable efforts in providing, at the expense of the Collateral Manager, the Successor Collateral Manager with reasonable access (including at the premises of the Collateral Manager) to the employees of the Collateral Manager, and any and all of the books, records (in electronic or other form) or other information reasonably requested by it to enable the Successor Collateral Manager to assume the servicing functions hereunder and under this Agreement and to maintain a list of key servicing personnel and contact information.</w:t>
      </w:r>
    </w:p>
    <w:p>
      <w:pPr>
        <w:spacing w:after="0" w:line="40" w:lineRule="exact"/>
        <w:rPr>
          <w:rFonts w:ascii="Arial" w:cs="Arial" w:eastAsia="Arial" w:hAnsi="Arial"/>
          <w:sz w:val="16"/>
          <w:szCs w:val="16"/>
          <w:color w:val="auto"/>
        </w:rPr>
      </w:pPr>
    </w:p>
    <w:p>
      <w:pPr>
        <w:ind w:right="20" w:firstLine="428"/>
        <w:spacing w:after="0" w:line="287" w:lineRule="auto"/>
        <w:tabs>
          <w:tab w:leader="none" w:pos="6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Notwithstanding the Successor Collateral Manager’s assumption of, and its agreement to perform and observe, all duties, responsibilities and obligations of the Collateral Manager under this Agreement arising on and after the Assumption Date, the Successor Collateral Manager shall not be deemed to have assumed or to become liable for, or otherwise have any liability for, any duties, responsibilities, obligations or liabilities of the initial Collateral Manager or any other predecessor Collateral Manager arising under the terms of this Agreement, arising by operation of law or otherwise with respect to the period ending on the Assumption Date, including, without limitation, any liability for, any duties, responsibilities, obligations or liabilities of the initial Collateral Manager or any other predecessor Collateral Manager arising on or before the Assumption Date under this Agreement, regardless of when the liability, duty, responsibility or obligation of the initial Collateral Manager or any other predecessor Collateral Manager therefor arose, whether provided by the terms of this Agreement arising by operation of law or otherwise, and in no case will the Successor Collateral Manager have any liability for any failure to perform its duties as Collateral Manager, or any loss or damages arising from such failure, that results from the actions (or inaction) of the initial Collateral Manager or any other predecessor Collateral Manager on or before the Assumption Date.</w:t>
      </w:r>
    </w:p>
    <w:p>
      <w:pPr>
        <w:spacing w:after="0" w:line="40" w:lineRule="exact"/>
        <w:rPr>
          <w:rFonts w:ascii="Arial" w:cs="Arial" w:eastAsia="Arial" w:hAnsi="Arial"/>
          <w:sz w:val="16"/>
          <w:szCs w:val="16"/>
          <w:color w:val="auto"/>
        </w:rPr>
      </w:pPr>
    </w:p>
    <w:p>
      <w:pPr>
        <w:ind w:right="360" w:firstLine="428"/>
        <w:spacing w:after="0" w:line="331" w:lineRule="auto"/>
        <w:tabs>
          <w:tab w:leader="none" w:pos="67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Successor Collateral Manager undertakes to perform only such duties and obligations as are specifically set forth in this Agreement, it being expressly understood by all parties hereto that there are no implied duties or obligations of the Successor Collateral Manager hereunder.</w:t>
      </w:r>
    </w:p>
    <w:p>
      <w:pPr>
        <w:spacing w:after="0" w:line="5" w:lineRule="exact"/>
        <w:rPr>
          <w:rFonts w:ascii="Arial" w:cs="Arial" w:eastAsia="Arial" w:hAnsi="Arial"/>
          <w:sz w:val="16"/>
          <w:szCs w:val="16"/>
          <w:color w:val="auto"/>
        </w:rPr>
      </w:pPr>
    </w:p>
    <w:p>
      <w:pPr>
        <w:ind w:right="380" w:firstLine="428"/>
        <w:spacing w:after="0" w:line="259" w:lineRule="auto"/>
        <w:tabs>
          <w:tab w:leader="none" w:pos="65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in this Agreement or any Facility Document to the contrary, the Successor Collateral Manager is authorized to accept and rely on all of the accounting, records (including computer records) and work of the prior Collateral Manager relating to the Collateral Loans (collectively, the </w:t>
      </w:r>
      <w:r>
        <w:rPr>
          <w:rFonts w:ascii="Arial" w:cs="Arial" w:eastAsia="Arial" w:hAnsi="Arial"/>
          <w:sz w:val="18"/>
          <w:szCs w:val="18"/>
          <w:i w:val="1"/>
          <w:iCs w:val="1"/>
          <w:color w:val="auto"/>
        </w:rPr>
        <w:t>“Predecessor Collateral Manager Work</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760"/>
          </w:cols>
          <w:pgMar w:left="780" w:top="280" w:right="359" w:bottom="1440" w:gutter="0" w:footer="0" w:header="0"/>
        </w:sectPr>
      </w:pPr>
    </w:p>
    <w:bookmarkStart w:id="160" w:name="page161"/>
    <w:bookmarkEnd w:id="160"/>
    <w:p>
      <w:pPr>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Product”</w:t>
      </w:r>
      <w:r>
        <w:rPr>
          <w:rFonts w:ascii="Arial" w:cs="Arial" w:eastAsia="Arial" w:hAnsi="Arial"/>
          <w:sz w:val="16"/>
          <w:szCs w:val="16"/>
          <w:color w:val="auto"/>
        </w:rPr>
        <w:t>) without any audit or other examination thereof, except to the extent that it knows such records or work product to be incorrect, and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Successor Collateral Manager shall have no duty, responsibility, obligation or liability for the acts and omissions of the prior Collateral Manager or any other predecessor Collateral Manager. If any error, inaccuracy, omission or incorrect or non-standard practice or procedure (collectively, </w:t>
      </w:r>
      <w:r>
        <w:rPr>
          <w:rFonts w:ascii="Arial" w:cs="Arial" w:eastAsia="Arial" w:hAnsi="Arial"/>
          <w:sz w:val="16"/>
          <w:szCs w:val="16"/>
          <w:i w:val="1"/>
          <w:iCs w:val="1"/>
          <w:color w:val="auto"/>
        </w:rPr>
        <w:t>“Errors”</w:t>
      </w:r>
      <w:r>
        <w:rPr>
          <w:rFonts w:ascii="Arial" w:cs="Arial" w:eastAsia="Arial" w:hAnsi="Arial"/>
          <w:sz w:val="16"/>
          <w:szCs w:val="16"/>
          <w:color w:val="auto"/>
        </w:rPr>
        <w:t xml:space="preserve">) exist in any Predecessor Collateral Manager Work Product and such Errors make it materially more difficult to service or should cause or materially contribute to the Successor Collateral Manager making or continuing any Errors (collectively, </w:t>
      </w:r>
      <w:r>
        <w:rPr>
          <w:rFonts w:ascii="Arial" w:cs="Arial" w:eastAsia="Arial" w:hAnsi="Arial"/>
          <w:sz w:val="16"/>
          <w:szCs w:val="16"/>
          <w:i w:val="1"/>
          <w:iCs w:val="1"/>
          <w:color w:val="auto"/>
        </w:rPr>
        <w:t>“Continued Errors”</w:t>
      </w:r>
      <w:r>
        <w:rPr>
          <w:rFonts w:ascii="Arial" w:cs="Arial" w:eastAsia="Arial" w:hAnsi="Arial"/>
          <w:sz w:val="16"/>
          <w:szCs w:val="16"/>
          <w:color w:val="auto"/>
        </w:rPr>
        <w:t xml:space="preserve">), such Successor Collateral Manager shall have no duty, responsibility, obligation or liability for such Continued Errors;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such Successor Collateral Manager agrees to use commercially reasonable efforts to prevent further Continued Errors. In the event that the Successor Collateral Manager becomes aware of Errors or Continued Errors, it shall, with the prior consent of the Administrative Agent, use its commercially reasonable efforts to reconstruct and reconcile such data as is commercially reasonable to correct such Errors and Continued Errors and to prevent future Continued Errors. The Successor Collateral Manager shall be entitled to recover its costs thereby expended in accordance with the Priority of Payments.</w:t>
      </w:r>
    </w:p>
    <w:p>
      <w:pPr>
        <w:spacing w:after="0" w:line="41" w:lineRule="exact"/>
        <w:rPr>
          <w:sz w:val="20"/>
          <w:szCs w:val="20"/>
          <w:color w:val="auto"/>
        </w:rPr>
      </w:pPr>
    </w:p>
    <w:p>
      <w:pPr>
        <w:ind w:right="40" w:firstLine="428"/>
        <w:spacing w:after="0" w:line="298" w:lineRule="auto"/>
        <w:tabs>
          <w:tab w:leader="none" w:pos="6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Collateral Manager will, upon the request of the Successor Collateral Manager, provide the Successor Collateral Manager with a power of attorney providing that the Successor Collateral Manager is authorized and empowered to execute and deliver, on behalf of the Collateral Manager, as attorney-in-fact or otherwise, any and all documents and other instruments, and to do so or accomplish all other acts or things necessary or appropriate to effect the purposes of such notice of termination or to perform the duties of the Collateral Manager under this Agreement.</w:t>
      </w:r>
    </w:p>
    <w:p>
      <w:pPr>
        <w:spacing w:after="0" w:line="31" w:lineRule="exact"/>
        <w:rPr>
          <w:rFonts w:ascii="Arial" w:cs="Arial" w:eastAsia="Arial" w:hAnsi="Arial"/>
          <w:sz w:val="16"/>
          <w:szCs w:val="16"/>
          <w:color w:val="auto"/>
        </w:rPr>
      </w:pPr>
    </w:p>
    <w:p>
      <w:pPr>
        <w:ind w:right="200" w:firstLine="428"/>
        <w:spacing w:after="0" w:line="256" w:lineRule="auto"/>
        <w:tabs>
          <w:tab w:leader="none" w:pos="6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Successor Collateral Manager shall not be liable for an action or omission to act hereunder, except for its own willful misconduct, gross negligence or bad faith. Under no circumstances will the Successor Collateral Manager be liable for indirect, special, consequential or incidental damages, such as loss of use, revenue or profit. In no event shall the Successor Collateral Manager be liable to the Borrower for any bad debts or other defaults by Obligors.</w:t>
      </w:r>
    </w:p>
    <w:p>
      <w:pPr>
        <w:spacing w:after="0" w:line="61" w:lineRule="exact"/>
        <w:rPr>
          <w:rFonts w:ascii="Arial" w:cs="Arial" w:eastAsia="Arial" w:hAnsi="Arial"/>
          <w:sz w:val="18"/>
          <w:szCs w:val="18"/>
          <w:color w:val="auto"/>
        </w:rPr>
      </w:pPr>
    </w:p>
    <w:p>
      <w:pPr>
        <w:ind w:right="300" w:firstLine="428"/>
        <w:spacing w:after="0" w:line="268" w:lineRule="auto"/>
        <w:tabs>
          <w:tab w:leader="none" w:pos="64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Except as set forth herein, the Successor Collateral Manager shall have no duty to review any information regarding the Collateral Manager, including any financial statements or the information set forth herein.</w:t>
      </w:r>
    </w:p>
    <w:p>
      <w:pPr>
        <w:spacing w:after="0" w:line="50" w:lineRule="exact"/>
        <w:rPr>
          <w:rFonts w:ascii="Arial" w:cs="Arial" w:eastAsia="Arial" w:hAnsi="Arial"/>
          <w:sz w:val="18"/>
          <w:szCs w:val="18"/>
          <w:color w:val="auto"/>
        </w:rPr>
      </w:pPr>
    </w:p>
    <w:p>
      <w:pPr>
        <w:ind w:right="220" w:firstLine="428"/>
        <w:spacing w:after="0" w:line="294" w:lineRule="auto"/>
        <w:tabs>
          <w:tab w:leader="none" w:pos="64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the Successor Collateral Manager is prevented from fulfilling its obligations hereunder as a result of government actions, regulations, fires, strikes, accidents, acts of God or other causes beyond the control of such party, the Successor Collateral Manager shall use commercially reasonable efforts to resume performance as soon as reasonably possible, and the Successor Collateral Manager’s obligations shall be suspended for a reasonable time during which such conditions exist. Except as set forth herein, the Backup Collateral Manager shall have no duty to review any information regarding the Collateral Manager, including any financial statements or the information set forth herein.</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780"/>
          </w:cols>
          <w:pgMar w:left="780" w:top="280" w:right="339" w:bottom="1440" w:gutter="0" w:footer="0" w:header="0"/>
        </w:sectPr>
      </w:pPr>
    </w:p>
    <w:bookmarkStart w:id="161" w:name="page162"/>
    <w:bookmarkEnd w:id="161"/>
    <w:p>
      <w:pPr>
        <w:ind w:left="5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XII</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THE AGENTS</w:t>
      </w:r>
    </w:p>
    <w:p>
      <w:pPr>
        <w:spacing w:after="0" w:line="17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i w:val="1"/>
          <w:iCs w:val="1"/>
          <w:color w:val="auto"/>
        </w:rPr>
        <w:t>Section 12.01. Authorization and Action</w:t>
      </w:r>
      <w:r>
        <w:rPr>
          <w:rFonts w:ascii="Arial" w:cs="Arial" w:eastAsia="Arial" w:hAnsi="Arial"/>
          <w:sz w:val="16"/>
          <w:szCs w:val="16"/>
          <w:color w:val="auto"/>
        </w:rPr>
        <w:t>. Each Lender hereby irrevocably appoints and authorizes the Administrative Agent and the Collateral Agent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and the transactions contemplated 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or, with respect to the Collateral Agent, the Administrative Agent;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25" w:lineRule="exact"/>
        <w:rPr>
          <w:sz w:val="20"/>
          <w:szCs w:val="20"/>
          <w:color w:val="auto"/>
        </w:rPr>
      </w:pPr>
    </w:p>
    <w:p>
      <w:pPr>
        <w:ind w:left="460" w:firstLine="431"/>
        <w:spacing w:after="0" w:line="288" w:lineRule="auto"/>
        <w:rPr>
          <w:sz w:val="20"/>
          <w:szCs w:val="20"/>
          <w:color w:val="auto"/>
        </w:rPr>
      </w:pPr>
      <w:r>
        <w:rPr>
          <w:rFonts w:ascii="Arial" w:cs="Arial" w:eastAsia="Arial" w:hAnsi="Arial"/>
          <w:sz w:val="16"/>
          <w:szCs w:val="16"/>
          <w:color w:val="auto"/>
        </w:rPr>
        <w:t>If the Collateral Agent has been requested or directed by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 No provision of this Agreement or any Facility Document shall otherwise be construed to require the Collateral Agent to expend or risk its own funds or to take any action that could in its judgment cause it to incur any cost, expenses or liability, unless it is provided indemnity acceptable to it against any such expenditure, risk, costs, expense or liability. For the avoidance of doubt, the Collateral Agent shall not have any duty or obligation to take any affirmative action to exercise or enforce any power, right or remedy available to it under this Agreement or any Facility Document or Related Document unless and until directed by the Required Lenders (or the Administrative Agent on their behalf).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274" w:right="359" w:bottom="1440" w:gutter="0" w:footer="0" w:header="0"/>
        </w:sectPr>
      </w:pPr>
    </w:p>
    <w:bookmarkStart w:id="162" w:name="page163"/>
    <w:bookmarkEnd w:id="162"/>
    <w:p>
      <w:pPr>
        <w:ind w:left="460" w:right="60" w:firstLine="43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Neither the Collateral Agent nor any officer, agent or representative thereof shall be personally liable for any action taken by any such person in accordance with any notice given by the Required Lenders (or the Administrative Agent on their behalf) pursuant to the terms of this Agreement or any other Facility Document even if, at the time such action is taken by any such person, the Required Lenders or persons purporting to be the Required Lenders are not entitled to give such notice, except where the Responsible Officer of the Collateral Agent has actual knowledge (without any duty of inquiry or investigation on its part) that such Required Lenders or persons purporting to be the Required Lenders are not entitled to give such notice.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spacing w:after="0" w:line="63" w:lineRule="exact"/>
        <w:rPr>
          <w:sz w:val="20"/>
          <w:szCs w:val="20"/>
          <w:color w:val="auto"/>
        </w:rPr>
      </w:pPr>
    </w:p>
    <w:p>
      <w:pPr>
        <w:ind w:left="460" w:right="60" w:firstLine="431"/>
        <w:spacing w:after="0" w:line="294" w:lineRule="auto"/>
        <w:rPr>
          <w:sz w:val="20"/>
          <w:szCs w:val="20"/>
          <w:color w:val="auto"/>
        </w:rPr>
      </w:pPr>
      <w:r>
        <w:rPr>
          <w:rFonts w:ascii="Arial" w:cs="Arial" w:eastAsia="Arial" w:hAnsi="Arial"/>
          <w:sz w:val="16"/>
          <w:szCs w:val="16"/>
          <w:color w:val="auto"/>
        </w:rPr>
        <w:t>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two (2) Business Days after it has requested them, the Collateral Agent may, but shall be under no duty to, take or refrain from taking any such courses of action. The Collateral Agent shall act in accordance with instructions received after such two-Business Day period except to the extent it has already, in good faith, taken or committed itself to take, action inconsistent with such instructions.</w:t>
      </w:r>
    </w:p>
    <w:p>
      <w:pPr>
        <w:spacing w:after="0" w:line="115" w:lineRule="exact"/>
        <w:rPr>
          <w:sz w:val="20"/>
          <w:szCs w:val="20"/>
          <w:color w:val="auto"/>
        </w:rPr>
      </w:pPr>
    </w:p>
    <w:p>
      <w:pPr>
        <w:ind w:right="220" w:firstLine="449"/>
        <w:spacing w:after="0" w:line="306" w:lineRule="auto"/>
        <w:rPr>
          <w:sz w:val="20"/>
          <w:szCs w:val="20"/>
          <w:color w:val="auto"/>
        </w:rPr>
      </w:pPr>
      <w:r>
        <w:rPr>
          <w:rFonts w:ascii="Arial" w:cs="Arial" w:eastAsia="Arial" w:hAnsi="Arial"/>
          <w:sz w:val="16"/>
          <w:szCs w:val="16"/>
          <w:i w:val="1"/>
          <w:iCs w:val="1"/>
          <w:color w:val="auto"/>
        </w:rPr>
        <w:t>Section 12.02. Delegation of Duties</w:t>
      </w:r>
      <w:r>
        <w:rPr>
          <w:rFonts w:ascii="Arial" w:cs="Arial" w:eastAsia="Arial" w:hAnsi="Arial"/>
          <w:sz w:val="16"/>
          <w:szCs w:val="16"/>
          <w:color w:val="auto"/>
        </w:rPr>
        <w:t>. Each Agent may execute any of its duties under this Agreement and each other Facility Document by or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06" w:lineRule="exact"/>
        <w:rPr>
          <w:sz w:val="20"/>
          <w:szCs w:val="20"/>
          <w:color w:val="auto"/>
        </w:rPr>
      </w:pPr>
    </w:p>
    <w:p>
      <w:pPr>
        <w:ind w:right="60" w:firstLine="449"/>
        <w:spacing w:after="0" w:line="283" w:lineRule="auto"/>
        <w:rPr>
          <w:sz w:val="20"/>
          <w:szCs w:val="20"/>
          <w:color w:val="auto"/>
        </w:rPr>
      </w:pPr>
      <w:r>
        <w:rPr>
          <w:rFonts w:ascii="Arial" w:cs="Arial" w:eastAsia="Arial" w:hAnsi="Arial"/>
          <w:sz w:val="16"/>
          <w:szCs w:val="16"/>
          <w:i w:val="1"/>
          <w:iCs w:val="1"/>
          <w:color w:val="auto"/>
        </w:rPr>
        <w:t xml:space="preserve">Section 12.03. Agent’s Reliance, Etc. </w:t>
      </w:r>
      <w:r>
        <w:rPr>
          <w:rFonts w:ascii="Arial" w:cs="Arial" w:eastAsia="Arial" w:hAnsi="Arial"/>
          <w:sz w:val="16"/>
          <w:szCs w:val="16"/>
          <w:color w:val="auto"/>
        </w:rPr>
        <w:t>(a) Neither Agent nor any of its respective directors, officers, agents or employees shall be liable for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Collateral Manager or any of their Affiliates) and independent public accountants and other experts selected by it and shall not be liable for any action taken or omitted to be taken in good faith by it in accordance with the advice of such counsel, accountants or experts;</w:t>
      </w:r>
    </w:p>
    <w:p>
      <w:pPr>
        <w:spacing w:after="0" w:line="2" w:lineRule="exact"/>
        <w:rPr>
          <w:sz w:val="20"/>
          <w:szCs w:val="20"/>
          <w:color w:val="auto"/>
        </w:rPr>
      </w:pPr>
    </w:p>
    <w:p>
      <w:pPr>
        <w:ind w:firstLine="8"/>
        <w:spacing w:after="0" w:line="287" w:lineRule="auto"/>
        <w:tabs>
          <w:tab w:leader="none" w:pos="25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 the other Facility Documents or any Related Documents on the part of the Borrower or the Collateral Manager or any other Person or to inspect the property (including the books and records) of the Borrower or the Collateral Manager;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or for the validity, perfection, priority or enforceability of the Liens on the Collateral; and (v) shall incur no liability</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60"/>
          </w:cols>
          <w:pgMar w:left="320" w:top="280" w:right="419" w:bottom="1440" w:gutter="0" w:footer="0" w:header="0"/>
        </w:sectPr>
      </w:pPr>
    </w:p>
    <w:bookmarkStart w:id="163" w:name="page164"/>
    <w:bookmarkEnd w:id="163"/>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 or in respect of this Agreement or any other Facility Document by relying on, acting upon (or by refraining from action in reliance on) any notice, consent, certificate (including for the avoidance of doubt, the Borrowing Base Certificate), instruction or waiver, report, statement, opinion, direction or other instrument or writing (which may be delivered by telecopier, email, cable or telex, if acceptable to it) believed by it to be genuine and believe by it to be signed or sent by the proper party or parties. No Agent shall have any liability to the Borrower or any Lender or any other Person for the Borrower’s, the Collateral Manager’s or any Lender’s, as the case may be, performance of, or failure to perform, any of their respective obligations and duties under this Agreement or any other Facility Document.</w:t>
      </w:r>
    </w:p>
    <w:p>
      <w:pPr>
        <w:spacing w:after="0" w:line="63" w:lineRule="exact"/>
        <w:rPr>
          <w:sz w:val="20"/>
          <w:szCs w:val="20"/>
          <w:color w:val="auto"/>
        </w:rPr>
      </w:pPr>
    </w:p>
    <w:p>
      <w:pPr>
        <w:ind w:left="460" w:firstLine="428"/>
        <w:spacing w:after="0" w:line="284" w:lineRule="auto"/>
        <w:tabs>
          <w:tab w:leader="none" w:pos="11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No Agent shall be liable for the actions of omissions of any other Agent (including without limitation concerning the application of funds), or under any duty to monitor or investigate compliance on the part of any other Agent with the terms or requirements of this Agreement, any Facility Documents or any Related Documents, or their duties thereunder. Each Agent shall be entitled to assume the due authority of any signatory and genuineness of any signature appearing on any instrument or document it may receive (including, without limitation,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without limitation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as applicable). No Agent shall be liable for any error of judgment made in good faith unless it shall be proven by a court of competent jurisdiction that such Agent was grossly negligent in ascertaining the relevant facts. Nothing herein or in any Facility Documents or Related Documents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or consequential damages (included but not limited to lost profits) whatsoever, even if it has been informed of the likelihood thereof and regardless of the form of action. No Agent shall be charged with knowledge or notice of any matter unless actually known to a Responsible Officer of such Agent, or unless and to the extent written notice of such matter is received by such Agent at its address in accordance with </w:t>
      </w:r>
      <w:r>
        <w:rPr>
          <w:rFonts w:ascii="Arial" w:cs="Arial" w:eastAsia="Arial" w:hAnsi="Arial"/>
          <w:sz w:val="16"/>
          <w:szCs w:val="16"/>
          <w:u w:val="single" w:color="auto"/>
          <w:color w:val="auto"/>
        </w:rPr>
        <w:t>Section 15.02</w:t>
      </w:r>
      <w:r>
        <w:rPr>
          <w:rFonts w:ascii="Arial" w:cs="Arial" w:eastAsia="Arial" w:hAnsi="Arial"/>
          <w:sz w:val="16"/>
          <w:szCs w:val="16"/>
          <w:color w:val="auto"/>
        </w:rPr>
        <w:t>. Any permissive grant of power to an Agent hereunder shall not be construed to be a duty to act. Neither Agent shall be bound to make any investigation into the facts or matters stated in any resolution, certificate, statement, instrument, opinion, report, notice, request, consent, entitlement order, approval or other paper or document. Neither Agent shall be liable for any error of judgment, or for any act done or step taken or omitted by it, in good faith, or for any mistakes of fact or law, or for anything that it may do or refrain from doing in connection herewith except in the case of its willful misconduct, bad faith, reckless disregard or grossly negligent performance or omission of its duties.</w:t>
      </w:r>
    </w:p>
    <w:p>
      <w:pPr>
        <w:spacing w:after="0" w:line="46" w:lineRule="exact"/>
        <w:rPr>
          <w:rFonts w:ascii="Arial" w:cs="Arial" w:eastAsia="Arial" w:hAnsi="Arial"/>
          <w:sz w:val="16"/>
          <w:szCs w:val="16"/>
          <w:color w:val="auto"/>
        </w:rPr>
      </w:pPr>
    </w:p>
    <w:p>
      <w:pPr>
        <w:ind w:left="460" w:right="120" w:firstLine="428"/>
        <w:spacing w:after="0" w:line="259" w:lineRule="auto"/>
        <w:tabs>
          <w:tab w:leader="none" w:pos="113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Agent shall be responsible or liable for delays or failures in performance resulting from acts beyond its control. Such acts shall include but not be limited to acts of God, strikes, lockouts, riots, acts of war, epidemics, governmental regulations imposed after the fact, fire, communication line failures, computer viruses, power failures, earthquakes or other disasters.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280" w:right="359" w:bottom="1440" w:gutter="0" w:footer="0" w:header="0"/>
        </w:sectPr>
      </w:pPr>
    </w:p>
    <w:bookmarkStart w:id="164" w:name="page165"/>
    <w:bookmarkEnd w:id="164"/>
    <w:p>
      <w:pPr>
        <w:ind w:left="460" w:right="20" w:firstLine="428"/>
        <w:spacing w:after="0" w:line="294" w:lineRule="auto"/>
        <w:tabs>
          <w:tab w:leader="none" w:pos="11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that are afforded to it in this Agreement.</w:t>
      </w:r>
    </w:p>
    <w:p>
      <w:pPr>
        <w:spacing w:after="0" w:line="34" w:lineRule="exact"/>
        <w:rPr>
          <w:rFonts w:ascii="Arial" w:cs="Arial" w:eastAsia="Arial" w:hAnsi="Arial"/>
          <w:sz w:val="16"/>
          <w:szCs w:val="16"/>
          <w:color w:val="auto"/>
        </w:rPr>
      </w:pPr>
    </w:p>
    <w:p>
      <w:pPr>
        <w:ind w:left="460" w:right="20" w:firstLine="428"/>
        <w:spacing w:after="0" w:line="306" w:lineRule="auto"/>
        <w:tabs>
          <w:tab w:leader="none" w:pos="113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Each Lender acknowledges that except as expressly set forth in this Agreement, the Collateral Agent has not made any representation or warranty to it, and that no act by the Collateral Agent hereafter taken, including any consent and acceptance of any assignment or review of the affairs of the Borrower, shall be deemed to constitute any representation or warranty by the Collateral Agent to any Secured Party as to any matter. Each Lender represents to the Collateral Agent that it has, independently and without reliance upon the Collateral Agent and based on such documents and information as it has deemed appropriate, made its own appraisal of and investigation into the business, prospects, operations, property, financial and other condition and creditworthiness of the Borrower, and made its own decision to enter into this Agreement and the other Facility Documents to which it is a party. Each Lender also represents that it will, independently and without reliance upon the Collateral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Collateral Manager. The Collateral Agent shall not have any duty or responsibility to provide any Secured Party with any credit or other information concerning the business, prospects, operations, property, financial or other condition or creditworthiness of the Borrower or Collateral Manager which may come into the possession of the Collateral Agent.</w:t>
      </w:r>
    </w:p>
    <w:p>
      <w:pPr>
        <w:spacing w:after="0" w:line="115"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i w:val="1"/>
          <w:iCs w:val="1"/>
          <w:color w:val="auto"/>
        </w:rPr>
        <w:t>Section 12.04. Indemnification</w:t>
      </w:r>
      <w:r>
        <w:rPr>
          <w:rFonts w:ascii="Arial" w:cs="Arial" w:eastAsia="Arial" w:hAnsi="Arial"/>
          <w:sz w:val="18"/>
          <w:szCs w:val="18"/>
          <w:color w:val="auto"/>
        </w:rPr>
        <w:t>. Each of the Lenders agrees to indemnify and hold the Agents and the Backup Collateral Manager harmless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reimbursed by or on behalf of the Borrower pursuant to </w:t>
      </w:r>
      <w:r>
        <w:rPr>
          <w:rFonts w:ascii="Arial" w:cs="Arial" w:eastAsia="Arial" w:hAnsi="Arial"/>
          <w:sz w:val="18"/>
          <w:szCs w:val="18"/>
          <w:u w:val="single" w:color="auto"/>
          <w:color w:val="auto"/>
        </w:rPr>
        <w:t>Section 15.04</w:t>
      </w:r>
      <w:r>
        <w:rPr>
          <w:rFonts w:ascii="Arial" w:cs="Arial" w:eastAsia="Arial" w:hAnsi="Arial"/>
          <w:sz w:val="18"/>
          <w:szCs w:val="18"/>
          <w:color w:val="auto"/>
        </w:rPr>
        <w:t xml:space="preserve"> or otherwise) from and against any and all liabilities, obligations, losses, damages, penalties, actions, judgments, suits, costs, expenses (including, without limitation, attorneys fees and expenses) or disbursements of any kind or nature whatsoever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no Lender shall be liable to any Agent for any portion of such liabilities, obligations, losses, damages, penalties, actions, judgments, suits, costs, expenses or disbursements resulting from such Agent’s gross negligence or willful misconduct; and </w:t>
      </w:r>
      <w:r>
        <w:rPr>
          <w:rFonts w:ascii="Arial" w:cs="Arial" w:eastAsia="Arial" w:hAnsi="Arial"/>
          <w:sz w:val="18"/>
          <w:szCs w:val="18"/>
          <w:i w:val="1"/>
          <w:iCs w:val="1"/>
          <w:u w:val="single" w:color="auto"/>
          <w:color w:val="auto"/>
        </w:rPr>
        <w:t>provided, further</w:t>
      </w:r>
      <w:r>
        <w:rPr>
          <w:rFonts w:ascii="Arial" w:cs="Arial" w:eastAsia="Arial" w:hAnsi="Arial"/>
          <w:sz w:val="18"/>
          <w:szCs w:val="18"/>
          <w:i w:val="1"/>
          <w:iCs w:val="1"/>
          <w:color w:val="auto"/>
        </w:rPr>
        <w:t>,</w:t>
      </w:r>
      <w:r>
        <w:rPr>
          <w:rFonts w:ascii="Arial" w:cs="Arial" w:eastAsia="Arial" w:hAnsi="Arial"/>
          <w:sz w:val="18"/>
          <w:szCs w:val="18"/>
          <w:color w:val="auto"/>
        </w:rPr>
        <w:t xml:space="preserve"> that no Lender shall be liable to the Collateral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280" w:right="359" w:bottom="1440" w:gutter="0" w:footer="0" w:header="0"/>
        </w:sectPr>
      </w:pPr>
    </w:p>
    <w:bookmarkStart w:id="165" w:name="page166"/>
    <w:bookmarkEnd w:id="16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Agent for any portion of such liabilities, obligations, losses, damages, penalties, actions, judgments, suits, costs, expenses or disbursements (for purposes hereof, </w:t>
      </w:r>
      <w:r>
        <w:rPr>
          <w:rFonts w:ascii="Arial" w:cs="Arial" w:eastAsia="Arial" w:hAnsi="Arial"/>
          <w:sz w:val="16"/>
          <w:szCs w:val="16"/>
          <w:i w:val="1"/>
          <w:iCs w:val="1"/>
          <w:color w:val="auto"/>
        </w:rPr>
        <w:t>“Liabilities”</w:t>
      </w:r>
      <w:r>
        <w:rPr>
          <w:rFonts w:ascii="Arial" w:cs="Arial" w:eastAsia="Arial" w:hAnsi="Arial"/>
          <w:sz w:val="16"/>
          <w:szCs w:val="16"/>
          <w:color w:val="auto"/>
        </w:rPr>
        <w:t xml:space="preserve">) unless such Liabilities are imposed on, incurred by, or asserted against the Collateral Agent as a result of any action taken, or not taken, by the Collateral Agent at the direction of the Administrative Agent or such Lender or Lenders, as the case may be, in accordance with the terms and conditions set forth in this Agreement (it being understood and agreed that the Collateral Agent shall be under no obligation 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w:t>
      </w:r>
      <w:r>
        <w:rPr>
          <w:rFonts w:ascii="Arial" w:cs="Arial" w:eastAsia="Arial" w:hAnsi="Arial"/>
          <w:sz w:val="16"/>
          <w:szCs w:val="16"/>
          <w:u w:val="single" w:color="auto"/>
          <w:color w:val="auto"/>
        </w:rPr>
        <w:t>Section 12.04</w:t>
      </w:r>
      <w:r>
        <w:rPr>
          <w:rFonts w:ascii="Arial" w:cs="Arial" w:eastAsia="Arial" w:hAnsi="Arial"/>
          <w:sz w:val="16"/>
          <w:szCs w:val="16"/>
          <w:color w:val="auto"/>
        </w:rPr>
        <w:t xml:space="preserve"> or otherwise). The rights of the Agents and obligations of the Lenders under or pursuant to this </w:t>
      </w:r>
      <w:r>
        <w:rPr>
          <w:rFonts w:ascii="Arial" w:cs="Arial" w:eastAsia="Arial" w:hAnsi="Arial"/>
          <w:sz w:val="16"/>
          <w:szCs w:val="16"/>
          <w:u w:val="single" w:color="auto"/>
          <w:color w:val="auto"/>
        </w:rPr>
        <w:t>Section 12.04</w:t>
      </w:r>
      <w:r>
        <w:rPr>
          <w:rFonts w:ascii="Arial" w:cs="Arial" w:eastAsia="Arial" w:hAnsi="Arial"/>
          <w:sz w:val="16"/>
          <w:szCs w:val="16"/>
          <w:color w:val="auto"/>
        </w:rPr>
        <w:t xml:space="preserve"> shall survive the termination of this Agreement, and the earlier removal or resignation of the any Agent hereunder.</w:t>
      </w:r>
    </w:p>
    <w:p>
      <w:pPr>
        <w:spacing w:after="0" w:line="12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i w:val="1"/>
          <w:iCs w:val="1"/>
          <w:color w:val="auto"/>
        </w:rPr>
        <w:t>Section 12.05. Successor Agents</w:t>
      </w:r>
      <w:r>
        <w:rPr>
          <w:rFonts w:ascii="Arial" w:cs="Arial" w:eastAsia="Arial" w:hAnsi="Arial"/>
          <w:sz w:val="16"/>
          <w:szCs w:val="16"/>
          <w:color w:val="auto"/>
        </w:rPr>
        <w:t>. Subject to the terms of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12.05</w:t>
      </w:r>
      <w:r>
        <w:rPr>
          <w:rFonts w:ascii="Arial" w:cs="Arial" w:eastAsia="Arial" w:hAnsi="Arial"/>
          <w:sz w:val="16"/>
          <w:szCs w:val="16"/>
          <w:color w:val="auto"/>
        </w:rPr>
        <w:t>, each Agent may, upon thirty (30) days’ notice to the Lenders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Borrower, resign as Administrative Agent or Collateral Agent, as applicable. If an Agent shall resign then the Required Lenders shall appoint a successor agent. If for any reason a successor agent is not so appointed and does not accept such appointment within thirty (30) days of notice of resignation such Agent may appoint a successor agent. The appointment of any successor Agent shall be subject to the prior written consent of the Borrower (which consent shall not be unreasonably withheld or delayed);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consent of the Borrower to any such appointment shall not be required if (i) an Event of Default shall have occurred and is continuing or, (ii) if such successor Agent is a Lender or an Affiliate of such Agent or any Lender. Any resignation of an Agent shall be effective upon the appointment of a successor agent pursuant to this </w:t>
      </w:r>
      <w:r>
        <w:rPr>
          <w:rFonts w:ascii="Arial" w:cs="Arial" w:eastAsia="Arial" w:hAnsi="Arial"/>
          <w:sz w:val="16"/>
          <w:szCs w:val="16"/>
          <w:u w:val="single" w:color="auto"/>
          <w:color w:val="auto"/>
        </w:rPr>
        <w:t>Section 12.05</w:t>
      </w:r>
      <w:r>
        <w:rPr>
          <w:rFonts w:ascii="Arial" w:cs="Arial" w:eastAsia="Arial" w:hAnsi="Arial"/>
          <w:sz w:val="16"/>
          <w:szCs w:val="16"/>
          <w:color w:val="auto"/>
        </w:rPr>
        <w:t xml:space="preserve">. After the effectiveness of any retiring Agent’s resignation hereunder as Agent, the retiring Agent shall be discharged from its duties and obligations hereunder and under the other Facility Documents and the provisions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shall continue in effect for its benefit with respect to any actions taken or omitted to be taken by it while it was Agent under this Agreement and under the other Facility Documents. Any Person (i) into which the Collateral Agent may be merged or consolidated, (ii) that may result from any merger or consolidation to which the Collateral Agent shall be a party, or (iii) that may succeed to the corporate trust properties and assets of the Collateral Agent substantially as a whole, shall be the successor to the Collateral Agent under this Agreement without further act of any of the parties to this Agreement.</w:t>
      </w:r>
    </w:p>
    <w:p>
      <w:pPr>
        <w:spacing w:after="0" w:line="123"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i w:val="1"/>
          <w:iCs w:val="1"/>
          <w:color w:val="auto"/>
        </w:rPr>
        <w:t xml:space="preserve">Section 12.06. Resignation of SunTrust Robinson Humphrey, Inc. </w:t>
      </w:r>
      <w:r>
        <w:rPr>
          <w:rFonts w:ascii="Arial" w:cs="Arial" w:eastAsia="Arial" w:hAnsi="Arial"/>
          <w:sz w:val="16"/>
          <w:szCs w:val="16"/>
          <w:color w:val="auto"/>
        </w:rPr>
        <w:t>By its execution hereof, SunTrust Robinson Humphrey, Inc. hereby resigns as</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for all purposes of the Original Agreement, as amended hereby. The Borrower, the Collateral Manager, the Collateral Agent, the Backup Collateral Agent, the Custodian and the Lenders hereby confirm and agree that the resignation by SunTrust Robinson Humphrey, Inc. contemplated by this Section 12.06 shall be effective notwithstanding anything contained in Section 12.05 of the Original Agreement. SunTrust Robinson Humphrey, Inc. agrees to execute and deliver, at the Borrower’s expense, all assignments and other documents reasonably requested by the Administrative Agent in connection with its resignation as administrative agent under the Original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280" w:right="33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BACKUP COLLATERAL MANAGER</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i w:val="1"/>
          <w:iCs w:val="1"/>
          <w:color w:val="auto"/>
        </w:rPr>
        <w:t xml:space="preserve">Section 13.01. Duties of the Backup Collateral Manager. </w:t>
      </w:r>
      <w:r>
        <w:rPr>
          <w:rFonts w:ascii="Arial" w:cs="Arial" w:eastAsia="Arial" w:hAnsi="Arial"/>
          <w:sz w:val="18"/>
          <w:szCs w:val="18"/>
          <w:color w:val="auto"/>
        </w:rPr>
        <w:t>(a) On or before the Closing Date, the Collateral Manager shall deliver to the Backup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the information required to be set forth in the Monthly Report in hard copy and in EXCEL or a comparable format.</w:t>
      </w:r>
    </w:p>
    <w:p>
      <w:pPr>
        <w:spacing w:after="0" w:line="51" w:lineRule="exact"/>
        <w:rPr>
          <w:sz w:val="20"/>
          <w:szCs w:val="20"/>
          <w:color w:val="auto"/>
        </w:rPr>
      </w:pPr>
    </w:p>
    <w:p>
      <w:pPr>
        <w:ind w:left="460" w:firstLine="428"/>
        <w:spacing w:after="0" w:line="287" w:lineRule="auto"/>
        <w:tabs>
          <w:tab w:leader="none" w:pos="11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Backup Collateral Manager undertakes to perform only such duties and obligations as are specifically set forth in this Agreement, it being expressly understood by all parties hereto that there are no implied duties or obligations of the Backup Collateral Manager hereunder. Without limiting the generality of the foregoing, the Backup Collateral Manager, except as expressly set forth herein, shall have no obligation to supervise, verify, monitor or administer the performance of the Collateral Manager or the Borrower and shall have no liability for any action taken or omitted by the Collateral Manager (including any successor to the Collateral Manager) or the Borrower. The Backup Collateral Manager may act through its agents, attorneys and custodians in performing any of its duties and obligations under this Agreement, it being understood by the parties hereto that the Backup Collateral Manager will be responsible for any willful misconduct or gross negligence on the part of such agents, attorneys or custodians acting for and on behalf of the Backup Collateral Manager. Neither the Backup Collateral Manager nor any of its officers, directors, employees or agents shall be liable, directly or indirectly, for any damages or expenses arising out of the services performed under this Agreement other than damages or expenses that result from the gross negligence or willful misconduct of it or them or the failure to perform materially in accordance with this Agreement.</w:t>
      </w:r>
    </w:p>
    <w:p>
      <w:pPr>
        <w:spacing w:after="0" w:line="122"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i w:val="1"/>
          <w:iCs w:val="1"/>
          <w:color w:val="auto"/>
        </w:rPr>
        <w:t>Section 13.02. Fees of Backup Collateral Manager</w:t>
      </w:r>
      <w:r>
        <w:rPr>
          <w:rFonts w:ascii="Arial" w:cs="Arial" w:eastAsia="Arial" w:hAnsi="Arial"/>
          <w:sz w:val="18"/>
          <w:szCs w:val="18"/>
          <w:color w:val="auto"/>
        </w:rPr>
        <w:t>. (a) For the performance of its backup servicing duties hereunder, the Backup Collateral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entitled to the fees and expenses set forth in the Backup Collateral Manager Fee Letter. The Backup Collateral Manager shall invoice the Borrower on a quarterly basis for such fees and expenses. Payment shall be made by the Borrower to the extent funds are available for that purpose in accordance with the Priority of Payments.</w:t>
      </w:r>
    </w:p>
    <w:p>
      <w:pPr>
        <w:spacing w:after="0" w:line="62" w:lineRule="exact"/>
        <w:rPr>
          <w:sz w:val="20"/>
          <w:szCs w:val="20"/>
          <w:color w:val="auto"/>
        </w:rPr>
      </w:pPr>
    </w:p>
    <w:p>
      <w:pPr>
        <w:ind w:left="460" w:right="160" w:firstLine="428"/>
        <w:spacing w:after="0" w:line="254" w:lineRule="auto"/>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event the Borrower fails to make timely payment of fees and expenses for services performed by the Backup Collateral Manager under this Agreement, the Backup Collateral Manager shall give the Collateral Administrators, the Administrative Agent and the Collateral Manager written notice of such nonpayment. The Administrative Agent may elect to pay the Backup Collateral Manager all then past due servicing fees and expenses owed to the Backup Collateral Manager, and the Borrower agrees to reimburse the Administrative Agent therefor on demand, together with interest thereon at the Post-Default Rate.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274" w:right="359" w:bottom="1440" w:gutter="0" w:footer="0" w:header="0"/>
        </w:sectPr>
      </w:pPr>
    </w:p>
    <w:bookmarkStart w:id="167" w:name="page168"/>
    <w:bookmarkEnd w:id="167"/>
    <w:p>
      <w:pPr>
        <w:ind w:right="60" w:firstLine="449"/>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13.03. Assumption of Servicing Duties</w:t>
      </w:r>
      <w:r>
        <w:rPr>
          <w:rFonts w:ascii="Arial" w:cs="Arial" w:eastAsia="Arial" w:hAnsi="Arial"/>
          <w:sz w:val="16"/>
          <w:szCs w:val="16"/>
          <w:color w:val="auto"/>
        </w:rPr>
        <w:t>. (a) Upon written notification by the Administrative Agent to the Backup Collateral Manager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Manager, which notice shall be binding upon the Collateral Manager, requesting the Backup Collateral Manager to become primary Collateral Manager with respect to the Collateral, the Backup Collateral Manager shall become Successor Collateral Manager under this Agreement in accordance with </w:t>
      </w:r>
      <w:r>
        <w:rPr>
          <w:rFonts w:ascii="Arial" w:cs="Arial" w:eastAsia="Arial" w:hAnsi="Arial"/>
          <w:sz w:val="16"/>
          <w:szCs w:val="16"/>
          <w:u w:val="single" w:color="auto"/>
          <w:color w:val="auto"/>
        </w:rPr>
        <w:t>Section 11.09</w:t>
      </w:r>
      <w:r>
        <w:rPr>
          <w:rFonts w:ascii="Arial" w:cs="Arial" w:eastAsia="Arial" w:hAnsi="Arial"/>
          <w:sz w:val="16"/>
          <w:szCs w:val="16"/>
          <w:color w:val="auto"/>
        </w:rPr>
        <w:t xml:space="preserve"> hereof. Within thirty (30) Business Days following the aforesaid notice of Administrative Agent, the Backup Collateral Manager will commence the performance of such servicing duties as Successor Collateral Manager in accordance with the terms and conditions of this Agreement.</w:t>
      </w:r>
    </w:p>
    <w:p>
      <w:pPr>
        <w:spacing w:after="0" w:line="34" w:lineRule="exact"/>
        <w:rPr>
          <w:sz w:val="20"/>
          <w:szCs w:val="20"/>
          <w:color w:val="auto"/>
        </w:rPr>
      </w:pPr>
    </w:p>
    <w:p>
      <w:pPr>
        <w:ind w:left="460" w:right="140" w:firstLine="428"/>
        <w:spacing w:after="0" w:line="298" w:lineRule="auto"/>
        <w:tabs>
          <w:tab w:leader="none" w:pos="11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The Backup Collateral Manager will have the right to assign its obligations hereunder with the prior written consent of the Administrative Agent and the Required Lenders, which consent shall not be unreasonably withheld. In addition, the Backup Collateral Manager may execute any of its duties under this Agreement (both as Backup Collateral Manager and as Successor Collateral Manager) by or through agents;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Backup Collateral Manager shall remain primarily liable for the due performance of its duties hereunder.</w:t>
      </w:r>
    </w:p>
    <w:p>
      <w:pPr>
        <w:spacing w:after="0" w:line="11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i w:val="1"/>
          <w:iCs w:val="1"/>
          <w:color w:val="auto"/>
        </w:rPr>
        <w:t>Section 13.04. Indemnity</w:t>
      </w:r>
      <w:r>
        <w:rPr>
          <w:rFonts w:ascii="Arial" w:cs="Arial" w:eastAsia="Arial" w:hAnsi="Arial"/>
          <w:sz w:val="16"/>
          <w:szCs w:val="16"/>
          <w:color w:val="auto"/>
        </w:rPr>
        <w:t>. The Collateral Manager agrees to indemnify the Backup Collateral Manager and each of its Affiliates and the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employees, members and agents thereof, forthwith on demand, from and against any and all damages, losses, claims, liabilities and related costs and expenses, including reasonable and documented attorneys’ fees and disbursements (all of the foregoing being collectively referred to as “</w:t>
      </w:r>
      <w:r>
        <w:rPr>
          <w:rFonts w:ascii="Arial" w:cs="Arial" w:eastAsia="Arial" w:hAnsi="Arial"/>
          <w:sz w:val="16"/>
          <w:szCs w:val="16"/>
          <w:i w:val="1"/>
          <w:iCs w:val="1"/>
          <w:color w:val="auto"/>
        </w:rPr>
        <w:t>Backup Collateral</w:t>
      </w:r>
      <w:r>
        <w:rPr>
          <w:rFonts w:ascii="Arial" w:cs="Arial" w:eastAsia="Arial" w:hAnsi="Arial"/>
          <w:sz w:val="16"/>
          <w:szCs w:val="16"/>
          <w:color w:val="auto"/>
        </w:rPr>
        <w:t xml:space="preserve"> </w:t>
      </w:r>
      <w:r>
        <w:rPr>
          <w:rFonts w:ascii="Arial" w:cs="Arial" w:eastAsia="Arial" w:hAnsi="Arial"/>
          <w:sz w:val="16"/>
          <w:szCs w:val="16"/>
          <w:i w:val="1"/>
          <w:iCs w:val="1"/>
          <w:color w:val="auto"/>
        </w:rPr>
        <w:t>Manager Indemnified Amounts</w:t>
      </w:r>
      <w:r>
        <w:rPr>
          <w:rFonts w:ascii="Arial" w:cs="Arial" w:eastAsia="Arial" w:hAnsi="Arial"/>
          <w:sz w:val="16"/>
          <w:szCs w:val="16"/>
          <w:color w:val="auto"/>
        </w:rPr>
        <w:t>”) awarded against or incurred by, any such indemnified party arising out of or as a result of (i) any illegal act or omission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Manager, or (ii) the failure of the Collateral Manager to comply with its duties or obligations in accordance with this Agreement, </w:t>
      </w:r>
      <w:r>
        <w:rPr>
          <w:rFonts w:ascii="Arial" w:cs="Arial" w:eastAsia="Arial" w:hAnsi="Arial"/>
          <w:sz w:val="16"/>
          <w:szCs w:val="16"/>
          <w:i w:val="1"/>
          <w:iCs w:val="1"/>
          <w:u w:val="single" w:color="auto"/>
          <w:color w:val="auto"/>
        </w:rPr>
        <w:t>excluding,</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Backup Collateral Manager Indemnified Amounts to the extent resulting from (A) gross negligence, willful misconduct or bad faith on the part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Indemnified Party, (B) a claim brought by the Collateral Manager against an indemnified party for breach in bad faith of such indemnified party’s obligations hereunder or under any other Facility Document as to which such bad faith shall have been found to exist by final order of the applicable court. The provisions of this </w:t>
      </w:r>
      <w:r>
        <w:rPr>
          <w:rFonts w:ascii="Arial" w:cs="Arial" w:eastAsia="Arial" w:hAnsi="Arial"/>
          <w:sz w:val="16"/>
          <w:szCs w:val="16"/>
          <w:u w:val="single" w:color="auto"/>
          <w:color w:val="auto"/>
        </w:rPr>
        <w:t>Section 13.04</w:t>
      </w:r>
      <w:r>
        <w:rPr>
          <w:rFonts w:ascii="Arial" w:cs="Arial" w:eastAsia="Arial" w:hAnsi="Arial"/>
          <w:sz w:val="16"/>
          <w:szCs w:val="16"/>
          <w:color w:val="auto"/>
        </w:rPr>
        <w:t xml:space="preserve"> shall survive termination of this Agreement.</w:t>
      </w:r>
    </w:p>
    <w:p>
      <w:pPr>
        <w:spacing w:after="0" w:line="119"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i w:val="1"/>
          <w:iCs w:val="1"/>
          <w:color w:val="auto"/>
        </w:rPr>
        <w:t>Section 13.05. Additional Provisions Applicable to Backup Collateral Manager</w:t>
      </w:r>
      <w:r>
        <w:rPr>
          <w:rFonts w:ascii="Arial" w:cs="Arial" w:eastAsia="Arial" w:hAnsi="Arial"/>
          <w:sz w:val="18"/>
          <w:szCs w:val="18"/>
          <w:color w:val="auto"/>
        </w:rPr>
        <w:t>. Notwithstanding anything to the contrary in this Agreement, in the event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the Backup Collateral Manager becomes the Successor Collateral Manager pursuant to </w:t>
      </w:r>
      <w:r>
        <w:rPr>
          <w:rFonts w:ascii="Arial" w:cs="Arial" w:eastAsia="Arial" w:hAnsi="Arial"/>
          <w:sz w:val="18"/>
          <w:szCs w:val="18"/>
          <w:u w:val="single" w:color="auto"/>
          <w:color w:val="auto"/>
        </w:rPr>
        <w:t>Section 11.09</w:t>
      </w:r>
      <w:r>
        <w:rPr>
          <w:rFonts w:ascii="Arial" w:cs="Arial" w:eastAsia="Arial" w:hAnsi="Arial"/>
          <w:sz w:val="18"/>
          <w:szCs w:val="18"/>
          <w:color w:val="auto"/>
        </w:rPr>
        <w:t>, the following provisions shall be deemed applicable to the Backup Collateral Manager as Successor Collateral Manager:</w:t>
      </w:r>
    </w:p>
    <w:p>
      <w:pPr>
        <w:spacing w:after="0" w:line="59" w:lineRule="exact"/>
        <w:rPr>
          <w:sz w:val="20"/>
          <w:szCs w:val="20"/>
          <w:color w:val="auto"/>
        </w:rPr>
      </w:pPr>
    </w:p>
    <w:p>
      <w:pPr>
        <w:ind w:left="460" w:right="400" w:firstLine="428"/>
        <w:spacing w:after="0" w:line="306" w:lineRule="auto"/>
        <w:tabs>
          <w:tab w:leader="none" w:pos="113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Backup Collateral Manager’s duties as successor Collateral Manager pursuant to </w:t>
      </w:r>
      <w:r>
        <w:rPr>
          <w:rFonts w:ascii="Arial" w:cs="Arial" w:eastAsia="Arial" w:hAnsi="Arial"/>
          <w:sz w:val="16"/>
          <w:szCs w:val="16"/>
          <w:u w:val="single" w:color="auto"/>
          <w:color w:val="auto"/>
        </w:rPr>
        <w:t>Section 11.02(a)(viii)</w:t>
      </w:r>
      <w:r>
        <w:rPr>
          <w:rFonts w:ascii="Arial" w:cs="Arial" w:eastAsia="Arial" w:hAnsi="Arial"/>
          <w:sz w:val="16"/>
          <w:szCs w:val="16"/>
          <w:color w:val="auto"/>
        </w:rPr>
        <w:t xml:space="preserve"> shall be limited solely to maintaining the perfection of liens on the Collateral in favor of the Administrative Agent on behalf of the Secured Parties by preparing and filing or recording continuation statements and other documents or instruments as directed by the Administrative Agent;</w:t>
      </w:r>
    </w:p>
    <w:p>
      <w:pPr>
        <w:spacing w:after="0" w:line="25" w:lineRule="exact"/>
        <w:rPr>
          <w:rFonts w:ascii="Arial" w:cs="Arial" w:eastAsia="Arial" w:hAnsi="Arial"/>
          <w:sz w:val="16"/>
          <w:szCs w:val="16"/>
          <w:color w:val="auto"/>
        </w:rPr>
      </w:pPr>
    </w:p>
    <w:p>
      <w:pPr>
        <w:ind w:left="460" w:right="60" w:firstLine="428"/>
        <w:spacing w:after="0" w:line="306" w:lineRule="auto"/>
        <w:tabs>
          <w:tab w:leader="none" w:pos="114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Backup Collateral Manager shall not be required to deliver the agreed-upon procedures report pursuant to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unless the costs and expenses of the Backup Collateral Manager in obtaining such report shall be paid by the Borrower in accordance with the Priority of Payments (which the Borrower hereby agrees to pay) or by one or more Agents or Lenders in its or their sole discretion;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280" w:right="359" w:bottom="1440" w:gutter="0" w:footer="0" w:header="0"/>
        </w:sectPr>
      </w:pPr>
    </w:p>
    <w:bookmarkStart w:id="168" w:name="page169"/>
    <w:bookmarkEnd w:id="168"/>
    <w:p>
      <w:pPr>
        <w:ind w:left="460" w:right="60" w:firstLine="428"/>
        <w:spacing w:after="0" w:line="259" w:lineRule="auto"/>
        <w:tabs>
          <w:tab w:leader="none" w:pos="1130"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Backup Collateral Manager as Successor Collateral Manager shall be entitled to receive at least five (5) Business Days’ written notice prior to any inspection of its premises pursuant to </w:t>
      </w:r>
      <w:r>
        <w:rPr>
          <w:rFonts w:ascii="Arial" w:cs="Arial" w:eastAsia="Arial" w:hAnsi="Arial"/>
          <w:sz w:val="18"/>
          <w:szCs w:val="18"/>
          <w:u w:val="single" w:color="auto"/>
          <w:color w:val="auto"/>
        </w:rPr>
        <w:t>Section 5.03(c)</w:t>
      </w:r>
      <w:r>
        <w:rPr>
          <w:rFonts w:ascii="Arial" w:cs="Arial" w:eastAsia="Arial" w:hAnsi="Arial"/>
          <w:sz w:val="18"/>
          <w:szCs w:val="18"/>
          <w:color w:val="auto"/>
        </w:rPr>
        <w:t>, and such visits will occur no more than twice per year so long as the Backup Collateral Manager is not in default as Successor Collateral Manager;</w:t>
      </w:r>
    </w:p>
    <w:p>
      <w:pPr>
        <w:spacing w:after="0" w:line="58" w:lineRule="exact"/>
        <w:rPr>
          <w:rFonts w:ascii="Arial" w:cs="Arial" w:eastAsia="Arial" w:hAnsi="Arial"/>
          <w:sz w:val="18"/>
          <w:szCs w:val="18"/>
          <w:color w:val="auto"/>
        </w:rPr>
      </w:pPr>
    </w:p>
    <w:p>
      <w:pPr>
        <w:ind w:left="460" w:right="120" w:firstLine="428"/>
        <w:spacing w:after="0" w:line="259" w:lineRule="auto"/>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event that the Backup Collateral Manager merges into another Person or conveys or transfers its assets to a third party and the surviving entity assumes the duties of the Backup Collateral Manager hereunder, this Agreement shall remain in force, and the terms hereof shall govern the relationship between the Borrower and the successor to the Backup Collateral Manager; and</w:t>
      </w:r>
    </w:p>
    <w:p>
      <w:pPr>
        <w:spacing w:after="0" w:line="58" w:lineRule="exact"/>
        <w:rPr>
          <w:rFonts w:ascii="Arial" w:cs="Arial" w:eastAsia="Arial" w:hAnsi="Arial"/>
          <w:sz w:val="18"/>
          <w:szCs w:val="18"/>
          <w:color w:val="auto"/>
        </w:rPr>
      </w:pPr>
    </w:p>
    <w:p>
      <w:pPr>
        <w:ind w:left="460" w:right="440" w:firstLine="428"/>
        <w:spacing w:after="0" w:line="369" w:lineRule="auto"/>
        <w:tabs>
          <w:tab w:leader="none" w:pos="113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The indemnification obligations of the Backup Collateral Manager upon becoming Successor Collateral Manager hereunder are expressly limited to those instances of willful misconduct, gross negligence or bad faith of the Backup Collateral Manager as Successor Collateral Manager.</w:t>
      </w:r>
    </w:p>
    <w:p>
      <w:pPr>
        <w:spacing w:after="0" w:line="6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i w:val="1"/>
          <w:iCs w:val="1"/>
          <w:color w:val="auto"/>
        </w:rPr>
        <w:t>Section 13.06. Resignation of the Backup Collateral Manager</w:t>
      </w:r>
      <w:r>
        <w:rPr>
          <w:rFonts w:ascii="Arial" w:cs="Arial" w:eastAsia="Arial" w:hAnsi="Arial"/>
          <w:sz w:val="16"/>
          <w:szCs w:val="16"/>
          <w:color w:val="auto"/>
        </w:rPr>
        <w:t>. Notwithstanding the provisions above, the Backup Collateral Manager may resign, either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Backup Collateral Manager or as Successor Collateral Manager, upon ninety (90) days prior written notice to the Administrative Agent, the Collateral Agent and the Borrower: </w:t>
      </w:r>
      <w:r>
        <w:rPr>
          <w:rFonts w:ascii="Arial" w:cs="Arial" w:eastAsia="Arial" w:hAnsi="Arial"/>
          <w:sz w:val="16"/>
          <w:szCs w:val="16"/>
          <w:i w:val="1"/>
          <w:iCs w:val="1"/>
          <w:color w:val="auto"/>
        </w:rPr>
        <w:t>provided, however</w:t>
      </w:r>
      <w:r>
        <w:rPr>
          <w:rFonts w:ascii="Arial" w:cs="Arial" w:eastAsia="Arial" w:hAnsi="Arial"/>
          <w:sz w:val="16"/>
          <w:szCs w:val="16"/>
          <w:color w:val="auto"/>
        </w:rPr>
        <w:t>, such resignation shall not become effective until there is a replacement Successor Collateral Manager or Backup Collateral Manager in place that is acceptable to the Collateral Agent, the Administrative Agent, and, unless an Event of Default shall have occurred and be continuing, the Borrower, in each case in their sole discretion. Upon the resignation of the Backup Collateral Manager, the Administrative Agent shall appoint a successor Backup Collateral Manager (subject to the previous sentence) and if it does not do so within thirty (30) days of the Backup Collateral Manager’s resignation, the Backup Collateral Manager may petition a court of competent jurisdiction for the appointment of a successor.</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CUSTODIAN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14.01. Designation of Custodian.</w:t>
      </w:r>
    </w:p>
    <w:p>
      <w:pPr>
        <w:spacing w:after="0" w:line="90" w:lineRule="exact"/>
        <w:rPr>
          <w:sz w:val="20"/>
          <w:szCs w:val="20"/>
          <w:color w:val="auto"/>
        </w:rPr>
      </w:pPr>
    </w:p>
    <w:p>
      <w:pPr>
        <w:ind w:left="460" w:right="220" w:firstLine="428"/>
        <w:spacing w:after="0" w:line="256" w:lineRule="auto"/>
        <w:tabs>
          <w:tab w:leader="none" w:pos="113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Initial Custodian</w:t>
      </w:r>
      <w:r>
        <w:rPr>
          <w:rFonts w:ascii="Arial" w:cs="Arial" w:eastAsia="Arial" w:hAnsi="Arial"/>
          <w:sz w:val="18"/>
          <w:szCs w:val="18"/>
          <w:color w:val="auto"/>
        </w:rPr>
        <w:t>. The role of Custodian with respect to the Collateral Loans shall be conducted by the Person designated as Custodian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hereunder from time to time in accordance with this </w:t>
      </w:r>
      <w:r>
        <w:rPr>
          <w:rFonts w:ascii="Arial" w:cs="Arial" w:eastAsia="Arial" w:hAnsi="Arial"/>
          <w:sz w:val="18"/>
          <w:szCs w:val="18"/>
          <w:u w:val="single" w:color="auto"/>
          <w:color w:val="auto"/>
        </w:rPr>
        <w:t>Section 14.01</w:t>
      </w:r>
      <w:r>
        <w:rPr>
          <w:rFonts w:ascii="Arial" w:cs="Arial" w:eastAsia="Arial" w:hAnsi="Arial"/>
          <w:sz w:val="18"/>
          <w:szCs w:val="18"/>
          <w:color w:val="auto"/>
        </w:rPr>
        <w:t>. Until the Administrative Agent shall give to U.S Bank National Association a Custodian Termination Notice, U.S Bank National Association is hereby appointed as, and hereby accepts such appointment and agrees to perform the duties and obligations of, Custodian pursuant to the terms hereof.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280" w:right="339" w:bottom="1440" w:gutter="0" w:footer="0" w:header="0"/>
        </w:sectPr>
      </w:pPr>
    </w:p>
    <w:bookmarkStart w:id="169" w:name="page170"/>
    <w:bookmarkEnd w:id="169"/>
    <w:p>
      <w:pPr>
        <w:jc w:val="both"/>
        <w:ind w:right="160" w:firstLine="428"/>
        <w:spacing w:after="0" w:line="298" w:lineRule="auto"/>
        <w:tabs>
          <w:tab w:leader="none" w:pos="680"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 Custodian</w:t>
      </w:r>
      <w:r>
        <w:rPr>
          <w:rFonts w:ascii="Arial" w:cs="Arial" w:eastAsia="Arial" w:hAnsi="Arial"/>
          <w:sz w:val="16"/>
          <w:szCs w:val="16"/>
          <w:color w:val="auto"/>
        </w:rPr>
        <w:t>. Upon the Custodian’s receipt of a Custodian Termination Notice from the Administrative Agent of the designation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successor Custodian pursuant to the provisions of </w:t>
      </w:r>
      <w:r>
        <w:rPr>
          <w:rFonts w:ascii="Arial" w:cs="Arial" w:eastAsia="Arial" w:hAnsi="Arial"/>
          <w:sz w:val="16"/>
          <w:szCs w:val="16"/>
          <w:u w:val="single" w:color="auto"/>
          <w:color w:val="auto"/>
        </w:rPr>
        <w:t>Section 14.05</w:t>
      </w:r>
      <w:r>
        <w:rPr>
          <w:rFonts w:ascii="Arial" w:cs="Arial" w:eastAsia="Arial" w:hAnsi="Arial"/>
          <w:sz w:val="16"/>
          <w:szCs w:val="16"/>
          <w:color w:val="auto"/>
        </w:rPr>
        <w:t>, the Custodian agrees that it will terminate its activities as Custodian hereunder. Upon the resignation of the Custodian, the Administrative Agent shall appoint a successor Custodian and if it does not do so within thirty (30) days of the Custodian’s resignation, the Custodian may petition a court of competent jurisdiction for the appointment of a successor.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14.02. Duties of Custodian</w:t>
      </w:r>
      <w:r>
        <w:rPr>
          <w:rFonts w:ascii="Arial" w:cs="Arial" w:eastAsia="Arial" w:hAnsi="Arial"/>
          <w:sz w:val="18"/>
          <w:szCs w:val="18"/>
          <w:color w:val="auto"/>
        </w:rPr>
        <w:t>.</w:t>
      </w:r>
    </w:p>
    <w:p>
      <w:pPr>
        <w:spacing w:after="0" w:line="90" w:lineRule="exact"/>
        <w:rPr>
          <w:sz w:val="20"/>
          <w:szCs w:val="20"/>
          <w:color w:val="auto"/>
        </w:rPr>
      </w:pPr>
    </w:p>
    <w:p>
      <w:pPr>
        <w:ind w:firstLine="428"/>
        <w:spacing w:after="0" w:line="256" w:lineRule="auto"/>
        <w:tabs>
          <w:tab w:leader="none" w:pos="67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Appointment</w:t>
      </w:r>
      <w:r>
        <w:rPr>
          <w:rFonts w:ascii="Arial" w:cs="Arial" w:eastAsia="Arial" w:hAnsi="Arial"/>
          <w:sz w:val="18"/>
          <w:szCs w:val="18"/>
          <w:color w:val="auto"/>
        </w:rPr>
        <w:t>. Each of the Borrower and the Administrative Agent hereby designate and appoint the Custodian to act as its agent and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authorizes the Custodian to take such actions on its behalf and to exercise such powers and perform such duties as are expressly granted to the Custodian by this Agreement. The Custodian hereby accepts such agency appointment to act as Custodian pursuant to the terms of this Agreement, until its resignation or removal as Custodian pursuant to the terms hereof.</w:t>
      </w:r>
    </w:p>
    <w:p>
      <w:pPr>
        <w:spacing w:after="0" w:line="61" w:lineRule="exact"/>
        <w:rPr>
          <w:rFonts w:ascii="Arial" w:cs="Arial" w:eastAsia="Arial" w:hAnsi="Arial"/>
          <w:sz w:val="18"/>
          <w:szCs w:val="18"/>
          <w:color w:val="auto"/>
        </w:rPr>
      </w:pPr>
    </w:p>
    <w:p>
      <w:pPr>
        <w:ind w:right="160" w:firstLine="428"/>
        <w:spacing w:after="0" w:line="268" w:lineRule="auto"/>
        <w:tabs>
          <w:tab w:leader="none" w:pos="68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Duties</w:t>
      </w:r>
      <w:r>
        <w:rPr>
          <w:rFonts w:ascii="Arial" w:cs="Arial" w:eastAsia="Arial" w:hAnsi="Arial"/>
          <w:sz w:val="18"/>
          <w:szCs w:val="18"/>
          <w:color w:val="auto"/>
        </w:rPr>
        <w:t>. On or before the Funding Effective Date, and until its removal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14.5</w:t>
      </w:r>
      <w:r>
        <w:rPr>
          <w:rFonts w:ascii="Arial" w:cs="Arial" w:eastAsia="Arial" w:hAnsi="Arial"/>
          <w:sz w:val="18"/>
          <w:szCs w:val="18"/>
          <w:color w:val="auto"/>
        </w:rPr>
        <w:t>, the Custodian shall perform, on behalf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and the other Secured Parties, the following duties and obligations:</w:t>
      </w:r>
    </w:p>
    <w:p>
      <w:pPr>
        <w:spacing w:after="0" w:line="50" w:lineRule="exact"/>
        <w:rPr>
          <w:rFonts w:ascii="Arial" w:cs="Arial" w:eastAsia="Arial" w:hAnsi="Arial"/>
          <w:sz w:val="18"/>
          <w:szCs w:val="18"/>
          <w:color w:val="auto"/>
        </w:rPr>
      </w:pPr>
    </w:p>
    <w:p>
      <w:pPr>
        <w:ind w:left="440" w:right="40" w:firstLine="420"/>
        <w:spacing w:after="0" w:line="285" w:lineRule="auto"/>
        <w:tabs>
          <w:tab w:leader="none" w:pos="1063"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The Custodian shall take and retain custody of the Related Documents delivered by the Borrower pursuant to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in accordance with the terms and conditions of this Agreement, all for the benefit of the Secured Parties and subject to the Lien thereon in favor of the Administrative Agent, as agent for the Secured Parties. Within five (5) Business Days of its receipt of the Related Documents and Loan Checklist, the Custodian shall review the Related Documents delivered to it to confirm that (A) if the files delivered per the following sentence indicate that any document must contain an original signature, each such document appears to bear the original signature, or if the file indicates that such document may contain a copy of a signature, that such copies appear to bear a reproduction of such signature and (B) based on a review of the applicable note, the related initial principal loan balance when entered into or obtained by the Borrower, loan identification number and Obligor name with respect to such Collateral Loan is referenced on the related Loan Checklist and is does not appear to be a duplicate Collateral Loan (such items (A) through (B) collectively, the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Review Criteria</w:t>
      </w:r>
      <w:r>
        <w:rPr>
          <w:rFonts w:ascii="Arial" w:cs="Arial" w:eastAsia="Arial" w:hAnsi="Arial"/>
          <w:sz w:val="16"/>
          <w:szCs w:val="16"/>
          <w:i w:val="1"/>
          <w:iCs w:val="1"/>
          <w:color w:val="auto"/>
        </w:rPr>
        <w:t>”</w:t>
      </w:r>
      <w:r>
        <w:rPr>
          <w:rFonts w:ascii="Arial" w:cs="Arial" w:eastAsia="Arial" w:hAnsi="Arial"/>
          <w:sz w:val="16"/>
          <w:szCs w:val="16"/>
          <w:color w:val="auto"/>
        </w:rPr>
        <w:t>). In order to facilitate the foregoing review by the Custodian, in connection with each delivery of Related Documents hereunder to the Custodian, the Collateral Manager shall provide to the Custodian an electronic file (in EXCEL or a comparable format acceptable to the Custodian) or the related Loan Checklist that contains a list of all Related Documents and whether they require original signatures, the loan identification number and the name of the Obligor and the initial principal loan balance when entered into or obtained by the Borrower with respect to each related Collateral Loan. If, at the conclusion of such review, the Custodian shall determine that (1) the initial principal loan balances of the Collateral Loans with respect to which it has received Related</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740"/>
          </w:cols>
          <w:pgMar w:left="780" w:top="280" w:right="379" w:bottom="1440" w:gutter="0" w:footer="0" w:header="0"/>
        </w:sectPr>
      </w:pPr>
    </w:p>
    <w:bookmarkStart w:id="170" w:name="page171"/>
    <w:bookmarkEnd w:id="170"/>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Documents is less than as set forth on the electronic file, the Custodian shall promptly notify the Administrative Agent, the Borrower and the Collateral Manager of such discrepancy, and (2) any Review Criteria is not satisfied, the Custodian shall within one (1) Business Day notify the Collateral Manager of such determination and provide the Collateral Manager and the Borrower with a list of the non-complying Collateral Loans and the applicable Review Criteria that they fail to satisfy. The Collateral Manager shall have ten (10) Business Days to correct any non-compliance with any Review Criteria. In addition, if requested in writing in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by the Collateral Manager and approved by the Administrative Agent within ten (10) Business Days of the Custodian’s delivery of such report, the Custodian shall return the Related Documents for any Collateral Loan which fails to satisfy a Review Criteria to the Borrower. Other than the foregoing, the Custodian shall not have any responsibility for reviewing any Related Documents.</w:t>
      </w:r>
    </w:p>
    <w:p>
      <w:pPr>
        <w:spacing w:after="0" w:line="43" w:lineRule="exact"/>
        <w:rPr>
          <w:sz w:val="20"/>
          <w:szCs w:val="20"/>
          <w:color w:val="auto"/>
        </w:rPr>
      </w:pPr>
    </w:p>
    <w:p>
      <w:pPr>
        <w:ind w:firstLine="420"/>
        <w:spacing w:after="0" w:line="306" w:lineRule="auto"/>
        <w:tabs>
          <w:tab w:leader="none" w:pos="67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In taking and retaining custody of the Related Documents, the Custodian shall be deemed to be acting as the agent of the Secured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Custodian makes no representations as to the existence, perfection or priority of any Lien on the Related Documents or the instruments therein;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Custodian’s duties as agent shall be limited to those expressly contemplated herein.</w:t>
      </w:r>
    </w:p>
    <w:p>
      <w:pPr>
        <w:spacing w:after="0" w:line="25" w:lineRule="exact"/>
        <w:rPr>
          <w:rFonts w:ascii="Arial" w:cs="Arial" w:eastAsia="Arial" w:hAnsi="Arial"/>
          <w:sz w:val="16"/>
          <w:szCs w:val="16"/>
          <w:color w:val="auto"/>
        </w:rPr>
      </w:pPr>
    </w:p>
    <w:p>
      <w:pPr>
        <w:ind w:right="40" w:firstLine="420"/>
        <w:spacing w:after="0" w:line="294" w:lineRule="auto"/>
        <w:tabs>
          <w:tab w:leader="none" w:pos="7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All Related Documents that are originals or copies shall be kept in fire resistant vaults, rooms or cabinets at the Document Custodian Facilities. All Related Documents that are originals or copies shall be placed together with an appropriate identifying label and maintained in such a manner so as to permit retrieval and access. All Related Documents that are originals or copies shall be clearly segregated from any other documents or instruments maintained by the Custodian. All Related Documents that are delivered to the Custodian in electronic format shall be saved onto disks and/or onto the Custodian’s secure computer system, and maintained in a manner so as to permit retrieval and access.</w:t>
      </w:r>
    </w:p>
    <w:p>
      <w:pPr>
        <w:spacing w:after="0" w:line="34" w:lineRule="exact"/>
        <w:rPr>
          <w:rFonts w:ascii="Arial" w:cs="Arial" w:eastAsia="Arial" w:hAnsi="Arial"/>
          <w:sz w:val="16"/>
          <w:szCs w:val="16"/>
          <w:color w:val="auto"/>
        </w:rPr>
      </w:pPr>
    </w:p>
    <w:p>
      <w:pPr>
        <w:ind w:right="140" w:firstLine="420"/>
        <w:spacing w:after="0" w:line="306" w:lineRule="auto"/>
        <w:tabs>
          <w:tab w:leader="none" w:pos="71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On each Payment Date, the Custodian shall provide a written report to the Administrative Agent and the Collateral Manager (in a form acceptable to the Administrative Agent) identifying each Collateral Loan for which it holds Related Documents, the non-complying Collateral Loans and the applicable Review Criteria that any non-complying Collateral Loan fails to satisfy.</w:t>
      </w:r>
    </w:p>
    <w:p>
      <w:pPr>
        <w:spacing w:after="0" w:line="25" w:lineRule="exact"/>
        <w:rPr>
          <w:rFonts w:ascii="Arial" w:cs="Arial" w:eastAsia="Arial" w:hAnsi="Arial"/>
          <w:sz w:val="16"/>
          <w:szCs w:val="16"/>
          <w:color w:val="auto"/>
        </w:rPr>
      </w:pPr>
    </w:p>
    <w:p>
      <w:pPr>
        <w:ind w:right="60" w:firstLine="420"/>
        <w:spacing w:after="0" w:line="268" w:lineRule="auto"/>
        <w:tabs>
          <w:tab w:leader="none" w:pos="66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performing its duties, the Custodian shall use a similar degree of care and attention as it employs with respect to similar collateral that it holds as Custodian for others.</w:t>
      </w:r>
    </w:p>
    <w:p>
      <w:pPr>
        <w:spacing w:after="0" w:line="50" w:lineRule="exact"/>
        <w:rPr>
          <w:rFonts w:ascii="Arial" w:cs="Arial" w:eastAsia="Arial" w:hAnsi="Arial"/>
          <w:sz w:val="18"/>
          <w:szCs w:val="18"/>
          <w:color w:val="auto"/>
        </w:rPr>
      </w:pPr>
    </w:p>
    <w:p>
      <w:pPr>
        <w:ind w:right="140" w:firstLine="420"/>
        <w:spacing w:after="0" w:line="369" w:lineRule="auto"/>
        <w:tabs>
          <w:tab w:leader="none" w:pos="711" w:val="left"/>
        </w:tabs>
        <w:numPr>
          <w:ilvl w:val="0"/>
          <w:numId w:val="185"/>
        </w:numPr>
        <w:rPr>
          <w:rFonts w:ascii="Arial" w:cs="Arial" w:eastAsia="Arial" w:hAnsi="Arial"/>
          <w:sz w:val="15"/>
          <w:szCs w:val="15"/>
          <w:color w:val="auto"/>
        </w:rPr>
      </w:pPr>
      <w:r>
        <w:rPr>
          <w:rFonts w:ascii="Arial" w:cs="Arial" w:eastAsia="Arial" w:hAnsi="Arial"/>
          <w:sz w:val="15"/>
          <w:szCs w:val="15"/>
          <w:color w:val="auto"/>
        </w:rPr>
        <w:t>In no event shall the Custodian be liable for special, indirect or consequential losses or damages of any kind whatsoever (including but not limited to lost profits) even if the Custodian has been advised of the likelihood of such damages and regardless of the form of such action.</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320"/>
          </w:cols>
          <w:pgMar w:left="1220" w:top="280" w:right="359" w:bottom="1440" w:gutter="0" w:footer="0" w:header="0"/>
        </w:sectPr>
      </w:pPr>
    </w:p>
    <w:bookmarkStart w:id="171" w:name="page172"/>
    <w:bookmarkEnd w:id="171"/>
    <w:p>
      <w:pPr>
        <w:ind w:left="900" w:firstLine="420"/>
        <w:spacing w:after="0" w:line="302" w:lineRule="auto"/>
        <w:tabs>
          <w:tab w:leader="none" w:pos="1659" w:val="left"/>
        </w:tabs>
        <w:numPr>
          <w:ilvl w:val="1"/>
          <w:numId w:val="18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herein to the contrary, delivery of the Collateral Loans acquired by the Borrower which constitute Noteless Loans or Participations or which are otherwise not evidenced by a “security” or “instrument” as defined in Section 8-102 and Section 9-102(a)(47) of the UCC, respectively, shall be made by delivery to the Custodian of (i) in the case of a Noteless Loan, a copy of the loan register with respect to such Noteless Loan evidencing registration of such Collateral Loan on the books and records of the applicable obligor or bank agent to the name of the Borrower (or its nominee) or a copy (which may be a facsimile copy) of an assignment agreement in favor of the Borrower as assignee, and</w:t>
      </w:r>
    </w:p>
    <w:p>
      <w:pPr>
        <w:spacing w:after="0" w:line="1" w:lineRule="exact"/>
        <w:rPr>
          <w:rFonts w:ascii="Arial" w:cs="Arial" w:eastAsia="Arial" w:hAnsi="Arial"/>
          <w:sz w:val="15"/>
          <w:szCs w:val="15"/>
          <w:color w:val="auto"/>
        </w:rPr>
      </w:pPr>
    </w:p>
    <w:p>
      <w:pPr>
        <w:ind w:left="900" w:right="180" w:firstLine="6"/>
        <w:spacing w:after="0" w:line="295" w:lineRule="auto"/>
        <w:tabs>
          <w:tab w:leader="none" w:pos="115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the case of a Participation, a copy of the related participation agreement. Any duty on the part of the Custodian with respect to the custody of such Collateral Loans shall be limited to the exercise of reasonable care by the Custodian in the physical custody of any such Related Documents and other documents delivered to it, and any related instrument, security, credit agreement, assignment agreement and/or other agreements or documents, if any (collectively, “</w:t>
      </w:r>
      <w:r>
        <w:rPr>
          <w:rFonts w:ascii="Arial" w:cs="Arial" w:eastAsia="Arial" w:hAnsi="Arial"/>
          <w:sz w:val="16"/>
          <w:szCs w:val="16"/>
          <w:i w:val="1"/>
          <w:iCs w:val="1"/>
          <w:color w:val="auto"/>
        </w:rPr>
        <w:t>Financing Documents</w:t>
      </w:r>
      <w:r>
        <w:rPr>
          <w:rFonts w:ascii="Arial" w:cs="Arial" w:eastAsia="Arial" w:hAnsi="Arial"/>
          <w:sz w:val="16"/>
          <w:szCs w:val="16"/>
          <w:color w:val="auto"/>
        </w:rPr>
        <w:t>”), that may be delivered to it.</w:t>
      </w:r>
    </w:p>
    <w:p>
      <w:pPr>
        <w:spacing w:after="0" w:line="34" w:lineRule="exact"/>
        <w:rPr>
          <w:rFonts w:ascii="Arial" w:cs="Arial" w:eastAsia="Arial" w:hAnsi="Arial"/>
          <w:sz w:val="16"/>
          <w:szCs w:val="16"/>
          <w:color w:val="auto"/>
        </w:rPr>
      </w:pPr>
    </w:p>
    <w:p>
      <w:pPr>
        <w:ind w:left="900" w:right="60" w:firstLine="420"/>
        <w:spacing w:after="0" w:line="290" w:lineRule="auto"/>
        <w:tabs>
          <w:tab w:leader="none" w:pos="1708"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Custodian may assume the genuineness of any such Financing Document it may receive and the genuineness and due authority of any signatures appearing thereon, and shall be entitled to assume that each such Financing Document it may receive is what it purports to be. If an original “security” or “instrument” as defined in Section 8-102 and Section 9-102(a)(47) of the UCC, respectively, is or shall be or become available with respect to any Collateral Loan to be held by the Custodian under this Agreement, it shall be the sole responsibility of the Borrower to make or cause delivery thereof to the Custodian, and the Custodian shall not be under any obligation at any time to determine whether any such original security or instrument has been or is required to be issued or made available in respect of any Collateral Loan or to compel or cause delivery thereof to the Custodian.</w:t>
      </w:r>
    </w:p>
    <w:p>
      <w:pPr>
        <w:spacing w:after="0" w:line="118"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i w:val="1"/>
          <w:iCs w:val="1"/>
          <w:color w:val="auto"/>
        </w:rPr>
        <w:t>Section 14.03. Merger or Consolidation</w:t>
      </w:r>
      <w:r>
        <w:rPr>
          <w:rFonts w:ascii="Arial" w:cs="Arial" w:eastAsia="Arial" w:hAnsi="Arial"/>
          <w:sz w:val="16"/>
          <w:szCs w:val="16"/>
          <w:color w:val="auto"/>
        </w:rPr>
        <w:t>. Any Person (i) into which the Custodian may be merged or consolidated, (ii) that may result from any merger or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to which the Custodian shall be a party, or (iii) that may succeed to the properties and assets of the Custodian substantially as a whole, which Person in any of the foregoing cases executes an agreement of assumption to perform every obligation of the Custodian hereunder, shall be the successor to the Custodian under this Agreement without further act of any of the parties to this Agreement.</w:t>
      </w:r>
    </w:p>
    <w:p>
      <w:pPr>
        <w:spacing w:after="0" w:line="112" w:lineRule="exact"/>
        <w:rPr>
          <w:sz w:val="20"/>
          <w:szCs w:val="20"/>
          <w:color w:val="auto"/>
        </w:rPr>
      </w:pPr>
    </w:p>
    <w:p>
      <w:pPr>
        <w:ind w:right="220" w:firstLine="449"/>
        <w:spacing w:after="0" w:line="298" w:lineRule="auto"/>
        <w:rPr>
          <w:sz w:val="20"/>
          <w:szCs w:val="20"/>
          <w:color w:val="auto"/>
        </w:rPr>
      </w:pPr>
      <w:r>
        <w:rPr>
          <w:rFonts w:ascii="Arial" w:cs="Arial" w:eastAsia="Arial" w:hAnsi="Arial"/>
          <w:sz w:val="16"/>
          <w:szCs w:val="16"/>
          <w:i w:val="1"/>
          <w:iCs w:val="1"/>
          <w:color w:val="auto"/>
        </w:rPr>
        <w:t>Section 14.04. Custodian Compensation</w:t>
      </w:r>
      <w:r>
        <w:rPr>
          <w:rFonts w:ascii="Arial" w:cs="Arial" w:eastAsia="Arial" w:hAnsi="Arial"/>
          <w:sz w:val="16"/>
          <w:szCs w:val="16"/>
          <w:color w:val="auto"/>
        </w:rPr>
        <w:t>. As compensation for its Custodian activities hereunder, the Custodian shall be entitled to fees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Custodian Fee Letter. The Custodian’s entitlement to receive the fees under the Custodian Fee Letter shall cease on the earlier to occur of: (i) its removal as Custodian pursuant to </w:t>
      </w:r>
      <w:r>
        <w:rPr>
          <w:rFonts w:ascii="Arial" w:cs="Arial" w:eastAsia="Arial" w:hAnsi="Arial"/>
          <w:sz w:val="16"/>
          <w:szCs w:val="16"/>
          <w:u w:val="single" w:color="auto"/>
          <w:color w:val="auto"/>
        </w:rPr>
        <w:t>Section 14.05</w:t>
      </w:r>
      <w:r>
        <w:rPr>
          <w:rFonts w:ascii="Arial" w:cs="Arial" w:eastAsia="Arial" w:hAnsi="Arial"/>
          <w:sz w:val="16"/>
          <w:szCs w:val="16"/>
          <w:color w:val="auto"/>
        </w:rPr>
        <w:t xml:space="preserve"> or (ii) the termination of this Agreement. Upon termination of this Agreement or earlier resignation or removal of the Custodian, the Borrower shall pay to the Custodian such compensation, and shall likewise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280" w:right="339" w:bottom="1440" w:gutter="0" w:footer="0" w:header="0"/>
        </w:sectPr>
      </w:pPr>
    </w:p>
    <w:bookmarkStart w:id="172" w:name="page173"/>
    <w:bookmarkEnd w:id="17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reimburse the Custodian for its costs, expenses and disbursements, as may be due as of the date of such termination, resignation or removal, as the case may be. All indemnifications in favor of the Custodian under this Agreement shall survive the termination of this Agreement, or any resignation or removal of the Custodian. The Borrower agrees to pay or reimburse to the Custodian upon its request from time to time all costs, disbursements, advances, and expenses (including reasonable fees and expenses of legal counsel) incurred, in connection with the preparation or execution of this Agreement, or in connection with the transactions contemplated hereby or performance by the Custodian of its duties and services under this Agreement (including costs and expenses of any action deemed necessary by the Custodian to collect any amounts owing to it under this Agreement).</w:t>
      </w:r>
    </w:p>
    <w:p>
      <w:pPr>
        <w:spacing w:after="0" w:line="120" w:lineRule="exact"/>
        <w:rPr>
          <w:sz w:val="20"/>
          <w:szCs w:val="20"/>
          <w:color w:val="auto"/>
        </w:rPr>
      </w:pPr>
    </w:p>
    <w:p>
      <w:pPr>
        <w:jc w:val="both"/>
        <w:ind w:right="40" w:firstLine="449"/>
        <w:spacing w:after="0" w:line="256" w:lineRule="auto"/>
        <w:rPr>
          <w:sz w:val="20"/>
          <w:szCs w:val="20"/>
          <w:color w:val="auto"/>
        </w:rPr>
      </w:pPr>
      <w:r>
        <w:rPr>
          <w:rFonts w:ascii="Arial" w:cs="Arial" w:eastAsia="Arial" w:hAnsi="Arial"/>
          <w:sz w:val="18"/>
          <w:szCs w:val="18"/>
          <w:i w:val="1"/>
          <w:iCs w:val="1"/>
          <w:color w:val="auto"/>
        </w:rPr>
        <w:t>Section 14.05. Custodian Removal</w:t>
      </w:r>
      <w:r>
        <w:rPr>
          <w:rFonts w:ascii="Arial" w:cs="Arial" w:eastAsia="Arial" w:hAnsi="Arial"/>
          <w:sz w:val="18"/>
          <w:szCs w:val="18"/>
          <w:color w:val="auto"/>
        </w:rPr>
        <w:t>. The Custodian may be removed, with or without cause, by the Administrative Agent by notice given in writing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Custodian (the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Custodian Termination Notice</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notwithstanding its receipt of a Custodian Termination Notice, the Custodian shall continue to act in such capacity (and shall continue to be entitled to receive fees) until a successor Custodian has been appointed, has agreed to act as Custodian hereunder, and has received all Related Documents held by the previous Custodian.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14.06. Limitation on Liability</w:t>
      </w:r>
      <w:r>
        <w:rPr>
          <w:rFonts w:ascii="Arial" w:cs="Arial" w:eastAsia="Arial" w:hAnsi="Arial"/>
          <w:sz w:val="18"/>
          <w:szCs w:val="18"/>
          <w:color w:val="auto"/>
        </w:rPr>
        <w:t>.</w:t>
      </w:r>
    </w:p>
    <w:p>
      <w:pPr>
        <w:spacing w:after="0" w:line="90" w:lineRule="exact"/>
        <w:rPr>
          <w:sz w:val="20"/>
          <w:szCs w:val="20"/>
          <w:color w:val="auto"/>
        </w:rPr>
      </w:pPr>
    </w:p>
    <w:p>
      <w:pPr>
        <w:ind w:left="460" w:right="20" w:firstLine="428"/>
        <w:spacing w:after="0" w:line="256" w:lineRule="auto"/>
        <w:tabs>
          <w:tab w:leader="none" w:pos="113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Custodian may conclusively rely on and shall be fully protected in acting upon any certificate, instrument, opinion, notice, letter, telegram or other document delivered to it and that in good faith it reasonably believes to be genuine and that has been signed by the proper party or parties. The Custodian may rely conclusively on and shall be fully protected in acting upon (a) the written instructions of any designated officer of the Administrative Agent or (b) the verbal instructions of the Administrative Agent.</w:t>
      </w:r>
    </w:p>
    <w:p>
      <w:pPr>
        <w:spacing w:after="0" w:line="61" w:lineRule="exact"/>
        <w:rPr>
          <w:rFonts w:ascii="Arial" w:cs="Arial" w:eastAsia="Arial" w:hAnsi="Arial"/>
          <w:sz w:val="18"/>
          <w:szCs w:val="18"/>
          <w:color w:val="auto"/>
        </w:rPr>
      </w:pPr>
    </w:p>
    <w:p>
      <w:pPr>
        <w:ind w:left="460" w:right="120" w:firstLine="428"/>
        <w:spacing w:after="0" w:line="356" w:lineRule="auto"/>
        <w:tabs>
          <w:tab w:leader="none" w:pos="114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Custodian may consult counsel satisfactory to it and the advice or opinion of such counsel shall be full and complete authorization and protection in respect of any action taken, suffered or omitted by it hereunder in good faith and in accordance with the advice or opinion of such counsel.</w:t>
      </w:r>
    </w:p>
    <w:p>
      <w:pPr>
        <w:spacing w:after="0" w:line="1" w:lineRule="exact"/>
        <w:rPr>
          <w:rFonts w:ascii="Arial" w:cs="Arial" w:eastAsia="Arial" w:hAnsi="Arial"/>
          <w:sz w:val="15"/>
          <w:szCs w:val="15"/>
          <w:color w:val="auto"/>
        </w:rPr>
      </w:pPr>
    </w:p>
    <w:p>
      <w:pPr>
        <w:ind w:left="460" w:right="60" w:firstLine="428"/>
        <w:spacing w:after="0" w:line="256" w:lineRule="auto"/>
        <w:tabs>
          <w:tab w:leader="none" w:pos="113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Custodian shall not be liable for any error of judgment, or for any act done or step taken or omitted by it, in good faith, or for any mistakes of fact or law, or for anything that it may do or refrain from doing in connection herewith except, notwithstanding anything to the contrary contained herein, in the case of its willful misconduct, bad faith or grossly negligent performance or omission of its duties and in the case of its grossly negligent performance of its duties in taking and retaining custody of the Related Documents.</w:t>
      </w:r>
    </w:p>
    <w:p>
      <w:pPr>
        <w:spacing w:after="0" w:line="61" w:lineRule="exact"/>
        <w:rPr>
          <w:rFonts w:ascii="Arial" w:cs="Arial" w:eastAsia="Arial" w:hAnsi="Arial"/>
          <w:sz w:val="18"/>
          <w:szCs w:val="18"/>
          <w:color w:val="auto"/>
        </w:rPr>
      </w:pPr>
    </w:p>
    <w:p>
      <w:pPr>
        <w:ind w:left="460" w:right="60" w:firstLine="428"/>
        <w:spacing w:after="0" w:line="254" w:lineRule="auto"/>
        <w:tabs>
          <w:tab w:leader="none" w:pos="11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Custodian makes no warranty or representation and shall have no responsibility (except as expressly set forth in this Agreement) as to the content, enforceability, completeness, validity, sufficiency, value, genuineness, ownership or transferability of the Collateral, and will not be required to and will not make any representations as to the validity or value (except as expressly set forth in this Agreement) of any of the Collateral. The Custodian shall not be obligated to take any legal action hereunder that might in its judgment involve any expense or liability unless it has been furnished with an indemnity reasonably satisfactory to it.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280" w:right="339" w:bottom="1440" w:gutter="0" w:footer="0" w:header="0"/>
        </w:sectPr>
      </w:pPr>
    </w:p>
    <w:bookmarkStart w:id="173" w:name="page174"/>
    <w:bookmarkEnd w:id="173"/>
    <w:p>
      <w:pPr>
        <w:ind w:left="452" w:right="80" w:firstLine="428"/>
        <w:spacing w:after="0" w:line="268" w:lineRule="auto"/>
        <w:tabs>
          <w:tab w:leader="none" w:pos="1122"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Custodian shall have no duties or responsibilities except such duties and responsibilities as are specifically set forth in this Agreement and no covenants or obligations shall be implied in this Agreement against the Custodian.</w:t>
      </w:r>
    </w:p>
    <w:p>
      <w:pPr>
        <w:spacing w:after="0" w:line="50" w:lineRule="exact"/>
        <w:rPr>
          <w:rFonts w:ascii="Arial" w:cs="Arial" w:eastAsia="Arial" w:hAnsi="Arial"/>
          <w:sz w:val="18"/>
          <w:szCs w:val="18"/>
          <w:color w:val="auto"/>
        </w:rPr>
      </w:pPr>
    </w:p>
    <w:p>
      <w:pPr>
        <w:ind w:left="1092" w:hanging="212"/>
        <w:spacing w:after="0"/>
        <w:tabs>
          <w:tab w:leader="none" w:pos="109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Custodian shall not be required to expend or risk its own funds in the performance of its duties hereunder.</w:t>
      </w:r>
    </w:p>
    <w:p>
      <w:pPr>
        <w:spacing w:after="0" w:line="90" w:lineRule="exact"/>
        <w:rPr>
          <w:rFonts w:ascii="Arial" w:cs="Arial" w:eastAsia="Arial" w:hAnsi="Arial"/>
          <w:sz w:val="18"/>
          <w:szCs w:val="18"/>
          <w:color w:val="auto"/>
        </w:rPr>
      </w:pPr>
    </w:p>
    <w:p>
      <w:pPr>
        <w:ind w:left="452" w:right="120" w:firstLine="428"/>
        <w:spacing w:after="0" w:line="268" w:lineRule="auto"/>
        <w:tabs>
          <w:tab w:leader="none" w:pos="113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It is expressly agreed and acknowledged that the Custodian is not guaranteeing performance of or assuming any liability for the obligations of the other parties hereto or any parties to the Collateral.</w:t>
      </w:r>
    </w:p>
    <w:p>
      <w:pPr>
        <w:spacing w:after="0" w:line="50" w:lineRule="exact"/>
        <w:rPr>
          <w:rFonts w:ascii="Arial" w:cs="Arial" w:eastAsia="Arial" w:hAnsi="Arial"/>
          <w:sz w:val="18"/>
          <w:szCs w:val="18"/>
          <w:color w:val="auto"/>
        </w:rPr>
      </w:pPr>
    </w:p>
    <w:p>
      <w:pPr>
        <w:ind w:left="452" w:firstLine="428"/>
        <w:spacing w:after="0" w:line="253" w:lineRule="auto"/>
        <w:tabs>
          <w:tab w:leader="none" w:pos="113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Without prejudice to the generality of the foregoing, the Custodian shall be without liability to the Borrower, Collateral Manager, the Administrative Agent or any other Person for any damage or loss resulting from or caused by events or circumstances beyond the Custodian’s reasonable control, including nationalization, expropriation, currency restrictions, the interruption, disruption or suspension of the normal procedures and practices of any securities market, power, mechanical, communications or other technological failures or interruptions, computer viruses or the like, fires, floods, earthquakes or other natural disasters, civil and military disturbance, acts of war or terrorism, riots, revolution, acts of God, work stoppages, strikes, national disasters of any kind, or other similar events or acts; errors by the Borrower, the Collateral Manager, collateral Administrator or the Administrative Agent (including any Authorized Person of any thereof) in its instructions to the Custodian; or changes in applicable law, regulation or orders.</w:t>
      </w:r>
    </w:p>
    <w:p>
      <w:pPr>
        <w:spacing w:after="0" w:line="63" w:lineRule="exact"/>
        <w:rPr>
          <w:rFonts w:ascii="Arial" w:cs="Arial" w:eastAsia="Arial" w:hAnsi="Arial"/>
          <w:sz w:val="18"/>
          <w:szCs w:val="18"/>
          <w:color w:val="auto"/>
        </w:rPr>
      </w:pPr>
    </w:p>
    <w:p>
      <w:pPr>
        <w:ind w:left="452" w:firstLine="428"/>
        <w:spacing w:after="0" w:line="288" w:lineRule="auto"/>
        <w:tabs>
          <w:tab w:leader="none" w:pos="109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 the event that (i) the Borrower, Collateral Agent, the Collateral Administrator, the Collateral Manager, the Administrative Agent, Lenders or Custodian shall be served by a third party with any type of levy, attachment, writ or court order with respect to any Loan or Related Documents or (ii) a third party shall institute any court proceeding by which any Loan Related Document shall be required to be delivered otherwise than in accordance with the provisions of this Agreement, the party receiving such service shall promptly deliver or cause to be delivered to the other parties to this Agreement copies of all court papers, orders, documents and other materials concerning such proceedings. The Custodian shall, to the extent permitted by law, continue to hold and maintain all the Related Documents that are the subject of such proceedings pending a final, nonappealable order of a court of competent jurisdiction permitting or directing disposition thereof. Upon final determination of such court, the Custodian shall dispose of such Related Documents as directed by the Collateral Agent or Administrative Agent, which shall give a direction consistent with such determination. Expenses of the Custodian incurred as a result of such proceedings shall be borne by the Borrower.</w:t>
      </w:r>
    </w:p>
    <w:p>
      <w:pPr>
        <w:spacing w:after="0" w:line="119" w:lineRule="exact"/>
        <w:rPr>
          <w:sz w:val="20"/>
          <w:szCs w:val="20"/>
          <w:color w:val="auto"/>
        </w:rPr>
      </w:pPr>
    </w:p>
    <w:p>
      <w:pPr>
        <w:ind w:left="452"/>
        <w:spacing w:after="0"/>
        <w:rPr>
          <w:sz w:val="20"/>
          <w:szCs w:val="20"/>
          <w:color w:val="auto"/>
        </w:rPr>
      </w:pPr>
      <w:r>
        <w:rPr>
          <w:rFonts w:ascii="Arial" w:cs="Arial" w:eastAsia="Arial" w:hAnsi="Arial"/>
          <w:sz w:val="16"/>
          <w:szCs w:val="16"/>
          <w:i w:val="1"/>
          <w:iCs w:val="1"/>
          <w:color w:val="auto"/>
        </w:rPr>
        <w:t>Section 14.07. Resignation of the Custodian</w:t>
      </w:r>
      <w:r>
        <w:rPr>
          <w:rFonts w:ascii="Arial" w:cs="Arial" w:eastAsia="Arial" w:hAnsi="Arial"/>
          <w:sz w:val="16"/>
          <w:szCs w:val="16"/>
          <w:color w:val="auto"/>
        </w:rPr>
        <w:t>. The Custodian shall not resign from the obligations and duties hereby imposed on it except upon (a) ninety</w:t>
      </w:r>
    </w:p>
    <w:p>
      <w:pPr>
        <w:spacing w:after="0" w:line="38" w:lineRule="exact"/>
        <w:rPr>
          <w:sz w:val="20"/>
          <w:szCs w:val="20"/>
          <w:color w:val="auto"/>
        </w:rPr>
      </w:pPr>
    </w:p>
    <w:p>
      <w:pPr>
        <w:ind w:left="-8" w:right="20" w:firstLine="8"/>
        <w:spacing w:after="0" w:line="292" w:lineRule="auto"/>
        <w:tabs>
          <w:tab w:leader="none" w:pos="32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days written notice to the Borrower, the Collateral Manager, the Administrative Agent and each Lender, or (b) the Custodian’s determination that (i) the performance of its duties hereunder is or becomes impermissible under Applicable Law and (ii) there is no reasonable action that the Custodian could take to make the performance of its duties hereunder permissible under Applicable Law. Any such determination permitting the resignation of the Custodian shall be evidenced as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by an opinion of counsel to such effect delivered to the Administrative Agent. No such resignation shall become effective until a successor Custodian shall have assumed the responsibilities and obligations of the Custodian hereunder.</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12"/>
          </w:cols>
          <w:pgMar w:left="328" w:top="280" w:right="359" w:bottom="1440" w:gutter="0" w:footer="0" w:header="0"/>
        </w:sectPr>
      </w:pPr>
    </w:p>
    <w:bookmarkStart w:id="174" w:name="page175"/>
    <w:bookmarkEnd w:id="174"/>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14.08. Release of Related Documents.</w:t>
      </w:r>
    </w:p>
    <w:p>
      <w:pPr>
        <w:spacing w:after="0" w:line="90" w:lineRule="exact"/>
        <w:rPr>
          <w:sz w:val="20"/>
          <w:szCs w:val="20"/>
          <w:color w:val="auto"/>
        </w:rPr>
      </w:pPr>
    </w:p>
    <w:p>
      <w:pPr>
        <w:ind w:left="460" w:right="160" w:firstLine="428"/>
        <w:spacing w:after="0" w:line="302" w:lineRule="auto"/>
        <w:tabs>
          <w:tab w:leader="none" w:pos="1130" w:val="left"/>
        </w:tabs>
        <w:numPr>
          <w:ilvl w:val="1"/>
          <w:numId w:val="191"/>
        </w:numPr>
        <w:rPr>
          <w:rFonts w:ascii="Arial" w:cs="Arial" w:eastAsia="Arial" w:hAnsi="Arial"/>
          <w:sz w:val="15"/>
          <w:szCs w:val="15"/>
          <w:color w:val="auto"/>
        </w:rPr>
      </w:pPr>
      <w:r>
        <w:rPr>
          <w:rFonts w:ascii="Arial" w:cs="Arial" w:eastAsia="Arial" w:hAnsi="Arial"/>
          <w:sz w:val="15"/>
          <w:szCs w:val="15"/>
          <w:i w:val="1"/>
          <w:iCs w:val="1"/>
          <w:color w:val="auto"/>
        </w:rPr>
        <w:t xml:space="preserve">Release for Servicing. </w:t>
      </w:r>
      <w:r>
        <w:rPr>
          <w:rFonts w:ascii="Arial" w:cs="Arial" w:eastAsia="Arial" w:hAnsi="Arial"/>
          <w:sz w:val="15"/>
          <w:szCs w:val="15"/>
          <w:color w:val="auto"/>
        </w:rPr>
        <w:t>From time to time and as appropriate for the enforcement or servicing of any of the Collateral, the Custodian is hereby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authorized (unless and until such authorization is revoked by the Administrative Agent) to, and shall, upon written receipt from the Collateral Manager of a request for release of documents and receipt in the form annexed hereto as </w:t>
      </w:r>
      <w:r>
        <w:rPr>
          <w:rFonts w:ascii="Arial" w:cs="Arial" w:eastAsia="Arial" w:hAnsi="Arial"/>
          <w:sz w:val="15"/>
          <w:szCs w:val="15"/>
          <w:u w:val="single" w:color="auto"/>
          <w:color w:val="auto"/>
        </w:rPr>
        <w:t>Exhibit G</w:t>
      </w:r>
      <w:r>
        <w:rPr>
          <w:rFonts w:ascii="Arial" w:cs="Arial" w:eastAsia="Arial" w:hAnsi="Arial"/>
          <w:sz w:val="15"/>
          <w:szCs w:val="15"/>
          <w:color w:val="auto"/>
        </w:rPr>
        <w:t>, release to the Collateral Manager within two (2) Business Days of receipt of such request, the related Related Documents or the documents set forth in such request and receipt to the Collateral Manager. All documents so released to the Collateral Manager shall be held by the Collateral Manager in trust for the benefit of the Administrative Agent in accordance with the terms of this Agreement. The Collateral Manager shall return to the Custodian the Related Documents or other such documents</w:t>
      </w:r>
    </w:p>
    <w:p>
      <w:pPr>
        <w:ind w:left="460" w:right="180" w:hanging="3"/>
        <w:spacing w:after="0" w:line="253" w:lineRule="auto"/>
        <w:tabs>
          <w:tab w:leader="none" w:pos="67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promptly upon the request of the Administrative Agent, or (ii) when the Collateral Manager’s need therefor in connection with such enforcement or servicing no longer exists, unless the Collateral Loan shall be liquidated or sold, in which case, upon receipt of an additional request for release of documents and receipt certifying such liquidation or sale from the Collateral Manager to the Custodian in the form annexed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the Collateral Manager’s request and receipt submitted pursuant to the first sentence of this subsection shall be released by the Custodian to the Collateral Manager.</w:t>
      </w:r>
    </w:p>
    <w:p>
      <w:pPr>
        <w:spacing w:after="0" w:line="63" w:lineRule="exact"/>
        <w:rPr>
          <w:rFonts w:ascii="Arial" w:cs="Arial" w:eastAsia="Arial" w:hAnsi="Arial"/>
          <w:sz w:val="18"/>
          <w:szCs w:val="18"/>
          <w:color w:val="auto"/>
        </w:rPr>
      </w:pPr>
    </w:p>
    <w:p>
      <w:pPr>
        <w:ind w:left="460" w:right="340" w:firstLine="428"/>
        <w:spacing w:after="0" w:line="256" w:lineRule="auto"/>
        <w:tabs>
          <w:tab w:leader="none" w:pos="1140" w:val="left"/>
        </w:tabs>
        <w:numPr>
          <w:ilvl w:val="1"/>
          <w:numId w:val="192"/>
        </w:numPr>
        <w:rPr>
          <w:rFonts w:ascii="Arial" w:cs="Arial" w:eastAsia="Arial" w:hAnsi="Arial"/>
          <w:sz w:val="18"/>
          <w:szCs w:val="18"/>
          <w:color w:val="auto"/>
        </w:rPr>
      </w:pPr>
      <w:r>
        <w:rPr>
          <w:rFonts w:ascii="Arial" w:cs="Arial" w:eastAsia="Arial" w:hAnsi="Arial"/>
          <w:sz w:val="18"/>
          <w:szCs w:val="18"/>
          <w:i w:val="1"/>
          <w:iCs w:val="1"/>
          <w:color w:val="auto"/>
        </w:rPr>
        <w:t xml:space="preserve">Release for Payment. </w:t>
      </w:r>
      <w:r>
        <w:rPr>
          <w:rFonts w:ascii="Arial" w:cs="Arial" w:eastAsia="Arial" w:hAnsi="Arial"/>
          <w:sz w:val="18"/>
          <w:szCs w:val="18"/>
          <w:color w:val="auto"/>
        </w:rPr>
        <w:t>Upon receipt by the Custodian of the Collateral Manager’s request for release of documents and receipt in the form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annexed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(which certification shall include a statement to the effect that all amounts received in connection with such payment or repurchase have been credited to the Collection Account as provided in this Agreement), the Custodian shall promptly release the related Related Documents to the Collateral Manager.</w:t>
      </w:r>
    </w:p>
    <w:p>
      <w:pPr>
        <w:spacing w:after="0" w:line="143"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i w:val="1"/>
          <w:iCs w:val="1"/>
          <w:color w:val="auto"/>
        </w:rPr>
        <w:t>Section 14.09. Return of Related Documents</w:t>
      </w:r>
      <w:r>
        <w:rPr>
          <w:rFonts w:ascii="Arial" w:cs="Arial" w:eastAsia="Arial" w:hAnsi="Arial"/>
          <w:sz w:val="16"/>
          <w:szCs w:val="16"/>
          <w:color w:val="auto"/>
        </w:rPr>
        <w:t>. The Borrower may, with the prior written consent of the Administrative Agent (such consent not to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unreasonably withheld), require that the Custodian return each Related Document (as applicable), respectively (a) delivered to the Custodian in error, (b) as to which the Lien on the underlying assets securing such related Collateral Loan has been so released pursuant to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(c) that has been the subject of a discretionary sale or any sale of loan pursuant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substitution pursuant to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or (d) that is required to be redelivered to the Borrower in connection with the termination of this Agreement, in each case by submitting to the Custodian and the Administrative Agent a written request in the form annexed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(signed by both the Borrower and the Administrative Agent) specifying the Collateral to be so returned and reciting that the conditions to such release have been met (and specifying the Section or Sections of this Agreement being relied upon for such release). The Custodian shall upon its receipt of each such request for return executed by the Borrower and the Administrative Agent promptly, but in any event within two (2) Business Days, return the Related Documents so requested to the Borrower.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280" w:right="359" w:bottom="1440" w:gutter="0" w:footer="0" w:header="0"/>
        </w:sectPr>
      </w:pPr>
    </w:p>
    <w:bookmarkStart w:id="175" w:name="page176"/>
    <w:bookmarkEnd w:id="175"/>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14.10. Access to Certain Documentation and Information Regarding the Collateral; Audits</w:t>
      </w:r>
      <w:r>
        <w:rPr>
          <w:rFonts w:ascii="Arial" w:cs="Arial" w:eastAsia="Arial" w:hAnsi="Arial"/>
          <w:sz w:val="18"/>
          <w:szCs w:val="18"/>
          <w:color w:val="auto"/>
        </w:rPr>
        <w:t>.</w:t>
      </w:r>
    </w:p>
    <w:p>
      <w:pPr>
        <w:spacing w:after="0" w:line="90" w:lineRule="exact"/>
        <w:rPr>
          <w:sz w:val="20"/>
          <w:szCs w:val="20"/>
          <w:color w:val="auto"/>
        </w:rPr>
      </w:pPr>
    </w:p>
    <w:p>
      <w:pPr>
        <w:ind w:left="460" w:right="80" w:firstLine="428"/>
        <w:spacing w:after="0" w:line="287" w:lineRule="auto"/>
        <w:tabs>
          <w:tab w:leader="none" w:pos="113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The Collateral Manager, the Borrower and the Custodian shall provide to the Administrative Agent access to the Related Documents and all other documentation regarding the Collateral including in such cases where the Administrative Agent is required in connection with the enforcement of the rights or interests of the Secured Parties, or by applicable statutes or regulations, to review such documentation, such access being afforded without charge (but, with respect to the Custodian, at the expense of the Borrower) but only (i) upon two (2) Business Days’ prior written request, (ii) during normal business hours and (iii) subject to the Collateral Manager’s and Custodian’s normal security and confidentiality procedures;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Administrative Agent may, and shall upon request of any Lender, permit each Lender to be included on any such review, and shall use reasonably commercial efforts to schedule any review on a day when Lenders desiring to participate in such review may be included. From time to time at the discretion of the Administrative Agent, the Administrative Agent may review the Collateral Manager’s collection and administration of the Collateral in order to assess compliance by the Collateral Manager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may conduct an audit of the Collateral, and Related Documents in conjunction with such a review. Such review shall be reasonable in scope and shall be completed in a reasonable period of time.</w:t>
      </w:r>
    </w:p>
    <w:p>
      <w:pPr>
        <w:spacing w:after="0" w:line="40" w:lineRule="exact"/>
        <w:rPr>
          <w:rFonts w:ascii="Arial" w:cs="Arial" w:eastAsia="Arial" w:hAnsi="Arial"/>
          <w:sz w:val="16"/>
          <w:szCs w:val="16"/>
          <w:color w:val="auto"/>
        </w:rPr>
      </w:pPr>
    </w:p>
    <w:p>
      <w:pPr>
        <w:ind w:left="460" w:right="80" w:firstLine="428"/>
        <w:spacing w:after="0" w:line="294" w:lineRule="auto"/>
        <w:tabs>
          <w:tab w:leader="none" w:pos="114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Without limiting the foregoing provisions of </w:t>
      </w:r>
      <w:r>
        <w:rPr>
          <w:rFonts w:ascii="Arial" w:cs="Arial" w:eastAsia="Arial" w:hAnsi="Arial"/>
          <w:sz w:val="16"/>
          <w:szCs w:val="16"/>
          <w:u w:val="single" w:color="auto"/>
          <w:color w:val="auto"/>
        </w:rPr>
        <w:t>Section 14.10(a)</w:t>
      </w:r>
      <w:r>
        <w:rPr>
          <w:rFonts w:ascii="Arial" w:cs="Arial" w:eastAsia="Arial" w:hAnsi="Arial"/>
          <w:sz w:val="16"/>
          <w:szCs w:val="16"/>
          <w:color w:val="auto"/>
        </w:rPr>
        <w:t xml:space="preserve">, from time to time on request of the Administrative Agent, the Custodian shall permit certified public accountants or other independent auditors acceptable to the Administrative Agent to conduct a review of the Related Documents and all other documentation regarding the Collateral. Up to two such reviews per fiscal year shall be at the expense of the Borrower and additional reviews in a fiscal year shall be at the expense of the requesting Lender(s);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after the occurrence and during the continuance of an Event of Default, any such reviews, regardless of frequency, shall be at the expense of the Borrower.</w:t>
      </w:r>
    </w:p>
    <w:p>
      <w:pPr>
        <w:spacing w:after="0" w:line="115"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i w:val="1"/>
          <w:iCs w:val="1"/>
          <w:color w:val="auto"/>
        </w:rPr>
        <w:t>Section 14.11. Representations and Warranties of the Custodian</w:t>
      </w:r>
      <w:r>
        <w:rPr>
          <w:rFonts w:ascii="Arial" w:cs="Arial" w:eastAsia="Arial" w:hAnsi="Arial"/>
          <w:sz w:val="18"/>
          <w:szCs w:val="18"/>
          <w:color w:val="auto"/>
        </w:rPr>
        <w:t>. The Custodian in its individual capacity and as Custodian represents and warrants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51" w:lineRule="exact"/>
        <w:rPr>
          <w:sz w:val="20"/>
          <w:szCs w:val="20"/>
          <w:color w:val="auto"/>
        </w:rPr>
      </w:pPr>
    </w:p>
    <w:p>
      <w:pPr>
        <w:ind w:left="460" w:right="20" w:firstLine="428"/>
        <w:spacing w:after="0" w:line="356" w:lineRule="auto"/>
        <w:tabs>
          <w:tab w:leader="none" w:pos="1130" w:val="left"/>
        </w:tabs>
        <w:numPr>
          <w:ilvl w:val="0"/>
          <w:numId w:val="194"/>
        </w:numPr>
        <w:rPr>
          <w:rFonts w:ascii="Arial" w:cs="Arial" w:eastAsia="Arial" w:hAnsi="Arial"/>
          <w:sz w:val="15"/>
          <w:szCs w:val="15"/>
          <w:color w:val="auto"/>
        </w:rPr>
      </w:pPr>
      <w:r>
        <w:rPr>
          <w:rFonts w:ascii="Arial" w:cs="Arial" w:eastAsia="Arial" w:hAnsi="Arial"/>
          <w:sz w:val="15"/>
          <w:szCs w:val="15"/>
          <w:i w:val="1"/>
          <w:iCs w:val="1"/>
          <w:color w:val="auto"/>
        </w:rPr>
        <w:t xml:space="preserve">Organization; Power and Authority. </w:t>
      </w:r>
      <w:r>
        <w:rPr>
          <w:rFonts w:ascii="Arial" w:cs="Arial" w:eastAsia="Arial" w:hAnsi="Arial"/>
          <w:sz w:val="15"/>
          <w:szCs w:val="15"/>
          <w:color w:val="auto"/>
        </w:rPr>
        <w:t>It is a duly organized and validly existing national banking association in good standing under the laws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United States. It has full corporate power, authority and legal right to execute, deliver and perform its obligations as Custodian under this Agreement.</w:t>
      </w:r>
    </w:p>
    <w:p>
      <w:pPr>
        <w:spacing w:after="0" w:line="1" w:lineRule="exact"/>
        <w:rPr>
          <w:rFonts w:ascii="Arial" w:cs="Arial" w:eastAsia="Arial" w:hAnsi="Arial"/>
          <w:sz w:val="15"/>
          <w:szCs w:val="15"/>
          <w:color w:val="auto"/>
        </w:rPr>
      </w:pPr>
    </w:p>
    <w:p>
      <w:pPr>
        <w:ind w:left="460" w:firstLine="428"/>
        <w:spacing w:after="0" w:line="331" w:lineRule="auto"/>
        <w:tabs>
          <w:tab w:leader="none" w:pos="1140"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t xml:space="preserve">Due Authorization. </w:t>
      </w:r>
      <w:r>
        <w:rPr>
          <w:rFonts w:ascii="Arial" w:cs="Arial" w:eastAsia="Arial" w:hAnsi="Arial"/>
          <w:sz w:val="16"/>
          <w:szCs w:val="16"/>
          <w:color w:val="auto"/>
        </w:rPr>
        <w:t>The execution and delivery of this Agreement and the consummation of the transactions provided for herein have been duly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by all necessary association action on its part, either in its individual capacity or as Custodian, as the case may be.</w:t>
      </w:r>
    </w:p>
    <w:p>
      <w:pPr>
        <w:spacing w:after="0" w:line="5" w:lineRule="exact"/>
        <w:rPr>
          <w:rFonts w:ascii="Arial" w:cs="Arial" w:eastAsia="Arial" w:hAnsi="Arial"/>
          <w:sz w:val="16"/>
          <w:szCs w:val="16"/>
          <w:color w:val="auto"/>
        </w:rPr>
      </w:pPr>
    </w:p>
    <w:p>
      <w:pPr>
        <w:ind w:left="460" w:right="100" w:firstLine="428"/>
        <w:spacing w:after="0" w:line="256" w:lineRule="auto"/>
        <w:tabs>
          <w:tab w:leader="none" w:pos="1130"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 xml:space="preserve">No Conflict. </w:t>
      </w:r>
      <w:r>
        <w:rPr>
          <w:rFonts w:ascii="Arial" w:cs="Arial" w:eastAsia="Arial" w:hAnsi="Arial"/>
          <w:sz w:val="18"/>
          <w:szCs w:val="18"/>
          <w:color w:val="auto"/>
        </w:rPr>
        <w:t>The execution and delivery of this Agreement, the performance of the transactions contemplated hereby and the fulfillment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hereof will not conflict with, result in any breach of its articles of incorporation or bylaws or any of the material terms and provisions of, or constitute (with or without notice or lapse of time or both) a default under any indenture, contract, agreement, mortgage, deed of trust, or other instrument to which the Custodian is a party or by which it or any of its property is bound.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320" w:top="280" w:right="359" w:bottom="1440" w:gutter="0" w:footer="0" w:header="0"/>
        </w:sectPr>
      </w:pPr>
    </w:p>
    <w:bookmarkStart w:id="176" w:name="page177"/>
    <w:bookmarkEnd w:id="176"/>
    <w:p>
      <w:pPr>
        <w:ind w:firstLine="428"/>
        <w:spacing w:after="0" w:line="268" w:lineRule="auto"/>
        <w:tabs>
          <w:tab w:leader="none" w:pos="680"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Violation. </w:t>
      </w:r>
      <w:r>
        <w:rPr>
          <w:rFonts w:ascii="Arial" w:cs="Arial" w:eastAsia="Arial" w:hAnsi="Arial"/>
          <w:sz w:val="18"/>
          <w:szCs w:val="18"/>
          <w:color w:val="auto"/>
        </w:rPr>
        <w:t>The execution and delivery of this Agreement, the performance of the transactions contemplated hereby and the fulfillment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hereof will not conflict with or violate, in any material respect, any Applicable Law as to the Custodian.</w:t>
      </w:r>
    </w:p>
    <w:p>
      <w:pPr>
        <w:spacing w:after="0" w:line="50" w:lineRule="exact"/>
        <w:rPr>
          <w:rFonts w:ascii="Arial" w:cs="Arial" w:eastAsia="Arial" w:hAnsi="Arial"/>
          <w:sz w:val="18"/>
          <w:szCs w:val="18"/>
          <w:color w:val="auto"/>
        </w:rPr>
      </w:pPr>
    </w:p>
    <w:p>
      <w:pPr>
        <w:ind w:right="120" w:firstLine="428"/>
        <w:spacing w:after="0" w:line="259" w:lineRule="auto"/>
        <w:tabs>
          <w:tab w:leader="none" w:pos="67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Consents Required. All approvals, authorizations, consents, orders or other actions of any Person or Governmental Authority applicable to the Custodian, required in connection with the execution and delivery of this Agreement, the performance by the Custodian of the transactions contemplated hereby and the fulfillment by the Custodian of the terms hereof have been obtained.</w:t>
      </w:r>
    </w:p>
    <w:p>
      <w:pPr>
        <w:spacing w:after="0" w:line="58" w:lineRule="exact"/>
        <w:rPr>
          <w:rFonts w:ascii="Arial" w:cs="Arial" w:eastAsia="Arial" w:hAnsi="Arial"/>
          <w:sz w:val="18"/>
          <w:szCs w:val="18"/>
          <w:color w:val="auto"/>
        </w:rPr>
      </w:pPr>
    </w:p>
    <w:p>
      <w:pPr>
        <w:ind w:firstLine="428"/>
        <w:spacing w:after="0" w:line="259" w:lineRule="auto"/>
        <w:tabs>
          <w:tab w:leader="none" w:pos="650"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Validity. </w:t>
      </w:r>
      <w:r>
        <w:rPr>
          <w:rFonts w:ascii="Arial" w:cs="Arial" w:eastAsia="Arial" w:hAnsi="Arial"/>
          <w:sz w:val="18"/>
          <w:szCs w:val="18"/>
          <w:color w:val="auto"/>
        </w:rPr>
        <w:t>The Agreement constitutes the legal, valid and binding obligation of the Custodian, enforceable against the Custodian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its terms, except as such enforceability may be limited by applicable Bankruptcy Code and general principles of equity (whether considered in a suit at law or in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14.12. Covenants of the Custodian</w:t>
      </w:r>
      <w:r>
        <w:rPr>
          <w:rFonts w:ascii="Arial" w:cs="Arial" w:eastAsia="Arial" w:hAnsi="Arial"/>
          <w:sz w:val="18"/>
          <w:szCs w:val="18"/>
          <w:color w:val="auto"/>
        </w:rPr>
        <w:t>.</w:t>
      </w:r>
    </w:p>
    <w:p>
      <w:pPr>
        <w:spacing w:after="0" w:line="90" w:lineRule="exact"/>
        <w:rPr>
          <w:sz w:val="20"/>
          <w:szCs w:val="20"/>
          <w:color w:val="auto"/>
        </w:rPr>
      </w:pPr>
    </w:p>
    <w:p>
      <w:pPr>
        <w:ind w:left="660" w:hanging="232"/>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Affirmative Covenants of the Custodian.</w:t>
      </w:r>
    </w:p>
    <w:p>
      <w:pPr>
        <w:spacing w:after="0" w:line="90" w:lineRule="exact"/>
        <w:rPr>
          <w:rFonts w:ascii="Arial" w:cs="Arial" w:eastAsia="Arial" w:hAnsi="Arial"/>
          <w:sz w:val="18"/>
          <w:szCs w:val="18"/>
          <w:color w:val="auto"/>
        </w:rPr>
      </w:pPr>
    </w:p>
    <w:p>
      <w:pPr>
        <w:ind w:left="1060" w:hanging="200"/>
        <w:spacing w:after="0"/>
        <w:tabs>
          <w:tab w:leader="none" w:pos="1060" w:val="left"/>
        </w:tabs>
        <w:numPr>
          <w:ilvl w:val="1"/>
          <w:numId w:val="196"/>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Law. </w:t>
      </w:r>
      <w:r>
        <w:rPr>
          <w:rFonts w:ascii="Arial" w:cs="Arial" w:eastAsia="Arial" w:hAnsi="Arial"/>
          <w:sz w:val="18"/>
          <w:szCs w:val="18"/>
          <w:color w:val="auto"/>
        </w:rPr>
        <w:t>The Custodian will comply in all material respects with all Applicable Law.</w:t>
      </w:r>
    </w:p>
    <w:p>
      <w:pPr>
        <w:spacing w:after="0" w:line="90" w:lineRule="exact"/>
        <w:rPr>
          <w:rFonts w:ascii="Arial" w:cs="Arial" w:eastAsia="Arial" w:hAnsi="Arial"/>
          <w:sz w:val="18"/>
          <w:szCs w:val="18"/>
          <w:color w:val="auto"/>
        </w:rPr>
      </w:pPr>
    </w:p>
    <w:p>
      <w:pPr>
        <w:jc w:val="both"/>
        <w:ind w:left="440" w:right="120" w:firstLine="420"/>
        <w:spacing w:after="0" w:line="306" w:lineRule="auto"/>
        <w:tabs>
          <w:tab w:leader="none" w:pos="1111" w:val="left"/>
        </w:tabs>
        <w:numPr>
          <w:ilvl w:val="1"/>
          <w:numId w:val="196"/>
        </w:numPr>
        <w:rPr>
          <w:rFonts w:ascii="Arial" w:cs="Arial" w:eastAsia="Arial" w:hAnsi="Arial"/>
          <w:sz w:val="16"/>
          <w:szCs w:val="16"/>
          <w:color w:val="auto"/>
        </w:rPr>
      </w:pPr>
      <w:r>
        <w:rPr>
          <w:rFonts w:ascii="Arial" w:cs="Arial" w:eastAsia="Arial" w:hAnsi="Arial"/>
          <w:sz w:val="16"/>
          <w:szCs w:val="16"/>
          <w:i w:val="1"/>
          <w:iCs w:val="1"/>
          <w:color w:val="auto"/>
        </w:rPr>
        <w:t>Preservation of Existence</w:t>
      </w:r>
      <w:r>
        <w:rPr>
          <w:rFonts w:ascii="Arial" w:cs="Arial" w:eastAsia="Arial" w:hAnsi="Arial"/>
          <w:sz w:val="16"/>
          <w:szCs w:val="16"/>
          <w:color w:val="auto"/>
        </w:rPr>
        <w:t>. The Custodian will preserve and maintain its existence, rights, franchises and privileges in the jurisdiction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its formation and qualify and remain qualified in good standing in each jurisdiction where failure to preserve and maintain such existence, rights, franchises, privileges and qualification has had, or could reasonably be expected to have, a Material Adverse Effect.</w:t>
      </w:r>
    </w:p>
    <w:p>
      <w:pPr>
        <w:spacing w:after="0" w:line="25" w:lineRule="exact"/>
        <w:rPr>
          <w:rFonts w:ascii="Arial" w:cs="Arial" w:eastAsia="Arial" w:hAnsi="Arial"/>
          <w:sz w:val="16"/>
          <w:szCs w:val="16"/>
          <w:color w:val="auto"/>
        </w:rPr>
      </w:pPr>
    </w:p>
    <w:p>
      <w:pPr>
        <w:jc w:val="both"/>
        <w:ind w:left="440" w:right="20" w:firstLine="420"/>
        <w:spacing w:after="0" w:line="298" w:lineRule="auto"/>
        <w:tabs>
          <w:tab w:leader="none" w:pos="1160" w:val="left"/>
        </w:tabs>
        <w:numPr>
          <w:ilvl w:val="1"/>
          <w:numId w:val="196"/>
        </w:numPr>
        <w:rPr>
          <w:rFonts w:ascii="Arial" w:cs="Arial" w:eastAsia="Arial" w:hAnsi="Arial"/>
          <w:sz w:val="16"/>
          <w:szCs w:val="16"/>
          <w:color w:val="auto"/>
        </w:rPr>
      </w:pPr>
      <w:r>
        <w:rPr>
          <w:rFonts w:ascii="Arial" w:cs="Arial" w:eastAsia="Arial" w:hAnsi="Arial"/>
          <w:sz w:val="16"/>
          <w:szCs w:val="16"/>
          <w:i w:val="1"/>
          <w:iCs w:val="1"/>
          <w:color w:val="auto"/>
        </w:rPr>
        <w:t xml:space="preserve">Location of Related Documents. </w:t>
      </w:r>
      <w:r>
        <w:rPr>
          <w:rFonts w:ascii="Arial" w:cs="Arial" w:eastAsia="Arial" w:hAnsi="Arial"/>
          <w:sz w:val="16"/>
          <w:szCs w:val="16"/>
          <w:color w:val="auto"/>
        </w:rPr>
        <w:t>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14.08</w:t>
      </w:r>
      <w:r>
        <w:rPr>
          <w:rFonts w:ascii="Arial" w:cs="Arial" w:eastAsia="Arial" w:hAnsi="Arial"/>
          <w:sz w:val="16"/>
          <w:szCs w:val="16"/>
          <w:color w:val="auto"/>
        </w:rPr>
        <w:t>, the Related Documents shall remain at all times in the possession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Custodian at the Document Custodian Facilities unless notice of a different address is given in accordance with the terms hereof or unless the Administrative Agent agrees to allow certain Related Documents to be released to the Collateral Manager on a temporary basis in accordance with the terms hereof, except as such Related Documents may be released pursuant to this Agreement.</w:t>
      </w:r>
    </w:p>
    <w:p>
      <w:pPr>
        <w:spacing w:after="0" w:line="31" w:lineRule="exact"/>
        <w:rPr>
          <w:rFonts w:ascii="Arial" w:cs="Arial" w:eastAsia="Arial" w:hAnsi="Arial"/>
          <w:sz w:val="16"/>
          <w:szCs w:val="16"/>
          <w:color w:val="auto"/>
        </w:rPr>
      </w:pPr>
    </w:p>
    <w:p>
      <w:pPr>
        <w:ind w:left="680" w:hanging="252"/>
        <w:spacing w:after="0"/>
        <w:tabs>
          <w:tab w:leader="none" w:pos="68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Negative Covenants of the Custodian.</w:t>
      </w:r>
    </w:p>
    <w:p>
      <w:pPr>
        <w:spacing w:after="0" w:line="90" w:lineRule="exact"/>
        <w:rPr>
          <w:rFonts w:ascii="Arial" w:cs="Arial" w:eastAsia="Arial" w:hAnsi="Arial"/>
          <w:sz w:val="18"/>
          <w:szCs w:val="18"/>
          <w:color w:val="auto"/>
        </w:rPr>
      </w:pPr>
    </w:p>
    <w:p>
      <w:pPr>
        <w:ind w:left="440" w:right="680" w:firstLine="420"/>
        <w:spacing w:after="0" w:line="268" w:lineRule="auto"/>
        <w:tabs>
          <w:tab w:leader="none" w:pos="1063" w:val="left"/>
        </w:tabs>
        <w:numPr>
          <w:ilvl w:val="1"/>
          <w:numId w:val="196"/>
        </w:numPr>
        <w:rPr>
          <w:rFonts w:ascii="Arial" w:cs="Arial" w:eastAsia="Arial" w:hAnsi="Arial"/>
          <w:sz w:val="18"/>
          <w:szCs w:val="18"/>
          <w:color w:val="auto"/>
        </w:rPr>
      </w:pPr>
      <w:r>
        <w:rPr>
          <w:rFonts w:ascii="Arial" w:cs="Arial" w:eastAsia="Arial" w:hAnsi="Arial"/>
          <w:sz w:val="18"/>
          <w:szCs w:val="18"/>
          <w:i w:val="1"/>
          <w:iCs w:val="1"/>
          <w:color w:val="auto"/>
        </w:rPr>
        <w:t xml:space="preserve">Related Documents. </w:t>
      </w:r>
      <w:r>
        <w:rPr>
          <w:rFonts w:ascii="Arial" w:cs="Arial" w:eastAsia="Arial" w:hAnsi="Arial"/>
          <w:sz w:val="18"/>
          <w:szCs w:val="18"/>
          <w:color w:val="auto"/>
        </w:rPr>
        <w:t>The Custodian will not dispose of any documents constituting the Related Documents in any manner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inconsistent with the performance of its obligations as the Custodian pursuant to this Agreement.</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760"/>
          </w:cols>
          <w:pgMar w:left="780" w:top="280" w:right="359" w:bottom="1440" w:gutter="0" w:footer="0" w:header="0"/>
        </w:sectPr>
      </w:pPr>
    </w:p>
    <w:bookmarkStart w:id="177" w:name="page178"/>
    <w:bookmarkEnd w:id="177"/>
    <w:p>
      <w:pPr>
        <w:ind w:left="900" w:right="460" w:firstLine="420"/>
        <w:spacing w:after="0" w:line="268" w:lineRule="auto"/>
        <w:tabs>
          <w:tab w:leader="none" w:pos="1571"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Changes to Custodian Fee. </w:t>
      </w:r>
      <w:r>
        <w:rPr>
          <w:rFonts w:ascii="Arial" w:cs="Arial" w:eastAsia="Arial" w:hAnsi="Arial"/>
          <w:sz w:val="18"/>
          <w:szCs w:val="18"/>
          <w:color w:val="auto"/>
        </w:rPr>
        <w:t>The Custodian will not make any changes to the custodian fee set forth in the Custodian Fee Letter</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prior written approval of the Administrative Agent and the Borrower.</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XV</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i w:val="1"/>
          <w:iCs w:val="1"/>
          <w:color w:val="auto"/>
        </w:rPr>
        <w:t>Section 15.01. No Waiver; Modifications in Writing</w:t>
      </w:r>
      <w:r>
        <w:rPr>
          <w:rFonts w:ascii="Arial" w:cs="Arial" w:eastAsia="Arial" w:hAnsi="Arial"/>
          <w:sz w:val="16"/>
          <w:szCs w:val="16"/>
          <w:color w:val="auto"/>
        </w:rPr>
        <w:t>. (a) No failure or delay on the part of any Secured Party exercising any right, power or remedy</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shall operate as a waiver thereof, nor 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pacing w:after="0" w:line="34" w:lineRule="exact"/>
        <w:rPr>
          <w:sz w:val="20"/>
          <w:szCs w:val="20"/>
          <w:color w:val="auto"/>
        </w:rPr>
      </w:pPr>
    </w:p>
    <w:p>
      <w:pPr>
        <w:ind w:left="460" w:right="620" w:firstLine="428"/>
        <w:spacing w:after="0" w:line="268" w:lineRule="auto"/>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No amendment, modification, supplement or waiver of this Agreement shall be effective unless signed by the Borrower, the Collateral Manager, the Administrative Agent and the Required Lenders,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w:t>
      </w:r>
    </w:p>
    <w:p>
      <w:pPr>
        <w:spacing w:after="0" w:line="50" w:lineRule="exact"/>
        <w:rPr>
          <w:rFonts w:ascii="Arial" w:cs="Arial" w:eastAsia="Arial" w:hAnsi="Arial"/>
          <w:sz w:val="18"/>
          <w:szCs w:val="18"/>
          <w:color w:val="auto"/>
        </w:rPr>
      </w:pPr>
    </w:p>
    <w:p>
      <w:pPr>
        <w:ind w:left="1520" w:hanging="200"/>
        <w:spacing w:after="0"/>
        <w:tabs>
          <w:tab w:leader="none" w:pos="152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Fundamental Amendment shall require the written consent of all Lenders; and</w:t>
      </w:r>
    </w:p>
    <w:p>
      <w:pPr>
        <w:spacing w:after="0" w:line="90" w:lineRule="exact"/>
        <w:rPr>
          <w:rFonts w:ascii="Arial" w:cs="Arial" w:eastAsia="Arial" w:hAnsi="Arial"/>
          <w:sz w:val="18"/>
          <w:szCs w:val="18"/>
          <w:color w:val="auto"/>
        </w:rPr>
      </w:pPr>
    </w:p>
    <w:p>
      <w:pPr>
        <w:jc w:val="both"/>
        <w:ind w:left="900" w:right="140" w:firstLine="420"/>
        <w:spacing w:after="0" w:line="256" w:lineRule="auto"/>
        <w:tabs>
          <w:tab w:leader="none" w:pos="157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no such amendment, modification, supplement or waiver shall amend, modify or otherwise affect the rights or duties of any Agent, the Custodian, the Collateral Administrator or the Backup Collateral Manager (including in its role as successor Collateral Manager if it shall be so appointed) hereunder without the prior written consent of such Agent, Custodian, Collateral Administrator or Backup Collateral Manager, as the case may be.</w:t>
      </w:r>
    </w:p>
    <w:p>
      <w:pPr>
        <w:spacing w:after="0" w:line="143"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i w:val="1"/>
          <w:iCs w:val="1"/>
          <w:color w:val="auto"/>
        </w:rPr>
        <w:t>Section 15.02. Notices, Etc</w:t>
      </w:r>
      <w:r>
        <w:rPr>
          <w:rFonts w:ascii="Arial" w:cs="Arial" w:eastAsia="Arial" w:hAnsi="Arial"/>
          <w:sz w:val="16"/>
          <w:szCs w:val="16"/>
          <w:color w:val="auto"/>
        </w:rPr>
        <w:t>. Except where telephonic instructions are authorized herein to be given, all notices, demands, instructions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(if the recipient has provided an email address in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and shall be deemed to be given for purposes of this Agreement on the day that such writing is received by the intended recipient thereof in accordance with the provisions of this </w:t>
      </w:r>
      <w:r>
        <w:rPr>
          <w:rFonts w:ascii="Arial" w:cs="Arial" w:eastAsia="Arial" w:hAnsi="Arial"/>
          <w:sz w:val="16"/>
          <w:szCs w:val="16"/>
          <w:u w:val="single" w:color="auto"/>
          <w:color w:val="auto"/>
        </w:rPr>
        <w:t>Section 15.02</w:t>
      </w:r>
      <w:r>
        <w:rPr>
          <w:rFonts w:ascii="Arial" w:cs="Arial" w:eastAsia="Arial" w:hAnsi="Arial"/>
          <w:sz w:val="16"/>
          <w:szCs w:val="16"/>
          <w:color w:val="auto"/>
        </w:rPr>
        <w:t xml:space="preserve">. Unless otherwise specified in a notice sent or delivered in accordance with the foregoing provisions of this </w:t>
      </w:r>
      <w:r>
        <w:rPr>
          <w:rFonts w:ascii="Arial" w:cs="Arial" w:eastAsia="Arial" w:hAnsi="Arial"/>
          <w:sz w:val="16"/>
          <w:szCs w:val="16"/>
          <w:u w:val="single" w:color="auto"/>
          <w:color w:val="auto"/>
        </w:rPr>
        <w:t>Section 15.02</w:t>
      </w:r>
      <w:r>
        <w:rPr>
          <w:rFonts w:ascii="Arial" w:cs="Arial" w:eastAsia="Arial" w:hAnsi="Arial"/>
          <w:sz w:val="16"/>
          <w:szCs w:val="16"/>
          <w:color w:val="auto"/>
        </w:rPr>
        <w:t xml:space="preserve">, notices, demands, instructions and other communications in writing shall be given to or made upon the respective parties hereto at their respective addresses (or to their respective facsimile numbers or email addresses) indicated in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and, in the case of telephonic instructions or notices, by calling the telephone number or numbers indicated for such party in </w:t>
      </w:r>
      <w:r>
        <w:rPr>
          <w:rFonts w:ascii="Arial" w:cs="Arial" w:eastAsia="Arial" w:hAnsi="Arial"/>
          <w:sz w:val="16"/>
          <w:szCs w:val="16"/>
          <w:u w:val="single" w:color="auto"/>
          <w:color w:val="auto"/>
        </w:rPr>
        <w:t>Schedule 6</w:t>
      </w:r>
      <w:r>
        <w:rPr>
          <w:rFonts w:ascii="Arial" w:cs="Arial" w:eastAsia="Arial" w:hAnsi="Arial"/>
          <w:sz w:val="16"/>
          <w:szCs w:val="16"/>
          <w:color w:val="auto"/>
        </w:rPr>
        <w:t>.</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80"/>
          </w:cols>
          <w:pgMar w:left="320" w:top="280" w:right="399" w:bottom="1440" w:gutter="0" w:footer="0" w:header="0"/>
        </w:sectPr>
      </w:pPr>
    </w:p>
    <w:bookmarkStart w:id="178" w:name="page179"/>
    <w:bookmarkEnd w:id="178"/>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15.03. Taxes</w:t>
      </w:r>
      <w:r>
        <w:rPr>
          <w:rFonts w:ascii="Arial" w:cs="Arial" w:eastAsia="Arial" w:hAnsi="Arial"/>
          <w:sz w:val="16"/>
          <w:szCs w:val="16"/>
          <w:color w:val="auto"/>
        </w:rPr>
        <w:t>. (a) Any and all payments by the Borrower under this Agreement shall be made, in accordance with this Agreement, free and clear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and without deduction for any and all present or future taxes, levies, imposts, deductions, charges or withholdings, and all liabilities (including penalties,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and expenses) with respect thereto, excluding, income and franchise taxes imposed (i) in the case of any Secured Party, by the jurisdiction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political subdivision thereof) under the laws of which such Secured Party is organized or in which its principal office is located, or in the case of any Lender,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its applicable lending office is located, or (ii) in the case of any Secured Party or any Lender, by any jurisdiction solely by reason of such Secured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such Lender having any other present or former connection with such jurisdiction (other than a connection arising solely from entering into, receiving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under or enforcing its rights under this Agreement or any other Facility Document) and also excluding any withholding taxes imposed on payments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Borrower under FATCA (all such non-excluded taxes, levies, imposts, deductions, charges, withholdings and liabilities being hereinafter referred to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Taxes</w:t>
      </w:r>
      <w:r>
        <w:rPr>
          <w:rFonts w:ascii="Arial" w:cs="Arial" w:eastAsia="Arial" w:hAnsi="Arial"/>
          <w:sz w:val="16"/>
          <w:szCs w:val="16"/>
          <w:color w:val="auto"/>
        </w:rPr>
        <w:t>”). If the Borrower shall be required by law (or by the interpretation or administration thereof) to deduct any Taxes from or in respect of any sum payable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by it hereunder or under any other Facility Document to any Secured Party, (i) the sum payable by the Borrower shall be increased as may be necessary so that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after making all required deductions (including deductions applicable to additional sums payable under this </w:t>
      </w:r>
      <w:r>
        <w:rPr>
          <w:rFonts w:ascii="Arial" w:cs="Arial" w:eastAsia="Arial" w:hAnsi="Arial"/>
          <w:sz w:val="16"/>
          <w:szCs w:val="16"/>
          <w:u w:val="single" w:color="auto"/>
          <w:color w:val="auto"/>
        </w:rPr>
        <w:t>Section 15.03</w:t>
      </w:r>
      <w:r>
        <w:rPr>
          <w:rFonts w:ascii="Arial" w:cs="Arial" w:eastAsia="Arial" w:hAnsi="Arial"/>
          <w:sz w:val="16"/>
          <w:szCs w:val="16"/>
          <w:color w:val="auto"/>
        </w:rPr>
        <w:t>) such Secured Party receives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equal to the sum it would have received had no such deductions been made, (ii) the Borrower shall make such deductions, and (iii) the Borrower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timely pay the full amount deducted to the relevant Governmental Authority in accordance with Applicable Law.</w:t>
      </w:r>
    </w:p>
    <w:p>
      <w:pPr>
        <w:spacing w:after="0" w:line="84" w:lineRule="exact"/>
        <w:rPr>
          <w:sz w:val="20"/>
          <w:szCs w:val="20"/>
          <w:color w:val="auto"/>
        </w:rPr>
      </w:pPr>
    </w:p>
    <w:p>
      <w:pPr>
        <w:ind w:left="460" w:right="200" w:firstLine="428"/>
        <w:spacing w:after="0" w:line="294" w:lineRule="auto"/>
        <w:tabs>
          <w:tab w:leader="none" w:pos="11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In addition, the Borrower agrees (and, to the extent the funds available for by the Borrower therefor on any Payment Date are insufficient to pay such amounts in full, the Collateral Manager, on behalf of the Borrower, will shall pay such amounts), to timely pay any present or future stamp or documentary taxes or any other excise or property taxes, charges or similar levies which arise from any payment made by the Borrower hereunder or under any other Facility Document or from the execution, delivery or registration of, or otherwise with respect to, this Agreement or under any other Facility Document (hereinafter referred to as </w:t>
      </w:r>
      <w:r>
        <w:rPr>
          <w:rFonts w:ascii="Arial" w:cs="Arial" w:eastAsia="Arial" w:hAnsi="Arial"/>
          <w:sz w:val="16"/>
          <w:szCs w:val="16"/>
          <w:i w:val="1"/>
          <w:iCs w:val="1"/>
          <w:color w:val="auto"/>
        </w:rPr>
        <w:t>“Other Taxes”</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left="460" w:right="40" w:firstLine="428"/>
        <w:spacing w:after="0" w:line="290" w:lineRule="auto"/>
        <w:tabs>
          <w:tab w:leader="none" w:pos="113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The Borrower agrees to indemnify (and, to the extent the funds available for by the Borrower therefor on any Payment Date are insufficient to pay such amounts in full, the Collateral Manager, on behalf of the Borrower, will shall pay such amounts) each of the Secured Parties for the full amount of Taxes or Other Taxes (including any Taxes or Other Taxes imposed or asserted by any jurisdiction on amounts payable under this </w:t>
      </w:r>
      <w:r>
        <w:rPr>
          <w:rFonts w:ascii="Arial" w:cs="Arial" w:eastAsia="Arial" w:hAnsi="Arial"/>
          <w:sz w:val="16"/>
          <w:szCs w:val="16"/>
          <w:u w:val="single" w:color="auto"/>
          <w:color w:val="auto"/>
        </w:rPr>
        <w:t>Section 15.03</w:t>
      </w:r>
      <w:r>
        <w:rPr>
          <w:rFonts w:ascii="Arial" w:cs="Arial" w:eastAsia="Arial" w:hAnsi="Arial"/>
          <w:sz w:val="16"/>
          <w:szCs w:val="16"/>
          <w:color w:val="auto"/>
        </w:rPr>
        <w:t>) paid by any Secured Party in respect of the Borrower, whether or not such Taxes or Other Taxes were correctly or legally imposed or asserted. Payments by Borrower or the Collateral Manager pursuant to this indemnification shall be made promptly following the date the Secured Party makes written demand therefor, which demand shall be accompanied by a certificate describing in reasonable detail the basis thereof. Such certificate shall be presumed to be correct absent manifest error.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280" w:right="339" w:bottom="1440" w:gutter="0" w:footer="0" w:header="0"/>
        </w:sectPr>
      </w:pPr>
    </w:p>
    <w:bookmarkStart w:id="179" w:name="page180"/>
    <w:bookmarkEnd w:id="179"/>
    <w:p>
      <w:pPr>
        <w:ind w:right="40" w:firstLine="428"/>
        <w:spacing w:after="0" w:line="288" w:lineRule="auto"/>
        <w:tabs>
          <w:tab w:leader="none" w:pos="6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shall not be required to indemnify any Secured Party, or pay any additional amounts to any Secured Party, in respect of United States Federal withholding tax or United States federal backup withholding tax to the extent that (i) the obligation to withhold amounts with respect to United States Federal withholding or backup withholding tax existed on the date such Lender became a party to this Agreement or, with respect to payments to a new lending office so designated by a Lender (a </w:t>
      </w:r>
      <w:r>
        <w:rPr>
          <w:rFonts w:ascii="Arial" w:cs="Arial" w:eastAsia="Arial" w:hAnsi="Arial"/>
          <w:sz w:val="16"/>
          <w:szCs w:val="16"/>
          <w:i w:val="1"/>
          <w:iCs w:val="1"/>
          <w:color w:val="auto"/>
        </w:rPr>
        <w:t>“New Lending Office”</w:t>
      </w:r>
      <w:r>
        <w:rPr>
          <w:rFonts w:ascii="Arial" w:cs="Arial" w:eastAsia="Arial" w:hAnsi="Arial"/>
          <w:sz w:val="16"/>
          <w:szCs w:val="16"/>
          <w:color w:val="auto"/>
        </w:rPr>
        <w:t xml:space="preserve">), the date such Lender designated such New Lending Office with respect to an Advance;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not apply to the extent the indemnity payment or additional amounts any Secured Party would be entitled to receive (without regard to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do not exceed the indemnity payment or additional amounts that the transferor Lender or the Lender making the designation of such New Lending Office would have been entitled to receive in the absence of such transfer or designation, or (ii) the obligation to pay such additional amounts would not have arisen but for a failure by such Secured Party to comply with </w:t>
      </w:r>
      <w:r>
        <w:rPr>
          <w:rFonts w:ascii="Arial" w:cs="Arial" w:eastAsia="Arial" w:hAnsi="Arial"/>
          <w:sz w:val="16"/>
          <w:szCs w:val="16"/>
          <w:u w:val="single" w:color="auto"/>
          <w:color w:val="auto"/>
        </w:rPr>
        <w:t>paragraphs (g) or (h)</w:t>
      </w:r>
      <w:r>
        <w:rPr>
          <w:rFonts w:ascii="Arial" w:cs="Arial" w:eastAsia="Arial" w:hAnsi="Arial"/>
          <w:sz w:val="16"/>
          <w:szCs w:val="16"/>
          <w:color w:val="auto"/>
        </w:rPr>
        <w:t xml:space="preserve"> below.</w:t>
      </w:r>
    </w:p>
    <w:p>
      <w:pPr>
        <w:spacing w:after="0" w:line="42" w:lineRule="exact"/>
        <w:rPr>
          <w:rFonts w:ascii="Arial" w:cs="Arial" w:eastAsia="Arial" w:hAnsi="Arial"/>
          <w:sz w:val="16"/>
          <w:szCs w:val="16"/>
          <w:color w:val="auto"/>
        </w:rPr>
      </w:pPr>
    </w:p>
    <w:p>
      <w:pPr>
        <w:jc w:val="both"/>
        <w:ind w:right="200" w:firstLine="428"/>
        <w:spacing w:after="0" w:line="259" w:lineRule="auto"/>
        <w:tabs>
          <w:tab w:leader="none" w:pos="67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Promptly after the date of any payment of Taxes or Other Taxes, the Borrower will furnish to each Agent the original or a certified copy of a receipt issued by the relevant Governmental Authority evidencing payment thereof (or other evidence of payment as may be reasonably satisfactory to such Agent).</w:t>
      </w:r>
    </w:p>
    <w:p>
      <w:pPr>
        <w:spacing w:after="0" w:line="58" w:lineRule="exact"/>
        <w:rPr>
          <w:rFonts w:ascii="Arial" w:cs="Arial" w:eastAsia="Arial" w:hAnsi="Arial"/>
          <w:sz w:val="18"/>
          <w:szCs w:val="18"/>
          <w:color w:val="auto"/>
        </w:rPr>
      </w:pPr>
    </w:p>
    <w:p>
      <w:pPr>
        <w:ind w:right="60" w:firstLine="428"/>
        <w:spacing w:after="0" w:line="290" w:lineRule="auto"/>
        <w:tabs>
          <w:tab w:leader="none" w:pos="65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If any payment is made by the Borrower (or the Collateral Manager on its behalf) to or for the account of any Secured Party after deduction for or on account of any Taxes or Other Taxes, and an indemnity payment or additional amounts are paid by the Borrower pursuant to this </w:t>
      </w:r>
      <w:r>
        <w:rPr>
          <w:rFonts w:ascii="Arial" w:cs="Arial" w:eastAsia="Arial" w:hAnsi="Arial"/>
          <w:sz w:val="16"/>
          <w:szCs w:val="16"/>
          <w:u w:val="single" w:color="auto"/>
          <w:color w:val="auto"/>
        </w:rPr>
        <w:t>Section 15.03</w:t>
      </w:r>
      <w:r>
        <w:rPr>
          <w:rFonts w:ascii="Arial" w:cs="Arial" w:eastAsia="Arial" w:hAnsi="Arial"/>
          <w:sz w:val="16"/>
          <w:szCs w:val="16"/>
          <w:color w:val="auto"/>
        </w:rPr>
        <w:t xml:space="preserve">, then, if such Secured Party in its sole discretion determines that it is entitled to a refund of such Taxes or Other Taxes, such Secured Party shall, to the extent that it can do so without prejudice to the retention of the amount of such refund, apply for such refund and reimburse to the Borrower (or the Collateral Manager, as applicable) such amount of any refund received (net of reasonable out-of-pocket expenses incurred) as such Secured Party shall determine in its sole discretion to be attributable to the relevant Taxes or Other Taxes;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in the event that such Secured Party is required to repay such refund to the relevant taxing authority, the Borrower agrees to return the refund to such Secured Party.</w:t>
      </w:r>
    </w:p>
    <w:p>
      <w:pPr>
        <w:spacing w:after="0" w:line="36" w:lineRule="exact"/>
        <w:rPr>
          <w:rFonts w:ascii="Arial" w:cs="Arial" w:eastAsia="Arial" w:hAnsi="Arial"/>
          <w:sz w:val="16"/>
          <w:szCs w:val="16"/>
          <w:color w:val="auto"/>
        </w:rPr>
      </w:pPr>
    </w:p>
    <w:p>
      <w:pPr>
        <w:ind w:firstLine="428"/>
        <w:spacing w:after="0" w:line="287" w:lineRule="auto"/>
        <w:tabs>
          <w:tab w:leader="none" w:pos="6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Each Secured Party and each Participant that is a U.S. person as that term is defined in Section 7701(a)(30) of the Code (a “</w:t>
      </w:r>
      <w:r>
        <w:rPr>
          <w:rFonts w:ascii="Arial" w:cs="Arial" w:eastAsia="Arial" w:hAnsi="Arial"/>
          <w:sz w:val="16"/>
          <w:szCs w:val="16"/>
          <w:i w:val="1"/>
          <w:iCs w:val="1"/>
          <w:color w:val="auto"/>
        </w:rPr>
        <w:t>U.S. Person</w:t>
      </w:r>
      <w:r>
        <w:rPr>
          <w:rFonts w:ascii="Arial" w:cs="Arial" w:eastAsia="Arial" w:hAnsi="Arial"/>
          <w:sz w:val="16"/>
          <w:szCs w:val="16"/>
          <w:color w:val="auto"/>
        </w:rPr>
        <w:t xml:space="preserve">”) hereby agrees that it shall, no later than the Funding Effective Date or, in the case of a Secured Party or a Participant which becomes a party hereto pursuant to </w:t>
      </w:r>
      <w:r>
        <w:rPr>
          <w:rFonts w:ascii="Arial" w:cs="Arial" w:eastAsia="Arial" w:hAnsi="Arial"/>
          <w:sz w:val="16"/>
          <w:szCs w:val="16"/>
          <w:u w:val="single" w:color="auto"/>
          <w:color w:val="auto"/>
        </w:rPr>
        <w:t>Section 15.06</w:t>
      </w:r>
      <w:r>
        <w:rPr>
          <w:rFonts w:ascii="Arial" w:cs="Arial" w:eastAsia="Arial" w:hAnsi="Arial"/>
          <w:sz w:val="16"/>
          <w:szCs w:val="16"/>
          <w:color w:val="auto"/>
        </w:rPr>
        <w:t>, the date upon which such Secured Party becomes a party hereto or participant herein, deliver to the Borrower and each Agent, if applicable, two accurate, complete and signed copies of U.S. Internal Revenue Service Form W-9 or successor form, certifying that such Secured Party or Participant is on the date of delivery thereof entitled to an exemption from United States backup withholding tax. Each Secured Party or Participant that is organized under the laws of a jurisdiction outside than the United States (a “</w:t>
      </w:r>
      <w:r>
        <w:rPr>
          <w:rFonts w:ascii="Arial" w:cs="Arial" w:eastAsia="Arial" w:hAnsi="Arial"/>
          <w:sz w:val="16"/>
          <w:szCs w:val="16"/>
          <w:i w:val="1"/>
          <w:iCs w:val="1"/>
          <w:color w:val="auto"/>
        </w:rPr>
        <w:t>Non-U.S. Lender</w:t>
      </w:r>
      <w:r>
        <w:rPr>
          <w:rFonts w:ascii="Arial" w:cs="Arial" w:eastAsia="Arial" w:hAnsi="Arial"/>
          <w:sz w:val="16"/>
          <w:szCs w:val="16"/>
          <w:color w:val="auto"/>
        </w:rPr>
        <w:t xml:space="preserve">”) shall, no later than the date on which such Secured Party becomes a party hereto or a participant herein pursuant to </w:t>
      </w:r>
      <w:r>
        <w:rPr>
          <w:rFonts w:ascii="Arial" w:cs="Arial" w:eastAsia="Arial" w:hAnsi="Arial"/>
          <w:sz w:val="16"/>
          <w:szCs w:val="16"/>
          <w:u w:val="single" w:color="auto"/>
          <w:color w:val="auto"/>
        </w:rPr>
        <w:t>Section 15.06</w:t>
      </w:r>
      <w:r>
        <w:rPr>
          <w:rFonts w:ascii="Arial" w:cs="Arial" w:eastAsia="Arial" w:hAnsi="Arial"/>
          <w:sz w:val="16"/>
          <w:szCs w:val="16"/>
          <w:color w:val="auto"/>
        </w:rPr>
        <w:t>, deliver to the Borrower and each Agent two properly completed and duly executed copies of either U.S. Internal Revenue Service Form W-8BEN, W-8ECI or W-8IMY or any subsequent versions thereof or successors thereto, in each case claiming complete exemption from, or reduced rate of, U.S. Federal withholding tax with respect to payments of interest hereunder. In addition, in the case of a Non-U.S. Lender claiming</w:t>
      </w:r>
    </w:p>
    <w:p>
      <w:pPr>
        <w:spacing w:after="0" w:line="10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760"/>
          </w:cols>
          <w:pgMar w:left="780" w:top="280" w:right="359" w:bottom="1440" w:gutter="0" w:footer="0" w:header="0"/>
        </w:sectPr>
      </w:pPr>
    </w:p>
    <w:bookmarkStart w:id="180" w:name="page181"/>
    <w:bookmarkEnd w:id="180"/>
    <w:p>
      <w:pPr>
        <w:ind w:left="460" w:right="60"/>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exemption from U.S. Federal withholding tax under Section 871(h) or 881(c) of the Code, such Non-U.S. Lender hereby represents that such Non-U.S. Lender is not a bank for purposes of Section 881(c) of the Internal Revenue Code, is not a 10-percent shareholder (within the meaning of Section 871(h)</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(3)(B) of the Internal Revenue Code) of the Borrower and is not a controlled foreign corporation related to the Borrower (within the meaning of</w:t>
      </w:r>
    </w:p>
    <w:p>
      <w:pPr>
        <w:spacing w:after="0" w:line="32" w:lineRule="exact"/>
        <w:rPr>
          <w:sz w:val="20"/>
          <w:szCs w:val="20"/>
          <w:color w:val="auto"/>
        </w:rPr>
      </w:pPr>
    </w:p>
    <w:p>
      <w:pPr>
        <w:ind w:left="460" w:right="20"/>
        <w:spacing w:after="0" w:line="252" w:lineRule="auto"/>
        <w:rPr>
          <w:sz w:val="20"/>
          <w:szCs w:val="20"/>
          <w:color w:val="auto"/>
        </w:rPr>
      </w:pPr>
      <w:r>
        <w:rPr>
          <w:rFonts w:ascii="Arial" w:cs="Arial" w:eastAsia="Arial" w:hAnsi="Arial"/>
          <w:sz w:val="18"/>
          <w:szCs w:val="18"/>
          <w:color w:val="auto"/>
        </w:rPr>
        <w:t xml:space="preserve">Section 864(d)(4) of the Code), and such Non-U.S. Lender agrees that it shall notify the Borrower and each Agent in the event any such representation is no longer accurate. Such forms shall be delivered by each Non-U.S. Lender on or before the date it becomes a party to this Agreement or participant herein and on or before the date, if any, such Non-U.S. Lender designates a New Lending Office. In addition, each Non-U.S. Lender shall deliver such forms as promptly as practicable after receipt of a written request therefor from the Borrower or an Agent. Notwithstanding any other provision of this </w:t>
      </w:r>
      <w:r>
        <w:rPr>
          <w:rFonts w:ascii="Arial" w:cs="Arial" w:eastAsia="Arial" w:hAnsi="Arial"/>
          <w:sz w:val="18"/>
          <w:szCs w:val="18"/>
          <w:u w:val="single" w:color="auto"/>
          <w:color w:val="auto"/>
        </w:rPr>
        <w:t>Section 15.03</w:t>
      </w:r>
      <w:r>
        <w:rPr>
          <w:rFonts w:ascii="Arial" w:cs="Arial" w:eastAsia="Arial" w:hAnsi="Arial"/>
          <w:sz w:val="18"/>
          <w:szCs w:val="18"/>
          <w:color w:val="auto"/>
        </w:rPr>
        <w:t xml:space="preserve">, a Non-U.S. Lender shall not be required to deliver any form pursuant to this </w:t>
      </w:r>
      <w:r>
        <w:rPr>
          <w:rFonts w:ascii="Arial" w:cs="Arial" w:eastAsia="Arial" w:hAnsi="Arial"/>
          <w:sz w:val="18"/>
          <w:szCs w:val="18"/>
          <w:u w:val="single" w:color="auto"/>
          <w:color w:val="auto"/>
        </w:rPr>
        <w:t>Section 15.03(g)</w:t>
      </w:r>
      <w:r>
        <w:rPr>
          <w:rFonts w:ascii="Arial" w:cs="Arial" w:eastAsia="Arial" w:hAnsi="Arial"/>
          <w:sz w:val="18"/>
          <w:szCs w:val="18"/>
          <w:color w:val="auto"/>
        </w:rPr>
        <w:t xml:space="preserve"> that such Non-U.S. Lender is not legally able to deliver.</w:t>
      </w:r>
    </w:p>
    <w:p>
      <w:pPr>
        <w:spacing w:after="0" w:line="67" w:lineRule="exact"/>
        <w:rPr>
          <w:sz w:val="20"/>
          <w:szCs w:val="20"/>
          <w:color w:val="auto"/>
        </w:rPr>
      </w:pPr>
    </w:p>
    <w:p>
      <w:pPr>
        <w:ind w:left="460" w:firstLine="428"/>
        <w:spacing w:after="0" w:line="290" w:lineRule="auto"/>
        <w:tabs>
          <w:tab w:leader="none" w:pos="11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If any Secured Party requires the Borrower to pay any additional amount to such Secured Party or any taxing Governmental Authority for the account of such Secured Party or to indemnify such Secured Party pursuant to this </w:t>
      </w:r>
      <w:r>
        <w:rPr>
          <w:rFonts w:ascii="Arial" w:cs="Arial" w:eastAsia="Arial" w:hAnsi="Arial"/>
          <w:sz w:val="16"/>
          <w:szCs w:val="16"/>
          <w:u w:val="single" w:color="auto"/>
          <w:color w:val="auto"/>
        </w:rPr>
        <w:t>Section 15.03</w:t>
      </w:r>
      <w:r>
        <w:rPr>
          <w:rFonts w:ascii="Arial" w:cs="Arial" w:eastAsia="Arial" w:hAnsi="Arial"/>
          <w:sz w:val="16"/>
          <w:szCs w:val="16"/>
          <w:color w:val="auto"/>
        </w:rPr>
        <w:t xml:space="preserve">, then such Secured Party shall use reasonable efforts to designate a different lending office for funding or booking its Advances hereunder or to assign its rights and obligations hereunder to another of its offices, branches or affiliates, if such Lender determines, in its sole discretion, that such designation or assignment (i) would eliminate or reduce amounts payable pursuant to this </w:t>
      </w:r>
      <w:r>
        <w:rPr>
          <w:rFonts w:ascii="Arial" w:cs="Arial" w:eastAsia="Arial" w:hAnsi="Arial"/>
          <w:sz w:val="16"/>
          <w:szCs w:val="16"/>
          <w:u w:val="single" w:color="auto"/>
          <w:color w:val="auto"/>
        </w:rPr>
        <w:t>Section 15.03</w:t>
      </w:r>
      <w:r>
        <w:rPr>
          <w:rFonts w:ascii="Arial" w:cs="Arial" w:eastAsia="Arial" w:hAnsi="Arial"/>
          <w:sz w:val="16"/>
          <w:szCs w:val="16"/>
          <w:color w:val="auto"/>
        </w:rPr>
        <w:t xml:space="preserve"> in the future and (ii) would not subject such Secured Party to any unreimbursed cost or expense and would not otherwise be disadvantageous to such Secured Party. The Borrower hereby agrees to pay all reasonable costs and expenses incurred by any Lender in connection with any such designation or assignment.</w:t>
      </w:r>
    </w:p>
    <w:p>
      <w:pPr>
        <w:spacing w:after="0" w:line="36" w:lineRule="exact"/>
        <w:rPr>
          <w:rFonts w:ascii="Arial" w:cs="Arial" w:eastAsia="Arial" w:hAnsi="Arial"/>
          <w:sz w:val="16"/>
          <w:szCs w:val="16"/>
          <w:color w:val="auto"/>
        </w:rPr>
      </w:pPr>
    </w:p>
    <w:p>
      <w:pPr>
        <w:ind w:left="460" w:right="20" w:firstLine="428"/>
        <w:spacing w:after="0" w:line="268" w:lineRule="auto"/>
        <w:tabs>
          <w:tab w:leader="none" w:pos="110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15.03</w:t>
      </w:r>
      <w:r>
        <w:rPr>
          <w:rFonts w:ascii="Arial" w:cs="Arial" w:eastAsia="Arial" w:hAnsi="Arial"/>
          <w:sz w:val="18"/>
          <w:szCs w:val="18"/>
          <w:color w:val="auto"/>
        </w:rPr>
        <w:t xml:space="preserve"> shall be construed to require any Secured Party to make available its tax returns (or any other information relating to its taxes that it deems confidential) to the Borrower or any other Person.</w:t>
      </w:r>
    </w:p>
    <w:p>
      <w:pPr>
        <w:spacing w:after="0" w:line="50" w:lineRule="exact"/>
        <w:rPr>
          <w:rFonts w:ascii="Arial" w:cs="Arial" w:eastAsia="Arial" w:hAnsi="Arial"/>
          <w:sz w:val="18"/>
          <w:szCs w:val="18"/>
          <w:color w:val="auto"/>
        </w:rPr>
      </w:pPr>
    </w:p>
    <w:p>
      <w:pPr>
        <w:ind w:left="460" w:right="180" w:firstLine="428"/>
        <w:spacing w:after="0" w:line="298" w:lineRule="auto"/>
        <w:tabs>
          <w:tab w:leader="none" w:pos="1101"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FATCA. </w:t>
      </w:r>
      <w:r>
        <w:rPr>
          <w:rFonts w:ascii="Arial" w:cs="Arial" w:eastAsia="Arial" w:hAnsi="Arial"/>
          <w:sz w:val="16"/>
          <w:szCs w:val="16"/>
          <w:color w:val="auto"/>
        </w:rPr>
        <w:t>Each Lender that is organized under the laws of a jurisdiction other than the United States shall comply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certification, documentation, information or other reporting necessary to establish an exemption from withholding under FATCA and shall provide any other documentation reasonably requested by the Borrower or the Administrative Agent sufficient for the Administrative Agent and the Borrower to comply with their obligations under FATCA and to determine that such Lender has complied with such applicable reporting requirements.</w:t>
      </w:r>
    </w:p>
    <w:p>
      <w:pPr>
        <w:spacing w:after="0" w:line="112"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i w:val="1"/>
          <w:iCs w:val="1"/>
          <w:color w:val="auto"/>
        </w:rPr>
        <w:t>Section 15.04. Costs and Expenses; Indemnification</w:t>
      </w:r>
      <w:r>
        <w:rPr>
          <w:rFonts w:ascii="Arial" w:cs="Arial" w:eastAsia="Arial" w:hAnsi="Arial"/>
          <w:sz w:val="18"/>
          <w:szCs w:val="18"/>
          <w:color w:val="auto"/>
        </w:rPr>
        <w:t>. (a) The Borrower and the Collateral Manager jointly and severally agree to promptly pay on</w:t>
      </w:r>
      <w:r>
        <w:rPr>
          <w:rFonts w:ascii="Arial" w:cs="Arial" w:eastAsia="Arial" w:hAnsi="Arial"/>
          <w:sz w:val="18"/>
          <w:szCs w:val="18"/>
          <w:i w:val="1"/>
          <w:iCs w:val="1"/>
          <w:color w:val="auto"/>
        </w:rPr>
        <w:t xml:space="preserve"> </w:t>
      </w:r>
      <w:r>
        <w:rPr>
          <w:rFonts w:ascii="Arial" w:cs="Arial" w:eastAsia="Arial" w:hAnsi="Arial"/>
          <w:sz w:val="18"/>
          <w:szCs w:val="18"/>
          <w:color w:val="auto"/>
        </w:rPr>
        <w:t>demand (i) all reasonable and documented out-of-pocket costs and expenses of the Agents, the Custodian, and the Backup Collateral Manager in connection with the preparation, review, negotiation, reproduction, execution and delivery of this Agreement and the other Facility Documents, including the reasonable fees and disbursements of outside counsel for each of the Administrative Agent, the Collateral Agent, the Custodian and the Backup Collateral Manager, UCC filing fees and all other related fees and expenses in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280" w:right="359" w:bottom="1440" w:gutter="0" w:footer="0" w:header="0"/>
        </w:sectPr>
      </w:pPr>
    </w:p>
    <w:bookmarkStart w:id="181" w:name="page182"/>
    <w:bookmarkEnd w:id="181"/>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connection therewith; and in connection with any modification or amendment of this Agreement or any other Facility Document. Further, the Borrower shall promptly pay on demand (A) all reasonable out-of-pocket costs and expenses (including all reasonable fees, expenses and disbursements of legal counsel and any auditors, accountants, consultants or appraisers or other professional advisors and agents engaged by the Collateral Agent) incurred by the Collateral Agent in the preparation, execution, delivery, filing, recordation, administration, performance or enforcement of this Agreement or any other Facility Document or any consent, amendment, waiver or other modification relating thereto, (B) all reasonable out-of-pocket costs and expenses of creating, perfecting, releasing or enforcing the Collateral Agent’s security interests in the Collateral, including filing and recording fees, expenses and taxes, stamp or documentary taxes, search fees, and title insurance premiums, and (C) after the occurrence of any Event of Default, all costs and expenses incurred by the Collateral Agent in connection with the preservation, collection, foreclosure or enforcement of the Collateral subject to the Facility Documents or any interest, right, power or remedy of the Collateral Agent or in connection with the collection or enforcement of any of the Obligations or the proof, protection, administration or resolution of any claim based upon the Obligations in any insolvency proceeding, including all reasonable fees and disbursements of attorneys, accountants, auditors, consultants, appraisers and other professionals engaged by the Collateral Agent. The undertaking in this Section shall survive repayment of the Obligations, any foreclosure under, or modification, release or discharge of, any or all of the Related Documents, termination of this Agreement and the resignation or replacement of the Collateral Agent. Without prejudice to its rights hereunder, the expenses and the compensation for the services of the Collateral Agent are intended to constitute expenses of administration under any applicable bankruptcy law.</w:t>
      </w:r>
    </w:p>
    <w:p>
      <w:pPr>
        <w:spacing w:after="0" w:line="46" w:lineRule="exact"/>
        <w:rPr>
          <w:sz w:val="20"/>
          <w:szCs w:val="20"/>
          <w:color w:val="auto"/>
        </w:rPr>
      </w:pPr>
    </w:p>
    <w:p>
      <w:pPr>
        <w:ind w:left="460" w:firstLine="428"/>
        <w:spacing w:after="0" w:line="285" w:lineRule="auto"/>
        <w:tabs>
          <w:tab w:leader="none" w:pos="11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Borrower agrees to indemnify and hold harmless each Secured Party and each of their Affiliates and the respective officers, directors, employees, agents, managers of, and any Person controlling any of, the foregoing (each, an “</w:t>
      </w:r>
      <w:r>
        <w:rPr>
          <w:rFonts w:ascii="Arial" w:cs="Arial" w:eastAsia="Arial" w:hAnsi="Arial"/>
          <w:sz w:val="16"/>
          <w:szCs w:val="16"/>
          <w:i w:val="1"/>
          <w:iCs w:val="1"/>
          <w:color w:val="auto"/>
        </w:rPr>
        <w:t>Indemnified Party</w:t>
      </w:r>
      <w:r>
        <w:rPr>
          <w:rFonts w:ascii="Arial" w:cs="Arial" w:eastAsia="Arial" w:hAnsi="Arial"/>
          <w:sz w:val="16"/>
          <w:szCs w:val="16"/>
          <w:color w:val="auto"/>
        </w:rPr>
        <w:t>”) from and against any and all claims, damages, losses, liabilities, obligations, expenses, penalties, actions, suits, judgments and disbursements of any kind or nature whatsoever, (including the reasonable and 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(collectively, the “</w:t>
      </w:r>
      <w:r>
        <w:rPr>
          <w:rFonts w:ascii="Arial" w:cs="Arial" w:eastAsia="Arial" w:hAnsi="Arial"/>
          <w:sz w:val="16"/>
          <w:szCs w:val="16"/>
          <w:i w:val="1"/>
          <w:iCs w:val="1"/>
          <w:color w:val="auto"/>
        </w:rPr>
        <w:t>Liabilities</w:t>
      </w:r>
      <w:r>
        <w:rPr>
          <w:rFonts w:ascii="Arial" w:cs="Arial" w:eastAsia="Arial" w:hAnsi="Arial"/>
          <w:sz w:val="16"/>
          <w:szCs w:val="16"/>
          <w:color w:val="auto"/>
        </w:rPr>
        <w:t>”),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 Related Document or any of the transactions contemplated hereby or thereby; (ii) any breach of any covenant by the Borrower or the Collateral Manager contained in any Facility Document; (iii) any representation or warranty made or deemed made by the Borrower or the Collateral Manager contained in any Facility Document or in any certificate, statement or report delivered in connection therewith is false or misleading; (iv) any failure by the Borrower or the Collateral Manager to comply with any Applicable Law or contractual obligation binding upon it; (v) any failure to vest, or delay in vesting, in the Collateral Agent (for the benefit of the Secured Parties) a perfected security interest in all of the Collateral free and clear of all Liens; (vi) any action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280" w:right="339" w:bottom="1440" w:gutter="0" w:footer="0" w:header="0"/>
        </w:sectPr>
      </w:pPr>
    </w:p>
    <w:bookmarkStart w:id="182" w:name="page183"/>
    <w:bookmarkEnd w:id="182"/>
    <w:p>
      <w:pPr>
        <w:ind w:left="4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omission, not expressly authorized by the Facility Documents, by the Borrower or any Affiliate of the Borrower which has the effect of reducing or impairing the Collateral or the rights of the Agents or the Secured Parties with respect thereto; (vii) the failure to file, or any delay in filing, financing statements, continuation statements or other similar instruments or documents under the UCC of any applicable jurisdiction or other Applicable Law with respect to any Collateral, whether at the time of any Advance or at any subsequent time; (viii) any dispute, claim, offset or defense (other than the discharge in bankruptcy of an Obligor) of an Obligor to the payment with respect to any Collateral (including, without limitation, a defense based on any Collateral Loan (or the Related Documents evidencing such Collateral Loan) not being a legal, valid and binding obligation of such Obligor enforceable against it in accordance with its terms), or any other claim resulting from any related property; (ix) the commingling of Collections on the Collateral at any time with other funds; (x) any failure by the Borrower to give reasonably equivalent value to the applicable seller, in consideration for the transfer by such seller to the Borrower of any item of Collateral or any attempt by any Person to void or otherwise avoid any such transfer under any statutory provision or common law or equitable action, including, without limitation, any provision of the Bankruptcy Code; (xi) the failure of the Borrower, the Collateral Manager or any of their respective agents or representatives to remit to the Collection Account, within one (1) Business Day of receipt, Collections on the Collateral Loans remitted to the Borrower, the Collateral Manager or any such agent or representative as provided in this Agreement; and (xii) any Default or Event of Default;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Borrower shall not be liable (A) for any Liability or losses arising due to the deterioration in the credit quality or market value of the Collateral Loans or other Collateral hereunder to the extent that such credit quality or market value was not misrepresented in any material respect by the Borrower or any of its Affiliates or (B) to the extent any such Liability is found in a final, non-appealable judgment by a court of competent jurisdiction to have resulted solely from such Indemnified Party’s fraud, bad faith, gross negligence or willful misconduct; </w:t>
      </w:r>
      <w:r>
        <w:rPr>
          <w:rFonts w:ascii="Arial" w:cs="Arial" w:eastAsia="Arial" w:hAnsi="Arial"/>
          <w:sz w:val="16"/>
          <w:szCs w:val="16"/>
          <w:i w:val="1"/>
          <w:iCs w:val="1"/>
          <w:u w:val="single" w:color="auto"/>
          <w:color w:val="auto"/>
        </w:rPr>
        <w:t>provided, further,</w:t>
      </w:r>
      <w:r>
        <w:rPr>
          <w:rFonts w:ascii="Arial" w:cs="Arial" w:eastAsia="Arial" w:hAnsi="Arial"/>
          <w:sz w:val="16"/>
          <w:szCs w:val="16"/>
          <w:color w:val="auto"/>
        </w:rPr>
        <w:t xml:space="preserve"> that any payment hereunder which relates to taxes, levies, imposes, deductions, charges and withholdings, and all liabilities (including penalties, interest and expenses) with respect thereto, or additional sums described in </w:t>
      </w:r>
      <w:r>
        <w:rPr>
          <w:rFonts w:ascii="Arial" w:cs="Arial" w:eastAsia="Arial" w:hAnsi="Arial"/>
          <w:sz w:val="16"/>
          <w:szCs w:val="16"/>
          <w:u w:val="single" w:color="auto"/>
          <w:color w:val="auto"/>
        </w:rPr>
        <w:t>Sections 2.09, 2.10 or 15.03</w:t>
      </w:r>
      <w:r>
        <w:rPr>
          <w:rFonts w:ascii="Arial" w:cs="Arial" w:eastAsia="Arial" w:hAnsi="Arial"/>
          <w:sz w:val="16"/>
          <w:szCs w:val="16"/>
          <w:color w:val="auto"/>
        </w:rPr>
        <w:t xml:space="preserve">, shall not be covered by this </w:t>
      </w:r>
      <w:r>
        <w:rPr>
          <w:rFonts w:ascii="Arial" w:cs="Arial" w:eastAsia="Arial" w:hAnsi="Arial"/>
          <w:sz w:val="16"/>
          <w:szCs w:val="16"/>
          <w:u w:val="single" w:color="auto"/>
          <w:color w:val="auto"/>
        </w:rPr>
        <w:t>Section 15.04(b)</w:t>
      </w:r>
      <w:r>
        <w:rPr>
          <w:rFonts w:ascii="Arial" w:cs="Arial" w:eastAsia="Arial" w:hAnsi="Arial"/>
          <w:sz w:val="16"/>
          <w:szCs w:val="16"/>
          <w:color w:val="auto"/>
        </w:rPr>
        <w:t>.</w:t>
      </w:r>
    </w:p>
    <w:p>
      <w:pPr>
        <w:spacing w:after="0" w:line="129"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i w:val="1"/>
          <w:iCs w:val="1"/>
          <w:color w:val="auto"/>
        </w:rPr>
        <w:t>Section 15.05. Execution in Counterparts</w:t>
      </w:r>
      <w:r>
        <w:rPr>
          <w:rFonts w:ascii="Arial" w:cs="Arial" w:eastAsia="Arial" w:hAnsi="Arial"/>
          <w:sz w:val="18"/>
          <w:szCs w:val="18"/>
          <w:color w:val="auto"/>
        </w:rPr>
        <w:t>. This Agreement may be executed in any number of counterparts and by different parties hereto on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143"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i w:val="1"/>
          <w:iCs w:val="1"/>
          <w:color w:val="auto"/>
        </w:rPr>
        <w:t>Section 15.06. Assignability</w:t>
      </w:r>
      <w:r>
        <w:rPr>
          <w:rFonts w:ascii="Arial" w:cs="Arial" w:eastAsia="Arial" w:hAnsi="Arial"/>
          <w:sz w:val="18"/>
          <w:szCs w:val="18"/>
          <w:color w:val="auto"/>
        </w:rPr>
        <w:t>. (a) Each Lender may, with the consent of the Administrative Agent and the Borrower, assign to an assignee all or a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its rights and obligations under this Agreement (including all or a portion of its outstanding Advances or interests therein owned by it, together with ratable portions of its Commitment);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w:t>
      </w:r>
    </w:p>
    <w:p>
      <w:pPr>
        <w:spacing w:after="0" w:line="59" w:lineRule="exact"/>
        <w:rPr>
          <w:sz w:val="20"/>
          <w:szCs w:val="20"/>
          <w:color w:val="auto"/>
        </w:rPr>
      </w:pPr>
    </w:p>
    <w:p>
      <w:pPr>
        <w:ind w:left="900" w:right="420" w:firstLine="420"/>
        <w:spacing w:after="0" w:line="268" w:lineRule="auto"/>
        <w:tabs>
          <w:tab w:leader="none" w:pos="152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Borrower’s consent to any such assignment (x) shall not be unreasonably withheld or delayed and (y) shall not be required if the assignee is a Permitted Assignee with respect to such assignor;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280" w:right="359" w:bottom="1440" w:gutter="0" w:footer="0" w:header="0"/>
        </w:sectPr>
      </w:pPr>
    </w:p>
    <w:bookmarkStart w:id="183" w:name="page184"/>
    <w:bookmarkEnd w:id="183"/>
    <w:p>
      <w:pPr>
        <w:ind w:left="440" w:right="200" w:firstLine="420"/>
        <w:spacing w:after="0" w:line="268" w:lineRule="auto"/>
        <w:tabs>
          <w:tab w:leader="none" w:pos="1112"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Borrower’s consent to any such assignment pursuant to this </w:t>
      </w:r>
      <w:r>
        <w:rPr>
          <w:rFonts w:ascii="Arial" w:cs="Arial" w:eastAsia="Arial" w:hAnsi="Arial"/>
          <w:sz w:val="18"/>
          <w:szCs w:val="18"/>
          <w:u w:val="single" w:color="auto"/>
          <w:color w:val="auto"/>
        </w:rPr>
        <w:t>Section 15.06(a)</w:t>
      </w:r>
      <w:r>
        <w:rPr>
          <w:rFonts w:ascii="Arial" w:cs="Arial" w:eastAsia="Arial" w:hAnsi="Arial"/>
          <w:sz w:val="18"/>
          <w:szCs w:val="18"/>
          <w:color w:val="auto"/>
        </w:rPr>
        <w:t xml:space="preserve"> shall not be required if an Event of Default shall have occurred and is continuing (and not been waived by the Lenders in accordance with </w:t>
      </w:r>
      <w:r>
        <w:rPr>
          <w:rFonts w:ascii="Arial" w:cs="Arial" w:eastAsia="Arial" w:hAnsi="Arial"/>
          <w:sz w:val="18"/>
          <w:szCs w:val="18"/>
          <w:u w:val="single" w:color="auto"/>
          <w:color w:val="auto"/>
        </w:rPr>
        <w:t>Section 15.01</w:t>
      </w:r>
      <w:r>
        <w:rPr>
          <w:rFonts w:ascii="Arial" w:cs="Arial" w:eastAsia="Arial" w:hAnsi="Arial"/>
          <w:sz w:val="18"/>
          <w:szCs w:val="18"/>
          <w:color w:val="auto"/>
        </w:rPr>
        <w:t>).</w:t>
      </w:r>
    </w:p>
    <w:p>
      <w:pPr>
        <w:spacing w:after="0" w:line="51" w:lineRule="exact"/>
        <w:rPr>
          <w:sz w:val="20"/>
          <w:szCs w:val="20"/>
          <w:color w:val="auto"/>
        </w:rPr>
      </w:pPr>
    </w:p>
    <w:p>
      <w:pPr>
        <w:ind w:firstLine="431"/>
        <w:spacing w:after="0" w:line="291" w:lineRule="auto"/>
        <w:rPr>
          <w:sz w:val="20"/>
          <w:szCs w:val="20"/>
          <w:color w:val="auto"/>
        </w:rPr>
      </w:pPr>
      <w:r>
        <w:rPr>
          <w:rFonts w:ascii="Arial" w:cs="Arial" w:eastAsia="Arial" w:hAnsi="Arial"/>
          <w:sz w:val="16"/>
          <w:szCs w:val="16"/>
          <w:color w:val="auto"/>
        </w:rPr>
        <w:t xml:space="preserve">The parties to each such assignment shall execute and deliver to the Administrative Agent (with a copy to the Collateral Agent) an Assignment and Acceptance and the applicable tax forms required by </w:t>
      </w:r>
      <w:r>
        <w:rPr>
          <w:rFonts w:ascii="Arial" w:cs="Arial" w:eastAsia="Arial" w:hAnsi="Arial"/>
          <w:sz w:val="16"/>
          <w:szCs w:val="16"/>
          <w:u w:val="single" w:color="auto"/>
          <w:color w:val="auto"/>
        </w:rPr>
        <w:t>Section 15.03(g)</w:t>
      </w:r>
      <w:r>
        <w:rPr>
          <w:rFonts w:ascii="Arial" w:cs="Arial" w:eastAsia="Arial" w:hAnsi="Arial"/>
          <w:sz w:val="16"/>
          <w:szCs w:val="16"/>
          <w:color w:val="auto"/>
        </w:rPr>
        <w:t xml:space="preserve">. Notwithstanding any other provision of this </w:t>
      </w:r>
      <w:r>
        <w:rPr>
          <w:rFonts w:ascii="Arial" w:cs="Arial" w:eastAsia="Arial" w:hAnsi="Arial"/>
          <w:sz w:val="16"/>
          <w:szCs w:val="16"/>
          <w:u w:val="single" w:color="auto"/>
          <w:color w:val="auto"/>
        </w:rPr>
        <w:t>Section 15.06</w:t>
      </w:r>
      <w:r>
        <w:rPr>
          <w:rFonts w:ascii="Arial" w:cs="Arial" w:eastAsia="Arial" w:hAnsi="Arial"/>
          <w:sz w:val="16"/>
          <w:szCs w:val="16"/>
          <w:color w:val="auto"/>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no such pledge or grant of a security interest shall release such Lender from any of its obligations hereunder or substitute any such pledgee or grantee for such Lender as a party hereto.</w:t>
      </w:r>
    </w:p>
    <w:p>
      <w:pPr>
        <w:spacing w:after="0" w:line="39" w:lineRule="exact"/>
        <w:rPr>
          <w:sz w:val="20"/>
          <w:szCs w:val="20"/>
          <w:color w:val="auto"/>
        </w:rPr>
      </w:pPr>
    </w:p>
    <w:p>
      <w:pPr>
        <w:ind w:left="680" w:hanging="252"/>
        <w:spacing w:after="0"/>
        <w:tabs>
          <w:tab w:leader="none" w:pos="6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Borrower may not assign its rights or obligations hereunder or any interest herein without the prior written consent of the Agents and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Lenders.</w:t>
      </w:r>
    </w:p>
    <w:p>
      <w:pPr>
        <w:spacing w:after="0" w:line="83" w:lineRule="exact"/>
        <w:rPr>
          <w:rFonts w:ascii="Arial" w:cs="Arial" w:eastAsia="Arial" w:hAnsi="Arial"/>
          <w:sz w:val="16"/>
          <w:szCs w:val="16"/>
          <w:color w:val="auto"/>
        </w:rPr>
      </w:pPr>
    </w:p>
    <w:p>
      <w:pPr>
        <w:ind w:right="80" w:firstLine="428"/>
        <w:spacing w:after="0" w:line="286" w:lineRule="auto"/>
        <w:tabs>
          <w:tab w:leader="none" w:pos="67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(i) Any Lender may, without the consent of the Borrower, sell participations to one or more banks or other entities (a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in all or a portion of such Lender’s rights and obligations under this Agreement;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(C) such Borrower, the Agents and the other Lenders shall continue to deal solely and directly with such Lender in connection with such Lender’s rights and obligations under this Agreement, and (D) each Participant shall have agreed to be bound by this </w:t>
      </w:r>
      <w:r>
        <w:rPr>
          <w:rFonts w:ascii="Arial" w:cs="Arial" w:eastAsia="Arial" w:hAnsi="Arial"/>
          <w:sz w:val="16"/>
          <w:szCs w:val="16"/>
          <w:u w:val="single" w:color="auto"/>
          <w:color w:val="auto"/>
        </w:rPr>
        <w:t>Section 15.06(c)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15.09(b), 15.15 and 15.19</w:t>
      </w:r>
      <w:r>
        <w:rPr>
          <w:rFonts w:ascii="Arial" w:cs="Arial" w:eastAsia="Arial" w:hAnsi="Arial"/>
          <w:sz w:val="16"/>
          <w:szCs w:val="16"/>
          <w:color w:val="auto"/>
        </w:rPr>
        <w:t xml:space="preserve">.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such agreement may provide that such Lender will not, without the consent of the Participant, agree to any Fundamental Amendment. </w:t>
      </w:r>
      <w:r>
        <w:rPr>
          <w:rFonts w:ascii="Arial" w:cs="Arial" w:eastAsia="Arial" w:hAnsi="Arial"/>
          <w:sz w:val="16"/>
          <w:szCs w:val="16"/>
          <w:u w:val="single" w:color="auto"/>
          <w:color w:val="auto"/>
        </w:rPr>
        <w:t>Sections 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15.03</w:t>
      </w:r>
      <w:r>
        <w:rPr>
          <w:rFonts w:ascii="Arial" w:cs="Arial" w:eastAsia="Arial" w:hAnsi="Arial"/>
          <w:sz w:val="16"/>
          <w:szCs w:val="16"/>
          <w:color w:val="auto"/>
        </w:rPr>
        <w:t xml:space="preserve"> shall apply to each Participant as if it were a Lender and had acquired its interest by assignment pursuant to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no Participant shall be entitled to any amount under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15.03</w:t>
      </w:r>
      <w:r>
        <w:rPr>
          <w:rFonts w:ascii="Arial" w:cs="Arial" w:eastAsia="Arial" w:hAnsi="Arial"/>
          <w:sz w:val="16"/>
          <w:szCs w:val="16"/>
          <w:color w:val="auto"/>
        </w:rPr>
        <w:t xml:space="preserve"> which is greater than the amount the related Lender would have been entitled to under any such Sections or provisions if the applicable participation had not occurred.</w:t>
      </w:r>
    </w:p>
    <w:p>
      <w:pPr>
        <w:spacing w:after="0" w:line="45" w:lineRule="exact"/>
        <w:rPr>
          <w:sz w:val="20"/>
          <w:szCs w:val="20"/>
          <w:color w:val="auto"/>
        </w:rPr>
      </w:pPr>
    </w:p>
    <w:p>
      <w:pPr>
        <w:ind w:firstLine="428"/>
        <w:spacing w:after="0" w:line="291" w:lineRule="auto"/>
        <w:tabs>
          <w:tab w:leader="none" w:pos="69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Arial" w:cs="Arial" w:eastAsia="Arial" w:hAnsi="Arial"/>
          <w:sz w:val="16"/>
          <w:szCs w:val="16"/>
          <w:i w:val="1"/>
          <w:iCs w:val="1"/>
          <w:color w:val="auto"/>
        </w:rPr>
        <w:t>“Participant Register”</w:t>
      </w:r>
      <w:r>
        <w:rPr>
          <w:rFonts w:ascii="Arial" w:cs="Arial" w:eastAsia="Arial" w:hAnsi="Arial"/>
          <w:sz w:val="16"/>
          <w:szCs w:val="16"/>
          <w:color w:val="auto"/>
        </w:rPr>
        <w:t>). An Advance may be participated in whole or in part only by registration of such participation on the Participant Register. Any participation of such Advance may be effected only by the registration of such participation on the Participant Register. The Participant Register shall be available for inspection by the Borrower at any reasonable time and from time to time upon reasonable prior notice.</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760"/>
          </w:cols>
          <w:pgMar w:left="780" w:top="280" w:right="359" w:bottom="1440" w:gutter="0" w:footer="0" w:header="0"/>
        </w:sectPr>
      </w:pPr>
    </w:p>
    <w:bookmarkStart w:id="184" w:name="page185"/>
    <w:bookmarkEnd w:id="184"/>
    <w:p>
      <w:pPr>
        <w:ind w:left="460" w:right="100" w:firstLine="428"/>
        <w:spacing w:after="0" w:line="288" w:lineRule="auto"/>
        <w:tabs>
          <w:tab w:leader="none" w:pos="11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Collateral Agent, on behalf of and acting solely for this purpose as the nonfiduciary agent of the Borrower, shall maintain at its address specified in </w:t>
      </w:r>
      <w:r>
        <w:rPr>
          <w:rFonts w:ascii="Arial" w:cs="Arial" w:eastAsia="Arial" w:hAnsi="Arial"/>
          <w:sz w:val="16"/>
          <w:szCs w:val="16"/>
          <w:u w:val="single" w:color="auto"/>
          <w:color w:val="auto"/>
        </w:rPr>
        <w:t>Section 15.02</w:t>
      </w:r>
      <w:r>
        <w:rPr>
          <w:rFonts w:ascii="Arial" w:cs="Arial" w:eastAsia="Arial" w:hAnsi="Arial"/>
          <w:sz w:val="16"/>
          <w:szCs w:val="16"/>
          <w:color w:val="auto"/>
        </w:rPr>
        <w:t xml:space="preserve"> or such other address as the Collateral Agent shall designate in writing to the Lenders, a copy of this Agreement and each signature page hereto and each Assignment and Acceptance delivered to and accepted by it and a register (the </w:t>
      </w:r>
      <w:r>
        <w:rPr>
          <w:rFonts w:ascii="Arial" w:cs="Arial" w:eastAsia="Arial" w:hAnsi="Arial"/>
          <w:sz w:val="16"/>
          <w:szCs w:val="16"/>
          <w:i w:val="1"/>
          <w:iCs w:val="1"/>
          <w:color w:val="auto"/>
        </w:rPr>
        <w:t>“Register”</w:t>
      </w:r>
      <w:r>
        <w:rPr>
          <w:rFonts w:ascii="Arial" w:cs="Arial" w:eastAsia="Arial" w:hAnsi="Arial"/>
          <w:sz w:val="16"/>
          <w:szCs w:val="16"/>
          <w:color w:val="auto"/>
        </w:rPr>
        <w:t xml:space="preserve">) for the recordation of the names and addresses of the Lenders and the aggregate outstanding principal amount of the outstanding Advances maintained by each Lender under this Agreement (and any stated interest thereon). The entries in the Register shall be conclusive and binding for all purposes, absent manifest error, and the Borrower, the Agents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 An Advance may be assigned or sold in whole or in part only by registration of such assignment or sale on the Register and in accordance with this </w:t>
      </w:r>
      <w:r>
        <w:rPr>
          <w:rFonts w:ascii="Arial" w:cs="Arial" w:eastAsia="Arial" w:hAnsi="Arial"/>
          <w:sz w:val="16"/>
          <w:szCs w:val="16"/>
          <w:u w:val="single" w:color="auto"/>
          <w:color w:val="auto"/>
        </w:rPr>
        <w:t>Section 15.06</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460" w:firstLine="428"/>
        <w:spacing w:after="0" w:line="291" w:lineRule="auto"/>
        <w:tabs>
          <w:tab w:leader="none" w:pos="113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or in any other Facility Document, each Lender hereunder, and each Participant, must at all times be a “qualified purchaser” as defined in the Investment Company Act (a “</w:t>
      </w:r>
      <w:r>
        <w:rPr>
          <w:rFonts w:ascii="Arial" w:cs="Arial" w:eastAsia="Arial" w:hAnsi="Arial"/>
          <w:sz w:val="16"/>
          <w:szCs w:val="16"/>
          <w:i w:val="1"/>
          <w:iCs w:val="1"/>
          <w:color w:val="auto"/>
        </w:rPr>
        <w:t>Qualified Purchaser</w:t>
      </w:r>
      <w:r>
        <w:rPr>
          <w:rFonts w:ascii="Arial" w:cs="Arial" w:eastAsia="Arial" w:hAnsi="Arial"/>
          <w:sz w:val="16"/>
          <w:szCs w:val="16"/>
          <w:color w:val="auto"/>
        </w:rPr>
        <w:t>”) and a “qualified institutional buyer” as defined in Rule 144A under the Securities Act (a “</w:t>
      </w:r>
      <w:r>
        <w:rPr>
          <w:rFonts w:ascii="Arial" w:cs="Arial" w:eastAsia="Arial" w:hAnsi="Arial"/>
          <w:sz w:val="16"/>
          <w:szCs w:val="16"/>
          <w:i w:val="1"/>
          <w:iCs w:val="1"/>
          <w:color w:val="auto"/>
        </w:rPr>
        <w:t>QIB</w:t>
      </w:r>
      <w:r>
        <w:rPr>
          <w:rFonts w:ascii="Arial" w:cs="Arial" w:eastAsia="Arial" w:hAnsi="Arial"/>
          <w:sz w:val="16"/>
          <w:szCs w:val="16"/>
          <w:color w:val="auto"/>
        </w:rPr>
        <w:t>”). Each Lender represents to the Borrower, (i) on the date that it becomes a party to this Agreement (whether by being a signatory hereto or by entering into an Assignment and Acceptance) and (ii) on each date on which it makes an Advance hereunder, that it is a Qualified Purchaser and a QIB. Each Lender further agrees that it shall not assign, or grant any participations in, any of its Advances or its Commitment to any Person unless such Person is a Qualified Purchaser and a QIB.</w:t>
      </w:r>
    </w:p>
    <w:p>
      <w:pPr>
        <w:spacing w:after="0" w:line="120" w:lineRule="exact"/>
        <w:rPr>
          <w:sz w:val="20"/>
          <w:szCs w:val="20"/>
          <w:color w:val="auto"/>
        </w:rPr>
      </w:pPr>
    </w:p>
    <w:p>
      <w:pPr>
        <w:ind w:right="300" w:firstLine="449"/>
        <w:spacing w:after="0" w:line="268" w:lineRule="auto"/>
        <w:rPr>
          <w:sz w:val="20"/>
          <w:szCs w:val="20"/>
          <w:color w:val="auto"/>
        </w:rPr>
      </w:pPr>
      <w:r>
        <w:rPr>
          <w:rFonts w:ascii="Arial" w:cs="Arial" w:eastAsia="Arial" w:hAnsi="Arial"/>
          <w:sz w:val="18"/>
          <w:szCs w:val="18"/>
          <w:i w:val="1"/>
          <w:iCs w:val="1"/>
          <w:color w:val="auto"/>
        </w:rPr>
        <w:t>Section 15.07. Governing Law</w:t>
      </w:r>
      <w:r>
        <w:rPr>
          <w:rFonts w:ascii="Arial" w:cs="Arial" w:eastAsia="Arial" w:hAnsi="Arial"/>
          <w:sz w:val="18"/>
          <w:szCs w:val="18"/>
          <w:color w:val="auto"/>
        </w:rPr>
        <w:t>. THIS AGREEMENT AND THE RIGHTS AND OBLIGATIONS OF THE PARTIES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GOVERNED BY AND CONSTRUED IN ACCORDANCE WITH THE LAW OF THE STATE OF NEW YORK.</w:t>
      </w:r>
    </w:p>
    <w:p>
      <w:pPr>
        <w:spacing w:after="0" w:line="132"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i w:val="1"/>
          <w:iCs w:val="1"/>
          <w:color w:val="auto"/>
        </w:rPr>
        <w:t>Section 15.08. Severability of Provisions</w:t>
      </w:r>
      <w:r>
        <w:rPr>
          <w:rFonts w:ascii="Arial" w:cs="Arial" w:eastAsia="Arial" w:hAnsi="Arial"/>
          <w:sz w:val="18"/>
          <w:szCs w:val="18"/>
          <w:color w:val="auto"/>
        </w:rPr>
        <w:t>. Any provision of this Agreement which is prohibited or unenforceable in any jurisdiction shall, as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be ineffective to the extent of such prohibition or unenforceability without invalidating the remaining provisions hereof or affecting the validity or enforceability of such provision in any other jurisdiction.</w:t>
      </w:r>
    </w:p>
    <w:p>
      <w:pPr>
        <w:spacing w:after="0" w:line="14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i w:val="1"/>
          <w:iCs w:val="1"/>
          <w:color w:val="auto"/>
        </w:rPr>
        <w:t>Section 15.09. Confidentiality</w:t>
      </w:r>
      <w:r>
        <w:rPr>
          <w:rFonts w:ascii="Arial" w:cs="Arial" w:eastAsia="Arial" w:hAnsi="Arial"/>
          <w:sz w:val="16"/>
          <w:szCs w:val="16"/>
          <w:color w:val="auto"/>
        </w:rPr>
        <w:t>. (a) Each Secured Party agrees to keep confidential all non-public information provided to it by the Borrower 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Manager with respect to the Borrower, its Affiliates, the Collateral or any other information furnished to any Secured Party pursuant to this Agreement or any other Facility Document (collectively, the </w:t>
      </w:r>
      <w:r>
        <w:rPr>
          <w:rFonts w:ascii="Arial" w:cs="Arial" w:eastAsia="Arial" w:hAnsi="Arial"/>
          <w:sz w:val="16"/>
          <w:szCs w:val="16"/>
          <w:i w:val="1"/>
          <w:iCs w:val="1"/>
          <w:color w:val="auto"/>
        </w:rPr>
        <w:t>“Borrower Information”</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nothing herein shall prevent any Secured Party from disclosing any Borrower Information (a) in connection with this Agreement and the other Facility Documents and not for any other purpose, (x) to any Secured Party or any Affiliate of a Secured Party, or (y) any of their respective Affiliates, employees, directors, agents, attorneys, accountants and other professional advisors (collectively, the </w:t>
      </w:r>
      <w:r>
        <w:rPr>
          <w:rFonts w:ascii="Arial" w:cs="Arial" w:eastAsia="Arial" w:hAnsi="Arial"/>
          <w:sz w:val="16"/>
          <w:szCs w:val="16"/>
          <w:i w:val="1"/>
          <w:iCs w:val="1"/>
          <w:color w:val="auto"/>
        </w:rPr>
        <w:t>“Secured Party Representatives”</w:t>
      </w:r>
      <w:r>
        <w:rPr>
          <w:rFonts w:ascii="Arial" w:cs="Arial" w:eastAsia="Arial" w:hAnsi="Arial"/>
          <w:sz w:val="16"/>
          <w:szCs w:val="16"/>
          <w:color w:val="auto"/>
        </w:rPr>
        <w:t>), it being understood that the Persons to whom such disclosure is made will be informed of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320" w:top="280" w:right="379" w:bottom="1440" w:gutter="0" w:footer="0" w:header="0"/>
        </w:sectPr>
      </w:pPr>
    </w:p>
    <w:bookmarkStart w:id="185" w:name="page186"/>
    <w:bookmarkEnd w:id="18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nature of such Borrower Information, (b) subject to an agreement to comply with the provisions of this Section and to use the Borrower Information only in connection with this Agreement and the other Facility Documents and not for any other purpose, to any actual or bone fide prospective permitted assignees and Participants in any of the Secured Parties’ interests under or in connection with this Agreement, (c) to any Governmental Authority with jurisdiction over any Secured Party or any of its Affiliates or any Secured Party Representative, (d) in response to any order of any court or other Governmental Authority or as may otherwise be required to be disclosed pursuant to any Applicable Law, (e) that is a matter of general public knowledge or that has heretofore been made available to the public by any Person other than any Secured Party or any Secured Party Representative, or (f) in connection with the exercise of any remedy hereunder or under any other Facility Document.</w:t>
      </w:r>
    </w:p>
    <w:p>
      <w:pPr>
        <w:spacing w:after="0" w:line="37" w:lineRule="exact"/>
        <w:rPr>
          <w:sz w:val="20"/>
          <w:szCs w:val="20"/>
          <w:color w:val="auto"/>
        </w:rPr>
      </w:pPr>
    </w:p>
    <w:p>
      <w:pPr>
        <w:ind w:left="460" w:right="40" w:firstLine="428"/>
        <w:spacing w:after="0" w:line="287" w:lineRule="auto"/>
        <w:tabs>
          <w:tab w:leader="none" w:pos="11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in any of the other Transaction Documents, each of the parties hereto acknowledges and agrees that the Administrative Agent or any Lender may post to a secured password-protected internet website maintained by the Administrative Agent or such Lender and required by any Rating Agency rating the commercial paper notes of any CP Conduit in connection with Rule 17g-5 (as defined below) such information as any such Rating Agency may request in connection with the confirming its rating of such commercial paper notes or that the Administrative Agent or such Lender may otherwise determine is necessary or appropriate to post to such website in furtherance of the requirements of Rule 17g-5. “Rule 17g-5” shall mean Rule 17g-5 under the Securities Exchange Act of 1934 as such may be amended from time to time, and subject to such clarification and interpretation as has been provided by the Securities and Exchange Commission in the adopting release (Amendments to Rules for Nationally Recognized Statistical Rating Organizations, Exchange Act Release No. 34-61050, 74 Fed. Reg. 63,832, 63,865 (Dec. 4, 2009)) and subject to such clarification and interpretation as may be provided by the Securities and Exchange Commission or its staff from time to time.</w:t>
      </w:r>
    </w:p>
    <w:p>
      <w:pPr>
        <w:spacing w:after="0" w:line="12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Section 15.10. Merger</w:t>
      </w:r>
      <w:r>
        <w:rPr>
          <w:rFonts w:ascii="Arial" w:cs="Arial" w:eastAsia="Arial" w:hAnsi="Arial"/>
          <w:sz w:val="18"/>
          <w:szCs w:val="18"/>
          <w:color w:val="auto"/>
        </w:rPr>
        <w:t>. This Agreement and the other Facility Documents executed by the Administrative Agent or the Lenders taken as a whole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 the entire agreement between the parties thereto concerning the subject matter thereof and such Facility Documents supersede any prior agreements among the parties relating to the subject matter thereof.</w:t>
      </w:r>
    </w:p>
    <w:p>
      <w:pPr>
        <w:spacing w:after="0" w:line="140"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i w:val="1"/>
          <w:iCs w:val="1"/>
          <w:color w:val="auto"/>
        </w:rPr>
        <w:t>Section 15.11. Survival</w:t>
      </w:r>
      <w:r>
        <w:rPr>
          <w:rFonts w:ascii="Arial" w:cs="Arial" w:eastAsia="Arial" w:hAnsi="Arial"/>
          <w:sz w:val="16"/>
          <w:szCs w:val="16"/>
          <w:color w:val="auto"/>
        </w:rPr>
        <w:t>. All representations and warranties made hereunder, in the other Facility Documents and in any certificate delivered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hereto or thereto or in connection herewith or therewith shall survive the execution and delivery of this Agreement and the making of the Advances hereunder. The agreements in </w:t>
      </w:r>
      <w:r>
        <w:rPr>
          <w:rFonts w:ascii="Arial" w:cs="Arial" w:eastAsia="Arial" w:hAnsi="Arial"/>
          <w:sz w:val="16"/>
          <w:szCs w:val="16"/>
          <w:u w:val="single" w:color="auto"/>
          <w:color w:val="auto"/>
        </w:rPr>
        <w:t>Sections 2.04(f)</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w:t>
      </w:r>
      <w:r>
        <w:rPr>
          <w:rFonts w:ascii="Arial" w:cs="Arial" w:eastAsia="Arial" w:hAnsi="Arial"/>
          <w:sz w:val="16"/>
          <w:szCs w:val="16"/>
          <w:color w:val="auto"/>
        </w:rPr>
        <w:t xml:space="preserve">, the penultimate paragraph of </w:t>
      </w:r>
      <w:r>
        <w:rPr>
          <w:rFonts w:ascii="Arial" w:cs="Arial" w:eastAsia="Arial" w:hAnsi="Arial"/>
          <w:sz w:val="16"/>
          <w:szCs w:val="16"/>
          <w:u w:val="single" w:color="auto"/>
          <w:color w:val="auto"/>
        </w:rPr>
        <w:t>7.03, 7.07(b), 15.03, 15.04, 15.09, 15.16, 15.18 and 15.19</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15.11</w:t>
      </w:r>
      <w:r>
        <w:rPr>
          <w:rFonts w:ascii="Arial" w:cs="Arial" w:eastAsia="Arial" w:hAnsi="Arial"/>
          <w:sz w:val="16"/>
          <w:szCs w:val="16"/>
          <w:color w:val="auto"/>
        </w:rPr>
        <w:t xml:space="preserve"> shall survive the termination of this Agreement in whole or in part and the payment in full of the principal of and interest on the Advances.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280" w:right="359" w:bottom="1440" w:gutter="0" w:footer="0" w:header="0"/>
        </w:sectPr>
      </w:pPr>
    </w:p>
    <w:bookmarkStart w:id="186" w:name="page187"/>
    <w:bookmarkEnd w:id="18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15.12. Submission to Jurisdiction; Waivers; Etc. </w:t>
      </w:r>
      <w:r>
        <w:rPr>
          <w:rFonts w:ascii="Arial" w:cs="Arial" w:eastAsia="Arial" w:hAnsi="Arial"/>
          <w:sz w:val="18"/>
          <w:szCs w:val="18"/>
          <w:color w:val="auto"/>
        </w:rPr>
        <w:t>Each party hereto hereby irrevocably and unconditionally:</w:t>
      </w:r>
    </w:p>
    <w:p>
      <w:pPr>
        <w:spacing w:after="0" w:line="90" w:lineRule="exact"/>
        <w:rPr>
          <w:sz w:val="20"/>
          <w:szCs w:val="20"/>
          <w:color w:val="auto"/>
        </w:rPr>
      </w:pPr>
    </w:p>
    <w:p>
      <w:pPr>
        <w:ind w:left="460" w:right="80" w:firstLine="428"/>
        <w:spacing w:after="0" w:line="306" w:lineRule="auto"/>
        <w:tabs>
          <w:tab w:leader="none" w:pos="113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or the other Facility Documents to which it is a party, or for recognition and enforcement of any judgment in respect thereof, to the exclusive general jurisdiction of the courts of the State of New York, the courts of the United States of America for the Southern District of New York, and the appellate courts of any of them;</w:t>
      </w:r>
    </w:p>
    <w:p>
      <w:pPr>
        <w:spacing w:after="0" w:line="25" w:lineRule="exact"/>
        <w:rPr>
          <w:rFonts w:ascii="Arial" w:cs="Arial" w:eastAsia="Arial" w:hAnsi="Arial"/>
          <w:sz w:val="16"/>
          <w:szCs w:val="16"/>
          <w:color w:val="auto"/>
        </w:rPr>
      </w:pPr>
    </w:p>
    <w:p>
      <w:pPr>
        <w:ind w:left="1140" w:hanging="252"/>
        <w:spacing w:after="0"/>
        <w:tabs>
          <w:tab w:leader="none" w:pos="11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consents that any such action or proceeding may be brought in any court described in </w:t>
      </w:r>
      <w:r>
        <w:rPr>
          <w:rFonts w:ascii="Arial" w:cs="Arial" w:eastAsia="Arial" w:hAnsi="Arial"/>
          <w:sz w:val="16"/>
          <w:szCs w:val="16"/>
          <w:u w:val="single" w:color="auto"/>
          <w:color w:val="auto"/>
        </w:rPr>
        <w:t>Section 15.12(a)</w:t>
      </w:r>
      <w:r>
        <w:rPr>
          <w:rFonts w:ascii="Arial" w:cs="Arial" w:eastAsia="Arial" w:hAnsi="Arial"/>
          <w:sz w:val="16"/>
          <w:szCs w:val="16"/>
          <w:color w:val="auto"/>
        </w:rPr>
        <w:t xml:space="preserve"> and waives to the fullest extent</w:t>
      </w:r>
    </w:p>
    <w:p>
      <w:pPr>
        <w:spacing w:after="0" w:line="38" w:lineRule="exact"/>
        <w:rPr>
          <w:rFonts w:ascii="Arial" w:cs="Arial" w:eastAsia="Arial" w:hAnsi="Arial"/>
          <w:sz w:val="16"/>
          <w:szCs w:val="16"/>
          <w:color w:val="auto"/>
        </w:rPr>
      </w:pPr>
    </w:p>
    <w:p>
      <w:pPr>
        <w:ind w:left="460"/>
        <w:spacing w:after="0" w:line="260" w:lineRule="auto"/>
        <w:rPr>
          <w:rFonts w:ascii="Arial" w:cs="Arial" w:eastAsia="Arial" w:hAnsi="Arial"/>
          <w:sz w:val="16"/>
          <w:szCs w:val="16"/>
          <w:color w:val="auto"/>
        </w:rPr>
      </w:pPr>
      <w:r>
        <w:rPr>
          <w:rFonts w:ascii="Arial" w:cs="Arial" w:eastAsia="Arial" w:hAnsi="Arial"/>
          <w:sz w:val="18"/>
          <w:szCs w:val="18"/>
          <w:color w:val="auto"/>
        </w:rPr>
        <w:t>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58" w:lineRule="exact"/>
        <w:rPr>
          <w:rFonts w:ascii="Arial" w:cs="Arial" w:eastAsia="Arial" w:hAnsi="Arial"/>
          <w:sz w:val="16"/>
          <w:szCs w:val="16"/>
          <w:color w:val="auto"/>
        </w:rPr>
      </w:pPr>
    </w:p>
    <w:p>
      <w:pPr>
        <w:ind w:left="460" w:right="40" w:firstLine="428"/>
        <w:spacing w:after="0" w:line="259" w:lineRule="auto"/>
        <w:tabs>
          <w:tab w:leader="none" w:pos="113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Arial" w:cs="Arial" w:eastAsia="Arial" w:hAnsi="Arial"/>
          <w:sz w:val="18"/>
          <w:szCs w:val="18"/>
          <w:u w:val="single" w:color="auto"/>
          <w:color w:val="auto"/>
        </w:rPr>
        <w:t>Section 15.02</w:t>
      </w:r>
      <w:r>
        <w:rPr>
          <w:rFonts w:ascii="Arial" w:cs="Arial" w:eastAsia="Arial" w:hAnsi="Arial"/>
          <w:sz w:val="18"/>
          <w:szCs w:val="18"/>
          <w:color w:val="auto"/>
        </w:rPr>
        <w:t xml:space="preserve"> or at such other address as may be permitted thereunder;</w:t>
      </w:r>
    </w:p>
    <w:p>
      <w:pPr>
        <w:spacing w:after="0" w:line="58" w:lineRule="exact"/>
        <w:rPr>
          <w:rFonts w:ascii="Arial" w:cs="Arial" w:eastAsia="Arial" w:hAnsi="Arial"/>
          <w:sz w:val="18"/>
          <w:szCs w:val="18"/>
          <w:color w:val="auto"/>
        </w:rPr>
      </w:pPr>
    </w:p>
    <w:p>
      <w:pPr>
        <w:ind w:left="1140" w:hanging="252"/>
        <w:spacing w:after="0"/>
        <w:tabs>
          <w:tab w:leader="none" w:pos="11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90" w:lineRule="exact"/>
        <w:rPr>
          <w:rFonts w:ascii="Arial" w:cs="Arial" w:eastAsia="Arial" w:hAnsi="Arial"/>
          <w:sz w:val="18"/>
          <w:szCs w:val="18"/>
          <w:color w:val="auto"/>
        </w:rPr>
      </w:pPr>
    </w:p>
    <w:p>
      <w:pPr>
        <w:ind w:left="460" w:right="240" w:firstLine="428"/>
        <w:spacing w:after="0" w:line="331" w:lineRule="auto"/>
        <w:tabs>
          <w:tab w:leader="none" w:pos="113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waives, to the maximum extent not prohibited by law, any right it may have to claim or recover in any legal action or proceeding against any Secured Party arising out of or relating to this Agreement or any other Facility Document any special, exemplary, punitive or consequential damages.</w:t>
      </w:r>
    </w:p>
    <w:p>
      <w:pPr>
        <w:spacing w:after="0" w:line="87" w:lineRule="exact"/>
        <w:rPr>
          <w:sz w:val="20"/>
          <w:szCs w:val="20"/>
          <w:color w:val="auto"/>
        </w:rPr>
      </w:pPr>
    </w:p>
    <w:p>
      <w:pPr>
        <w:ind w:right="40" w:firstLine="449"/>
        <w:spacing w:after="0" w:line="266" w:lineRule="auto"/>
        <w:rPr>
          <w:sz w:val="20"/>
          <w:szCs w:val="20"/>
          <w:color w:val="auto"/>
        </w:rPr>
      </w:pPr>
      <w:r>
        <w:rPr>
          <w:rFonts w:ascii="Arial" w:cs="Arial" w:eastAsia="Arial" w:hAnsi="Arial"/>
          <w:sz w:val="18"/>
          <w:szCs w:val="18"/>
          <w:i w:val="1"/>
          <w:iCs w:val="1"/>
          <w:color w:val="auto"/>
        </w:rPr>
        <w:t>Section 15.13. Waiver of Jury Trial</w:t>
      </w:r>
      <w:r>
        <w:rPr>
          <w:rFonts w:ascii="Arial" w:cs="Arial" w:eastAsia="Arial" w:hAnsi="Arial"/>
          <w:sz w:val="18"/>
          <w:szCs w:val="18"/>
          <w:color w:val="auto"/>
        </w:rPr>
        <w:t>. E</w:t>
      </w:r>
      <w:r>
        <w:rPr>
          <w:rFonts w:ascii="Arial" w:cs="Arial" w:eastAsia="Arial" w:hAnsi="Arial"/>
          <w:sz w:val="14"/>
          <w:szCs w:val="14"/>
          <w:color w:val="auto"/>
        </w:rPr>
        <w:t>ACH OF THE PARTIES HERETO HEREBY IRREVOCABLY AND UNCONDITIONALLY WAIVES TRIAL BY JURY IN ANY</w:t>
      </w:r>
      <w:r>
        <w:rPr>
          <w:rFonts w:ascii="Arial" w:cs="Arial" w:eastAsia="Arial" w:hAnsi="Arial"/>
          <w:sz w:val="18"/>
          <w:szCs w:val="18"/>
          <w:i w:val="1"/>
          <w:iCs w:val="1"/>
          <w:color w:val="auto"/>
        </w:rPr>
        <w:t xml:space="preserve"> </w:t>
      </w:r>
      <w:r>
        <w:rPr>
          <w:rFonts w:ascii="Arial" w:cs="Arial" w:eastAsia="Arial" w:hAnsi="Arial"/>
          <w:sz w:val="14"/>
          <w:szCs w:val="14"/>
          <w:color w:val="auto"/>
        </w:rPr>
        <w:t xml:space="preserve">LEGAL ACTION OR PROCEEDING RELATING TO THIS </w:t>
      </w:r>
      <w:r>
        <w:rPr>
          <w:rFonts w:ascii="Arial" w:cs="Arial" w:eastAsia="Arial" w:hAnsi="Arial"/>
          <w:sz w:val="17"/>
          <w:szCs w:val="17"/>
          <w:color w:val="auto"/>
        </w:rPr>
        <w:t>A</w:t>
      </w:r>
      <w:r>
        <w:rPr>
          <w:rFonts w:ascii="Arial" w:cs="Arial" w:eastAsia="Arial" w:hAnsi="Arial"/>
          <w:sz w:val="14"/>
          <w:szCs w:val="14"/>
          <w:color w:val="auto"/>
        </w:rPr>
        <w:t xml:space="preserve">GREEMENT OR ANY OTHER </w:t>
      </w:r>
      <w:r>
        <w:rPr>
          <w:rFonts w:ascii="Arial" w:cs="Arial" w:eastAsia="Arial" w:hAnsi="Arial"/>
          <w:sz w:val="17"/>
          <w:szCs w:val="17"/>
          <w:color w:val="auto"/>
        </w:rPr>
        <w:t>F</w:t>
      </w:r>
      <w:r>
        <w:rPr>
          <w:rFonts w:ascii="Arial" w:cs="Arial" w:eastAsia="Arial" w:hAnsi="Arial"/>
          <w:sz w:val="14"/>
          <w:szCs w:val="14"/>
          <w:color w:val="auto"/>
        </w:rPr>
        <w:t xml:space="preserve">ACILITY </w:t>
      </w:r>
      <w:r>
        <w:rPr>
          <w:rFonts w:ascii="Arial" w:cs="Arial" w:eastAsia="Arial" w:hAnsi="Arial"/>
          <w:sz w:val="17"/>
          <w:szCs w:val="17"/>
          <w:color w:val="auto"/>
        </w:rPr>
        <w:t>D</w:t>
      </w:r>
      <w:r>
        <w:rPr>
          <w:rFonts w:ascii="Arial" w:cs="Arial" w:eastAsia="Arial" w:hAnsi="Arial"/>
          <w:sz w:val="14"/>
          <w:szCs w:val="14"/>
          <w:color w:val="auto"/>
        </w:rPr>
        <w:t>OCUMENT OR FOR ANY COUNTERCLAIM THEREIN OR RELATING THERETO</w:t>
      </w:r>
      <w:r>
        <w:rPr>
          <w:rFonts w:ascii="Arial" w:cs="Arial" w:eastAsia="Arial" w:hAnsi="Arial"/>
          <w:sz w:val="17"/>
          <w:szCs w:val="17"/>
          <w:color w:val="auto"/>
        </w:rPr>
        <w:t>.</w:t>
      </w:r>
    </w:p>
    <w:p>
      <w:pPr>
        <w:spacing w:after="0" w:line="135"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i w:val="1"/>
          <w:iCs w:val="1"/>
          <w:color w:val="auto"/>
        </w:rPr>
        <w:t>Section 15.14. Service of Process</w:t>
      </w:r>
      <w:r>
        <w:rPr>
          <w:rFonts w:ascii="Arial" w:cs="Arial" w:eastAsia="Arial" w:hAnsi="Arial"/>
          <w:sz w:val="18"/>
          <w:szCs w:val="18"/>
          <w:color w:val="auto"/>
        </w:rPr>
        <w:t>. If the Borrower fails at any time to maintain a business office within the State of New York, it shall immediately (but</w:t>
      </w:r>
      <w:r>
        <w:rPr>
          <w:rFonts w:ascii="Arial" w:cs="Arial" w:eastAsia="Arial" w:hAnsi="Arial"/>
          <w:sz w:val="18"/>
          <w:szCs w:val="18"/>
          <w:i w:val="1"/>
          <w:iCs w:val="1"/>
          <w:color w:val="auto"/>
        </w:rPr>
        <w:t xml:space="preserve"> </w:t>
      </w:r>
      <w:r>
        <w:rPr>
          <w:rFonts w:ascii="Arial" w:cs="Arial" w:eastAsia="Arial" w:hAnsi="Arial"/>
          <w:sz w:val="18"/>
          <w:szCs w:val="18"/>
          <w:color w:val="auto"/>
        </w:rPr>
        <w:t>no later than five (5) Business Days following such occurrence) (i) notify the Administrative Agent and (ii) appoint a process agent in accordance with the procedure set forth below.</w:t>
      </w:r>
    </w:p>
    <w:p>
      <w:pPr>
        <w:spacing w:after="0" w:line="59" w:lineRule="exact"/>
        <w:rPr>
          <w:sz w:val="20"/>
          <w:szCs w:val="20"/>
          <w:color w:val="auto"/>
        </w:rPr>
      </w:pPr>
    </w:p>
    <w:p>
      <w:pPr>
        <w:ind w:left="460" w:right="200" w:firstLine="431"/>
        <w:spacing w:after="0" w:line="288" w:lineRule="auto"/>
        <w:rPr>
          <w:sz w:val="20"/>
          <w:szCs w:val="20"/>
          <w:color w:val="auto"/>
        </w:rPr>
      </w:pPr>
      <w:r>
        <w:rPr>
          <w:rFonts w:ascii="Arial" w:cs="Arial" w:eastAsia="Arial" w:hAnsi="Arial"/>
          <w:sz w:val="16"/>
          <w:szCs w:val="16"/>
          <w:color w:val="auto"/>
        </w:rPr>
        <w:t xml:space="preserve">The Borrower shall irrevocably designate, appoint and empower an agent (the </w:t>
      </w:r>
      <w:r>
        <w:rPr>
          <w:rFonts w:ascii="Arial" w:cs="Arial" w:eastAsia="Arial" w:hAnsi="Arial"/>
          <w:sz w:val="16"/>
          <w:szCs w:val="16"/>
          <w:i w:val="1"/>
          <w:iCs w:val="1"/>
          <w:color w:val="auto"/>
        </w:rPr>
        <w:t>“Process Agent”</w:t>
      </w:r>
      <w:r>
        <w:rPr>
          <w:rFonts w:ascii="Arial" w:cs="Arial" w:eastAsia="Arial" w:hAnsi="Arial"/>
          <w:sz w:val="16"/>
          <w:szCs w:val="16"/>
          <w:color w:val="auto"/>
        </w:rPr>
        <w:t xml:space="preserve">), with an office in New York, New York, as its designee, appointee and agent to receive, accept and acknowledge for and on its behalf, and its properties, assets and revenues, service for any and all legal process, summons, notices and documents which may be served in any action, suit or proceeding brought in the courts listed in </w:t>
      </w:r>
      <w:r>
        <w:rPr>
          <w:rFonts w:ascii="Arial" w:cs="Arial" w:eastAsia="Arial" w:hAnsi="Arial"/>
          <w:sz w:val="16"/>
          <w:szCs w:val="16"/>
          <w:u w:val="single" w:color="auto"/>
          <w:color w:val="auto"/>
        </w:rPr>
        <w:t>Section 15.12</w:t>
      </w:r>
      <w:r>
        <w:rPr>
          <w:rFonts w:ascii="Arial" w:cs="Arial" w:eastAsia="Arial" w:hAnsi="Arial"/>
          <w:sz w:val="16"/>
          <w:szCs w:val="16"/>
          <w:color w:val="auto"/>
        </w:rPr>
        <w:t xml:space="preserve"> in connection with or arising out of this Agreement or any other Facility Document. If for any reason the Process Agent shall cease to act as such and the Borrower does not at such time have a business office within the State of New York, the Borrower agrees to promptly designate new designees, appointees and agents in New York, New York on the terms and for the purposes of this </w:t>
      </w:r>
      <w:r>
        <w:rPr>
          <w:rFonts w:ascii="Arial" w:cs="Arial" w:eastAsia="Arial" w:hAnsi="Arial"/>
          <w:sz w:val="16"/>
          <w:szCs w:val="16"/>
          <w:u w:val="single" w:color="auto"/>
          <w:color w:val="auto"/>
        </w:rPr>
        <w:t>Section 15.14</w:t>
      </w:r>
      <w:r>
        <w:rPr>
          <w:rFonts w:ascii="Arial" w:cs="Arial" w:eastAsia="Arial" w:hAnsi="Arial"/>
          <w:sz w:val="16"/>
          <w:szCs w:val="16"/>
          <w:color w:val="auto"/>
        </w:rPr>
        <w:t xml:space="preserve"> satisfactory to the Administrative Agent, which new designees, appointees and agents shall thereafter be deemed to be the Process Agent for all purposes of this Agreement and the other Facility Documents. The Borrower further hereby irrevocably consents and agrees to the service of any and all legal process, summons, notices and documents out of any of the aforesaid courts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280" w:right="339" w:bottom="1440" w:gutter="0" w:footer="0" w:header="0"/>
        </w:sectPr>
      </w:pPr>
    </w:p>
    <w:bookmarkStart w:id="187" w:name="page188"/>
    <w:bookmarkEnd w:id="187"/>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any such action, suit or proceeding by serving a copy thereof upon the Process Agent (whether or not the appointment of the Process Agent shall for any reason prove to be ineffective or the Process Agent shall accept or acknowledge such service) or by mailing copies thereof by regular or overnight mail, postage prepaid, to the Process Agent at its address specified above in this </w:t>
      </w:r>
      <w:r>
        <w:rPr>
          <w:rFonts w:ascii="Arial" w:cs="Arial" w:eastAsia="Arial" w:hAnsi="Arial"/>
          <w:sz w:val="16"/>
          <w:szCs w:val="16"/>
          <w:u w:val="single" w:color="auto"/>
          <w:color w:val="auto"/>
        </w:rPr>
        <w:t>Section 15.14</w:t>
      </w:r>
      <w:r>
        <w:rPr>
          <w:rFonts w:ascii="Arial" w:cs="Arial" w:eastAsia="Arial" w:hAnsi="Arial"/>
          <w:sz w:val="16"/>
          <w:szCs w:val="16"/>
          <w:color w:val="auto"/>
        </w:rPr>
        <w:t>. The Borrower agrees that the failure of the Process Agent to give any notice of such service to it shall not impair or affect in any way the validity of such service or any judgment rendered in any action or proceeding based thereon. Nothing herein shall in any way be deemed to limit the ability of any Secured Party to serve any such legal process, summons, notices and documents in any other manner permitted by Applicable Law or to obtain jurisdiction over the Borrower or bring actions, suits or proceedings against the Borrower in such other jurisdictions, and in a manner, as may be permitted by Applicable Law. The Borrower hereby irrevocably and unconditionally waives any objection which it may now or hereafter have to the laying of venue of any of the aforesaid actions, suits or proceedings arising out of or in connection with this Agreement or any other Facility Document brought in the court chosen by any Secured Party and hereby further irrevocably and unconditionally waives and agrees not to plead or claim in any such court that any such action, suit or proceeding brought in any such court has been brought in an inconvenient forum.</w:t>
      </w:r>
    </w:p>
    <w:p>
      <w:pPr>
        <w:spacing w:after="0" w:line="126"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i w:val="1"/>
          <w:iCs w:val="1"/>
          <w:color w:val="auto"/>
        </w:rPr>
        <w:t>Section 15.15. Waiver of Setoff</w:t>
      </w:r>
      <w:r>
        <w:rPr>
          <w:rFonts w:ascii="Arial" w:cs="Arial" w:eastAsia="Arial" w:hAnsi="Arial"/>
          <w:sz w:val="18"/>
          <w:szCs w:val="18"/>
          <w:color w:val="auto"/>
        </w:rPr>
        <w:t>. Each of the Borrowers and the Collateral Manager hereby waives any right of setoff it may have or to which it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under this Agreement from time to time against any Lender or its assets.</w:t>
      </w:r>
    </w:p>
    <w:p>
      <w:pPr>
        <w:spacing w:after="0" w:line="13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i w:val="1"/>
          <w:iCs w:val="1"/>
          <w:color w:val="auto"/>
        </w:rPr>
        <w:t>Section 15.16. PATRIOT Act Notice</w:t>
      </w:r>
      <w:r>
        <w:rPr>
          <w:rFonts w:ascii="Arial" w:cs="Arial" w:eastAsia="Arial" w:hAnsi="Arial"/>
          <w:sz w:val="18"/>
          <w:szCs w:val="18"/>
          <w:color w:val="auto"/>
        </w:rPr>
        <w:t>. Each Lender and each of the Administrative Agent, the Collateral Agent, the Custodian and the Backup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Manager hereby notifies the Borrower that pursuant to the requirements of the USA PATRIOT Act (Title III of Pub. L. 107-56 (signed into law on October 26, 2001)) (the </w:t>
      </w:r>
      <w:r>
        <w:rPr>
          <w:rFonts w:ascii="Arial" w:cs="Arial" w:eastAsia="Arial" w:hAnsi="Arial"/>
          <w:sz w:val="18"/>
          <w:szCs w:val="18"/>
          <w:i w:val="1"/>
          <w:iCs w:val="1"/>
          <w:color w:val="auto"/>
        </w:rPr>
        <w:t>“PATRIOT Act”</w:t>
      </w:r>
      <w:r>
        <w:rPr>
          <w:rFonts w:ascii="Arial" w:cs="Arial" w:eastAsia="Arial" w:hAnsi="Arial"/>
          <w:sz w:val="18"/>
          <w:szCs w:val="18"/>
          <w:color w:val="auto"/>
        </w:rPr>
        <w:t>),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in order to assist such Lender in maintaining compliance with the PATRIOT Act.</w:t>
      </w:r>
    </w:p>
    <w:p>
      <w:pPr>
        <w:spacing w:after="0" w:line="144"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i w:val="1"/>
          <w:iCs w:val="1"/>
          <w:color w:val="auto"/>
        </w:rPr>
        <w:t>Section 15.17. Legal Holidays</w:t>
      </w:r>
      <w:r>
        <w:rPr>
          <w:rFonts w:ascii="Arial" w:cs="Arial" w:eastAsia="Arial" w:hAnsi="Arial"/>
          <w:sz w:val="18"/>
          <w:szCs w:val="18"/>
          <w:color w:val="auto"/>
        </w:rPr>
        <w:t>. In the event that the date of any Payment Date, date of prepayment or Final Maturity Date shall not be a Business Day,</w:t>
      </w:r>
      <w:r>
        <w:rPr>
          <w:rFonts w:ascii="Arial" w:cs="Arial" w:eastAsia="Arial" w:hAnsi="Arial"/>
          <w:sz w:val="18"/>
          <w:szCs w:val="18"/>
          <w:i w:val="1"/>
          <w:iCs w:val="1"/>
          <w:color w:val="auto"/>
        </w:rPr>
        <w:t xml:space="preserve"> </w:t>
      </w:r>
      <w:r>
        <w:rPr>
          <w:rFonts w:ascii="Arial" w:cs="Arial" w:eastAsia="Arial" w:hAnsi="Arial"/>
          <w:sz w:val="18"/>
          <w:szCs w:val="18"/>
          <w:color w:val="auto"/>
        </w:rPr>
        <w:t>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w:t>
      </w:r>
    </w:p>
    <w:p>
      <w:pPr>
        <w:spacing w:after="0" w:line="147"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i w:val="1"/>
          <w:iCs w:val="1"/>
          <w:color w:val="auto"/>
        </w:rPr>
        <w:t>Section 15.18. Non-Petition</w:t>
      </w:r>
      <w:r>
        <w:rPr>
          <w:rFonts w:ascii="Arial" w:cs="Arial" w:eastAsia="Arial" w:hAnsi="Arial"/>
          <w:sz w:val="16"/>
          <w:szCs w:val="16"/>
          <w:color w:val="auto"/>
        </w:rPr>
        <w:t>. The Collateral Manager, the Collateral Agent, the Collateral Administrator, the Backup Collateral Manager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Custodian each hereby agrees not to institute against, or join, cooperate with or encourage any other Person in instituting against, the Borrower any bankruptcy, reorganization, receivership, arrangement, insolvency, moratorium or liquidation proceedings or other proceedings under federal or state bankruptcy or similar laws until at least one year and one day, or if longer the applicable preference period then in effect plus one day, after the payment in full of the Advances and the termination of all Commitments. The provisions of this </w:t>
      </w:r>
      <w:r>
        <w:rPr>
          <w:rFonts w:ascii="Arial" w:cs="Arial" w:eastAsia="Arial" w:hAnsi="Arial"/>
          <w:sz w:val="16"/>
          <w:szCs w:val="16"/>
          <w:u w:val="single" w:color="auto"/>
          <w:color w:val="auto"/>
        </w:rPr>
        <w:t>Section 15.18</w:t>
      </w:r>
      <w:r>
        <w:rPr>
          <w:rFonts w:ascii="Arial" w:cs="Arial" w:eastAsia="Arial" w:hAnsi="Arial"/>
          <w:sz w:val="16"/>
          <w:szCs w:val="16"/>
          <w:color w:val="auto"/>
        </w:rPr>
        <w:t xml:space="preserve"> shall survive the termination of this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280" w:right="359" w:bottom="1440" w:gutter="0" w:footer="0" w:header="0"/>
        </w:sectPr>
      </w:pPr>
    </w:p>
    <w:bookmarkStart w:id="188" w:name="page189"/>
    <w:bookmarkEnd w:id="188"/>
    <w:p>
      <w:pPr>
        <w:ind w:right="20" w:firstLine="449"/>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15.19. CP Conduit Provisions</w:t>
      </w:r>
      <w:r>
        <w:rPr>
          <w:rFonts w:ascii="Arial" w:cs="Arial" w:eastAsia="Arial" w:hAnsi="Arial"/>
          <w:sz w:val="16"/>
          <w:szCs w:val="16"/>
          <w:color w:val="auto"/>
        </w:rPr>
        <w:t>. (a)</w:t>
      </w:r>
      <w:r>
        <w:rPr>
          <w:rFonts w:ascii="Arial" w:cs="Arial" w:eastAsia="Arial" w:hAnsi="Arial"/>
          <w:sz w:val="16"/>
          <w:szCs w:val="16"/>
          <w:i w:val="1"/>
          <w:iCs w:val="1"/>
          <w:color w:val="auto"/>
        </w:rPr>
        <w:t xml:space="preserve"> No Proceedings</w:t>
      </w:r>
      <w:r>
        <w:rPr>
          <w:rFonts w:ascii="Arial" w:cs="Arial" w:eastAsia="Arial" w:hAnsi="Arial"/>
          <w:sz w:val="16"/>
          <w:szCs w:val="16"/>
          <w:color w:val="auto"/>
        </w:rPr>
        <w:t>. Each party hereto agrees, for the benefit of the holders of the privately or publicly placed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indebtedness for borrowed money of any CP Conduit party hereto, to not, prior to the date which is one year and one day after the payment in full of all such indebtedness, acquiesce, petition or otherwise, directly or indirectly, invoke, or cause such CP Conduit to invoke, the process of any governmental authority for the purpose of (i) commencing or sustaining a case against such CP Conduit under any federal or state bankruptcy, insolvency or similar law (including the Bankruptcy Code), (ii) appointing a receiver, liquidator, assignee, trustee, custodian, sequestrator or other similar official for such CP Conduit, or any substantial part of its property, or (iii) ordering the winding up or liquidation of the affairs of such CP Conduit. The provisions of this </w:t>
      </w:r>
      <w:r>
        <w:rPr>
          <w:rFonts w:ascii="Arial" w:cs="Arial" w:eastAsia="Arial" w:hAnsi="Arial"/>
          <w:sz w:val="16"/>
          <w:szCs w:val="16"/>
          <w:u w:val="single" w:color="auto"/>
          <w:color w:val="auto"/>
        </w:rPr>
        <w:t>Section 15.19(a)</w:t>
      </w:r>
      <w:r>
        <w:rPr>
          <w:rFonts w:ascii="Arial" w:cs="Arial" w:eastAsia="Arial" w:hAnsi="Arial"/>
          <w:sz w:val="16"/>
          <w:szCs w:val="16"/>
          <w:color w:val="auto"/>
        </w:rPr>
        <w:t xml:space="preserve"> shall survive the termination of this Agreement.</w:t>
      </w:r>
    </w:p>
    <w:p>
      <w:pPr>
        <w:spacing w:after="0" w:line="37" w:lineRule="exact"/>
        <w:rPr>
          <w:sz w:val="20"/>
          <w:szCs w:val="20"/>
          <w:color w:val="auto"/>
        </w:rPr>
      </w:pPr>
    </w:p>
    <w:p>
      <w:pPr>
        <w:ind w:left="460" w:firstLine="428"/>
        <w:spacing w:after="0" w:line="286" w:lineRule="auto"/>
        <w:tabs>
          <w:tab w:leader="none" w:pos="1140" w:val="left"/>
        </w:tabs>
        <w:numPr>
          <w:ilvl w:val="0"/>
          <w:numId w:val="210"/>
        </w:numPr>
        <w:rPr>
          <w:rFonts w:ascii="Arial" w:cs="Arial" w:eastAsia="Arial" w:hAnsi="Arial"/>
          <w:sz w:val="16"/>
          <w:szCs w:val="16"/>
          <w:color w:val="auto"/>
        </w:rPr>
      </w:pPr>
      <w:r>
        <w:rPr>
          <w:rFonts w:ascii="Arial" w:cs="Arial" w:eastAsia="Arial" w:hAnsi="Arial"/>
          <w:sz w:val="16"/>
          <w:szCs w:val="16"/>
          <w:i w:val="1"/>
          <w:iCs w:val="1"/>
          <w:color w:val="auto"/>
        </w:rPr>
        <w:t>Excess Funds</w:t>
      </w:r>
      <w:r>
        <w:rPr>
          <w:rFonts w:ascii="Arial" w:cs="Arial" w:eastAsia="Arial" w:hAnsi="Arial"/>
          <w:sz w:val="16"/>
          <w:szCs w:val="16"/>
          <w:color w:val="auto"/>
        </w:rPr>
        <w:t>. Notwithstanding any provisions contained in this Agreement to the contrary, no CP Conduit party hereto shall, nor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obligated to, pay any amount pursuant to this Agreement unless (i) such CP Conduit has received funds which may be used to make such payment and which funds are not required to repay its commercial paper notes when due and (ii) after giving effect to such payment, either (x) such CP Conduit could issue commercial paper notes to refinance all of its outstanding commercial paper notes (assuming such outstanding commercial paper notes matured at such time) in accordance with the program documents governing its securitization program or (y) all of such CP Conduit’s commercial paper notes are paid in full. Any amount which such CP Conduit does not pay pursuant to the operation of the preceding sentence will not constitute a claim (as defined in § 101 of the Bankruptcy Code) against or obligation of such CP Conduit for any such insufficiency unless and until such CP Conduit satisfies the provisions of clauses (i) and (ii) above. Notwithstanding the foregoing, if such CP Conduit would (but for the operation of this </w:t>
      </w:r>
      <w:r>
        <w:rPr>
          <w:rFonts w:ascii="Arial" w:cs="Arial" w:eastAsia="Arial" w:hAnsi="Arial"/>
          <w:sz w:val="16"/>
          <w:szCs w:val="16"/>
          <w:u w:val="single" w:color="auto"/>
          <w:color w:val="auto"/>
        </w:rPr>
        <w:t>Section 15.19</w:t>
      </w:r>
      <w:r>
        <w:rPr>
          <w:rFonts w:ascii="Arial" w:cs="Arial" w:eastAsia="Arial" w:hAnsi="Arial"/>
          <w:sz w:val="16"/>
          <w:szCs w:val="16"/>
          <w:color w:val="auto"/>
        </w:rPr>
        <w:t xml:space="preserve">) be obligated to fund any Advance hereunder, or make any other payment hereunder (including, without limitation, under </w:t>
      </w:r>
      <w:r>
        <w:rPr>
          <w:rFonts w:ascii="Arial" w:cs="Arial" w:eastAsia="Arial" w:hAnsi="Arial"/>
          <w:sz w:val="16"/>
          <w:szCs w:val="16"/>
          <w:u w:val="single" w:color="auto"/>
          <w:color w:val="auto"/>
        </w:rPr>
        <w:t>Section 12.04</w:t>
      </w:r>
      <w:r>
        <w:rPr>
          <w:rFonts w:ascii="Arial" w:cs="Arial" w:eastAsia="Arial" w:hAnsi="Arial"/>
          <w:sz w:val="16"/>
          <w:szCs w:val="16"/>
          <w:color w:val="auto"/>
        </w:rPr>
        <w:t xml:space="preserve">), it shall cause its Liquidity Banks to fund such Advances, or make such payments, directly to the Borrower or to the other Persons entitled hereunder to receive such funds (and, by their execution and delivery hereof, the applicable Liquidity Banks hereby expressly agree to make such payments). The provisions of this </w:t>
      </w:r>
      <w:r>
        <w:rPr>
          <w:rFonts w:ascii="Arial" w:cs="Arial" w:eastAsia="Arial" w:hAnsi="Arial"/>
          <w:sz w:val="16"/>
          <w:szCs w:val="16"/>
          <w:u w:val="single" w:color="auto"/>
          <w:color w:val="auto"/>
        </w:rPr>
        <w:t>Section 15.19(b)</w:t>
      </w:r>
      <w:r>
        <w:rPr>
          <w:rFonts w:ascii="Arial" w:cs="Arial" w:eastAsia="Arial" w:hAnsi="Arial"/>
          <w:sz w:val="16"/>
          <w:szCs w:val="16"/>
          <w:color w:val="auto"/>
        </w:rPr>
        <w:t xml:space="preserve"> will survive the termination of this Agreement.</w:t>
      </w:r>
    </w:p>
    <w:p>
      <w:pPr>
        <w:spacing w:after="0" w:line="42" w:lineRule="exact"/>
        <w:rPr>
          <w:rFonts w:ascii="Arial" w:cs="Arial" w:eastAsia="Arial" w:hAnsi="Arial"/>
          <w:sz w:val="16"/>
          <w:szCs w:val="16"/>
          <w:color w:val="auto"/>
        </w:rPr>
      </w:pPr>
    </w:p>
    <w:p>
      <w:pPr>
        <w:ind w:left="460" w:right="200" w:firstLine="428"/>
        <w:spacing w:after="0" w:line="259" w:lineRule="auto"/>
        <w:tabs>
          <w:tab w:leader="none" w:pos="1130"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Funding</w:t>
      </w:r>
      <w:r>
        <w:rPr>
          <w:rFonts w:ascii="Arial" w:cs="Arial" w:eastAsia="Arial" w:hAnsi="Arial"/>
          <w:sz w:val="18"/>
          <w:szCs w:val="18"/>
          <w:color w:val="auto"/>
        </w:rPr>
        <w:t>. For the avoidance of doubt, it is understood and agreed that (i) any CP Conduit that is a Lender hereunder shall not be obligated to</w:t>
      </w:r>
      <w:r>
        <w:rPr>
          <w:rFonts w:ascii="Arial" w:cs="Arial" w:eastAsia="Arial" w:hAnsi="Arial"/>
          <w:sz w:val="18"/>
          <w:szCs w:val="18"/>
          <w:i w:val="1"/>
          <w:iCs w:val="1"/>
          <w:color w:val="auto"/>
        </w:rPr>
        <w:t xml:space="preserve"> </w:t>
      </w:r>
      <w:r>
        <w:rPr>
          <w:rFonts w:ascii="Arial" w:cs="Arial" w:eastAsia="Arial" w:hAnsi="Arial"/>
          <w:sz w:val="18"/>
          <w:szCs w:val="18"/>
          <w:color w:val="auto"/>
        </w:rPr>
        <w:t>fund any Advance through the issuance of commercial paper and (ii) any committed Lender related to a CP Conduit or any affiliate of such committed Lender may purchase the commercial paper issued by such CP Conduit.</w:t>
      </w:r>
    </w:p>
    <w:p>
      <w:pPr>
        <w:spacing w:after="0" w:line="140"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i w:val="1"/>
          <w:iCs w:val="1"/>
          <w:color w:val="auto"/>
        </w:rPr>
        <w:t>Section 15.20. Third Party Beneficiary</w:t>
      </w:r>
      <w:r>
        <w:rPr>
          <w:rFonts w:ascii="Arial" w:cs="Arial" w:eastAsia="Arial" w:hAnsi="Arial"/>
          <w:sz w:val="18"/>
          <w:szCs w:val="18"/>
          <w:color w:val="auto"/>
        </w:rPr>
        <w:t>. The BDC shall be an express third party beneficiary of this Agreement with a right to enforce the provisions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that inure to its benefit.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280" w:right="359" w:bottom="1440" w:gutter="0" w:footer="0" w:header="0"/>
        </w:sectPr>
      </w:pPr>
    </w:p>
    <w:bookmarkStart w:id="189" w:name="page190"/>
    <w:bookmarkEnd w:id="189"/>
    <w:p>
      <w:pPr>
        <w:ind w:firstLine="449"/>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15.21. Amendment and Restatement</w:t>
      </w:r>
      <w:r>
        <w:rPr>
          <w:rFonts w:ascii="Arial" w:cs="Arial" w:eastAsia="Arial" w:hAnsi="Arial"/>
          <w:sz w:val="18"/>
          <w:szCs w:val="18"/>
          <w:color w:val="auto"/>
        </w:rPr>
        <w:t>. This Agreement amends and restates in its entirety the Original Agreement. Reference to this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need not be made in any agreement, document, instrument, letter, certificate, the Original Agreement itself, or any communication issued or made pursuant to or with respect to the Original Agreement, any reference to the Original Agreement being sufficient to refer to the Original Agreement as amended and restated hereby.</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AGES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60"/>
          </w:cols>
          <w:pgMar w:left="320" w:top="280" w:right="419" w:bottom="1440" w:gutter="0" w:footer="0" w:header="0"/>
        </w:sectPr>
      </w:pPr>
    </w:p>
    <w:bookmarkStart w:id="190" w:name="page191"/>
    <w:bookmarkEnd w:id="190"/>
    <w:p>
      <w:pPr>
        <w:ind w:firstLine="44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200" w:lineRule="exact"/>
        <w:rPr>
          <w:sz w:val="20"/>
          <w:szCs w:val="20"/>
          <w:color w:val="auto"/>
        </w:rPr>
      </w:pPr>
    </w:p>
    <w:p>
      <w:pPr>
        <w:spacing w:after="0" w:line="29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Borrower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 PennantPark Floating Rate Capital, Ltd., as  Designated</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Manager</w:t>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10795</wp:posOffset>
            </wp:positionV>
            <wp:extent cx="26828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ind w:left="7100"/>
        <w:spacing w:after="0"/>
        <w:tabs>
          <w:tab w:leader="none" w:pos="764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15875</wp:posOffset>
            </wp:positionV>
            <wp:extent cx="22974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-129540</wp:posOffset>
            </wp:positionV>
            <wp:extent cx="22974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1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ENNANT</w:t>
      </w:r>
      <w:r>
        <w:rPr>
          <w:rFonts w:ascii="Arial" w:cs="Arial" w:eastAsia="Arial" w:hAnsi="Arial"/>
          <w:sz w:val="16"/>
          <w:szCs w:val="16"/>
          <w:color w:val="auto"/>
        </w:rPr>
        <w:t>P</w:t>
      </w:r>
      <w:r>
        <w:rPr>
          <w:rFonts w:ascii="Arial" w:cs="Arial" w:eastAsia="Arial" w:hAnsi="Arial"/>
          <w:sz w:val="13"/>
          <w:szCs w:val="13"/>
          <w:color w:val="auto"/>
        </w:rPr>
        <w:t>ARK</w:t>
      </w:r>
      <w:r>
        <w:rPr>
          <w:rFonts w:ascii="Arial" w:cs="Arial" w:eastAsia="Arial" w:hAnsi="Arial"/>
          <w:sz w:val="16"/>
          <w:szCs w:val="16"/>
          <w:color w:val="auto"/>
        </w:rPr>
        <w:t xml:space="preserve"> I</w:t>
      </w:r>
      <w:r>
        <w:rPr>
          <w:rFonts w:ascii="Arial" w:cs="Arial" w:eastAsia="Arial" w:hAnsi="Arial"/>
          <w:sz w:val="13"/>
          <w:szCs w:val="13"/>
          <w:color w:val="auto"/>
        </w:rPr>
        <w:t>NVESTMENT</w:t>
      </w:r>
      <w:r>
        <w:rPr>
          <w:rFonts w:ascii="Arial" w:cs="Arial" w:eastAsia="Arial" w:hAnsi="Arial"/>
          <w:sz w:val="16"/>
          <w:szCs w:val="16"/>
          <w:color w:val="auto"/>
        </w:rPr>
        <w:t xml:space="preserve"> A</w:t>
      </w:r>
      <w:r>
        <w:rPr>
          <w:rFonts w:ascii="Arial" w:cs="Arial" w:eastAsia="Arial" w:hAnsi="Arial"/>
          <w:sz w:val="13"/>
          <w:szCs w:val="13"/>
          <w:color w:val="auto"/>
        </w:rPr>
        <w:t>DVISERS</w:t>
      </w:r>
      <w:r>
        <w:rPr>
          <w:rFonts w:ascii="Arial" w:cs="Arial" w:eastAsia="Arial" w:hAnsi="Arial"/>
          <w:sz w:val="16"/>
          <w:szCs w:val="16"/>
          <w:color w:val="auto"/>
        </w:rPr>
        <w:t>, LLC, as Collateral</w:t>
      </w:r>
    </w:p>
    <w:p>
      <w:pPr>
        <w:spacing w:after="0" w:line="3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Manager</w:t>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10795</wp:posOffset>
            </wp:positionV>
            <wp:extent cx="26828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ind w:left="7100"/>
        <w:spacing w:after="0"/>
        <w:tabs>
          <w:tab w:leader="none" w:pos="7640" w:val="left"/>
        </w:tabs>
        <w:rPr>
          <w:sz w:val="20"/>
          <w:szCs w:val="20"/>
          <w:color w:val="auto"/>
        </w:rPr>
      </w:pPr>
      <w:r>
        <w:rPr>
          <w:rFonts w:ascii="Arial" w:cs="Arial" w:eastAsia="Arial" w:hAnsi="Arial"/>
          <w:sz w:val="18"/>
          <w:szCs w:val="18"/>
          <w:color w:val="auto"/>
        </w:rPr>
        <w:t>Title:</w:t>
        <w:tab/>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15875</wp:posOffset>
            </wp:positionV>
            <wp:extent cx="229743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-129540</wp:posOffset>
            </wp:positionV>
            <wp:extent cx="22974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40"/>
          </w:cols>
          <w:pgMar w:left="320" w:top="280" w:right="439" w:bottom="1440" w:gutter="0" w:footer="0" w:header="0"/>
        </w:sectPr>
      </w:pPr>
    </w:p>
    <w:bookmarkStart w:id="191" w:name="page192"/>
    <w:bookmarkEnd w:id="191"/>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Joseph Franke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10795</wp:posOffset>
            </wp:positionV>
            <wp:extent cx="26828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Joseph Franke</w:t>
      </w:r>
    </w:p>
    <w:p>
      <w:pPr>
        <w:spacing w:after="0" w:line="15"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15875</wp:posOffset>
            </wp:positionV>
            <wp:extent cx="22974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-129540</wp:posOffset>
            </wp:positionV>
            <wp:extent cx="22974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UN</w:t>
      </w:r>
      <w:r>
        <w:rPr>
          <w:rFonts w:ascii="Arial" w:cs="Arial" w:eastAsia="Arial" w:hAnsi="Arial"/>
          <w:sz w:val="16"/>
          <w:szCs w:val="16"/>
          <w:color w:val="auto"/>
        </w:rPr>
        <w:t>T</w:t>
      </w:r>
      <w:r>
        <w:rPr>
          <w:rFonts w:ascii="Arial" w:cs="Arial" w:eastAsia="Arial" w:hAnsi="Arial"/>
          <w:sz w:val="13"/>
          <w:szCs w:val="13"/>
          <w:color w:val="auto"/>
        </w:rPr>
        <w:t>RUST</w:t>
      </w:r>
      <w:r>
        <w:rPr>
          <w:rFonts w:ascii="Arial" w:cs="Arial" w:eastAsia="Arial" w:hAnsi="Arial"/>
          <w:sz w:val="16"/>
          <w:szCs w:val="16"/>
          <w:color w:val="auto"/>
        </w:rPr>
        <w:t xml:space="preserve"> R</w:t>
      </w:r>
      <w:r>
        <w:rPr>
          <w:rFonts w:ascii="Arial" w:cs="Arial" w:eastAsia="Arial" w:hAnsi="Arial"/>
          <w:sz w:val="13"/>
          <w:szCs w:val="13"/>
          <w:color w:val="auto"/>
        </w:rPr>
        <w:t>OBINSON</w:t>
      </w:r>
      <w:r>
        <w:rPr>
          <w:rFonts w:ascii="Arial" w:cs="Arial" w:eastAsia="Arial" w:hAnsi="Arial"/>
          <w:sz w:val="16"/>
          <w:szCs w:val="16"/>
          <w:color w:val="auto"/>
        </w:rPr>
        <w:t xml:space="preserve"> H</w:t>
      </w:r>
      <w:r>
        <w:rPr>
          <w:rFonts w:ascii="Arial" w:cs="Arial" w:eastAsia="Arial" w:hAnsi="Arial"/>
          <w:sz w:val="13"/>
          <w:szCs w:val="13"/>
          <w:color w:val="auto"/>
        </w:rPr>
        <w:t>UMPHREY</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 as the departing</w:t>
      </w:r>
    </w:p>
    <w:p>
      <w:pPr>
        <w:spacing w:after="0" w:line="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 xml:space="preserve">Administrative Agent for the purposes of </w:t>
      </w:r>
      <w:r>
        <w:rPr>
          <w:rFonts w:ascii="Arial" w:cs="Arial" w:eastAsia="Arial" w:hAnsi="Arial"/>
          <w:sz w:val="16"/>
          <w:szCs w:val="16"/>
          <w:u w:val="single" w:color="auto"/>
          <w:color w:val="auto"/>
        </w:rPr>
        <w:t>Section 12.06</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hereof</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Kelli W. Dobson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10795</wp:posOffset>
            </wp:positionV>
            <wp:extent cx="26828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Kelli W. Dobson</w:t>
      </w:r>
    </w:p>
    <w:p>
      <w:pPr>
        <w:spacing w:after="0" w:line="15"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15875</wp:posOffset>
            </wp:positionV>
            <wp:extent cx="22974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-129540</wp:posOffset>
            </wp:positionV>
            <wp:extent cx="22974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9760"/>
          </w:cols>
          <w:pgMar w:left="1440" w:top="280" w:right="699" w:bottom="1440" w:gutter="0" w:footer="0" w:header="0"/>
        </w:sectPr>
      </w:pPr>
    </w:p>
    <w:bookmarkStart w:id="192" w:name="page193"/>
    <w:bookmarkEnd w:id="192"/>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Joseph Franke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10795</wp:posOffset>
            </wp:positionV>
            <wp:extent cx="26828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Joseph Franke</w:t>
      </w:r>
    </w:p>
    <w:p>
      <w:pPr>
        <w:spacing w:after="0" w:line="15"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15875</wp:posOffset>
            </wp:positionV>
            <wp:extent cx="22974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-129540</wp:posOffset>
            </wp:positionV>
            <wp:extent cx="229743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U.S. B</w:t>
      </w:r>
      <w:r>
        <w:rPr>
          <w:rFonts w:ascii="Arial" w:cs="Arial" w:eastAsia="Arial" w:hAnsi="Arial"/>
          <w:sz w:val="13"/>
          <w:szCs w:val="13"/>
          <w:color w:val="auto"/>
        </w:rPr>
        <w:t>ANK</w:t>
      </w:r>
      <w:r>
        <w:rPr>
          <w:rFonts w:ascii="Arial" w:cs="Arial" w:eastAsia="Arial" w:hAnsi="Arial"/>
          <w:sz w:val="16"/>
          <w:szCs w:val="16"/>
          <w:color w:val="auto"/>
        </w:rPr>
        <w:t xml:space="preserve"> N</w:t>
      </w:r>
      <w:r>
        <w:rPr>
          <w:rFonts w:ascii="Arial" w:cs="Arial" w:eastAsia="Arial" w:hAnsi="Arial"/>
          <w:sz w:val="13"/>
          <w:szCs w:val="13"/>
          <w:color w:val="auto"/>
        </w:rPr>
        <w:t>ATIONAL</w:t>
      </w:r>
      <w:r>
        <w:rPr>
          <w:rFonts w:ascii="Arial" w:cs="Arial" w:eastAsia="Arial" w:hAnsi="Arial"/>
          <w:sz w:val="16"/>
          <w:szCs w:val="16"/>
          <w:color w:val="auto"/>
        </w:rPr>
        <w:t xml:space="preserve"> A</w:t>
      </w:r>
      <w:r>
        <w:rPr>
          <w:rFonts w:ascii="Arial" w:cs="Arial" w:eastAsia="Arial" w:hAnsi="Arial"/>
          <w:sz w:val="13"/>
          <w:szCs w:val="13"/>
          <w:color w:val="auto"/>
        </w:rPr>
        <w:t>SSOCIATION</w:t>
      </w:r>
      <w:r>
        <w:rPr>
          <w:rFonts w:ascii="Arial" w:cs="Arial" w:eastAsia="Arial" w:hAnsi="Arial"/>
          <w:sz w:val="16"/>
          <w:szCs w:val="16"/>
          <w:color w:val="auto"/>
        </w:rPr>
        <w:t>, as Collateral Agent</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Jennifer L. Vlasuk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10795</wp:posOffset>
            </wp:positionV>
            <wp:extent cx="26828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Jennifer L. Vlasuk</w:t>
      </w:r>
    </w:p>
    <w:p>
      <w:pPr>
        <w:spacing w:after="0" w:line="15"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15875</wp:posOffset>
            </wp:positionV>
            <wp:extent cx="22974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-129540</wp:posOffset>
            </wp:positionV>
            <wp:extent cx="22974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U.S. B</w:t>
      </w:r>
      <w:r>
        <w:rPr>
          <w:rFonts w:ascii="Arial" w:cs="Arial" w:eastAsia="Arial" w:hAnsi="Arial"/>
          <w:sz w:val="13"/>
          <w:szCs w:val="13"/>
          <w:color w:val="auto"/>
        </w:rPr>
        <w:t>ANK</w:t>
      </w:r>
      <w:r>
        <w:rPr>
          <w:rFonts w:ascii="Arial" w:cs="Arial" w:eastAsia="Arial" w:hAnsi="Arial"/>
          <w:sz w:val="16"/>
          <w:szCs w:val="16"/>
          <w:color w:val="auto"/>
        </w:rPr>
        <w:t xml:space="preserve"> N</w:t>
      </w:r>
      <w:r>
        <w:rPr>
          <w:rFonts w:ascii="Arial" w:cs="Arial" w:eastAsia="Arial" w:hAnsi="Arial"/>
          <w:sz w:val="13"/>
          <w:szCs w:val="13"/>
          <w:color w:val="auto"/>
        </w:rPr>
        <w:t>ATIONAL</w:t>
      </w:r>
      <w:r>
        <w:rPr>
          <w:rFonts w:ascii="Arial" w:cs="Arial" w:eastAsia="Arial" w:hAnsi="Arial"/>
          <w:sz w:val="16"/>
          <w:szCs w:val="16"/>
          <w:color w:val="auto"/>
        </w:rPr>
        <w:t xml:space="preserve"> A</w:t>
      </w:r>
      <w:r>
        <w:rPr>
          <w:rFonts w:ascii="Arial" w:cs="Arial" w:eastAsia="Arial" w:hAnsi="Arial"/>
          <w:sz w:val="13"/>
          <w:szCs w:val="13"/>
          <w:color w:val="auto"/>
        </w:rPr>
        <w:t>SSOCIATION</w:t>
      </w:r>
      <w:r>
        <w:rPr>
          <w:rFonts w:ascii="Arial" w:cs="Arial" w:eastAsia="Arial" w:hAnsi="Arial"/>
          <w:sz w:val="16"/>
          <w:szCs w:val="16"/>
          <w:color w:val="auto"/>
        </w:rPr>
        <w:t>, as Backup Collateral</w:t>
      </w:r>
    </w:p>
    <w:p>
      <w:pPr>
        <w:spacing w:after="0" w:line="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Manager</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Jennifer L. Vlasuk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10795</wp:posOffset>
            </wp:positionV>
            <wp:extent cx="26828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Jennifer L. Vlasuk</w:t>
      </w:r>
    </w:p>
    <w:p>
      <w:pPr>
        <w:spacing w:after="0" w:line="15"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15875</wp:posOffset>
            </wp:positionV>
            <wp:extent cx="22974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-129540</wp:posOffset>
            </wp:positionV>
            <wp:extent cx="22974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as Custodian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Jennifer L. Vlasuk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10795</wp:posOffset>
            </wp:positionV>
            <wp:extent cx="26828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Jennifer L. Vlasuk</w:t>
      </w:r>
    </w:p>
    <w:p>
      <w:pPr>
        <w:spacing w:after="0" w:line="15"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15875</wp:posOffset>
            </wp:positionV>
            <wp:extent cx="22974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297430" cy="8890"/>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-129540</wp:posOffset>
            </wp:positionV>
            <wp:extent cx="22974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as Collateral</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Administrator</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Jennifer L. Vlasuk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10795</wp:posOffset>
            </wp:positionV>
            <wp:extent cx="26828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Jennifer L. Vlasuk</w:t>
      </w:r>
    </w:p>
    <w:p>
      <w:pPr>
        <w:spacing w:after="0" w:line="15"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15875</wp:posOffset>
            </wp:positionV>
            <wp:extent cx="22974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297430" cy="8890"/>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-129540</wp:posOffset>
            </wp:positionV>
            <wp:extent cx="22974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9800"/>
          </w:cols>
          <w:pgMar w:left="1440" w:top="280" w:right="65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ERCENTAGES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60" w:type="dxa"/>
            <w:vAlign w:val="bottom"/>
          </w:tcPr>
          <w:p>
            <w:pPr>
              <w:spacing w:after="0"/>
              <w:rPr>
                <w:sz w:val="20"/>
                <w:szCs w:val="20"/>
                <w:color w:val="auto"/>
              </w:rPr>
            </w:pPr>
            <w:r>
              <w:rPr>
                <w:rFonts w:ascii="Arial" w:cs="Arial" w:eastAsia="Arial" w:hAnsi="Arial"/>
                <w:sz w:val="13"/>
                <w:szCs w:val="13"/>
                <w:color w:val="auto"/>
              </w:rPr>
              <w:t>L</w:t>
            </w:r>
            <w:r>
              <w:rPr>
                <w:rFonts w:ascii="Arial" w:cs="Arial" w:eastAsia="Arial" w:hAnsi="Arial"/>
                <w:sz w:val="11"/>
                <w:szCs w:val="11"/>
                <w:color w:val="auto"/>
              </w:rPr>
              <w:t>ENDER</w:t>
            </w:r>
          </w:p>
        </w:tc>
        <w:tc>
          <w:tcPr>
            <w:tcW w:w="5120" w:type="dxa"/>
            <w:vAlign w:val="bottom"/>
          </w:tcPr>
          <w:p>
            <w:pPr>
              <w:jc w:val="center"/>
              <w:ind w:left="1202"/>
              <w:spacing w:after="0"/>
              <w:rPr>
                <w:sz w:val="20"/>
                <w:szCs w:val="20"/>
                <w:color w:val="auto"/>
              </w:rPr>
            </w:pPr>
            <w:r>
              <w:rPr>
                <w:rFonts w:ascii="Arial" w:cs="Arial" w:eastAsia="Arial" w:hAnsi="Arial"/>
                <w:sz w:val="13"/>
                <w:szCs w:val="13"/>
                <w:color w:val="auto"/>
              </w:rPr>
              <w:t>C</w:t>
            </w:r>
            <w:r>
              <w:rPr>
                <w:rFonts w:ascii="Arial" w:cs="Arial" w:eastAsia="Arial" w:hAnsi="Arial"/>
                <w:sz w:val="11"/>
                <w:szCs w:val="11"/>
                <w:color w:val="auto"/>
              </w:rPr>
              <w:t>OMMITMENT</w:t>
            </w:r>
          </w:p>
        </w:tc>
        <w:tc>
          <w:tcPr>
            <w:tcW w:w="2360" w:type="dxa"/>
            <w:vAlign w:val="bottom"/>
          </w:tcPr>
          <w:p>
            <w:pPr>
              <w:jc w:val="right"/>
              <w:ind w:right="122"/>
              <w:spacing w:after="0"/>
              <w:rPr>
                <w:sz w:val="20"/>
                <w:szCs w:val="20"/>
                <w:color w:val="auto"/>
              </w:rPr>
            </w:pPr>
            <w:r>
              <w:rPr>
                <w:rFonts w:ascii="Arial" w:cs="Arial" w:eastAsia="Arial" w:hAnsi="Arial"/>
                <w:sz w:val="13"/>
                <w:szCs w:val="13"/>
                <w:color w:val="auto"/>
              </w:rPr>
              <w:t>P</w:t>
            </w:r>
            <w:r>
              <w:rPr>
                <w:rFonts w:ascii="Arial" w:cs="Arial" w:eastAsia="Arial" w:hAnsi="Arial"/>
                <w:sz w:val="11"/>
                <w:szCs w:val="11"/>
                <w:color w:val="auto"/>
              </w:rPr>
              <w:t>ERCENTAGE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SunTrust Bank</w:t>
            </w:r>
          </w:p>
        </w:tc>
        <w:tc>
          <w:tcPr>
            <w:tcW w:w="5120" w:type="dxa"/>
            <w:vAlign w:val="bottom"/>
            <w:shd w:val="clear" w:color="auto" w:fill="CCEEFF"/>
          </w:tcPr>
          <w:p>
            <w:pPr>
              <w:jc w:val="right"/>
              <w:ind w:right="1362"/>
              <w:spacing w:after="0"/>
              <w:rPr>
                <w:sz w:val="20"/>
                <w:szCs w:val="20"/>
                <w:color w:val="auto"/>
              </w:rPr>
            </w:pPr>
            <w:r>
              <w:rPr>
                <w:rFonts w:ascii="Arial" w:cs="Arial" w:eastAsia="Arial" w:hAnsi="Arial"/>
                <w:sz w:val="18"/>
                <w:szCs w:val="18"/>
                <w:color w:val="auto"/>
              </w:rPr>
              <w:t>$100,000,000</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240"/>
          </w:cols>
          <w:pgMar w:left="320" w:top="274" w:right="3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ORMS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ONTHLY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4" w:right="1440"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4" w:right="1440"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7240" w:type="dxa"/>
            <w:vAlign w:val="bottom"/>
          </w:tcPr>
          <w:p>
            <w:pPr>
              <w:jc w:val="right"/>
              <w:ind w:right="4952"/>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4</w:t>
            </w:r>
          </w:p>
        </w:tc>
      </w:tr>
      <w:tr>
        <w:trPr>
          <w:trHeight w:val="378"/>
        </w:trPr>
        <w:tc>
          <w:tcPr>
            <w:tcW w:w="3900" w:type="dxa"/>
            <w:vAlign w:val="bottom"/>
          </w:tcPr>
          <w:p>
            <w:pPr>
              <w:spacing w:after="0"/>
              <w:rPr>
                <w:sz w:val="24"/>
                <w:szCs w:val="24"/>
                <w:color w:val="auto"/>
              </w:rPr>
            </w:pPr>
          </w:p>
        </w:tc>
        <w:tc>
          <w:tcPr>
            <w:tcW w:w="7240" w:type="dxa"/>
            <w:vAlign w:val="bottom"/>
          </w:tcPr>
          <w:p>
            <w:pPr>
              <w:jc w:val="right"/>
              <w:ind w:right="3952"/>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OODY</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NDUSTRY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LASSIFICATIONS</w:t>
            </w: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CORP - Aerospace &amp; Defense</w:t>
            </w:r>
          </w:p>
        </w:tc>
        <w:tc>
          <w:tcPr>
            <w:tcW w:w="7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Automotive</w:t>
            </w:r>
          </w:p>
        </w:tc>
        <w:tc>
          <w:tcPr>
            <w:tcW w:w="7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w w:val="94"/>
              </w:rPr>
              <w:t>CORP - Banking, Finance, Insurance &amp; Real Estate</w:t>
            </w:r>
          </w:p>
        </w:tc>
        <w:tc>
          <w:tcPr>
            <w:tcW w:w="7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Beverage, Food &amp; Tobacco</w:t>
            </w:r>
          </w:p>
        </w:tc>
        <w:tc>
          <w:tcPr>
            <w:tcW w:w="7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Capital Equipment</w:t>
            </w:r>
          </w:p>
        </w:tc>
        <w:tc>
          <w:tcPr>
            <w:tcW w:w="7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Chemicals, Plastics, &amp; Rubber</w:t>
            </w:r>
          </w:p>
        </w:tc>
        <w:tc>
          <w:tcPr>
            <w:tcW w:w="7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Construction &amp; Building</w:t>
            </w:r>
          </w:p>
        </w:tc>
        <w:tc>
          <w:tcPr>
            <w:tcW w:w="7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Consumer goods: Durable</w:t>
            </w:r>
          </w:p>
        </w:tc>
        <w:tc>
          <w:tcPr>
            <w:tcW w:w="7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Consumer goods: Non-durable</w:t>
            </w:r>
          </w:p>
        </w:tc>
        <w:tc>
          <w:tcPr>
            <w:tcW w:w="7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Containers, Packaging &amp; Glass</w:t>
            </w:r>
          </w:p>
        </w:tc>
        <w:tc>
          <w:tcPr>
            <w:tcW w:w="7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Energy: Electricity</w:t>
            </w:r>
          </w:p>
        </w:tc>
        <w:tc>
          <w:tcPr>
            <w:tcW w:w="7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Energy: Oil &amp; Gas</w:t>
            </w:r>
          </w:p>
        </w:tc>
        <w:tc>
          <w:tcPr>
            <w:tcW w:w="7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Environmental Industries</w:t>
            </w:r>
          </w:p>
        </w:tc>
        <w:tc>
          <w:tcPr>
            <w:tcW w:w="7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Forest Products &amp; Paper</w:t>
            </w:r>
          </w:p>
        </w:tc>
        <w:tc>
          <w:tcPr>
            <w:tcW w:w="7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Healthcare &amp; Pharmaceuticals</w:t>
            </w:r>
          </w:p>
        </w:tc>
        <w:tc>
          <w:tcPr>
            <w:tcW w:w="7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High Tech Industries</w:t>
            </w:r>
          </w:p>
        </w:tc>
        <w:tc>
          <w:tcPr>
            <w:tcW w:w="7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Hotel, Gaming &amp; Leisure</w:t>
            </w:r>
          </w:p>
        </w:tc>
        <w:tc>
          <w:tcPr>
            <w:tcW w:w="7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w w:val="98"/>
              </w:rPr>
              <w:t>CORP - Media: Advertising, Printing &amp; Publishing</w:t>
            </w:r>
          </w:p>
        </w:tc>
        <w:tc>
          <w:tcPr>
            <w:tcW w:w="7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Media: Broadcasting &amp; Subscription</w:t>
            </w:r>
          </w:p>
        </w:tc>
        <w:tc>
          <w:tcPr>
            <w:tcW w:w="7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Media: Diversified &amp; Production</w:t>
            </w:r>
          </w:p>
        </w:tc>
        <w:tc>
          <w:tcPr>
            <w:tcW w:w="7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Metals &amp; Mining</w:t>
            </w:r>
          </w:p>
        </w:tc>
        <w:tc>
          <w:tcPr>
            <w:tcW w:w="7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Retail</w:t>
            </w:r>
          </w:p>
        </w:tc>
        <w:tc>
          <w:tcPr>
            <w:tcW w:w="7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Services: Business</w:t>
            </w:r>
          </w:p>
        </w:tc>
        <w:tc>
          <w:tcPr>
            <w:tcW w:w="7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Services: Consumer</w:t>
            </w:r>
          </w:p>
        </w:tc>
        <w:tc>
          <w:tcPr>
            <w:tcW w:w="7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Sovereign &amp; Public Finance</w:t>
            </w:r>
          </w:p>
        </w:tc>
        <w:tc>
          <w:tcPr>
            <w:tcW w:w="7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Telecommunications</w:t>
            </w:r>
          </w:p>
        </w:tc>
        <w:tc>
          <w:tcPr>
            <w:tcW w:w="7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Transportation: Cargo</w:t>
            </w:r>
          </w:p>
        </w:tc>
        <w:tc>
          <w:tcPr>
            <w:tcW w:w="7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Transportation: Consumer</w:t>
            </w:r>
          </w:p>
        </w:tc>
        <w:tc>
          <w:tcPr>
            <w:tcW w:w="7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Utilities: Electric</w:t>
            </w:r>
          </w:p>
        </w:tc>
        <w:tc>
          <w:tcPr>
            <w:tcW w:w="7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Utilities: Oil &amp; Gas</w:t>
            </w:r>
          </w:p>
        </w:tc>
        <w:tc>
          <w:tcPr>
            <w:tcW w:w="7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Utilities: Water</w:t>
            </w:r>
          </w:p>
        </w:tc>
        <w:tc>
          <w:tcPr>
            <w:tcW w:w="7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CORP - Wholesale</w:t>
            </w:r>
          </w:p>
        </w:tc>
        <w:tc>
          <w:tcPr>
            <w:tcW w:w="7240" w:type="dxa"/>
            <w:vAlign w:val="bottom"/>
          </w:tcPr>
          <w:p>
            <w:pPr>
              <w:jc w:val="right"/>
              <w:spacing w:after="0"/>
              <w:rPr>
                <w:sz w:val="20"/>
                <w:szCs w:val="20"/>
                <w:color w:val="auto"/>
              </w:rPr>
            </w:pPr>
            <w:r>
              <w:rPr>
                <w:rFonts w:ascii="Arial" w:cs="Arial" w:eastAsia="Arial" w:hAnsi="Arial"/>
                <w:sz w:val="18"/>
                <w:szCs w:val="18"/>
                <w:color w:val="auto"/>
              </w:rPr>
              <w:t>32</w:t>
            </w:r>
          </w:p>
        </w:tc>
      </w:tr>
    </w:tbl>
    <w:p>
      <w:pPr>
        <w:jc w:val="right"/>
        <w:spacing w:after="0"/>
        <w:rPr>
          <w:sz w:val="20"/>
          <w:szCs w:val="20"/>
          <w:color w:val="auto"/>
        </w:rPr>
        <w:sectPr>
          <w:pgSz w:w="11900" w:h="16838" w:orient="portrait"/>
          <w:cols w:equalWidth="0" w:num="1">
            <w:col w:w="11140"/>
          </w:cols>
          <w:pgMar w:left="32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ATRIX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Minimum</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r>
      <w:tr>
        <w:trPr>
          <w:trHeight w:val="148"/>
        </w:trPr>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Weighted</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Minimum</w:t>
            </w: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48"/>
        </w:trPr>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Advance</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Average</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Diversity</w:t>
            </w: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Row</w:t>
            </w:r>
          </w:p>
        </w:tc>
        <w:tc>
          <w:tcPr>
            <w:tcW w:w="14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Rate</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Spread</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Score</w:t>
            </w:r>
          </w:p>
        </w:tc>
        <w:tc>
          <w:tcPr>
            <w:tcW w:w="3900" w:type="dxa"/>
            <w:vAlign w:val="bottom"/>
            <w:gridSpan w:val="2"/>
          </w:tcPr>
          <w:p>
            <w:pPr>
              <w:jc w:val="right"/>
              <w:ind w:right="1460"/>
              <w:spacing w:after="0"/>
              <w:rPr>
                <w:sz w:val="20"/>
                <w:szCs w:val="20"/>
                <w:color w:val="auto"/>
              </w:rPr>
            </w:pPr>
            <w:r>
              <w:rPr>
                <w:rFonts w:ascii="Arial" w:cs="Arial" w:eastAsia="Arial" w:hAnsi="Arial"/>
                <w:sz w:val="13"/>
                <w:szCs w:val="13"/>
                <w:b w:val="1"/>
                <w:bCs w:val="1"/>
                <w:color w:val="auto"/>
              </w:rPr>
              <w:t>Maximum Obligor</w:t>
            </w:r>
          </w:p>
        </w:tc>
        <w:tc>
          <w:tcPr>
            <w:tcW w:w="1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Ratings</w:t>
            </w:r>
          </w:p>
        </w:tc>
        <w:tc>
          <w:tcPr>
            <w:tcW w:w="2800" w:type="dxa"/>
            <w:vAlign w:val="bottom"/>
          </w:tcPr>
          <w:p>
            <w:pPr>
              <w:ind w:left="740"/>
              <w:spacing w:after="0"/>
              <w:rPr>
                <w:sz w:val="20"/>
                <w:szCs w:val="20"/>
                <w:color w:val="auto"/>
              </w:rPr>
            </w:pPr>
            <w:r>
              <w:rPr>
                <w:rFonts w:ascii="Arial" w:cs="Arial" w:eastAsia="Arial" w:hAnsi="Arial"/>
                <w:sz w:val="13"/>
                <w:szCs w:val="13"/>
                <w:b w:val="1"/>
                <w:bCs w:val="1"/>
                <w:color w:val="auto"/>
              </w:rPr>
              <w:t>Maximum Loan Types</w:t>
            </w:r>
          </w:p>
        </w:tc>
      </w:tr>
      <w:tr>
        <w:trPr>
          <w:trHeight w:val="195"/>
        </w:trPr>
        <w:tc>
          <w:tcPr>
            <w:tcW w:w="2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1</w:t>
            </w: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50.00%</w:t>
            </w: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3.50%</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None</w:t>
            </w:r>
          </w:p>
        </w:tc>
        <w:tc>
          <w:tcPr>
            <w:tcW w:w="12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Largest Obligor shall not exceed 10%</w:t>
            </w:r>
          </w:p>
        </w:tc>
        <w:tc>
          <w:tcPr>
            <w:tcW w:w="1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None</w:t>
            </w:r>
          </w:p>
        </w:tc>
        <w:tc>
          <w:tcPr>
            <w:tcW w:w="1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Senior B Loan Obligations plus</w:t>
            </w:r>
          </w:p>
        </w:tc>
      </w:tr>
      <w:tr>
        <w:trPr>
          <w:trHeight w:val="216"/>
        </w:trPr>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2nd-6th largest Obligors shall not exceed 7.5%</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2"/>
              </w:rPr>
              <w:t>Eligible Second Lien Obligations shall</w:t>
            </w:r>
          </w:p>
        </w:tc>
      </w:tr>
      <w:tr>
        <w:trPr>
          <w:trHeight w:val="216"/>
        </w:trPr>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 other Obligor shall exceed 5%</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not exceed 30%</w:t>
            </w:r>
          </w:p>
        </w:tc>
      </w:tr>
      <w:tr>
        <w:trPr>
          <w:trHeight w:val="216"/>
        </w:trPr>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2"/>
              </w:rPr>
              <w:t>Eligible Second Lien Obligations shall</w:t>
            </w:r>
          </w:p>
        </w:tc>
      </w:tr>
      <w:tr>
        <w:trPr>
          <w:trHeight w:val="238"/>
        </w:trPr>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not exceed 20%</w:t>
            </w:r>
          </w:p>
        </w:tc>
      </w:tr>
      <w:tr>
        <w:trPr>
          <w:trHeight w:val="208"/>
        </w:trPr>
        <w:tc>
          <w:tcPr>
            <w:tcW w:w="280" w:type="dxa"/>
            <w:vAlign w:val="bottom"/>
          </w:tcPr>
          <w:p>
            <w:pPr>
              <w:spacing w:after="0"/>
              <w:rPr>
                <w:sz w:val="20"/>
                <w:szCs w:val="20"/>
                <w:color w:val="auto"/>
              </w:rPr>
            </w:pPr>
            <w:r>
              <w:rPr>
                <w:rFonts w:ascii="Arial" w:cs="Arial" w:eastAsia="Arial" w:hAnsi="Arial"/>
                <w:sz w:val="18"/>
                <w:szCs w:val="18"/>
                <w:b w:val="1"/>
                <w:bCs w:val="1"/>
                <w:color w:val="auto"/>
              </w:rPr>
              <w:t>2</w:t>
            </w:r>
          </w:p>
        </w:tc>
        <w:tc>
          <w:tcPr>
            <w:tcW w:w="6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56.00%</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3900" w:type="dxa"/>
            <w:vAlign w:val="bottom"/>
            <w:gridSpan w:val="2"/>
          </w:tcPr>
          <w:p>
            <w:pPr>
              <w:jc w:val="right"/>
              <w:ind w:right="100"/>
              <w:spacing w:after="0"/>
              <w:rPr>
                <w:sz w:val="20"/>
                <w:szCs w:val="20"/>
                <w:color w:val="auto"/>
              </w:rPr>
            </w:pPr>
            <w:r>
              <w:rPr>
                <w:rFonts w:ascii="Arial" w:cs="Arial" w:eastAsia="Arial" w:hAnsi="Arial"/>
                <w:sz w:val="18"/>
                <w:szCs w:val="18"/>
                <w:color w:val="auto"/>
              </w:rPr>
              <w:t>Largest Obligor shall not exceed 10%</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None</w:t>
            </w:r>
          </w:p>
        </w:tc>
        <w:tc>
          <w:tcPr>
            <w:tcW w:w="2800" w:type="dxa"/>
            <w:vAlign w:val="bottom"/>
          </w:tcPr>
          <w:p>
            <w:pPr>
              <w:spacing w:after="0"/>
              <w:rPr>
                <w:sz w:val="20"/>
                <w:szCs w:val="20"/>
                <w:color w:val="auto"/>
              </w:rPr>
            </w:pPr>
            <w:r>
              <w:rPr>
                <w:rFonts w:ascii="Arial" w:cs="Arial" w:eastAsia="Arial" w:hAnsi="Arial"/>
                <w:sz w:val="18"/>
                <w:szCs w:val="18"/>
                <w:color w:val="auto"/>
              </w:rPr>
              <w:t>Senior B Loan Obligations plus</w:t>
            </w:r>
          </w:p>
        </w:tc>
      </w:tr>
      <w:tr>
        <w:trPr>
          <w:trHeight w:val="216"/>
        </w:trPr>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gridSpan w:val="2"/>
          </w:tcPr>
          <w:p>
            <w:pPr>
              <w:jc w:val="right"/>
              <w:ind w:right="100"/>
              <w:spacing w:after="0"/>
              <w:rPr>
                <w:sz w:val="20"/>
                <w:szCs w:val="20"/>
                <w:color w:val="auto"/>
              </w:rPr>
            </w:pPr>
            <w:r>
              <w:rPr>
                <w:rFonts w:ascii="Arial" w:cs="Arial" w:eastAsia="Arial" w:hAnsi="Arial"/>
                <w:sz w:val="18"/>
                <w:szCs w:val="18"/>
                <w:color w:val="auto"/>
              </w:rPr>
              <w:t>2nd-6th largest Obligors shall not exceed 7.5%</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2"/>
              </w:rPr>
              <w:t>Eligible Second Lien Obligations shall</w:t>
            </w:r>
          </w:p>
        </w:tc>
      </w:tr>
      <w:tr>
        <w:trPr>
          <w:trHeight w:val="216"/>
        </w:trPr>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gridSpan w:val="2"/>
          </w:tcPr>
          <w:p>
            <w:pPr>
              <w:jc w:val="right"/>
              <w:ind w:right="100"/>
              <w:spacing w:after="0"/>
              <w:rPr>
                <w:sz w:val="20"/>
                <w:szCs w:val="20"/>
                <w:color w:val="auto"/>
              </w:rPr>
            </w:pPr>
            <w:r>
              <w:rPr>
                <w:rFonts w:ascii="Arial" w:cs="Arial" w:eastAsia="Arial" w:hAnsi="Arial"/>
                <w:sz w:val="18"/>
                <w:szCs w:val="18"/>
                <w:color w:val="auto"/>
              </w:rPr>
              <w:t>No other Obligor shall exceed 5%</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not exceed 15%</w:t>
            </w:r>
          </w:p>
        </w:tc>
      </w:tr>
      <w:tr>
        <w:trPr>
          <w:trHeight w:val="216"/>
        </w:trPr>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2"/>
              </w:rPr>
              <w:t>Eligible Second Lien Obligations shall</w:t>
            </w:r>
          </w:p>
        </w:tc>
      </w:tr>
      <w:tr>
        <w:trPr>
          <w:trHeight w:val="230"/>
        </w:trPr>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not exceed 10%</w:t>
            </w:r>
          </w:p>
        </w:tc>
      </w:tr>
      <w:tr>
        <w:trPr>
          <w:trHeight w:val="215"/>
        </w:trPr>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6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58.00%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None</w:t>
            </w:r>
          </w:p>
        </w:tc>
        <w:tc>
          <w:tcPr>
            <w:tcW w:w="3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Largest Obligor shall not exceed 10%</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None</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Senior B Loan Obligations plus</w:t>
            </w:r>
          </w:p>
        </w:tc>
      </w:tr>
      <w:tr>
        <w:trPr>
          <w:trHeight w:val="216"/>
        </w:trPr>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2nd-6th largest Obligors shall not exceed 7.5%</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2"/>
              </w:rPr>
              <w:t>Eligible Second Lien Obligations shall</w:t>
            </w:r>
          </w:p>
        </w:tc>
      </w:tr>
      <w:tr>
        <w:trPr>
          <w:trHeight w:val="216"/>
        </w:trPr>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 other Obligor shall exceed 5%</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not exceed 0%</w:t>
            </w:r>
          </w:p>
        </w:tc>
      </w:tr>
      <w:tr>
        <w:trPr>
          <w:trHeight w:val="216"/>
        </w:trPr>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2"/>
              </w:rPr>
              <w:t>Eligible Second Lien Obligations shall</w:t>
            </w:r>
          </w:p>
        </w:tc>
      </w:tr>
      <w:tr>
        <w:trPr>
          <w:trHeight w:val="238"/>
        </w:trPr>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not exceed 0%</w:t>
            </w:r>
          </w:p>
        </w:tc>
      </w:tr>
      <w:tr>
        <w:trPr>
          <w:trHeight w:val="208"/>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6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58.50%</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3900" w:type="dxa"/>
            <w:vAlign w:val="bottom"/>
            <w:gridSpan w:val="2"/>
          </w:tcPr>
          <w:p>
            <w:pPr>
              <w:jc w:val="right"/>
              <w:ind w:right="100"/>
              <w:spacing w:after="0"/>
              <w:rPr>
                <w:sz w:val="20"/>
                <w:szCs w:val="20"/>
                <w:color w:val="auto"/>
              </w:rPr>
            </w:pPr>
            <w:r>
              <w:rPr>
                <w:rFonts w:ascii="Arial" w:cs="Arial" w:eastAsia="Arial" w:hAnsi="Arial"/>
                <w:sz w:val="18"/>
                <w:szCs w:val="18"/>
                <w:color w:val="auto"/>
              </w:rPr>
              <w:t>Largest Obligor shall not exceed 10%</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50% of Aggregate</w:t>
            </w:r>
          </w:p>
        </w:tc>
        <w:tc>
          <w:tcPr>
            <w:tcW w:w="2800" w:type="dxa"/>
            <w:vAlign w:val="bottom"/>
          </w:tcPr>
          <w:p>
            <w:pPr>
              <w:spacing w:after="0"/>
              <w:rPr>
                <w:sz w:val="20"/>
                <w:szCs w:val="20"/>
                <w:color w:val="auto"/>
              </w:rPr>
            </w:pPr>
            <w:r>
              <w:rPr>
                <w:rFonts w:ascii="Arial" w:cs="Arial" w:eastAsia="Arial" w:hAnsi="Arial"/>
                <w:sz w:val="18"/>
                <w:szCs w:val="18"/>
                <w:color w:val="auto"/>
              </w:rPr>
              <w:t>Senior B Loan Obligations plus</w:t>
            </w:r>
          </w:p>
        </w:tc>
      </w:tr>
      <w:tr>
        <w:trPr>
          <w:trHeight w:val="216"/>
        </w:trPr>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gridSpan w:val="2"/>
          </w:tcPr>
          <w:p>
            <w:pPr>
              <w:jc w:val="right"/>
              <w:ind w:right="100"/>
              <w:spacing w:after="0"/>
              <w:rPr>
                <w:sz w:val="20"/>
                <w:szCs w:val="20"/>
                <w:color w:val="auto"/>
              </w:rPr>
            </w:pPr>
            <w:r>
              <w:rPr>
                <w:rFonts w:ascii="Arial" w:cs="Arial" w:eastAsia="Arial" w:hAnsi="Arial"/>
                <w:sz w:val="18"/>
                <w:szCs w:val="18"/>
                <w:color w:val="auto"/>
              </w:rPr>
              <w:t>2nd-6th largest Obligors shall not exceed 7.5%</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Collateral Balance</w:t>
            </w:r>
          </w:p>
        </w:tc>
        <w:tc>
          <w:tcPr>
            <w:tcW w:w="2800" w:type="dxa"/>
            <w:vAlign w:val="bottom"/>
          </w:tcPr>
          <w:p>
            <w:pPr>
              <w:spacing w:after="0"/>
              <w:rPr>
                <w:sz w:val="20"/>
                <w:szCs w:val="20"/>
                <w:color w:val="auto"/>
              </w:rPr>
            </w:pPr>
            <w:r>
              <w:rPr>
                <w:rFonts w:ascii="Arial" w:cs="Arial" w:eastAsia="Arial" w:hAnsi="Arial"/>
                <w:sz w:val="18"/>
                <w:szCs w:val="18"/>
                <w:color w:val="auto"/>
                <w:w w:val="92"/>
              </w:rPr>
              <w:t>Eligible Second Lien Obligations shall</w:t>
            </w:r>
          </w:p>
        </w:tc>
      </w:tr>
      <w:tr>
        <w:trPr>
          <w:trHeight w:val="216"/>
        </w:trPr>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gridSpan w:val="2"/>
          </w:tcPr>
          <w:p>
            <w:pPr>
              <w:jc w:val="right"/>
              <w:ind w:right="100"/>
              <w:spacing w:after="0"/>
              <w:rPr>
                <w:sz w:val="20"/>
                <w:szCs w:val="20"/>
                <w:color w:val="auto"/>
              </w:rPr>
            </w:pPr>
            <w:r>
              <w:rPr>
                <w:rFonts w:ascii="Arial" w:cs="Arial" w:eastAsia="Arial" w:hAnsi="Arial"/>
                <w:sz w:val="18"/>
                <w:szCs w:val="18"/>
                <w:color w:val="auto"/>
              </w:rPr>
              <w:t>No other Obligor shall exceed 5%</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must be B/B2 or better</w:t>
            </w:r>
          </w:p>
        </w:tc>
        <w:tc>
          <w:tcPr>
            <w:tcW w:w="2800" w:type="dxa"/>
            <w:vAlign w:val="bottom"/>
          </w:tcPr>
          <w:p>
            <w:pPr>
              <w:spacing w:after="0"/>
              <w:rPr>
                <w:sz w:val="20"/>
                <w:szCs w:val="20"/>
                <w:color w:val="auto"/>
              </w:rPr>
            </w:pPr>
            <w:r>
              <w:rPr>
                <w:rFonts w:ascii="Arial" w:cs="Arial" w:eastAsia="Arial" w:hAnsi="Arial"/>
                <w:sz w:val="18"/>
                <w:szCs w:val="18"/>
                <w:color w:val="auto"/>
              </w:rPr>
              <w:t>not exceed 15%</w:t>
            </w:r>
          </w:p>
        </w:tc>
      </w:tr>
      <w:tr>
        <w:trPr>
          <w:trHeight w:val="216"/>
        </w:trPr>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2"/>
              </w:rPr>
              <w:t>Eligible Second Lien Obligations shall</w:t>
            </w:r>
          </w:p>
        </w:tc>
      </w:tr>
      <w:tr>
        <w:trPr>
          <w:trHeight w:val="230"/>
        </w:trPr>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not exceed 10%</w:t>
            </w:r>
          </w:p>
        </w:tc>
      </w:tr>
      <w:tr>
        <w:trPr>
          <w:trHeight w:val="215"/>
        </w:trPr>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6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60.00%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Largest 2 Obligors shall not exceed 7.5%</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50% of Aggregate</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Senior B Loan Obligations plus</w:t>
            </w:r>
          </w:p>
        </w:tc>
      </w:tr>
      <w:tr>
        <w:trPr>
          <w:trHeight w:val="216"/>
        </w:trPr>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3rd-7th largest Obligors shall not exceed 5%</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Collateral Balance must</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2"/>
              </w:rPr>
              <w:t>Eligible Second Lien Obligations shall</w:t>
            </w:r>
          </w:p>
        </w:tc>
      </w:tr>
      <w:tr>
        <w:trPr>
          <w:trHeight w:val="216"/>
        </w:trPr>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 other Obligor shall exceed 4%</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be B/B2 or better</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not exceed 15%</w:t>
            </w:r>
          </w:p>
        </w:tc>
      </w:tr>
      <w:tr>
        <w:trPr>
          <w:trHeight w:val="216"/>
        </w:trPr>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2"/>
              </w:rPr>
              <w:t>Eligible Second Lien Obligations shall</w:t>
            </w:r>
          </w:p>
        </w:tc>
      </w:tr>
      <w:tr>
        <w:trPr>
          <w:trHeight w:val="238"/>
        </w:trPr>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not exceed 10%</w:t>
            </w:r>
          </w:p>
        </w:tc>
      </w:tr>
      <w:tr>
        <w:trPr>
          <w:trHeight w:val="208"/>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6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60.50%</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3900" w:type="dxa"/>
            <w:vAlign w:val="bottom"/>
            <w:gridSpan w:val="2"/>
          </w:tcPr>
          <w:p>
            <w:pPr>
              <w:jc w:val="right"/>
              <w:ind w:right="100"/>
              <w:spacing w:after="0"/>
              <w:rPr>
                <w:sz w:val="20"/>
                <w:szCs w:val="20"/>
                <w:color w:val="auto"/>
              </w:rPr>
            </w:pPr>
            <w:r>
              <w:rPr>
                <w:rFonts w:ascii="Arial" w:cs="Arial" w:eastAsia="Arial" w:hAnsi="Arial"/>
                <w:sz w:val="18"/>
                <w:szCs w:val="18"/>
                <w:color w:val="auto"/>
              </w:rPr>
              <w:t>Largest 2 Obligors shall not exceed 7.5%</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50% of Aggregate</w:t>
            </w:r>
          </w:p>
        </w:tc>
        <w:tc>
          <w:tcPr>
            <w:tcW w:w="2800" w:type="dxa"/>
            <w:vAlign w:val="bottom"/>
          </w:tcPr>
          <w:p>
            <w:pPr>
              <w:spacing w:after="0"/>
              <w:rPr>
                <w:sz w:val="20"/>
                <w:szCs w:val="20"/>
                <w:color w:val="auto"/>
              </w:rPr>
            </w:pPr>
            <w:r>
              <w:rPr>
                <w:rFonts w:ascii="Arial" w:cs="Arial" w:eastAsia="Arial" w:hAnsi="Arial"/>
                <w:sz w:val="18"/>
                <w:szCs w:val="18"/>
                <w:color w:val="auto"/>
              </w:rPr>
              <w:t>Senior B Loan Obligations plus</w:t>
            </w:r>
          </w:p>
        </w:tc>
      </w:tr>
      <w:tr>
        <w:trPr>
          <w:trHeight w:val="216"/>
        </w:trPr>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gridSpan w:val="2"/>
          </w:tcPr>
          <w:p>
            <w:pPr>
              <w:jc w:val="right"/>
              <w:ind w:right="100"/>
              <w:spacing w:after="0"/>
              <w:rPr>
                <w:sz w:val="20"/>
                <w:szCs w:val="20"/>
                <w:color w:val="auto"/>
              </w:rPr>
            </w:pPr>
            <w:r>
              <w:rPr>
                <w:rFonts w:ascii="Arial" w:cs="Arial" w:eastAsia="Arial" w:hAnsi="Arial"/>
                <w:sz w:val="18"/>
                <w:szCs w:val="18"/>
                <w:color w:val="auto"/>
              </w:rPr>
              <w:t>3rd-7th largest Obligors shall not exceed 5%</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Collateral Balance must</w:t>
            </w:r>
          </w:p>
        </w:tc>
        <w:tc>
          <w:tcPr>
            <w:tcW w:w="2800" w:type="dxa"/>
            <w:vAlign w:val="bottom"/>
          </w:tcPr>
          <w:p>
            <w:pPr>
              <w:spacing w:after="0"/>
              <w:rPr>
                <w:sz w:val="20"/>
                <w:szCs w:val="20"/>
                <w:color w:val="auto"/>
              </w:rPr>
            </w:pPr>
            <w:r>
              <w:rPr>
                <w:rFonts w:ascii="Arial" w:cs="Arial" w:eastAsia="Arial" w:hAnsi="Arial"/>
                <w:sz w:val="18"/>
                <w:szCs w:val="18"/>
                <w:color w:val="auto"/>
                <w:w w:val="92"/>
              </w:rPr>
              <w:t>Eligible Second Lien Obligations shall</w:t>
            </w:r>
          </w:p>
        </w:tc>
      </w:tr>
      <w:tr>
        <w:trPr>
          <w:trHeight w:val="216"/>
        </w:trPr>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gridSpan w:val="2"/>
          </w:tcPr>
          <w:p>
            <w:pPr>
              <w:jc w:val="right"/>
              <w:ind w:right="100"/>
              <w:spacing w:after="0"/>
              <w:rPr>
                <w:sz w:val="20"/>
                <w:szCs w:val="20"/>
                <w:color w:val="auto"/>
              </w:rPr>
            </w:pPr>
            <w:r>
              <w:rPr>
                <w:rFonts w:ascii="Arial" w:cs="Arial" w:eastAsia="Arial" w:hAnsi="Arial"/>
                <w:sz w:val="18"/>
                <w:szCs w:val="18"/>
                <w:color w:val="auto"/>
              </w:rPr>
              <w:t>No other Obligor shall exceed 4%</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be B/B2 or better</w:t>
            </w:r>
          </w:p>
        </w:tc>
        <w:tc>
          <w:tcPr>
            <w:tcW w:w="2800" w:type="dxa"/>
            <w:vAlign w:val="bottom"/>
          </w:tcPr>
          <w:p>
            <w:pPr>
              <w:spacing w:after="0"/>
              <w:rPr>
                <w:sz w:val="20"/>
                <w:szCs w:val="20"/>
                <w:color w:val="auto"/>
              </w:rPr>
            </w:pPr>
            <w:r>
              <w:rPr>
                <w:rFonts w:ascii="Arial" w:cs="Arial" w:eastAsia="Arial" w:hAnsi="Arial"/>
                <w:sz w:val="18"/>
                <w:szCs w:val="18"/>
                <w:color w:val="auto"/>
              </w:rPr>
              <w:t>not exceed 0%</w:t>
            </w:r>
          </w:p>
        </w:tc>
      </w:tr>
      <w:tr>
        <w:trPr>
          <w:trHeight w:val="216"/>
        </w:trPr>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2"/>
              </w:rPr>
              <w:t>Eligible Second Lien Obligations shall</w:t>
            </w:r>
          </w:p>
        </w:tc>
      </w:tr>
      <w:tr>
        <w:trPr>
          <w:trHeight w:val="222"/>
        </w:trPr>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not exceed 0%</w:t>
            </w:r>
          </w:p>
        </w:tc>
      </w:tr>
    </w:tbl>
    <w:p>
      <w:pPr>
        <w:sectPr>
          <w:pgSz w:w="11900" w:h="16838" w:orient="portrait"/>
          <w:cols w:equalWidth="0" w:num="1">
            <w:col w:w="11240"/>
          </w:cols>
          <w:pgMar w:left="320" w:top="274" w:right="339" w:bottom="1440" w:gutter="0" w:footer="0" w:header="0"/>
        </w:sectPr>
      </w:pPr>
    </w:p>
    <w:bookmarkStart w:id="198" w:name="page199"/>
    <w:bookmarkEnd w:id="198"/>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6</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ectPr>
          <w:pgSz w:w="11900" w:h="16838" w:orient="portrait"/>
          <w:cols w:equalWidth="0" w:num="1">
            <w:col w:w="10139"/>
          </w:cols>
          <w:pgMar w:left="320" w:top="274" w:right="1440"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If to the Administrative Agent: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 24</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Peden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404.813.5006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404.813.0000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Email: Michael.Peden@SunTrust.com</w:t>
      </w:r>
    </w:p>
    <w:p>
      <w:pPr>
        <w:spacing w:after="0" w:line="159" w:lineRule="exact"/>
        <w:rPr>
          <w:sz w:val="20"/>
          <w:szCs w:val="20"/>
          <w:color w:val="auto"/>
        </w:rPr>
      </w:pPr>
    </w:p>
    <w:p>
      <w:pPr>
        <w:sectPr>
          <w:pgSz w:w="11900" w:h="16838" w:orient="portrait"/>
          <w:cols w:equalWidth="0" w:num="2">
            <w:col w:w="2780" w:space="720"/>
            <w:col w:w="6639"/>
          </w:cols>
          <w:pgMar w:left="320" w:top="274" w:right="1440" w:bottom="1440" w:gutter="0" w:footer="0" w:header="0"/>
          <w:type w:val="continuous"/>
        </w:sectPr>
      </w:pPr>
    </w:p>
    <w:p>
      <w:pPr>
        <w:spacing w:after="0"/>
        <w:rPr>
          <w:sz w:val="20"/>
          <w:szCs w:val="20"/>
          <w:color w:val="auto"/>
        </w:rPr>
      </w:pPr>
      <w:r>
        <w:rPr>
          <w:rFonts w:ascii="Arial" w:cs="Arial" w:eastAsia="Arial" w:hAnsi="Arial"/>
          <w:sz w:val="15"/>
          <w:szCs w:val="15"/>
          <w:color w:val="auto"/>
        </w:rPr>
        <w:t>SunTrust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If for Notices of Borrowing or Paydown Notices:</w:t>
      </w:r>
    </w:p>
    <w:p>
      <w:pPr>
        <w:spacing w:after="0" w:line="113" w:lineRule="exact"/>
        <w:rPr>
          <w:sz w:val="20"/>
          <w:szCs w:val="20"/>
          <w:color w:val="auto"/>
        </w:rPr>
      </w:pPr>
    </w:p>
    <w:p>
      <w:pPr>
        <w:sectPr>
          <w:pgSz w:w="11900" w:h="16838" w:orient="portrait"/>
          <w:cols w:equalWidth="0" w:num="2">
            <w:col w:w="2780" w:space="720"/>
            <w:col w:w="6639"/>
          </w:cols>
          <w:pgMar w:left="320" w:top="274" w:right="1440" w:bottom="1440" w:gutter="0" w:footer="0" w:header="0"/>
          <w:type w:val="continuous"/>
        </w:sectPr>
      </w:pPr>
    </w:p>
    <w:p>
      <w:pPr>
        <w:ind w:left="350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303 Peachtree Street, NE</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24th Floor</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Atlanta, GA 30308</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Email: Three.Pillars@SunTrust.com</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Attention: ASG Funding</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Telephone: (404) 658-4568</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Facsimile: (404) 495-2171</w:t>
      </w:r>
    </w:p>
    <w:p>
      <w:pPr>
        <w:spacing w:after="0" w:line="84"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303 Peachtree Street NE</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24th Floor, MC 3950</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5"/>
          <w:szCs w:val="15"/>
          <w:color w:val="auto"/>
        </w:rPr>
        <w:t>Email: TPFC.AssetManagement@SunTrust.com</w:t>
      </w:r>
    </w:p>
    <w:p>
      <w:pPr>
        <w:spacing w:after="0" w:line="44"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Attention: ASG Portfolio Management</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Telephone: (404) 813-5006</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Facsimile: (404) 813-0000</w:t>
      </w:r>
    </w:p>
    <w:p>
      <w:pPr>
        <w:spacing w:after="0" w:line="84"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If for reporting or compliance submissions:</w:t>
      </w:r>
    </w:p>
    <w:p>
      <w:pPr>
        <w:spacing w:after="0" w:line="90"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303 Peachtree Street, NE</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24th Floor Atlanta, GA 30308</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5"/>
          <w:szCs w:val="15"/>
          <w:color w:val="auto"/>
        </w:rPr>
        <w:t>Email: TPFC.AssetManagement@SunTrust.com</w:t>
      </w:r>
    </w:p>
    <w:p>
      <w:pPr>
        <w:spacing w:after="0" w:line="44"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Phone: (404) 813-5006</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Fax: (404) 813-0000</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Primary Contact: Michael Peden</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Secondary Contact: Charles Gentles</w:t>
      </w:r>
    </w:p>
    <w:p>
      <w:pPr>
        <w:sectPr>
          <w:pgSz w:w="11900" w:h="16838" w:orient="portrait"/>
          <w:cols w:equalWidth="0" w:num="1">
            <w:col w:w="10139"/>
          </w:cols>
          <w:pgMar w:left="320" w:top="274" w:right="1440" w:bottom="1440" w:gutter="0" w:footer="0" w:header="0"/>
          <w:type w:val="continuous"/>
        </w:sectPr>
      </w:pPr>
    </w:p>
    <w:bookmarkStart w:id="199" w:name="page200"/>
    <w:bookmarkEnd w:id="199"/>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If to the Collateral Agent, the Collateral</w:t>
            </w: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4"/>
              </w:rPr>
              <w:t>Administrator or the Securities Intermediary:</w:t>
            </w: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Corporate Trust Services – CDO Unit</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One Federal Street, Third Floor</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Boston, Massachusetts</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Attn: Jennifer Vlasuk</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Ref: PennantPark Floating Rate Funding I, LLC</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Facsimile No.: 866-350-2904</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Telephone No: 617-603-6461</w:t>
            </w:r>
          </w:p>
        </w:tc>
      </w:tr>
      <w:tr>
        <w:trPr>
          <w:trHeight w:val="184"/>
        </w:trPr>
        <w:tc>
          <w:tcPr>
            <w:tcW w:w="3340" w:type="dxa"/>
            <w:vAlign w:val="bottom"/>
          </w:tcPr>
          <w:p>
            <w:pPr>
              <w:spacing w:after="0"/>
              <w:rPr>
                <w:sz w:val="15"/>
                <w:szCs w:val="15"/>
                <w:color w:val="auto"/>
              </w:rPr>
            </w:pPr>
          </w:p>
        </w:tc>
        <w:tc>
          <w:tcPr>
            <w:tcW w:w="3960" w:type="dxa"/>
            <w:vAlign w:val="bottom"/>
            <w:gridSpan w:val="3"/>
          </w:tcPr>
          <w:p>
            <w:pPr>
              <w:ind w:left="160"/>
              <w:spacing w:after="0" w:line="184" w:lineRule="exact"/>
              <w:rPr>
                <w:sz w:val="20"/>
                <w:szCs w:val="20"/>
                <w:color w:val="auto"/>
              </w:rPr>
            </w:pPr>
            <w:r>
              <w:rPr>
                <w:rFonts w:ascii="Arial" w:cs="Arial" w:eastAsia="Arial" w:hAnsi="Arial"/>
                <w:sz w:val="18"/>
                <w:szCs w:val="18"/>
                <w:color w:val="auto"/>
              </w:rPr>
              <w:t>E-mail: jennifer.vlasuk@usbank.com</w:t>
            </w:r>
          </w:p>
        </w:tc>
      </w:tr>
      <w:tr>
        <w:trPr>
          <w:trHeight w:val="20"/>
        </w:trPr>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50"/>
        </w:trPr>
        <w:tc>
          <w:tcPr>
            <w:tcW w:w="3340" w:type="dxa"/>
            <w:vAlign w:val="bottom"/>
          </w:tcPr>
          <w:p>
            <w:pPr>
              <w:spacing w:after="0"/>
              <w:rPr>
                <w:sz w:val="20"/>
                <w:szCs w:val="20"/>
                <w:color w:val="auto"/>
              </w:rPr>
            </w:pPr>
            <w:r>
              <w:rPr>
                <w:rFonts w:ascii="Arial" w:cs="Arial" w:eastAsia="Arial" w:hAnsi="Arial"/>
                <w:sz w:val="18"/>
                <w:szCs w:val="18"/>
                <w:color w:val="auto"/>
              </w:rPr>
              <w:t>If to the Custodian:</w:t>
            </w: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1719 Range Way</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Florence, South Carolina 29501</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Mail Code: Ex - SC - FLOR</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Ref: PennantPark Floating Rate Funding I, LLC</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Attn: Steven Garrett</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E-mail: steven.garrett@usbank.com</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Facsimile No.: 843-673-0162</w:t>
            </w:r>
          </w:p>
        </w:tc>
      </w:tr>
      <w:tr>
        <w:trPr>
          <w:trHeight w:val="222"/>
        </w:trPr>
        <w:tc>
          <w:tcPr>
            <w:tcW w:w="3340" w:type="dxa"/>
            <w:vAlign w:val="bottom"/>
          </w:tcPr>
          <w:p>
            <w:pPr>
              <w:spacing w:after="0"/>
              <w:rPr>
                <w:sz w:val="19"/>
                <w:szCs w:val="19"/>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Telephone No: 843-676-8901</w:t>
            </w:r>
          </w:p>
        </w:tc>
      </w:tr>
      <w:tr>
        <w:trPr>
          <w:trHeight w:val="331"/>
        </w:trPr>
        <w:tc>
          <w:tcPr>
            <w:tcW w:w="3340" w:type="dxa"/>
            <w:vAlign w:val="bottom"/>
          </w:tcPr>
          <w:p>
            <w:pPr>
              <w:spacing w:after="0"/>
              <w:rPr>
                <w:sz w:val="20"/>
                <w:szCs w:val="20"/>
                <w:color w:val="auto"/>
              </w:rPr>
            </w:pPr>
            <w:r>
              <w:rPr>
                <w:rFonts w:ascii="Arial" w:cs="Arial" w:eastAsia="Arial" w:hAnsi="Arial"/>
                <w:sz w:val="18"/>
                <w:szCs w:val="18"/>
                <w:color w:val="auto"/>
              </w:rPr>
              <w:t>If to the Backup Collateral Manager:</w:t>
            </w: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Corporate Trust Services</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w w:val="87"/>
              </w:rPr>
              <w:t>Backup Servicing/PennantPark Floating Rate Funding</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EP-MN-WS3D</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60 Livingston Avenue</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St. Paul, MN 55107</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Attn Deborah Jones Franco</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Facsimile: 651-495-8090</w:t>
            </w:r>
          </w:p>
        </w:tc>
      </w:tr>
      <w:tr>
        <w:trPr>
          <w:trHeight w:val="216"/>
        </w:trPr>
        <w:tc>
          <w:tcPr>
            <w:tcW w:w="334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Telephone No.: 651-495-3413</w:t>
            </w:r>
          </w:p>
        </w:tc>
      </w:tr>
      <w:tr>
        <w:trPr>
          <w:trHeight w:val="222"/>
        </w:trPr>
        <w:tc>
          <w:tcPr>
            <w:tcW w:w="3340" w:type="dxa"/>
            <w:vAlign w:val="bottom"/>
          </w:tcPr>
          <w:p>
            <w:pPr>
              <w:spacing w:after="0"/>
              <w:rPr>
                <w:sz w:val="19"/>
                <w:szCs w:val="19"/>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E-mail: Deborah.Franco@USBank.com</w:t>
            </w:r>
          </w:p>
        </w:tc>
      </w:tr>
    </w:tbl>
    <w:p>
      <w:pPr>
        <w:ind w:left="160"/>
        <w:spacing w:after="0"/>
        <w:rPr>
          <w:sz w:val="20"/>
          <w:szCs w:val="20"/>
          <w:color w:val="auto"/>
        </w:rPr>
        <w:sectPr>
          <w:pgSz w:w="11900" w:h="16838" w:orient="portrait"/>
          <w:cols w:equalWidth="0" w:num="1">
            <w:col w:w="10139"/>
          </w:cols>
          <w:pgMar w:left="320" w:top="388"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0" w:name="page201"/>
    <w:bookmarkEnd w:id="200"/>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If to the Borrower:</w:t>
            </w: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w w:val="89"/>
              </w:rPr>
              <w:t>PennantPark Floating Rate Funding I, LLC</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w w:val="87"/>
              </w:rPr>
              <w:t>c/o PennantPark Investment Advisers, LLC</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New York, NY 10022</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Attention: Arthur Penn</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Telephone No.: (212) 905-1010</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Facsimile No.: (212) 905-1075</w:t>
            </w:r>
          </w:p>
        </w:tc>
      </w:tr>
      <w:tr>
        <w:trPr>
          <w:trHeight w:val="184"/>
        </w:trPr>
        <w:tc>
          <w:tcPr>
            <w:tcW w:w="2760" w:type="dxa"/>
            <w:vAlign w:val="bottom"/>
          </w:tcPr>
          <w:p>
            <w:pPr>
              <w:spacing w:after="0"/>
              <w:rPr>
                <w:sz w:val="15"/>
                <w:szCs w:val="15"/>
                <w:color w:val="auto"/>
              </w:rPr>
            </w:pPr>
          </w:p>
        </w:tc>
        <w:tc>
          <w:tcPr>
            <w:tcW w:w="3780" w:type="dxa"/>
            <w:vAlign w:val="bottom"/>
            <w:gridSpan w:val="3"/>
          </w:tcPr>
          <w:p>
            <w:pPr>
              <w:ind w:left="740"/>
              <w:spacing w:after="0" w:line="184" w:lineRule="exact"/>
              <w:rPr>
                <w:sz w:val="20"/>
                <w:szCs w:val="20"/>
                <w:color w:val="auto"/>
              </w:rPr>
            </w:pPr>
            <w:r>
              <w:rPr>
                <w:rFonts w:ascii="Arial" w:cs="Arial" w:eastAsia="Arial" w:hAnsi="Arial"/>
                <w:sz w:val="18"/>
                <w:szCs w:val="18"/>
                <w:color w:val="auto"/>
              </w:rPr>
              <w:t>Email: Penn@pennantpark.com</w:t>
            </w:r>
          </w:p>
        </w:tc>
      </w:tr>
      <w:tr>
        <w:trPr>
          <w:trHeight w:val="315"/>
        </w:trPr>
        <w:tc>
          <w:tcPr>
            <w:tcW w:w="2760" w:type="dxa"/>
            <w:vAlign w:val="bottom"/>
          </w:tcPr>
          <w:p>
            <w:pPr>
              <w:spacing w:after="0"/>
              <w:rPr>
                <w:sz w:val="24"/>
                <w:szCs w:val="24"/>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rPr>
              <w:t>and:</w:t>
            </w:r>
          </w:p>
        </w:tc>
        <w:tc>
          <w:tcPr>
            <w:tcW w:w="172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r>
      <w:tr>
        <w:trPr>
          <w:trHeight w:val="291"/>
        </w:trPr>
        <w:tc>
          <w:tcPr>
            <w:tcW w:w="2760" w:type="dxa"/>
            <w:vAlign w:val="bottom"/>
          </w:tcPr>
          <w:p>
            <w:pPr>
              <w:spacing w:after="0"/>
              <w:rPr>
                <w:sz w:val="24"/>
                <w:szCs w:val="24"/>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Attention: Aviv Efrat</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Phone: (212) 905-1001</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Facsimile No.: (212) 905-1075</w:t>
            </w:r>
          </w:p>
        </w:tc>
      </w:tr>
      <w:tr>
        <w:trPr>
          <w:trHeight w:val="184"/>
        </w:trPr>
        <w:tc>
          <w:tcPr>
            <w:tcW w:w="2760" w:type="dxa"/>
            <w:vAlign w:val="bottom"/>
          </w:tcPr>
          <w:p>
            <w:pPr>
              <w:spacing w:after="0"/>
              <w:rPr>
                <w:sz w:val="15"/>
                <w:szCs w:val="15"/>
                <w:color w:val="auto"/>
              </w:rPr>
            </w:pPr>
          </w:p>
        </w:tc>
        <w:tc>
          <w:tcPr>
            <w:tcW w:w="3780" w:type="dxa"/>
            <w:vAlign w:val="bottom"/>
            <w:gridSpan w:val="3"/>
          </w:tcPr>
          <w:p>
            <w:pPr>
              <w:ind w:left="740"/>
              <w:spacing w:after="0" w:line="184" w:lineRule="exact"/>
              <w:rPr>
                <w:sz w:val="20"/>
                <w:szCs w:val="20"/>
                <w:color w:val="auto"/>
              </w:rPr>
            </w:pPr>
            <w:r>
              <w:rPr>
                <w:rFonts w:ascii="Arial" w:cs="Arial" w:eastAsia="Arial" w:hAnsi="Arial"/>
                <w:sz w:val="18"/>
                <w:szCs w:val="18"/>
                <w:color w:val="auto"/>
              </w:rPr>
              <w:t>Email: Efrat@pennantpark.com</w:t>
            </w:r>
          </w:p>
        </w:tc>
      </w:tr>
      <w:tr>
        <w:trPr>
          <w:trHeight w:val="20"/>
        </w:trPr>
        <w:tc>
          <w:tcPr>
            <w:tcW w:w="2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50"/>
        </w:trPr>
        <w:tc>
          <w:tcPr>
            <w:tcW w:w="2760" w:type="dxa"/>
            <w:vAlign w:val="bottom"/>
          </w:tcPr>
          <w:p>
            <w:pPr>
              <w:spacing w:after="0"/>
              <w:rPr>
                <w:sz w:val="20"/>
                <w:szCs w:val="20"/>
                <w:color w:val="auto"/>
              </w:rPr>
            </w:pPr>
            <w:r>
              <w:rPr>
                <w:rFonts w:ascii="Arial" w:cs="Arial" w:eastAsia="Arial" w:hAnsi="Arial"/>
                <w:sz w:val="18"/>
                <w:szCs w:val="18"/>
                <w:color w:val="auto"/>
              </w:rPr>
              <w:t>If to the Collateral Manager:</w:t>
            </w: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w w:val="96"/>
              </w:rPr>
              <w:t>PennantPark Investment Advisers, LLC</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New York, NY 10022</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Attention: Arthur Penn</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Telephone No.: (212) 905-1010</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Facsimile No.: (212) 905-1075</w:t>
            </w:r>
          </w:p>
        </w:tc>
      </w:tr>
      <w:tr>
        <w:trPr>
          <w:trHeight w:val="222"/>
        </w:trPr>
        <w:tc>
          <w:tcPr>
            <w:tcW w:w="2760" w:type="dxa"/>
            <w:vAlign w:val="bottom"/>
          </w:tcPr>
          <w:p>
            <w:pPr>
              <w:spacing w:after="0"/>
              <w:rPr>
                <w:sz w:val="19"/>
                <w:szCs w:val="19"/>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Email: Penn@pennantpark.com</w:t>
            </w:r>
          </w:p>
        </w:tc>
      </w:tr>
      <w:tr>
        <w:trPr>
          <w:trHeight w:val="297"/>
        </w:trPr>
        <w:tc>
          <w:tcPr>
            <w:tcW w:w="2760" w:type="dxa"/>
            <w:vAlign w:val="bottom"/>
          </w:tcPr>
          <w:p>
            <w:pPr>
              <w:spacing w:after="0"/>
              <w:rPr>
                <w:sz w:val="24"/>
                <w:szCs w:val="24"/>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and:</w:t>
            </w:r>
          </w:p>
        </w:tc>
      </w:tr>
      <w:tr>
        <w:trPr>
          <w:trHeight w:val="291"/>
        </w:trPr>
        <w:tc>
          <w:tcPr>
            <w:tcW w:w="2760" w:type="dxa"/>
            <w:vAlign w:val="bottom"/>
          </w:tcPr>
          <w:p>
            <w:pPr>
              <w:spacing w:after="0"/>
              <w:rPr>
                <w:sz w:val="24"/>
                <w:szCs w:val="24"/>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Attention: Sal Giannetti III</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Phone: (212) 905-1050</w:t>
            </w:r>
          </w:p>
        </w:tc>
      </w:tr>
      <w:tr>
        <w:trPr>
          <w:trHeight w:val="216"/>
        </w:trPr>
        <w:tc>
          <w:tcPr>
            <w:tcW w:w="2760" w:type="dxa"/>
            <w:vAlign w:val="bottom"/>
          </w:tcPr>
          <w:p>
            <w:pPr>
              <w:spacing w:after="0"/>
              <w:rPr>
                <w:sz w:val="18"/>
                <w:szCs w:val="18"/>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Facsimile No.: (212) 905-1075</w:t>
            </w:r>
          </w:p>
        </w:tc>
      </w:tr>
      <w:tr>
        <w:trPr>
          <w:trHeight w:val="222"/>
        </w:trPr>
        <w:tc>
          <w:tcPr>
            <w:tcW w:w="2760" w:type="dxa"/>
            <w:vAlign w:val="bottom"/>
          </w:tcPr>
          <w:p>
            <w:pPr>
              <w:spacing w:after="0"/>
              <w:rPr>
                <w:sz w:val="19"/>
                <w:szCs w:val="19"/>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color w:val="auto"/>
              </w:rPr>
              <w:t>Email: Giannetti@pennantpark.com</w:t>
            </w:r>
          </w:p>
        </w:tc>
      </w:tr>
    </w:tbl>
    <w:p>
      <w:pPr>
        <w:ind w:left="740"/>
        <w:spacing w:after="0"/>
        <w:rPr>
          <w:sz w:val="20"/>
          <w:szCs w:val="20"/>
          <w:color w:val="auto"/>
        </w:rPr>
        <w:sectPr>
          <w:pgSz w:w="11900" w:h="16838" w:orient="portrait"/>
          <w:cols w:equalWidth="0" w:num="1">
            <w:col w:w="10139"/>
          </w:cols>
          <w:pgMar w:left="320" w:top="388"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1" w:name="page202"/>
    <w:bookmarkEnd w:id="201"/>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7</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OVERED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ETAILS</w:t>
      </w:r>
    </w:p>
    <w:p>
      <w:pPr>
        <w:sectPr>
          <w:pgSz w:w="11900" w:h="16838" w:orient="portrait"/>
          <w:cols w:equalWidth="0" w:num="1">
            <w:col w:w="10139"/>
          </w:cols>
          <w:pgMar w:left="320" w:top="274" w:right="1440"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Collection Account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Interest Collection Subaccount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Principal Collection Subaccount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Payment Account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Revolving Reserve Account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Custodial Account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ind w:right="2879"/>
        <w:spacing w:after="0" w:line="432" w:lineRule="auto"/>
        <w:rPr>
          <w:sz w:val="20"/>
          <w:szCs w:val="20"/>
          <w:color w:val="auto"/>
        </w:rPr>
      </w:pPr>
      <w:r>
        <w:rPr>
          <w:rFonts w:ascii="Arial" w:cs="Arial" w:eastAsia="Arial" w:hAnsi="Arial"/>
          <w:sz w:val="16"/>
          <w:szCs w:val="16"/>
          <w:color w:val="auto"/>
        </w:rPr>
        <w:t>U.S. Bank National Association, Account Number 148599-201 U.S. Bank National Association, Account Number 148599-202 U.S. Bank National Association, Account Number 148599-203 U.S. Bank National Association, Account Number 148599-200 U.S. Bank National Association, Account Number 148599-100 U.S. Bank National Association, Account Number 148599-700</w:t>
      </w:r>
    </w:p>
    <w:p>
      <w:pPr>
        <w:sectPr>
          <w:pgSz w:w="11900" w:h="16838" w:orient="portrait"/>
          <w:cols w:equalWidth="0" w:num="2">
            <w:col w:w="2280" w:space="540"/>
            <w:col w:w="7319"/>
          </w:cols>
          <w:pgMar w:left="320" w:top="274" w:right="1440" w:bottom="1440" w:gutter="0" w:footer="0" w:header="0"/>
          <w:type w:val="continuous"/>
        </w:sectPr>
      </w:pPr>
    </w:p>
    <w:bookmarkStart w:id="202" w:name="page203"/>
    <w:bookmarkEnd w:id="20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8</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IVERSITY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CORE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ALCULATION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Diversity Score is calculated as follows:</w:t>
      </w:r>
    </w:p>
    <w:p>
      <w:pPr>
        <w:spacing w:after="0" w:line="90" w:lineRule="exact"/>
        <w:rPr>
          <w:sz w:val="20"/>
          <w:szCs w:val="20"/>
          <w:color w:val="auto"/>
        </w:rPr>
      </w:pPr>
    </w:p>
    <w:p>
      <w:pPr>
        <w:ind w:left="460" w:right="200" w:hanging="452"/>
        <w:spacing w:after="0" w:line="268" w:lineRule="auto"/>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i w:val="1"/>
          <w:iCs w:val="1"/>
          <w:color w:val="auto"/>
        </w:rPr>
        <w:t>Obligor Par Amount</w:t>
      </w:r>
      <w:r>
        <w:rPr>
          <w:rFonts w:ascii="Arial" w:cs="Arial" w:eastAsia="Arial" w:hAnsi="Arial"/>
          <w:sz w:val="18"/>
          <w:szCs w:val="18"/>
          <w:color w:val="auto"/>
        </w:rPr>
        <w:t>” is calculated for each Obligor of a Collateral Loan, and is equal to the Aggregate Principal Balance of all Collateral Loans issued by that Obligor and all Affiliates.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i w:val="1"/>
          <w:iCs w:val="1"/>
          <w:color w:val="auto"/>
        </w:rPr>
        <w:t>Average Par Amount</w:t>
      </w:r>
      <w:r>
        <w:rPr>
          <w:rFonts w:ascii="Arial" w:cs="Arial" w:eastAsia="Arial" w:hAnsi="Arial"/>
          <w:sz w:val="18"/>
          <w:szCs w:val="18"/>
          <w:color w:val="auto"/>
        </w:rPr>
        <w:t>” is calculated by summing the Obligor Par Amounts for all Obligors, and dividing by the number of Obligors.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i w:val="1"/>
          <w:iCs w:val="1"/>
          <w:color w:val="auto"/>
        </w:rPr>
        <w:t>Equivalent Unit Score</w:t>
      </w:r>
      <w:r>
        <w:rPr>
          <w:rFonts w:ascii="Arial" w:cs="Arial" w:eastAsia="Arial" w:hAnsi="Arial"/>
          <w:sz w:val="18"/>
          <w:szCs w:val="18"/>
          <w:color w:val="auto"/>
        </w:rPr>
        <w:t>” is calculated for each Obligor, and is equal to the lesser of (x) one and (y) the Obligor Par Amount for such Obligor divided by the Average Par Amount.</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i w:val="1"/>
          <w:iCs w:val="1"/>
          <w:color w:val="auto"/>
        </w:rPr>
        <w:t>Aggregate Industry Equivalent Unit Score</w:t>
      </w:r>
      <w:r>
        <w:rPr>
          <w:rFonts w:ascii="Arial" w:cs="Arial" w:eastAsia="Arial" w:hAnsi="Arial"/>
          <w:sz w:val="18"/>
          <w:szCs w:val="18"/>
          <w:color w:val="auto"/>
        </w:rPr>
        <w:t xml:space="preserve">” is then calculated for each of the Moody’s Industry Classification groups, shown on </w:t>
      </w:r>
      <w:r>
        <w:rPr>
          <w:rFonts w:ascii="Arial" w:cs="Arial" w:eastAsia="Arial" w:hAnsi="Arial"/>
          <w:sz w:val="18"/>
          <w:szCs w:val="18"/>
          <w:u w:val="single" w:color="auto"/>
          <w:color w:val="auto"/>
        </w:rPr>
        <w:t>Schedule 4</w:t>
      </w:r>
      <w:r>
        <w:rPr>
          <w:rFonts w:ascii="Arial" w:cs="Arial" w:eastAsia="Arial" w:hAnsi="Arial"/>
          <w:sz w:val="18"/>
          <w:szCs w:val="18"/>
          <w:color w:val="auto"/>
        </w:rPr>
        <w:t>, and is equal to the sum of the Equivalent Unit Scores for each Obligor in such Moody’s Industry Classification group.</w:t>
      </w:r>
    </w:p>
    <w:p>
      <w:pPr>
        <w:spacing w:after="0" w:line="50" w:lineRule="exact"/>
        <w:rPr>
          <w:rFonts w:ascii="Arial" w:cs="Arial" w:eastAsia="Arial" w:hAnsi="Arial"/>
          <w:sz w:val="18"/>
          <w:szCs w:val="18"/>
          <w:color w:val="auto"/>
        </w:rPr>
      </w:pPr>
    </w:p>
    <w:p>
      <w:pPr>
        <w:ind w:left="460" w:right="160" w:hanging="452"/>
        <w:spacing w:after="0" w:line="306" w:lineRule="auto"/>
        <w:tabs>
          <w:tab w:leader="none" w:pos="4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i w:val="1"/>
          <w:iCs w:val="1"/>
          <w:color w:val="auto"/>
        </w:rPr>
        <w:t>Industry Diversity Score</w:t>
      </w:r>
      <w:r>
        <w:rPr>
          <w:rFonts w:ascii="Arial" w:cs="Arial" w:eastAsia="Arial" w:hAnsi="Arial"/>
          <w:sz w:val="16"/>
          <w:szCs w:val="16"/>
          <w:color w:val="auto"/>
        </w:rPr>
        <w:t xml:space="preserve">” is then established for each Moody’s Industry Classification group, shown on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by reference to the following table for the related Aggregate Industry Equivalent Unit Score;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Aggregate Industry Equivalent Unit Score falls between any two such scores, the applicable Industry Diversity Score will be the lower of the two Industry Diversity Scores: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20"/>
                <w:szCs w:val="20"/>
                <w:color w:val="auto"/>
              </w:rPr>
            </w:pPr>
            <w:r>
              <w:rPr>
                <w:rFonts w:ascii="Arial" w:cs="Arial" w:eastAsia="Arial" w:hAnsi="Arial"/>
                <w:sz w:val="13"/>
                <w:szCs w:val="13"/>
                <w:color w:val="auto"/>
                <w:w w:val="99"/>
              </w:rPr>
              <w:t>Aggregate</w:t>
            </w:r>
          </w:p>
        </w:tc>
        <w:tc>
          <w:tcPr>
            <w:tcW w:w="5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w w:val="93"/>
              </w:rPr>
              <w:t>Aggregate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Aggregate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Aggregate</w:t>
            </w:r>
          </w:p>
        </w:tc>
        <w:tc>
          <w:tcPr>
            <w:tcW w:w="540" w:type="dxa"/>
            <w:vAlign w:val="bottom"/>
          </w:tcPr>
          <w:p>
            <w:pPr>
              <w:spacing w:after="0"/>
              <w:rPr>
                <w:sz w:val="13"/>
                <w:szCs w:val="13"/>
                <w:color w:val="auto"/>
              </w:rPr>
            </w:pPr>
          </w:p>
        </w:tc>
      </w:tr>
      <w:tr>
        <w:trPr>
          <w:trHeight w:val="149"/>
        </w:trPr>
        <w:tc>
          <w:tcPr>
            <w:tcW w:w="620" w:type="dxa"/>
            <w:vAlign w:val="bottom"/>
          </w:tcPr>
          <w:p>
            <w:pPr>
              <w:spacing w:after="0"/>
              <w:rPr>
                <w:sz w:val="20"/>
                <w:szCs w:val="20"/>
                <w:color w:val="auto"/>
              </w:rPr>
            </w:pPr>
            <w:r>
              <w:rPr>
                <w:rFonts w:ascii="Arial" w:cs="Arial" w:eastAsia="Arial" w:hAnsi="Arial"/>
                <w:sz w:val="13"/>
                <w:szCs w:val="13"/>
                <w:color w:val="auto"/>
              </w:rPr>
              <w:t>Industry</w:t>
            </w:r>
          </w:p>
        </w:tc>
        <w:tc>
          <w:tcPr>
            <w:tcW w:w="528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Industry</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Industry</w:t>
            </w: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Industry</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9"/>
              </w:rPr>
              <w:t>Industry</w:t>
            </w: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Industry</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9"/>
              </w:rPr>
              <w:t>Industry</w:t>
            </w:r>
          </w:p>
        </w:tc>
        <w:tc>
          <w:tcPr>
            <w:tcW w:w="540" w:type="dxa"/>
            <w:vAlign w:val="bottom"/>
          </w:tcPr>
          <w:p>
            <w:pPr>
              <w:ind w:left="60"/>
              <w:spacing w:after="0"/>
              <w:rPr>
                <w:sz w:val="20"/>
                <w:szCs w:val="20"/>
                <w:color w:val="auto"/>
              </w:rPr>
            </w:pPr>
            <w:r>
              <w:rPr>
                <w:rFonts w:ascii="Arial" w:cs="Arial" w:eastAsia="Arial" w:hAnsi="Arial"/>
                <w:sz w:val="13"/>
                <w:szCs w:val="13"/>
                <w:color w:val="auto"/>
                <w:w w:val="99"/>
              </w:rPr>
              <w:t>Industry</w:t>
            </w:r>
          </w:p>
        </w:tc>
      </w:tr>
      <w:tr>
        <w:trPr>
          <w:trHeight w:val="148"/>
        </w:trPr>
        <w:tc>
          <w:tcPr>
            <w:tcW w:w="620" w:type="dxa"/>
            <w:vAlign w:val="bottom"/>
          </w:tcPr>
          <w:p>
            <w:pPr>
              <w:spacing w:after="0"/>
              <w:rPr>
                <w:sz w:val="20"/>
                <w:szCs w:val="20"/>
                <w:color w:val="auto"/>
              </w:rPr>
            </w:pPr>
            <w:r>
              <w:rPr>
                <w:rFonts w:ascii="Arial" w:cs="Arial" w:eastAsia="Arial" w:hAnsi="Arial"/>
                <w:sz w:val="13"/>
                <w:szCs w:val="13"/>
                <w:color w:val="auto"/>
                <w:w w:val="98"/>
              </w:rPr>
              <w:t>Equivalent</w:t>
            </w:r>
          </w:p>
        </w:tc>
        <w:tc>
          <w:tcPr>
            <w:tcW w:w="528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color w:val="auto"/>
              </w:rPr>
              <w:t>Diversity</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Equivalent</w:t>
            </w:r>
          </w:p>
        </w:tc>
        <w:tc>
          <w:tcPr>
            <w:tcW w:w="740" w:type="dxa"/>
            <w:vAlign w:val="bottom"/>
            <w:gridSpan w:val="2"/>
          </w:tcPr>
          <w:p>
            <w:pPr>
              <w:ind w:left="20"/>
              <w:spacing w:after="0"/>
              <w:rPr>
                <w:sz w:val="20"/>
                <w:szCs w:val="20"/>
                <w:color w:val="auto"/>
              </w:rPr>
            </w:pPr>
            <w:r>
              <w:rPr>
                <w:rFonts w:ascii="Arial" w:cs="Arial" w:eastAsia="Arial" w:hAnsi="Arial"/>
                <w:sz w:val="13"/>
                <w:szCs w:val="13"/>
                <w:color w:val="auto"/>
              </w:rPr>
              <w:t>Diversity</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Equivalent</w:t>
            </w:r>
          </w:p>
        </w:tc>
        <w:tc>
          <w:tcPr>
            <w:tcW w:w="740" w:type="dxa"/>
            <w:vAlign w:val="bottom"/>
            <w:gridSpan w:val="2"/>
          </w:tcPr>
          <w:p>
            <w:pPr>
              <w:ind w:left="20"/>
              <w:spacing w:after="0"/>
              <w:rPr>
                <w:sz w:val="20"/>
                <w:szCs w:val="20"/>
                <w:color w:val="auto"/>
              </w:rPr>
            </w:pPr>
            <w:r>
              <w:rPr>
                <w:rFonts w:ascii="Arial" w:cs="Arial" w:eastAsia="Arial" w:hAnsi="Arial"/>
                <w:sz w:val="13"/>
                <w:szCs w:val="13"/>
                <w:color w:val="auto"/>
              </w:rPr>
              <w:t>Diversity</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Equivalent</w:t>
            </w:r>
          </w:p>
        </w:tc>
        <w:tc>
          <w:tcPr>
            <w:tcW w:w="540" w:type="dxa"/>
            <w:vAlign w:val="bottom"/>
          </w:tcPr>
          <w:p>
            <w:pPr>
              <w:ind w:left="20"/>
              <w:spacing w:after="0"/>
              <w:rPr>
                <w:sz w:val="20"/>
                <w:szCs w:val="20"/>
                <w:color w:val="auto"/>
              </w:rPr>
            </w:pPr>
            <w:r>
              <w:rPr>
                <w:rFonts w:ascii="Arial" w:cs="Arial" w:eastAsia="Arial" w:hAnsi="Arial"/>
                <w:sz w:val="13"/>
                <w:szCs w:val="13"/>
                <w:color w:val="auto"/>
              </w:rPr>
              <w:t>Diversity</w:t>
            </w:r>
          </w:p>
        </w:tc>
      </w:tr>
      <w:tr>
        <w:trPr>
          <w:trHeight w:val="179"/>
        </w:trPr>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8"/>
              </w:rPr>
              <w:t>Unit Score</w:t>
            </w:r>
          </w:p>
        </w:tc>
        <w:tc>
          <w:tcPr>
            <w:tcW w:w="52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Score</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Unit Score</w:t>
            </w:r>
          </w:p>
        </w:tc>
        <w:tc>
          <w:tcPr>
            <w:tcW w:w="740" w:type="dxa"/>
            <w:vAlign w:val="bottom"/>
            <w:gridSpan w:val="2"/>
          </w:tcPr>
          <w:p>
            <w:pPr>
              <w:ind w:left="120"/>
              <w:spacing w:after="0"/>
              <w:rPr>
                <w:sz w:val="20"/>
                <w:szCs w:val="20"/>
                <w:color w:val="auto"/>
              </w:rPr>
            </w:pPr>
            <w:r>
              <w:rPr>
                <w:rFonts w:ascii="Arial" w:cs="Arial" w:eastAsia="Arial" w:hAnsi="Arial"/>
                <w:sz w:val="13"/>
                <w:szCs w:val="13"/>
                <w:color w:val="auto"/>
              </w:rPr>
              <w:t>Score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Unit Score</w:t>
            </w:r>
          </w:p>
        </w:tc>
        <w:tc>
          <w:tcPr>
            <w:tcW w:w="740" w:type="dxa"/>
            <w:vAlign w:val="bottom"/>
            <w:gridSpan w:val="2"/>
          </w:tcPr>
          <w:p>
            <w:pPr>
              <w:ind w:left="120"/>
              <w:spacing w:after="0"/>
              <w:rPr>
                <w:sz w:val="20"/>
                <w:szCs w:val="20"/>
                <w:color w:val="auto"/>
              </w:rPr>
            </w:pPr>
            <w:r>
              <w:rPr>
                <w:rFonts w:ascii="Arial" w:cs="Arial" w:eastAsia="Arial" w:hAnsi="Arial"/>
                <w:sz w:val="13"/>
                <w:szCs w:val="13"/>
                <w:color w:val="auto"/>
              </w:rPr>
              <w:t>Score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Unit Score</w:t>
            </w:r>
          </w:p>
        </w:tc>
        <w:tc>
          <w:tcPr>
            <w:tcW w:w="540" w:type="dxa"/>
            <w:vAlign w:val="bottom"/>
          </w:tcPr>
          <w:p>
            <w:pPr>
              <w:ind w:left="120"/>
              <w:spacing w:after="0"/>
              <w:rPr>
                <w:sz w:val="20"/>
                <w:szCs w:val="20"/>
                <w:color w:val="auto"/>
              </w:rPr>
            </w:pPr>
            <w:r>
              <w:rPr>
                <w:rFonts w:ascii="Arial" w:cs="Arial" w:eastAsia="Arial" w:hAnsi="Arial"/>
                <w:sz w:val="13"/>
                <w:szCs w:val="13"/>
                <w:color w:val="auto"/>
              </w:rPr>
              <w:t>Score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0.0000</w:t>
            </w:r>
          </w:p>
        </w:tc>
        <w:tc>
          <w:tcPr>
            <w:tcW w:w="5280" w:type="dxa"/>
            <w:vAlign w:val="bottom"/>
          </w:tcPr>
          <w:p>
            <w:pPr>
              <w:spacing w:after="0"/>
              <w:rPr>
                <w:sz w:val="16"/>
                <w:szCs w:val="16"/>
                <w:color w:val="auto"/>
              </w:rPr>
            </w:pPr>
          </w:p>
        </w:tc>
        <w:tc>
          <w:tcPr>
            <w:tcW w:w="5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3"/>
              </w:rPr>
              <w:t>0.0000</w:t>
            </w:r>
          </w:p>
        </w:tc>
        <w:tc>
          <w:tcPr>
            <w:tcW w:w="20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5.0500</w:t>
            </w:r>
          </w:p>
        </w:tc>
        <w:tc>
          <w:tcPr>
            <w:tcW w:w="200" w:type="dxa"/>
            <w:vAlign w:val="bottom"/>
          </w:tcPr>
          <w:p>
            <w:pPr>
              <w:spacing w:after="0"/>
              <w:rPr>
                <w:sz w:val="16"/>
                <w:szCs w:val="16"/>
                <w:color w:val="auto"/>
              </w:rPr>
            </w:pPr>
          </w:p>
        </w:tc>
        <w:tc>
          <w:tcPr>
            <w:tcW w:w="5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3"/>
              </w:rPr>
              <w:t>2.7000</w:t>
            </w:r>
          </w:p>
        </w:tc>
        <w:tc>
          <w:tcPr>
            <w:tcW w:w="20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10.1500</w:t>
            </w:r>
          </w:p>
        </w:tc>
        <w:tc>
          <w:tcPr>
            <w:tcW w:w="200" w:type="dxa"/>
            <w:vAlign w:val="bottom"/>
          </w:tcPr>
          <w:p>
            <w:pPr>
              <w:spacing w:after="0"/>
              <w:rPr>
                <w:sz w:val="16"/>
                <w:szCs w:val="16"/>
                <w:color w:val="auto"/>
              </w:rPr>
            </w:pPr>
          </w:p>
        </w:tc>
        <w:tc>
          <w:tcPr>
            <w:tcW w:w="5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3"/>
              </w:rPr>
              <w:t>4.0200</w:t>
            </w:r>
          </w:p>
        </w:tc>
        <w:tc>
          <w:tcPr>
            <w:tcW w:w="20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15.2500</w:t>
            </w:r>
          </w:p>
        </w:tc>
        <w:tc>
          <w:tcPr>
            <w:tcW w:w="200" w:type="dxa"/>
            <w:vAlign w:val="bottom"/>
          </w:tcPr>
          <w:p>
            <w:pPr>
              <w:spacing w:after="0"/>
              <w:rPr>
                <w:sz w:val="16"/>
                <w:szCs w:val="16"/>
                <w:color w:val="auto"/>
              </w:rPr>
            </w:pPr>
          </w:p>
        </w:tc>
        <w:tc>
          <w:tcPr>
            <w:tcW w:w="5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3"/>
              </w:rPr>
              <w:t>4.5300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0.0500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0.1000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5.1500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2.7333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4.0300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15.3500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4.5400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0.1500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0.2000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5.2500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2.7667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4.0400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15.4500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4.5500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0.2500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0.3000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5.3500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2.8000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4.0500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15.5500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4.5600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0.3500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0.4000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2.8333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4.0600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15.6500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4.5700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0.4500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0.5000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5.5500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2.8667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4.0700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15.7500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4.5800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0.5500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0.6000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5.6500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2.9000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4.0800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15.8500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4.5900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0.6500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0.7000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5.7500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2.9333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4.0900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15.9500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4.6000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0.7500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0.8000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2.9667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4.1000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16.0500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4.6100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0.8500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0.9000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5.9500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3.0000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11.0500</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4.1100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16.1500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4.6200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0.9500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1.0000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6.0500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3.0250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11.1500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4.1200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16.2500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4.6300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1.0500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1.0500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6.1500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3.0500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11.2500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4.1300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16.3500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4.6400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1.1500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1.1000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6.2500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3.0750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11.3500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4.1400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16.4500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4.6500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1.2500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1.1500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3.1000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11.4500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4.1500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16.5500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4.6600</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1.3500</w:t>
            </w:r>
          </w:p>
        </w:tc>
        <w:tc>
          <w:tcPr>
            <w:tcW w:w="5820" w:type="dxa"/>
            <w:vAlign w:val="bottom"/>
            <w:gridSpan w:val="2"/>
          </w:tcPr>
          <w:p>
            <w:pPr>
              <w:ind w:left="5340"/>
              <w:spacing w:after="0"/>
              <w:rPr>
                <w:sz w:val="20"/>
                <w:szCs w:val="20"/>
                <w:color w:val="auto"/>
              </w:rPr>
            </w:pPr>
            <w:r>
              <w:rPr>
                <w:rFonts w:ascii="Arial" w:cs="Arial" w:eastAsia="Arial" w:hAnsi="Arial"/>
                <w:sz w:val="18"/>
                <w:szCs w:val="18"/>
                <w:color w:val="auto"/>
                <w:w w:val="83"/>
              </w:rPr>
              <w:t>1.2000</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6.4500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3.1250</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11.5500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4.1600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16.6500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4.6700</w:t>
            </w:r>
          </w:p>
        </w:tc>
      </w:tr>
    </w:tbl>
    <w:p>
      <w:pPr>
        <w:sectPr>
          <w:pgSz w:w="11900" w:h="16838" w:orient="portrait"/>
          <w:cols w:equalWidth="0" w:num="1">
            <w:col w:w="11140"/>
          </w:cols>
          <w:pgMar w:left="320" w:top="274" w:right="439" w:bottom="1440" w:gutter="0" w:footer="0" w:header="0"/>
        </w:sectPr>
      </w:pPr>
    </w:p>
    <w:bookmarkStart w:id="203" w:name="page204"/>
    <w:bookmarkEnd w:id="2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20"/>
                <w:szCs w:val="20"/>
                <w:color w:val="auto"/>
              </w:rPr>
            </w:pPr>
            <w:r>
              <w:rPr>
                <w:rFonts w:ascii="Arial" w:cs="Arial" w:eastAsia="Arial" w:hAnsi="Arial"/>
                <w:sz w:val="13"/>
                <w:szCs w:val="13"/>
                <w:color w:val="auto"/>
                <w:w w:val="99"/>
              </w:rPr>
              <w:t>Aggregate</w:t>
            </w:r>
          </w:p>
        </w:tc>
        <w:tc>
          <w:tcPr>
            <w:tcW w:w="5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Aggregate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Aggregate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Aggregate</w:t>
            </w:r>
          </w:p>
        </w:tc>
        <w:tc>
          <w:tcPr>
            <w:tcW w:w="540" w:type="dxa"/>
            <w:vAlign w:val="bottom"/>
          </w:tcPr>
          <w:p>
            <w:pPr>
              <w:spacing w:after="0"/>
              <w:rPr>
                <w:sz w:val="13"/>
                <w:szCs w:val="13"/>
                <w:color w:val="auto"/>
              </w:rPr>
            </w:pPr>
          </w:p>
        </w:tc>
      </w:tr>
      <w:tr>
        <w:trPr>
          <w:trHeight w:val="149"/>
        </w:trPr>
        <w:tc>
          <w:tcPr>
            <w:tcW w:w="620" w:type="dxa"/>
            <w:vAlign w:val="bottom"/>
          </w:tcPr>
          <w:p>
            <w:pPr>
              <w:spacing w:after="0"/>
              <w:rPr>
                <w:sz w:val="20"/>
                <w:szCs w:val="20"/>
                <w:color w:val="auto"/>
              </w:rPr>
            </w:pPr>
            <w:r>
              <w:rPr>
                <w:rFonts w:ascii="Arial" w:cs="Arial" w:eastAsia="Arial" w:hAnsi="Arial"/>
                <w:sz w:val="13"/>
                <w:szCs w:val="13"/>
                <w:color w:val="auto"/>
              </w:rPr>
              <w:t>Industry</w:t>
            </w:r>
          </w:p>
        </w:tc>
        <w:tc>
          <w:tcPr>
            <w:tcW w:w="524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Industry</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9"/>
              </w:rPr>
              <w:t>Industry</w:t>
            </w: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Industry</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9"/>
              </w:rPr>
              <w:t>Industry</w:t>
            </w: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Industry</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9"/>
              </w:rPr>
              <w:t>Industry</w:t>
            </w:r>
          </w:p>
        </w:tc>
        <w:tc>
          <w:tcPr>
            <w:tcW w:w="540" w:type="dxa"/>
            <w:vAlign w:val="bottom"/>
          </w:tcPr>
          <w:p>
            <w:pPr>
              <w:ind w:left="60"/>
              <w:spacing w:after="0"/>
              <w:rPr>
                <w:sz w:val="20"/>
                <w:szCs w:val="20"/>
                <w:color w:val="auto"/>
              </w:rPr>
            </w:pPr>
            <w:r>
              <w:rPr>
                <w:rFonts w:ascii="Arial" w:cs="Arial" w:eastAsia="Arial" w:hAnsi="Arial"/>
                <w:sz w:val="13"/>
                <w:szCs w:val="13"/>
                <w:color w:val="auto"/>
                <w:w w:val="99"/>
              </w:rPr>
              <w:t>Industry</w:t>
            </w:r>
          </w:p>
        </w:tc>
      </w:tr>
      <w:tr>
        <w:trPr>
          <w:trHeight w:val="148"/>
        </w:trPr>
        <w:tc>
          <w:tcPr>
            <w:tcW w:w="620" w:type="dxa"/>
            <w:vAlign w:val="bottom"/>
          </w:tcPr>
          <w:p>
            <w:pPr>
              <w:spacing w:after="0"/>
              <w:rPr>
                <w:sz w:val="20"/>
                <w:szCs w:val="20"/>
                <w:color w:val="auto"/>
              </w:rPr>
            </w:pPr>
            <w:r>
              <w:rPr>
                <w:rFonts w:ascii="Arial" w:cs="Arial" w:eastAsia="Arial" w:hAnsi="Arial"/>
                <w:sz w:val="13"/>
                <w:szCs w:val="13"/>
                <w:color w:val="auto"/>
                <w:w w:val="98"/>
              </w:rPr>
              <w:t>Equivalent</w:t>
            </w:r>
          </w:p>
        </w:tc>
        <w:tc>
          <w:tcPr>
            <w:tcW w:w="524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color w:val="auto"/>
              </w:rPr>
              <w:t>Diversity</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Equivalent</w:t>
            </w:r>
          </w:p>
        </w:tc>
        <w:tc>
          <w:tcPr>
            <w:tcW w:w="740" w:type="dxa"/>
            <w:vAlign w:val="bottom"/>
            <w:gridSpan w:val="2"/>
          </w:tcPr>
          <w:p>
            <w:pPr>
              <w:ind w:left="20"/>
              <w:spacing w:after="0"/>
              <w:rPr>
                <w:sz w:val="20"/>
                <w:szCs w:val="20"/>
                <w:color w:val="auto"/>
              </w:rPr>
            </w:pPr>
            <w:r>
              <w:rPr>
                <w:rFonts w:ascii="Arial" w:cs="Arial" w:eastAsia="Arial" w:hAnsi="Arial"/>
                <w:sz w:val="13"/>
                <w:szCs w:val="13"/>
                <w:color w:val="auto"/>
              </w:rPr>
              <w:t>Diversity</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Equivalent</w:t>
            </w:r>
          </w:p>
        </w:tc>
        <w:tc>
          <w:tcPr>
            <w:tcW w:w="740" w:type="dxa"/>
            <w:vAlign w:val="bottom"/>
            <w:gridSpan w:val="2"/>
          </w:tcPr>
          <w:p>
            <w:pPr>
              <w:ind w:left="20"/>
              <w:spacing w:after="0"/>
              <w:rPr>
                <w:sz w:val="20"/>
                <w:szCs w:val="20"/>
                <w:color w:val="auto"/>
              </w:rPr>
            </w:pPr>
            <w:r>
              <w:rPr>
                <w:rFonts w:ascii="Arial" w:cs="Arial" w:eastAsia="Arial" w:hAnsi="Arial"/>
                <w:sz w:val="13"/>
                <w:szCs w:val="13"/>
                <w:color w:val="auto"/>
              </w:rPr>
              <w:t>Diversity</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Equivalent</w:t>
            </w:r>
          </w:p>
        </w:tc>
        <w:tc>
          <w:tcPr>
            <w:tcW w:w="540" w:type="dxa"/>
            <w:vAlign w:val="bottom"/>
          </w:tcPr>
          <w:p>
            <w:pPr>
              <w:ind w:left="20"/>
              <w:spacing w:after="0"/>
              <w:rPr>
                <w:sz w:val="20"/>
                <w:szCs w:val="20"/>
                <w:color w:val="auto"/>
              </w:rPr>
            </w:pPr>
            <w:r>
              <w:rPr>
                <w:rFonts w:ascii="Arial" w:cs="Arial" w:eastAsia="Arial" w:hAnsi="Arial"/>
                <w:sz w:val="13"/>
                <w:szCs w:val="13"/>
                <w:color w:val="auto"/>
              </w:rPr>
              <w:t>Diversity</w:t>
            </w:r>
          </w:p>
        </w:tc>
      </w:tr>
      <w:tr>
        <w:trPr>
          <w:trHeight w:val="179"/>
        </w:trPr>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8"/>
              </w:rPr>
              <w:t>Unit Score</w:t>
            </w:r>
          </w:p>
        </w:tc>
        <w:tc>
          <w:tcPr>
            <w:tcW w:w="524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Score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Unit Score</w:t>
            </w:r>
          </w:p>
        </w:tc>
        <w:tc>
          <w:tcPr>
            <w:tcW w:w="740" w:type="dxa"/>
            <w:vAlign w:val="bottom"/>
            <w:gridSpan w:val="2"/>
          </w:tcPr>
          <w:p>
            <w:pPr>
              <w:ind w:left="120"/>
              <w:spacing w:after="0"/>
              <w:rPr>
                <w:sz w:val="20"/>
                <w:szCs w:val="20"/>
                <w:color w:val="auto"/>
              </w:rPr>
            </w:pPr>
            <w:r>
              <w:rPr>
                <w:rFonts w:ascii="Arial" w:cs="Arial" w:eastAsia="Arial" w:hAnsi="Arial"/>
                <w:sz w:val="13"/>
                <w:szCs w:val="13"/>
                <w:color w:val="auto"/>
              </w:rPr>
              <w:t>Score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Unit Score</w:t>
            </w:r>
          </w:p>
        </w:tc>
        <w:tc>
          <w:tcPr>
            <w:tcW w:w="740" w:type="dxa"/>
            <w:vAlign w:val="bottom"/>
            <w:gridSpan w:val="2"/>
          </w:tcPr>
          <w:p>
            <w:pPr>
              <w:ind w:left="120"/>
              <w:spacing w:after="0"/>
              <w:rPr>
                <w:sz w:val="20"/>
                <w:szCs w:val="20"/>
                <w:color w:val="auto"/>
              </w:rPr>
            </w:pPr>
            <w:r>
              <w:rPr>
                <w:rFonts w:ascii="Arial" w:cs="Arial" w:eastAsia="Arial" w:hAnsi="Arial"/>
                <w:sz w:val="13"/>
                <w:szCs w:val="13"/>
                <w:color w:val="auto"/>
              </w:rPr>
              <w:t>Score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Unit Score</w:t>
            </w:r>
          </w:p>
        </w:tc>
        <w:tc>
          <w:tcPr>
            <w:tcW w:w="540" w:type="dxa"/>
            <w:vAlign w:val="bottom"/>
          </w:tcPr>
          <w:p>
            <w:pPr>
              <w:ind w:left="120"/>
              <w:spacing w:after="0"/>
              <w:rPr>
                <w:sz w:val="20"/>
                <w:szCs w:val="20"/>
                <w:color w:val="auto"/>
              </w:rPr>
            </w:pPr>
            <w:r>
              <w:rPr>
                <w:rFonts w:ascii="Arial" w:cs="Arial" w:eastAsia="Arial" w:hAnsi="Arial"/>
                <w:sz w:val="13"/>
                <w:szCs w:val="13"/>
                <w:color w:val="auto"/>
              </w:rPr>
              <w:t>Score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1.4500</w:t>
            </w:r>
          </w:p>
        </w:tc>
        <w:tc>
          <w:tcPr>
            <w:tcW w:w="5240" w:type="dxa"/>
            <w:vAlign w:val="bottom"/>
          </w:tcPr>
          <w:p>
            <w:pPr>
              <w:spacing w:after="0"/>
              <w:rPr>
                <w:sz w:val="16"/>
                <w:szCs w:val="16"/>
                <w:color w:val="auto"/>
              </w:rPr>
            </w:pPr>
          </w:p>
        </w:tc>
        <w:tc>
          <w:tcPr>
            <w:tcW w:w="5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3"/>
              </w:rPr>
              <w:t>1.2500</w:t>
            </w:r>
          </w:p>
        </w:tc>
        <w:tc>
          <w:tcPr>
            <w:tcW w:w="20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6.5500</w:t>
            </w:r>
          </w:p>
        </w:tc>
        <w:tc>
          <w:tcPr>
            <w:tcW w:w="200" w:type="dxa"/>
            <w:vAlign w:val="bottom"/>
          </w:tcPr>
          <w:p>
            <w:pPr>
              <w:spacing w:after="0"/>
              <w:rPr>
                <w:sz w:val="16"/>
                <w:szCs w:val="16"/>
                <w:color w:val="auto"/>
              </w:rPr>
            </w:pPr>
          </w:p>
        </w:tc>
        <w:tc>
          <w:tcPr>
            <w:tcW w:w="5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3"/>
              </w:rPr>
              <w:t>3.1500</w:t>
            </w:r>
          </w:p>
        </w:tc>
        <w:tc>
          <w:tcPr>
            <w:tcW w:w="20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11.6500</w:t>
            </w:r>
          </w:p>
        </w:tc>
        <w:tc>
          <w:tcPr>
            <w:tcW w:w="200" w:type="dxa"/>
            <w:vAlign w:val="bottom"/>
          </w:tcPr>
          <w:p>
            <w:pPr>
              <w:spacing w:after="0"/>
              <w:rPr>
                <w:sz w:val="16"/>
                <w:szCs w:val="16"/>
                <w:color w:val="auto"/>
              </w:rPr>
            </w:pPr>
          </w:p>
        </w:tc>
        <w:tc>
          <w:tcPr>
            <w:tcW w:w="5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3"/>
              </w:rPr>
              <w:t>4.1700</w:t>
            </w:r>
          </w:p>
        </w:tc>
        <w:tc>
          <w:tcPr>
            <w:tcW w:w="20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16.7500</w:t>
            </w:r>
          </w:p>
        </w:tc>
        <w:tc>
          <w:tcPr>
            <w:tcW w:w="200" w:type="dxa"/>
            <w:vAlign w:val="bottom"/>
          </w:tcPr>
          <w:p>
            <w:pPr>
              <w:spacing w:after="0"/>
              <w:rPr>
                <w:sz w:val="16"/>
                <w:szCs w:val="16"/>
                <w:color w:val="auto"/>
              </w:rPr>
            </w:pPr>
          </w:p>
        </w:tc>
        <w:tc>
          <w:tcPr>
            <w:tcW w:w="5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3"/>
              </w:rPr>
              <w:t>4.6800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1.5500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1.3000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6.6500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3.1750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11.7500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4.1800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16.8500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4.6900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1.6500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1.3500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3.2000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11.8500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4.1900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16.9500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4.7000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1.7500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1.4000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3.2250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11.9500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4.2000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17.0500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4.7100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1.8500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1.4500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6.9500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3.2500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4.2100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17.1500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4.7200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1.9500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1.5000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3.2750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4.2200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17.2500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4.7300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2.0500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1.5500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7.1500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3.3000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4.2300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17.3500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4.7400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2.1500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1.6000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7.2500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3.3250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4.2400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17.4500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4.7500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2.2500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1.6500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7.3500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3.3500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4.2500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17.5500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4.7600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2.3500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1.7000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7.4500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3.3750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4.2600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17.6500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4.7700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2.4500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1.7500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7.5500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3.4000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4.2700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17.7500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4.7800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2.5500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1.8000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7.6500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3.4250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4.2800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17.8500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4.7900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2.6500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1.8500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7.7500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3.4500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12.8500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4.2900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17.9500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4.8000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2.7500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1.9000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7.8500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3.4750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4.3000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18.0500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4.8100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2.8500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1.9500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7.9500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3.5000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4.3100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18.1500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4.8200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2.9500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2.0000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8.0500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3.5250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4.3200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18.2500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4.8300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3.0500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2.0333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8.1500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3.5500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4.3300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18.3500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4.8400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2.0667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8.2500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3.5750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4.3400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18.4500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4.8500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3.2500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2.1000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8.3500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3.6000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13.4500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4.3500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18.5500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4.8600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3.3500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2.1333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8.4500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3.6250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4.3600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18.6500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4.8700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3.4500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2.1667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8.5500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3.6500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4.3700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18.7500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4.8800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3.5500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2.2000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8.6500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3.6750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13.7500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4.3800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18.8500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4.8900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3.6500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2.2333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8.7500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3.7000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4.3900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18.9500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4.9000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3.7500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2.2667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8.8500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3.7250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4.4000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19.0500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4.9100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3.8500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2.3000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8.9500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3.7500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4.4100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19.1500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4.9200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3.9500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2.3333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9.0500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3.7750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14.1500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4.4200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19.2500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4.9300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4.0500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2.3667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9.1500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3.8000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14.2500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4.4300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19.3500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4.9400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4.1500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2.4000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9.2500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3.8250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4.4400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19.4500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4.9500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4.2500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2.4333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9.3500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3.8500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4.4500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19.5500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4.9600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4.3500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2.4667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9.4500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3.8750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4.4600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19.6500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4.9700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4.4500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2.5000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9.5500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3.9000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4.4700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19.7500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4.9800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4.5500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2.5333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9.6500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3.9250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4.4800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19.8500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4.9900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4.6500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2.5667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9.7500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3.9500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14.8500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4.4900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19.9500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5.0000</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4.7500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2.6000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9.8500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3.9750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14.9500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4.5000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4.8500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2.6333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9.9500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4.0000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15.0500</w:t>
            </w:r>
          </w:p>
        </w:tc>
        <w:tc>
          <w:tcPr>
            <w:tcW w:w="2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4.5100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4.9500</w:t>
            </w:r>
          </w:p>
        </w:tc>
        <w:tc>
          <w:tcPr>
            <w:tcW w:w="5980" w:type="dxa"/>
            <w:vAlign w:val="bottom"/>
            <w:gridSpan w:val="3"/>
          </w:tcPr>
          <w:p>
            <w:pPr>
              <w:ind w:left="5300"/>
              <w:spacing w:after="0"/>
              <w:rPr>
                <w:sz w:val="20"/>
                <w:szCs w:val="20"/>
                <w:color w:val="auto"/>
              </w:rPr>
            </w:pPr>
            <w:r>
              <w:rPr>
                <w:rFonts w:ascii="Arial" w:cs="Arial" w:eastAsia="Arial" w:hAnsi="Arial"/>
                <w:sz w:val="18"/>
                <w:szCs w:val="18"/>
                <w:color w:val="auto"/>
              </w:rPr>
              <w:t>2.6667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10.0500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4.0100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15.1500</w:t>
            </w:r>
          </w:p>
        </w:tc>
        <w:tc>
          <w:tcPr>
            <w:tcW w:w="20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4.5200</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196" w:lineRule="exact"/>
        <w:rPr>
          <w:sz w:val="20"/>
          <w:szCs w:val="20"/>
          <w:color w:val="auto"/>
        </w:rPr>
      </w:pPr>
    </w:p>
    <w:p>
      <w:pPr>
        <w:ind w:left="460" w:right="340" w:hanging="452"/>
        <w:spacing w:after="0" w:line="268"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Diversity Score is then calculated by summing each of the Industry Diversity Scores for each Moody’s Industry Classification group shown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For purposes of calculating the Diversity Score, affiliated Obligors in the same Industry are deemed to be a single Obligor except as otherwise agreed to by Moody’s.</w:t>
      </w:r>
    </w:p>
    <w:p>
      <w:pPr>
        <w:sectPr>
          <w:pgSz w:w="11900" w:h="16838" w:orient="portrait"/>
          <w:cols w:equalWidth="0" w:num="1">
            <w:col w:w="11140"/>
          </w:cols>
          <w:pgMar w:left="320" w:top="276" w:right="439" w:bottom="1440" w:gutter="0" w:footer="0" w:header="0"/>
        </w:sectPr>
      </w:pPr>
    </w:p>
    <w:bookmarkStart w:id="204" w:name="page205"/>
    <w:bookmarkEnd w:id="204"/>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9</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OODY</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ATING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RITERIA</w:t>
      </w:r>
    </w:p>
    <w:p>
      <w:pPr>
        <w:spacing w:after="0" w:line="177" w:lineRule="exact"/>
        <w:rPr>
          <w:sz w:val="20"/>
          <w:szCs w:val="20"/>
          <w:color w:val="auto"/>
        </w:rPr>
      </w:pPr>
    </w:p>
    <w:p>
      <w:pPr>
        <w:ind w:right="120" w:firstLine="449"/>
        <w:spacing w:after="0" w:line="285" w:lineRule="auto"/>
        <w:rPr>
          <w:sz w:val="20"/>
          <w:szCs w:val="20"/>
          <w:color w:val="auto"/>
        </w:rPr>
      </w:pPr>
      <w:r>
        <w:rPr>
          <w:rFonts w:ascii="Arial" w:cs="Arial" w:eastAsia="Arial" w:hAnsi="Arial"/>
          <w:sz w:val="16"/>
          <w:szCs w:val="16"/>
          <w:i w:val="1"/>
          <w:iCs w:val="1"/>
          <w:color w:val="auto"/>
        </w:rPr>
        <w:t xml:space="preserve">“Moody’s Rating” </w:t>
      </w:r>
      <w:r>
        <w:rPr>
          <w:rFonts w:ascii="Arial" w:cs="Arial" w:eastAsia="Arial" w:hAnsi="Arial"/>
          <w:sz w:val="16"/>
          <w:szCs w:val="16"/>
          <w:color w:val="auto"/>
        </w:rPr>
        <w:t>means, with respect to a Collateral Loan (A) if the obligor of such Collateral Loan has a corporate family rating by Moody’s, then</w:t>
      </w:r>
      <w:r>
        <w:rPr>
          <w:rFonts w:ascii="Arial" w:cs="Arial" w:eastAsia="Arial" w:hAnsi="Arial"/>
          <w:sz w:val="16"/>
          <w:szCs w:val="16"/>
          <w:i w:val="1"/>
          <w:iCs w:val="1"/>
          <w:color w:val="auto"/>
        </w:rPr>
        <w:t xml:space="preserve"> </w:t>
      </w:r>
      <w:r>
        <w:rPr>
          <w:rFonts w:ascii="Arial" w:cs="Arial" w:eastAsia="Arial" w:hAnsi="Arial"/>
          <w:sz w:val="16"/>
          <w:szCs w:val="16"/>
          <w:color w:val="auto"/>
        </w:rPr>
        <w:t>such corporate family rating, (B) if not determined pursuant to clause (A) above, if such Collateral Loan is publicly rated by Moody’s, such public rating, or</w:t>
      </w:r>
    </w:p>
    <w:p>
      <w:pPr>
        <w:spacing w:after="0" w:line="1" w:lineRule="exact"/>
        <w:rPr>
          <w:sz w:val="20"/>
          <w:szCs w:val="20"/>
          <w:color w:val="auto"/>
        </w:rPr>
      </w:pPr>
    </w:p>
    <w:p>
      <w:pPr>
        <w:ind w:firstLine="8"/>
        <w:spacing w:after="0" w:line="295" w:lineRule="auto"/>
        <w:tabs>
          <w:tab w:leader="none" w:pos="27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if not determined pursuant to clause (A) or (B) above, if such Collateral Loan is not publicly rated by Moody’s but a rating or rating estimate has been assigned to such Collateral Loan by Moody’s upon the request of the Borrower or the Collateral Manager, such rating or, in the case of a rating estimate, the applicable rating estimate for such obligation. For purposes of calculating a Moody’s Rating, each applicable rating on credit watch by Moody’s with positive or negative implication at the time of calculation will be treated as having been upgraded or downgraded by one rating subcategory, as the case may be.</w:t>
      </w:r>
    </w:p>
    <w:p>
      <w:pPr>
        <w:sectPr>
          <w:pgSz w:w="11900" w:h="16838" w:orient="portrait"/>
          <w:cols w:equalWidth="0" w:num="1">
            <w:col w:w="11080"/>
          </w:cols>
          <w:pgMar w:left="320" w:top="274" w:right="499" w:bottom="1440" w:gutter="0" w:footer="0" w:header="0"/>
        </w:sectPr>
      </w:pPr>
    </w:p>
    <w:bookmarkStart w:id="205" w:name="page206"/>
    <w:bookmarkEnd w:id="20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10</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S&amp;P R</w:t>
      </w:r>
      <w:r>
        <w:rPr>
          <w:rFonts w:ascii="Arial" w:cs="Arial" w:eastAsia="Arial" w:hAnsi="Arial"/>
          <w:sz w:val="14"/>
          <w:szCs w:val="14"/>
          <w:b w:val="1"/>
          <w:bCs w:val="1"/>
          <w:color w:val="auto"/>
        </w:rPr>
        <w:t>ATING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RITERIA</w:t>
      </w:r>
    </w:p>
    <w:p>
      <w:pPr>
        <w:spacing w:after="0" w:line="17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i w:val="1"/>
          <w:iCs w:val="1"/>
          <w:color w:val="auto"/>
        </w:rPr>
        <w:t xml:space="preserve">“S&amp;P Rating” </w:t>
      </w:r>
      <w:r>
        <w:rPr>
          <w:rFonts w:ascii="Arial" w:cs="Arial" w:eastAsia="Arial" w:hAnsi="Arial"/>
          <w:sz w:val="16"/>
          <w:szCs w:val="16"/>
          <w:color w:val="auto"/>
        </w:rPr>
        <w:t>means, with respect to any Collateral Loan, as of any date of determination, if there is an issuer credit rating of the Obligor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Loan by S&amp;P as published by S&amp;P, or the guarantor which unconditionally and irrevocably guarantees such Collateral Loan pursuant to a form of guaranty approved by S&amp;P for use in connection with this transaction, then the S&amp;P Rating shall be such rating (regardless of whether there is a published rating by S&amp;P on the Collateral Loans of such obligor held by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private ratings (that is, ratings provided at the request of the Obligor) may be used for purposes of this definition if the related Obligor has consented to the disclosure thereof and a copy of such consent has been provided to S&amp;P);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for purposes of the determination of the S&amp;P Rating, (x) if the applicable rating assigned by S&amp;P to an Obligor or its obligations is on “credit watch positive” by S&amp;P, such rating will be treated as being one sub-category above such assigned rating and (y) if the applicable rating assigned by S&amp;P to an Obligor or its obligations is on “credit watch negative” by S&amp;P, such rating will be treated as being one sub-category below such assigned rating.</w:t>
      </w:r>
    </w:p>
    <w:p>
      <w:pPr>
        <w:sectPr>
          <w:pgSz w:w="11900" w:h="16838" w:orient="portrait"/>
          <w:cols w:equalWidth="0" w:num="1">
            <w:col w:w="11200"/>
          </w:cols>
          <w:pgMar w:left="320" w:top="274" w:right="37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tc>
        <w:tc>
          <w:tcPr>
            <w:tcW w:w="1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XCESS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w:t>
            </w:r>
          </w:p>
        </w:tc>
        <w:tc>
          <w:tcPr>
            <w:tcW w:w="1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0"/>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80" w:type="dxa"/>
            <w:vAlign w:val="bottom"/>
            <w:gridSpan w:val="3"/>
          </w:tcPr>
          <w:p>
            <w:pPr>
              <w:ind w:left="720"/>
              <w:spacing w:after="0"/>
              <w:rPr>
                <w:sz w:val="20"/>
                <w:szCs w:val="20"/>
                <w:color w:val="auto"/>
              </w:rPr>
            </w:pPr>
            <w:r>
              <w:rPr>
                <w:rFonts w:ascii="Arial" w:cs="Arial" w:eastAsia="Arial" w:hAnsi="Arial"/>
                <w:sz w:val="18"/>
                <w:szCs w:val="18"/>
                <w:color w:val="auto"/>
              </w:rPr>
              <w:t>Excess Interest Proceeds Amount: $</w:t>
            </w:r>
          </w:p>
        </w:tc>
        <w:tc>
          <w:tcPr>
            <w:tcW w:w="1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8"/>
        </w:trPr>
        <w:tc>
          <w:tcPr>
            <w:tcW w:w="960" w:type="dxa"/>
            <w:vAlign w:val="bottom"/>
            <w:gridSpan w:val="3"/>
          </w:tcPr>
          <w:p>
            <w:pPr>
              <w:spacing w:after="0"/>
              <w:rPr>
                <w:sz w:val="20"/>
                <w:szCs w:val="20"/>
                <w:color w:val="auto"/>
              </w:rPr>
            </w:pPr>
            <w:r>
              <w:rPr>
                <w:rFonts w:ascii="Arial" w:cs="Arial" w:eastAsia="Arial" w:hAnsi="Arial"/>
                <w:sz w:val="18"/>
                <w:szCs w:val="18"/>
                <w:color w:val="auto"/>
                <w:w w:val="92"/>
              </w:rPr>
              <w:t>Report Date:</w:t>
            </w:r>
          </w:p>
        </w:tc>
        <w:tc>
          <w:tcPr>
            <w:tcW w:w="5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201</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Next Payment Date: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201</w:t>
            </w:r>
          </w:p>
        </w:tc>
        <w:tc>
          <w:tcPr>
            <w:tcW w:w="18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431"/>
        </w:trPr>
        <w:tc>
          <w:tcPr>
            <w:tcW w:w="8200" w:type="dxa"/>
            <w:vAlign w:val="bottom"/>
            <w:gridSpan w:val="10"/>
          </w:tcPr>
          <w:p>
            <w:pPr>
              <w:spacing w:after="0"/>
              <w:rPr>
                <w:sz w:val="20"/>
                <w:szCs w:val="20"/>
                <w:color w:val="auto"/>
              </w:rPr>
            </w:pPr>
            <w:r>
              <w:rPr>
                <w:rFonts w:ascii="Arial" w:cs="Arial" w:eastAsia="Arial" w:hAnsi="Arial"/>
                <w:sz w:val="18"/>
                <w:szCs w:val="18"/>
                <w:color w:val="auto"/>
              </w:rPr>
              <w:t>(A) Interest Proceeds on deposit in the Interest Collection Account</w:t>
            </w:r>
          </w:p>
        </w:tc>
        <w:tc>
          <w:tcPr>
            <w:tcW w:w="1980" w:type="dxa"/>
            <w:vAlign w:val="bottom"/>
          </w:tcPr>
          <w:p>
            <w:pPr>
              <w:jc w:val="right"/>
              <w:ind w:right="292"/>
              <w:spacing w:after="0"/>
              <w:rPr>
                <w:sz w:val="20"/>
                <w:szCs w:val="20"/>
                <w:color w:val="auto"/>
              </w:rPr>
            </w:pPr>
            <w:r>
              <w:rPr>
                <w:rFonts w:ascii="Arial" w:cs="Arial" w:eastAsia="Arial" w:hAnsi="Arial"/>
                <w:sz w:val="18"/>
                <w:szCs w:val="18"/>
                <w:color w:val="auto"/>
              </w:rPr>
              <w:t>____________</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4"/>
        </w:trPr>
        <w:tc>
          <w:tcPr>
            <w:tcW w:w="440" w:type="dxa"/>
            <w:vAlign w:val="bottom"/>
          </w:tcPr>
          <w:p>
            <w:pPr>
              <w:spacing w:after="0"/>
              <w:rPr>
                <w:sz w:val="15"/>
                <w:szCs w:val="15"/>
                <w:color w:val="auto"/>
              </w:rPr>
            </w:pPr>
          </w:p>
        </w:tc>
        <w:tc>
          <w:tcPr>
            <w:tcW w:w="7760" w:type="dxa"/>
            <w:vAlign w:val="bottom"/>
            <w:gridSpan w:val="9"/>
          </w:tcPr>
          <w:p>
            <w:pPr>
              <w:spacing w:after="0" w:line="184" w:lineRule="exact"/>
              <w:rPr>
                <w:sz w:val="20"/>
                <w:szCs w:val="20"/>
                <w:color w:val="auto"/>
              </w:rPr>
            </w:pPr>
            <w:r>
              <w:rPr>
                <w:rFonts w:ascii="Arial" w:cs="Arial" w:eastAsia="Arial" w:hAnsi="Arial"/>
                <w:sz w:val="18"/>
                <w:szCs w:val="18"/>
                <w:color w:val="auto"/>
              </w:rPr>
              <w:t>Estimated Fees, Interest and Expenses</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60" w:type="dxa"/>
            <w:vAlign w:val="bottom"/>
            <w:gridSpan w:val="5"/>
            <w:shd w:val="clear" w:color="auto" w:fill="000000"/>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0"/>
              </w:rPr>
              <w:t>(1)</w:t>
            </w:r>
          </w:p>
        </w:tc>
        <w:tc>
          <w:tcPr>
            <w:tcW w:w="7540" w:type="dxa"/>
            <w:vAlign w:val="bottom"/>
            <w:gridSpan w:val="8"/>
          </w:tcPr>
          <w:p>
            <w:pPr>
              <w:ind w:left="20"/>
              <w:spacing w:after="0"/>
              <w:rPr>
                <w:sz w:val="20"/>
                <w:szCs w:val="20"/>
                <w:color w:val="auto"/>
              </w:rPr>
            </w:pPr>
            <w:r>
              <w:rPr>
                <w:rFonts w:ascii="Arial" w:cs="Arial" w:eastAsia="Arial" w:hAnsi="Arial"/>
                <w:sz w:val="18"/>
                <w:szCs w:val="18"/>
                <w:color w:val="auto"/>
              </w:rPr>
              <w:t>Out of Pocket Expenses of the Collateral Agent:</w:t>
            </w:r>
          </w:p>
        </w:tc>
        <w:tc>
          <w:tcPr>
            <w:tcW w:w="1980" w:type="dxa"/>
            <w:vAlign w:val="bottom"/>
          </w:tcPr>
          <w:p>
            <w:pPr>
              <w:jc w:val="right"/>
              <w:ind w:right="292"/>
              <w:spacing w:after="0"/>
              <w:rPr>
                <w:sz w:val="20"/>
                <w:szCs w:val="20"/>
                <w:color w:val="auto"/>
              </w:rPr>
            </w:pPr>
            <w:r>
              <w:rPr>
                <w:rFonts w:ascii="Arial" w:cs="Arial" w:eastAsia="Arial" w:hAnsi="Arial"/>
                <w:sz w:val="18"/>
                <w:szCs w:val="18"/>
                <w:color w:val="auto"/>
              </w:rPr>
              <w:t>____________</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660" w:type="dxa"/>
            <w:vAlign w:val="bottom"/>
            <w:gridSpan w:val="2"/>
          </w:tcPr>
          <w:p>
            <w:pPr>
              <w:ind w:left="440"/>
              <w:spacing w:after="0"/>
              <w:rPr>
                <w:sz w:val="20"/>
                <w:szCs w:val="20"/>
                <w:color w:val="auto"/>
              </w:rPr>
            </w:pPr>
            <w:r>
              <w:rPr>
                <w:rFonts w:ascii="Arial" w:cs="Arial" w:eastAsia="Arial" w:hAnsi="Arial"/>
                <w:sz w:val="18"/>
                <w:szCs w:val="18"/>
                <w:color w:val="auto"/>
                <w:w w:val="90"/>
              </w:rPr>
              <w:t>(2)</w:t>
            </w:r>
          </w:p>
        </w:tc>
        <w:tc>
          <w:tcPr>
            <w:tcW w:w="7540" w:type="dxa"/>
            <w:vAlign w:val="bottom"/>
            <w:gridSpan w:val="8"/>
          </w:tcPr>
          <w:p>
            <w:pPr>
              <w:ind w:left="20"/>
              <w:spacing w:after="0"/>
              <w:rPr>
                <w:sz w:val="20"/>
                <w:szCs w:val="20"/>
                <w:color w:val="auto"/>
              </w:rPr>
            </w:pPr>
            <w:r>
              <w:rPr>
                <w:rFonts w:ascii="Arial" w:cs="Arial" w:eastAsia="Arial" w:hAnsi="Arial"/>
                <w:sz w:val="18"/>
                <w:szCs w:val="18"/>
                <w:color w:val="auto"/>
              </w:rPr>
              <w:t>Administrative Expenses</w:t>
            </w:r>
          </w:p>
        </w:tc>
        <w:tc>
          <w:tcPr>
            <w:tcW w:w="3040" w:type="dxa"/>
            <w:vAlign w:val="bottom"/>
            <w:gridSpan w:val="4"/>
          </w:tcPr>
          <w:p>
            <w:pPr>
              <w:jc w:val="right"/>
              <w:ind w:right="100"/>
              <w:spacing w:after="0"/>
              <w:rPr>
                <w:sz w:val="20"/>
                <w:szCs w:val="20"/>
                <w:color w:val="auto"/>
              </w:rPr>
            </w:pPr>
            <w:r>
              <w:rPr>
                <w:rFonts w:ascii="Arial" w:cs="Arial" w:eastAsia="Arial" w:hAnsi="Arial"/>
                <w:sz w:val="18"/>
                <w:szCs w:val="18"/>
                <w:color w:val="auto"/>
              </w:rPr>
              <w:t>____________</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(a) Collateral Agent Fees and Expenses:</w:t>
            </w:r>
          </w:p>
        </w:tc>
        <w:tc>
          <w:tcPr>
            <w:tcW w:w="3040" w:type="dxa"/>
            <w:vAlign w:val="bottom"/>
            <w:gridSpan w:val="4"/>
          </w:tcPr>
          <w:p>
            <w:pPr>
              <w:jc w:val="right"/>
              <w:ind w:right="100"/>
              <w:spacing w:after="0"/>
              <w:rPr>
                <w:sz w:val="20"/>
                <w:szCs w:val="20"/>
                <w:color w:val="auto"/>
              </w:rPr>
            </w:pPr>
            <w:r>
              <w:rPr>
                <w:rFonts w:ascii="Arial" w:cs="Arial" w:eastAsia="Arial" w:hAnsi="Arial"/>
                <w:sz w:val="18"/>
                <w:szCs w:val="18"/>
                <w:color w:val="auto"/>
              </w:rPr>
              <w:t>____________</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(b) Collateral Administrator Fees and Expenses:</w:t>
            </w:r>
          </w:p>
        </w:tc>
        <w:tc>
          <w:tcPr>
            <w:tcW w:w="3040" w:type="dxa"/>
            <w:vAlign w:val="bottom"/>
            <w:gridSpan w:val="4"/>
          </w:tcPr>
          <w:p>
            <w:pPr>
              <w:jc w:val="right"/>
              <w:ind w:right="100"/>
              <w:spacing w:after="0"/>
              <w:rPr>
                <w:sz w:val="20"/>
                <w:szCs w:val="20"/>
                <w:color w:val="auto"/>
              </w:rPr>
            </w:pPr>
            <w:r>
              <w:rPr>
                <w:rFonts w:ascii="Arial" w:cs="Arial" w:eastAsia="Arial" w:hAnsi="Arial"/>
                <w:sz w:val="18"/>
                <w:szCs w:val="18"/>
                <w:color w:val="auto"/>
              </w:rPr>
              <w:t>____________</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(c) Backup Collateral Manager Fees and Expenses:</w:t>
            </w:r>
          </w:p>
        </w:tc>
        <w:tc>
          <w:tcPr>
            <w:tcW w:w="3040" w:type="dxa"/>
            <w:vAlign w:val="bottom"/>
            <w:gridSpan w:val="4"/>
          </w:tcPr>
          <w:p>
            <w:pPr>
              <w:jc w:val="right"/>
              <w:ind w:right="100"/>
              <w:spacing w:after="0"/>
              <w:rPr>
                <w:sz w:val="20"/>
                <w:szCs w:val="20"/>
                <w:color w:val="auto"/>
              </w:rPr>
            </w:pPr>
            <w:r>
              <w:rPr>
                <w:rFonts w:ascii="Arial" w:cs="Arial" w:eastAsia="Arial" w:hAnsi="Arial"/>
                <w:sz w:val="18"/>
                <w:szCs w:val="18"/>
                <w:color w:val="auto"/>
              </w:rPr>
              <w:t>____________</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(d) Securities Intermediary Fees and Expenses:</w:t>
            </w:r>
          </w:p>
        </w:tc>
        <w:tc>
          <w:tcPr>
            <w:tcW w:w="3040" w:type="dxa"/>
            <w:vAlign w:val="bottom"/>
            <w:gridSpan w:val="4"/>
          </w:tcPr>
          <w:p>
            <w:pPr>
              <w:jc w:val="right"/>
              <w:ind w:right="100"/>
              <w:spacing w:after="0"/>
              <w:rPr>
                <w:sz w:val="20"/>
                <w:szCs w:val="20"/>
                <w:color w:val="auto"/>
              </w:rPr>
            </w:pPr>
            <w:r>
              <w:rPr>
                <w:rFonts w:ascii="Arial" w:cs="Arial" w:eastAsia="Arial" w:hAnsi="Arial"/>
                <w:sz w:val="18"/>
                <w:szCs w:val="18"/>
                <w:color w:val="auto"/>
              </w:rPr>
              <w:t>____________</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(e) Document Custodian Fees and Expenses:</w:t>
            </w:r>
          </w:p>
        </w:tc>
        <w:tc>
          <w:tcPr>
            <w:tcW w:w="3040" w:type="dxa"/>
            <w:vAlign w:val="bottom"/>
            <w:gridSpan w:val="4"/>
          </w:tcPr>
          <w:p>
            <w:pPr>
              <w:jc w:val="right"/>
              <w:ind w:right="100"/>
              <w:spacing w:after="0"/>
              <w:rPr>
                <w:sz w:val="20"/>
                <w:szCs w:val="20"/>
                <w:color w:val="auto"/>
              </w:rPr>
            </w:pPr>
            <w:r>
              <w:rPr>
                <w:rFonts w:ascii="Arial" w:cs="Arial" w:eastAsia="Arial" w:hAnsi="Arial"/>
                <w:sz w:val="18"/>
                <w:szCs w:val="18"/>
                <w:color w:val="auto"/>
              </w:rPr>
              <w:t>____________</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(f) Fees and accrued expenses of Administrative Agent:</w:t>
            </w:r>
          </w:p>
        </w:tc>
        <w:tc>
          <w:tcPr>
            <w:tcW w:w="3040" w:type="dxa"/>
            <w:vAlign w:val="bottom"/>
            <w:gridSpan w:val="4"/>
          </w:tcPr>
          <w:p>
            <w:pPr>
              <w:jc w:val="right"/>
              <w:ind w:right="100"/>
              <w:spacing w:after="0"/>
              <w:rPr>
                <w:sz w:val="20"/>
                <w:szCs w:val="20"/>
                <w:color w:val="auto"/>
              </w:rPr>
            </w:pPr>
            <w:r>
              <w:rPr>
                <w:rFonts w:ascii="Arial" w:cs="Arial" w:eastAsia="Arial" w:hAnsi="Arial"/>
                <w:sz w:val="18"/>
                <w:szCs w:val="18"/>
                <w:color w:val="auto"/>
              </w:rPr>
              <w:t>____________</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(g) Expenses (and indemnities) incurred by Collateral Manager:</w:t>
            </w:r>
          </w:p>
        </w:tc>
        <w:tc>
          <w:tcPr>
            <w:tcW w:w="3040" w:type="dxa"/>
            <w:vAlign w:val="bottom"/>
            <w:gridSpan w:val="4"/>
          </w:tcPr>
          <w:p>
            <w:pPr>
              <w:jc w:val="right"/>
              <w:ind w:right="100"/>
              <w:spacing w:after="0"/>
              <w:rPr>
                <w:sz w:val="20"/>
                <w:szCs w:val="20"/>
                <w:color w:val="auto"/>
              </w:rPr>
            </w:pPr>
            <w:r>
              <w:rPr>
                <w:rFonts w:ascii="Arial" w:cs="Arial" w:eastAsia="Arial" w:hAnsi="Arial"/>
                <w:sz w:val="18"/>
                <w:szCs w:val="18"/>
                <w:color w:val="auto"/>
              </w:rPr>
              <w:t>____________</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(h) Fees and expenses of Independent Accountants, agents and counsel:</w:t>
            </w:r>
          </w:p>
        </w:tc>
        <w:tc>
          <w:tcPr>
            <w:tcW w:w="3040" w:type="dxa"/>
            <w:vAlign w:val="bottom"/>
            <w:gridSpan w:val="4"/>
          </w:tcPr>
          <w:p>
            <w:pPr>
              <w:jc w:val="right"/>
              <w:ind w:right="100"/>
              <w:spacing w:after="0"/>
              <w:rPr>
                <w:sz w:val="20"/>
                <w:szCs w:val="20"/>
                <w:color w:val="auto"/>
              </w:rPr>
            </w:pPr>
            <w:r>
              <w:rPr>
                <w:rFonts w:ascii="Arial" w:cs="Arial" w:eastAsia="Arial" w:hAnsi="Arial"/>
                <w:sz w:val="18"/>
                <w:szCs w:val="18"/>
                <w:color w:val="auto"/>
              </w:rPr>
              <w:t>____________</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(i) Fees and expenses of Rating Agencies:</w:t>
            </w:r>
          </w:p>
        </w:tc>
        <w:tc>
          <w:tcPr>
            <w:tcW w:w="3040" w:type="dxa"/>
            <w:vAlign w:val="bottom"/>
            <w:gridSpan w:val="4"/>
          </w:tcPr>
          <w:p>
            <w:pPr>
              <w:jc w:val="right"/>
              <w:ind w:right="100"/>
              <w:spacing w:after="0"/>
              <w:rPr>
                <w:sz w:val="20"/>
                <w:szCs w:val="20"/>
                <w:color w:val="auto"/>
              </w:rPr>
            </w:pPr>
            <w:r>
              <w:rPr>
                <w:rFonts w:ascii="Arial" w:cs="Arial" w:eastAsia="Arial" w:hAnsi="Arial"/>
                <w:sz w:val="18"/>
                <w:szCs w:val="18"/>
                <w:color w:val="auto"/>
              </w:rPr>
              <w:t>____________</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(j) Expenses incurred by any other Person:</w:t>
            </w:r>
          </w:p>
        </w:tc>
        <w:tc>
          <w:tcPr>
            <w:tcW w:w="3040" w:type="dxa"/>
            <w:vAlign w:val="bottom"/>
            <w:gridSpan w:val="4"/>
          </w:tcPr>
          <w:p>
            <w:pPr>
              <w:jc w:val="right"/>
              <w:ind w:right="100"/>
              <w:spacing w:after="0"/>
              <w:rPr>
                <w:sz w:val="20"/>
                <w:szCs w:val="20"/>
                <w:color w:val="auto"/>
              </w:rPr>
            </w:pPr>
            <w:r>
              <w:rPr>
                <w:rFonts w:ascii="Arial" w:cs="Arial" w:eastAsia="Arial" w:hAnsi="Arial"/>
                <w:sz w:val="18"/>
                <w:szCs w:val="18"/>
                <w:color w:val="auto"/>
              </w:rPr>
              <w:t>____________</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(k) Expenses incurred by Lenders and Agents:</w:t>
            </w:r>
          </w:p>
        </w:tc>
        <w:tc>
          <w:tcPr>
            <w:tcW w:w="3040" w:type="dxa"/>
            <w:vAlign w:val="bottom"/>
            <w:gridSpan w:val="4"/>
          </w:tcPr>
          <w:p>
            <w:pPr>
              <w:jc w:val="right"/>
              <w:ind w:right="100"/>
              <w:spacing w:after="0"/>
              <w:rPr>
                <w:sz w:val="20"/>
                <w:szCs w:val="20"/>
                <w:color w:val="auto"/>
              </w:rPr>
            </w:pPr>
            <w:r>
              <w:rPr>
                <w:rFonts w:ascii="Arial" w:cs="Arial" w:eastAsia="Arial" w:hAnsi="Arial"/>
                <w:sz w:val="18"/>
                <w:szCs w:val="18"/>
                <w:color w:val="auto"/>
              </w:rPr>
              <w:t>____________</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Total Administrative Expenses:</w:t>
            </w:r>
          </w:p>
        </w:tc>
        <w:tc>
          <w:tcPr>
            <w:tcW w:w="1980" w:type="dxa"/>
            <w:vAlign w:val="bottom"/>
          </w:tcPr>
          <w:p>
            <w:pPr>
              <w:jc w:val="right"/>
              <w:ind w:right="292"/>
              <w:spacing w:after="0"/>
              <w:rPr>
                <w:sz w:val="20"/>
                <w:szCs w:val="20"/>
                <w:color w:val="auto"/>
              </w:rPr>
            </w:pPr>
            <w:r>
              <w:rPr>
                <w:rFonts w:ascii="Arial" w:cs="Arial" w:eastAsia="Arial" w:hAnsi="Arial"/>
                <w:sz w:val="18"/>
                <w:szCs w:val="18"/>
                <w:color w:val="auto"/>
              </w:rPr>
              <w:t>$ ____________</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 w:type="dxa"/>
            <w:vAlign w:val="bottom"/>
            <w:gridSpan w:val="2"/>
          </w:tcPr>
          <w:p>
            <w:pPr>
              <w:ind w:left="440"/>
              <w:spacing w:after="0"/>
              <w:rPr>
                <w:sz w:val="20"/>
                <w:szCs w:val="20"/>
                <w:color w:val="auto"/>
              </w:rPr>
            </w:pPr>
            <w:r>
              <w:rPr>
                <w:rFonts w:ascii="Arial" w:cs="Arial" w:eastAsia="Arial" w:hAnsi="Arial"/>
                <w:sz w:val="18"/>
                <w:szCs w:val="18"/>
                <w:color w:val="auto"/>
                <w:w w:val="90"/>
              </w:rPr>
              <w:t>(3)</w:t>
            </w:r>
          </w:p>
        </w:tc>
        <w:tc>
          <w:tcPr>
            <w:tcW w:w="7540" w:type="dxa"/>
            <w:vAlign w:val="bottom"/>
            <w:gridSpan w:val="8"/>
          </w:tcPr>
          <w:p>
            <w:pPr>
              <w:ind w:left="20"/>
              <w:spacing w:after="0"/>
              <w:rPr>
                <w:sz w:val="20"/>
                <w:szCs w:val="20"/>
                <w:color w:val="auto"/>
              </w:rPr>
            </w:pPr>
            <w:r>
              <w:rPr>
                <w:rFonts w:ascii="Arial" w:cs="Arial" w:eastAsia="Arial" w:hAnsi="Arial"/>
                <w:sz w:val="18"/>
                <w:szCs w:val="18"/>
                <w:color w:val="auto"/>
              </w:rPr>
              <w:t>One-Time Successor Servicer Engagement Fee:</w:t>
            </w:r>
          </w:p>
        </w:tc>
        <w:tc>
          <w:tcPr>
            <w:tcW w:w="1980" w:type="dxa"/>
            <w:vAlign w:val="bottom"/>
          </w:tcPr>
          <w:p>
            <w:pPr>
              <w:jc w:val="right"/>
              <w:ind w:right="292"/>
              <w:spacing w:after="0"/>
              <w:rPr>
                <w:sz w:val="20"/>
                <w:szCs w:val="20"/>
                <w:color w:val="auto"/>
              </w:rPr>
            </w:pPr>
            <w:r>
              <w:rPr>
                <w:rFonts w:ascii="Arial" w:cs="Arial" w:eastAsia="Arial" w:hAnsi="Arial"/>
                <w:sz w:val="18"/>
                <w:szCs w:val="18"/>
                <w:color w:val="auto"/>
              </w:rPr>
              <w:t>____________</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 w:type="dxa"/>
            <w:vAlign w:val="bottom"/>
            <w:gridSpan w:val="2"/>
          </w:tcPr>
          <w:p>
            <w:pPr>
              <w:ind w:left="440"/>
              <w:spacing w:after="0"/>
              <w:rPr>
                <w:sz w:val="20"/>
                <w:szCs w:val="20"/>
                <w:color w:val="auto"/>
              </w:rPr>
            </w:pPr>
            <w:r>
              <w:rPr>
                <w:rFonts w:ascii="Arial" w:cs="Arial" w:eastAsia="Arial" w:hAnsi="Arial"/>
                <w:sz w:val="18"/>
                <w:szCs w:val="18"/>
                <w:color w:val="auto"/>
                <w:w w:val="90"/>
              </w:rPr>
              <w:t>(4)</w:t>
            </w:r>
          </w:p>
        </w:tc>
        <w:tc>
          <w:tcPr>
            <w:tcW w:w="7540" w:type="dxa"/>
            <w:vAlign w:val="bottom"/>
            <w:gridSpan w:val="8"/>
          </w:tcPr>
          <w:p>
            <w:pPr>
              <w:ind w:left="20"/>
              <w:spacing w:after="0"/>
              <w:rPr>
                <w:sz w:val="20"/>
                <w:szCs w:val="20"/>
                <w:color w:val="auto"/>
              </w:rPr>
            </w:pPr>
            <w:r>
              <w:rPr>
                <w:rFonts w:ascii="Arial" w:cs="Arial" w:eastAsia="Arial" w:hAnsi="Arial"/>
                <w:sz w:val="18"/>
                <w:szCs w:val="18"/>
                <w:color w:val="auto"/>
              </w:rPr>
              <w:t>Hedge agreement expenses:</w:t>
            </w:r>
          </w:p>
        </w:tc>
        <w:tc>
          <w:tcPr>
            <w:tcW w:w="1980" w:type="dxa"/>
            <w:vAlign w:val="bottom"/>
          </w:tcPr>
          <w:p>
            <w:pPr>
              <w:jc w:val="right"/>
              <w:ind w:right="292"/>
              <w:spacing w:after="0"/>
              <w:rPr>
                <w:sz w:val="20"/>
                <w:szCs w:val="20"/>
                <w:color w:val="auto"/>
              </w:rPr>
            </w:pPr>
            <w:r>
              <w:rPr>
                <w:rFonts w:ascii="Arial" w:cs="Arial" w:eastAsia="Arial" w:hAnsi="Arial"/>
                <w:sz w:val="18"/>
                <w:szCs w:val="18"/>
                <w:color w:val="auto"/>
              </w:rPr>
              <w:t>____________</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 w:type="dxa"/>
            <w:vAlign w:val="bottom"/>
            <w:gridSpan w:val="2"/>
          </w:tcPr>
          <w:p>
            <w:pPr>
              <w:ind w:left="440"/>
              <w:spacing w:after="0"/>
              <w:rPr>
                <w:sz w:val="20"/>
                <w:szCs w:val="20"/>
                <w:color w:val="auto"/>
              </w:rPr>
            </w:pPr>
            <w:r>
              <w:rPr>
                <w:rFonts w:ascii="Arial" w:cs="Arial" w:eastAsia="Arial" w:hAnsi="Arial"/>
                <w:sz w:val="18"/>
                <w:szCs w:val="18"/>
                <w:color w:val="auto"/>
                <w:w w:val="90"/>
              </w:rPr>
              <w:t>(5)</w:t>
            </w:r>
          </w:p>
        </w:tc>
        <w:tc>
          <w:tcPr>
            <w:tcW w:w="7540" w:type="dxa"/>
            <w:vAlign w:val="bottom"/>
            <w:gridSpan w:val="8"/>
          </w:tcPr>
          <w:p>
            <w:pPr>
              <w:ind w:left="20"/>
              <w:spacing w:after="0"/>
              <w:rPr>
                <w:sz w:val="20"/>
                <w:szCs w:val="20"/>
                <w:color w:val="auto"/>
              </w:rPr>
            </w:pPr>
            <w:r>
              <w:rPr>
                <w:rFonts w:ascii="Arial" w:cs="Arial" w:eastAsia="Arial" w:hAnsi="Arial"/>
                <w:sz w:val="18"/>
                <w:szCs w:val="18"/>
                <w:color w:val="auto"/>
              </w:rPr>
              <w:t>Unpaid Senior Collateral Management Fees:</w:t>
            </w:r>
          </w:p>
        </w:tc>
        <w:tc>
          <w:tcPr>
            <w:tcW w:w="1980" w:type="dxa"/>
            <w:vAlign w:val="bottom"/>
          </w:tcPr>
          <w:p>
            <w:pPr>
              <w:jc w:val="right"/>
              <w:ind w:right="292"/>
              <w:spacing w:after="0"/>
              <w:rPr>
                <w:sz w:val="20"/>
                <w:szCs w:val="20"/>
                <w:color w:val="auto"/>
              </w:rPr>
            </w:pPr>
            <w:r>
              <w:rPr>
                <w:rFonts w:ascii="Arial" w:cs="Arial" w:eastAsia="Arial" w:hAnsi="Arial"/>
                <w:sz w:val="18"/>
                <w:szCs w:val="18"/>
                <w:color w:val="auto"/>
              </w:rPr>
              <w:t>____________</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 w:type="dxa"/>
            <w:vAlign w:val="bottom"/>
            <w:gridSpan w:val="2"/>
          </w:tcPr>
          <w:p>
            <w:pPr>
              <w:ind w:left="440"/>
              <w:spacing w:after="0"/>
              <w:rPr>
                <w:sz w:val="20"/>
                <w:szCs w:val="20"/>
                <w:color w:val="auto"/>
              </w:rPr>
            </w:pPr>
            <w:r>
              <w:rPr>
                <w:rFonts w:ascii="Arial" w:cs="Arial" w:eastAsia="Arial" w:hAnsi="Arial"/>
                <w:sz w:val="18"/>
                <w:szCs w:val="18"/>
                <w:color w:val="auto"/>
                <w:w w:val="90"/>
              </w:rPr>
              <w:t>(6)</w:t>
            </w:r>
          </w:p>
        </w:tc>
        <w:tc>
          <w:tcPr>
            <w:tcW w:w="7540" w:type="dxa"/>
            <w:vAlign w:val="bottom"/>
            <w:gridSpan w:val="8"/>
          </w:tcPr>
          <w:p>
            <w:pPr>
              <w:ind w:left="20"/>
              <w:spacing w:after="0"/>
              <w:rPr>
                <w:sz w:val="20"/>
                <w:szCs w:val="20"/>
                <w:color w:val="auto"/>
              </w:rPr>
            </w:pPr>
            <w:r>
              <w:rPr>
                <w:rFonts w:ascii="Arial" w:cs="Arial" w:eastAsia="Arial" w:hAnsi="Arial"/>
                <w:sz w:val="18"/>
                <w:szCs w:val="18"/>
                <w:color w:val="auto"/>
                <w:w w:val="92"/>
              </w:rPr>
              <w:t>Accrued and unpaid interest on Advances, Commitment Fees and breakage costs due to the Lenders:</w:t>
            </w:r>
          </w:p>
        </w:tc>
        <w:tc>
          <w:tcPr>
            <w:tcW w:w="1980" w:type="dxa"/>
            <w:vAlign w:val="bottom"/>
          </w:tcPr>
          <w:p>
            <w:pPr>
              <w:jc w:val="right"/>
              <w:ind w:right="292"/>
              <w:spacing w:after="0"/>
              <w:rPr>
                <w:sz w:val="20"/>
                <w:szCs w:val="20"/>
                <w:color w:val="auto"/>
              </w:rPr>
            </w:pPr>
            <w:r>
              <w:rPr>
                <w:rFonts w:ascii="Arial" w:cs="Arial" w:eastAsia="Arial" w:hAnsi="Arial"/>
                <w:sz w:val="18"/>
                <w:szCs w:val="18"/>
                <w:color w:val="auto"/>
              </w:rPr>
              <w:t>____________</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200" w:type="dxa"/>
            <w:vAlign w:val="bottom"/>
            <w:gridSpan w:val="10"/>
          </w:tcPr>
          <w:p>
            <w:pPr>
              <w:spacing w:after="0"/>
              <w:rPr>
                <w:sz w:val="20"/>
                <w:szCs w:val="20"/>
                <w:color w:val="auto"/>
              </w:rPr>
            </w:pPr>
            <w:r>
              <w:rPr>
                <w:rFonts w:ascii="Arial" w:cs="Arial" w:eastAsia="Arial" w:hAnsi="Arial"/>
                <w:sz w:val="18"/>
                <w:szCs w:val="18"/>
                <w:color w:val="auto"/>
              </w:rPr>
              <w:t>(B) Total Estimated Fees, Interest and Expenses (Sum of Lines 1-6):</w:t>
            </w:r>
          </w:p>
        </w:tc>
        <w:tc>
          <w:tcPr>
            <w:tcW w:w="1980" w:type="dxa"/>
            <w:vAlign w:val="bottom"/>
          </w:tcPr>
          <w:p>
            <w:pPr>
              <w:jc w:val="right"/>
              <w:ind w:right="292"/>
              <w:spacing w:after="0"/>
              <w:rPr>
                <w:sz w:val="20"/>
                <w:szCs w:val="20"/>
                <w:color w:val="auto"/>
              </w:rPr>
            </w:pPr>
            <w:r>
              <w:rPr>
                <w:rFonts w:ascii="Arial" w:cs="Arial" w:eastAsia="Arial" w:hAnsi="Arial"/>
                <w:sz w:val="18"/>
                <w:szCs w:val="18"/>
                <w:color w:val="auto"/>
              </w:rPr>
              <w:t>$ ____________</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200" w:type="dxa"/>
            <w:vAlign w:val="bottom"/>
            <w:gridSpan w:val="10"/>
          </w:tcPr>
          <w:p>
            <w:pPr>
              <w:spacing w:after="0"/>
              <w:rPr>
                <w:sz w:val="20"/>
                <w:szCs w:val="20"/>
                <w:color w:val="auto"/>
              </w:rPr>
            </w:pPr>
            <w:r>
              <w:rPr>
                <w:rFonts w:ascii="Arial" w:cs="Arial" w:eastAsia="Arial" w:hAnsi="Arial"/>
                <w:sz w:val="18"/>
                <w:szCs w:val="18"/>
                <w:color w:val="auto"/>
              </w:rPr>
              <w:t>(C) Stressed Expense Estimate (Line (B) multiplied by 1.5):</w:t>
            </w:r>
          </w:p>
        </w:tc>
        <w:tc>
          <w:tcPr>
            <w:tcW w:w="1980" w:type="dxa"/>
            <w:vAlign w:val="bottom"/>
          </w:tcPr>
          <w:p>
            <w:pPr>
              <w:jc w:val="right"/>
              <w:ind w:right="292"/>
              <w:spacing w:after="0"/>
              <w:rPr>
                <w:sz w:val="20"/>
                <w:szCs w:val="20"/>
                <w:color w:val="auto"/>
              </w:rPr>
            </w:pPr>
            <w:r>
              <w:rPr>
                <w:rFonts w:ascii="Arial" w:cs="Arial" w:eastAsia="Arial" w:hAnsi="Arial"/>
                <w:sz w:val="18"/>
                <w:szCs w:val="18"/>
                <w:color w:val="auto"/>
              </w:rPr>
              <w:t>$ ____________</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8200" w:type="dxa"/>
            <w:vAlign w:val="bottom"/>
            <w:gridSpan w:val="10"/>
          </w:tcPr>
          <w:p>
            <w:pPr>
              <w:spacing w:after="0"/>
              <w:rPr>
                <w:sz w:val="20"/>
                <w:szCs w:val="20"/>
                <w:color w:val="auto"/>
              </w:rPr>
            </w:pPr>
            <w:r>
              <w:rPr>
                <w:rFonts w:ascii="Arial" w:cs="Arial" w:eastAsia="Arial" w:hAnsi="Arial"/>
                <w:sz w:val="18"/>
                <w:szCs w:val="18"/>
                <w:color w:val="auto"/>
              </w:rPr>
              <w:t>(D) Excess Interest Proceeds Amount (Line (A) minus Line (C)):</w:t>
            </w:r>
          </w:p>
        </w:tc>
        <w:tc>
          <w:tcPr>
            <w:tcW w:w="1980" w:type="dxa"/>
            <w:vAlign w:val="bottom"/>
          </w:tcPr>
          <w:p>
            <w:pPr>
              <w:jc w:val="right"/>
              <w:ind w:right="292"/>
              <w:spacing w:after="0"/>
              <w:rPr>
                <w:sz w:val="20"/>
                <w:szCs w:val="20"/>
                <w:color w:val="auto"/>
              </w:rPr>
            </w:pPr>
            <w:r>
              <w:rPr>
                <w:rFonts w:ascii="Arial" w:cs="Arial" w:eastAsia="Arial" w:hAnsi="Arial"/>
                <w:sz w:val="18"/>
                <w:szCs w:val="18"/>
                <w:color w:val="auto"/>
              </w:rPr>
              <w:t>$ ____________</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as Collateral Manager</w:t>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9221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92214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122555</wp:posOffset>
            </wp:positionV>
            <wp:extent cx="8077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20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-13970</wp:posOffset>
            </wp:positionV>
            <wp:extent cx="24237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423795" cy="8255"/>
                    </a:xfrm>
                    <a:prstGeom prst="rect">
                      <a:avLst/>
                    </a:prstGeom>
                    <a:noFill/>
                  </pic:spPr>
                </pic:pic>
              </a:graphicData>
            </a:graphic>
          </wp:anchor>
        </w:drawing>
      </w:r>
    </w:p>
    <w:p>
      <w:pPr>
        <w:ind w:left="6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-17780</wp:posOffset>
            </wp:positionV>
            <wp:extent cx="19500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5008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118745</wp:posOffset>
            </wp:positionV>
            <wp:extent cx="5295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9590" cy="825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ORROWING</w:t>
      </w:r>
      <w:r>
        <w:rPr>
          <w:rFonts w:ascii="Arial" w:cs="Arial" w:eastAsia="Arial" w:hAnsi="Arial"/>
          <w:sz w:val="18"/>
          <w:szCs w:val="18"/>
          <w:b w:val="1"/>
          <w:bCs w:val="1"/>
          <w:color w:val="auto"/>
        </w:rPr>
        <w: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 – CDO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Jennifer Vlasuk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PennantPark Floating Rate Funding I, LLC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ORROWING</w:t>
      </w:r>
    </w:p>
    <w:p>
      <w:pPr>
        <w:spacing w:after="0" w:line="177"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 xml:space="preserve">This Notice of Borrowing is made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of that certain Amended and Restated Revolving Credit and Security Agreement dated as of May 14, 2012 (as the same may from time to time be amended, supplemented, waived or modified, the </w:t>
      </w:r>
      <w:r>
        <w:rPr>
          <w:rFonts w:ascii="Arial" w:cs="Arial" w:eastAsia="Arial" w:hAnsi="Arial"/>
          <w:sz w:val="16"/>
          <w:szCs w:val="16"/>
          <w:i w:val="1"/>
          <w:iCs w:val="1"/>
          <w:color w:val="auto"/>
        </w:rPr>
        <w:t>“Credit Agreement”</w:t>
      </w:r>
      <w:r>
        <w:rPr>
          <w:rFonts w:ascii="Arial" w:cs="Arial" w:eastAsia="Arial" w:hAnsi="Arial"/>
          <w:sz w:val="16"/>
          <w:szCs w:val="16"/>
          <w:color w:val="auto"/>
        </w:rPr>
        <w:t xml:space="preserve">) among PennantPark Floating Rate Funding I, LLC, a Delaware limited liability company, as borrower (together with its permitted successors and assigns, the </w:t>
      </w:r>
      <w:r>
        <w:rPr>
          <w:rFonts w:ascii="Arial" w:cs="Arial" w:eastAsia="Arial" w:hAnsi="Arial"/>
          <w:sz w:val="16"/>
          <w:szCs w:val="16"/>
          <w:i w:val="1"/>
          <w:iCs w:val="1"/>
          <w:color w:val="auto"/>
        </w:rPr>
        <w:t>“Borrower”</w:t>
      </w:r>
      <w:r>
        <w:rPr>
          <w:rFonts w:ascii="Arial" w:cs="Arial" w:eastAsia="Arial" w:hAnsi="Arial"/>
          <w:sz w:val="16"/>
          <w:szCs w:val="16"/>
          <w:color w:val="auto"/>
        </w:rPr>
        <w:t xml:space="preserve">); PennantPark Investment Advisers, LLC, a Delaware limited liability company, as the collateral manager (together with its permitted successors and assigns, the </w:t>
      </w:r>
      <w:r>
        <w:rPr>
          <w:rFonts w:ascii="Arial" w:cs="Arial" w:eastAsia="Arial" w:hAnsi="Arial"/>
          <w:sz w:val="16"/>
          <w:szCs w:val="16"/>
          <w:i w:val="1"/>
          <w:iCs w:val="1"/>
          <w:color w:val="auto"/>
        </w:rPr>
        <w:t>“Collateral</w:t>
      </w:r>
      <w:r>
        <w:rPr>
          <w:rFonts w:ascii="Arial" w:cs="Arial" w:eastAsia="Arial" w:hAnsi="Arial"/>
          <w:sz w:val="16"/>
          <w:szCs w:val="16"/>
          <w:color w:val="auto"/>
        </w:rPr>
        <w:t xml:space="preserve"> </w:t>
      </w:r>
      <w:r>
        <w:rPr>
          <w:rFonts w:ascii="Arial" w:cs="Arial" w:eastAsia="Arial" w:hAnsi="Arial"/>
          <w:sz w:val="16"/>
          <w:szCs w:val="16"/>
          <w:i w:val="1"/>
          <w:iCs w:val="1"/>
          <w:color w:val="auto"/>
        </w:rPr>
        <w:t>Manager”</w:t>
      </w:r>
      <w:r>
        <w:rPr>
          <w:rFonts w:ascii="Arial" w:cs="Arial" w:eastAsia="Arial" w:hAnsi="Arial"/>
          <w:sz w:val="16"/>
          <w:szCs w:val="16"/>
          <w:color w:val="auto"/>
        </w:rPr>
        <w:t>), the Lenders from time to time party thereto; SunTrust Bank, as administrative agent for the Secured Parties (as hereinafter defined)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xml:space="preserve">), U.S. Bank National Association, as collateral agent for the Secured Parties (in such capacity, together with its successors and assigns, the </w:t>
      </w:r>
      <w:r>
        <w:rPr>
          <w:rFonts w:ascii="Arial" w:cs="Arial" w:eastAsia="Arial" w:hAnsi="Arial"/>
          <w:sz w:val="16"/>
          <w:szCs w:val="16"/>
          <w:i w:val="1"/>
          <w:iCs w:val="1"/>
          <w:color w:val="auto"/>
        </w:rPr>
        <w:t>“Collateral Agent”</w:t>
      </w:r>
      <w:r>
        <w:rPr>
          <w:rFonts w:ascii="Arial" w:cs="Arial" w:eastAsia="Arial" w:hAnsi="Arial"/>
          <w:sz w:val="16"/>
          <w:szCs w:val="16"/>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300" w:type="dxa"/>
            <w:vAlign w:val="bottom"/>
            <w:gridSpan w:val="3"/>
          </w:tcPr>
          <w:p>
            <w:pPr>
              <w:ind w:left="420"/>
              <w:spacing w:after="0"/>
              <w:rPr>
                <w:sz w:val="20"/>
                <w:szCs w:val="20"/>
                <w:color w:val="auto"/>
              </w:rPr>
            </w:pPr>
            <w:r>
              <w:rPr>
                <w:rFonts w:ascii="Arial" w:cs="Arial" w:eastAsia="Arial" w:hAnsi="Arial"/>
                <w:sz w:val="18"/>
                <w:szCs w:val="18"/>
                <w:color w:val="auto"/>
                <w:w w:val="88"/>
              </w:rPr>
              <w:t>1. The Borrower hereby requests that on</w:t>
            </w:r>
          </w:p>
        </w:tc>
        <w:tc>
          <w:tcPr>
            <w:tcW w:w="1060" w:type="dxa"/>
            <w:vAlign w:val="bottom"/>
            <w:gridSpan w:val="2"/>
          </w:tcPr>
          <w:p>
            <w:pPr>
              <w:spacing w:after="0"/>
              <w:rPr>
                <w:sz w:val="18"/>
                <w:szCs w:val="18"/>
                <w:color w:val="auto"/>
              </w:rPr>
            </w:pPr>
          </w:p>
        </w:tc>
        <w:tc>
          <w:tcPr>
            <w:tcW w:w="6240" w:type="dxa"/>
            <w:vAlign w:val="bottom"/>
            <w:gridSpan w:val="4"/>
          </w:tcPr>
          <w:p>
            <w:pPr>
              <w:spacing w:after="0"/>
              <w:rPr>
                <w:sz w:val="20"/>
                <w:szCs w:val="20"/>
                <w:color w:val="auto"/>
              </w:rPr>
            </w:pPr>
            <w:r>
              <w:rPr>
                <w:rFonts w:ascii="Arial" w:cs="Arial" w:eastAsia="Arial" w:hAnsi="Arial"/>
                <w:sz w:val="18"/>
                <w:szCs w:val="18"/>
                <w:color w:val="auto"/>
                <w:w w:val="91"/>
              </w:rPr>
              <w:t xml:space="preserve">, 201   (the </w:t>
            </w:r>
            <w:r>
              <w:rPr>
                <w:rFonts w:ascii="Arial" w:cs="Arial" w:eastAsia="Arial" w:hAnsi="Arial"/>
                <w:sz w:val="18"/>
                <w:szCs w:val="18"/>
                <w:i w:val="1"/>
                <w:iCs w:val="1"/>
                <w:color w:val="auto"/>
                <w:w w:val="91"/>
              </w:rPr>
              <w:t>“Borrowing Date”</w:t>
            </w:r>
            <w:r>
              <w:rPr>
                <w:rFonts w:ascii="Arial" w:cs="Arial" w:eastAsia="Arial" w:hAnsi="Arial"/>
                <w:sz w:val="18"/>
                <w:szCs w:val="18"/>
                <w:color w:val="auto"/>
                <w:w w:val="91"/>
              </w:rPr>
              <w:t>) it receive Borrowings under the Credit Agreement in an</w:t>
            </w:r>
          </w:p>
        </w:tc>
      </w:tr>
      <w:tr>
        <w:trPr>
          <w:trHeight w:val="20"/>
        </w:trPr>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96"/>
        </w:trPr>
        <w:tc>
          <w:tcPr>
            <w:tcW w:w="2160" w:type="dxa"/>
            <w:vAlign w:val="bottom"/>
          </w:tcPr>
          <w:p>
            <w:pPr>
              <w:spacing w:after="0" w:line="196" w:lineRule="exact"/>
              <w:rPr>
                <w:sz w:val="20"/>
                <w:szCs w:val="20"/>
                <w:color w:val="auto"/>
              </w:rPr>
            </w:pPr>
            <w:r>
              <w:rPr>
                <w:rFonts w:ascii="Arial" w:cs="Arial" w:eastAsia="Arial" w:hAnsi="Arial"/>
                <w:sz w:val="18"/>
                <w:szCs w:val="18"/>
                <w:color w:val="auto"/>
                <w:w w:val="89"/>
              </w:rPr>
              <w:t>aggregate principal amount of</w:t>
            </w:r>
          </w:p>
        </w:tc>
        <w:tc>
          <w:tcPr>
            <w:tcW w:w="1040" w:type="dxa"/>
            <w:vAlign w:val="bottom"/>
          </w:tcPr>
          <w:p>
            <w:pPr>
              <w:spacing w:after="0"/>
              <w:rPr>
                <w:sz w:val="17"/>
                <w:szCs w:val="17"/>
                <w:color w:val="auto"/>
              </w:rPr>
            </w:pPr>
          </w:p>
        </w:tc>
        <w:tc>
          <w:tcPr>
            <w:tcW w:w="76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0"/>
              </w:rPr>
              <w:t>Dollars ($</w:t>
            </w:r>
          </w:p>
        </w:tc>
        <w:tc>
          <w:tcPr>
            <w:tcW w:w="400" w:type="dxa"/>
            <w:vAlign w:val="bottom"/>
          </w:tcPr>
          <w:p>
            <w:pPr>
              <w:spacing w:after="0"/>
              <w:rPr>
                <w:sz w:val="17"/>
                <w:szCs w:val="17"/>
                <w:color w:val="auto"/>
              </w:rPr>
            </w:pPr>
          </w:p>
        </w:tc>
        <w:tc>
          <w:tcPr>
            <w:tcW w:w="6240" w:type="dxa"/>
            <w:vAlign w:val="bottom"/>
            <w:gridSpan w:val="4"/>
          </w:tcPr>
          <w:p>
            <w:pPr>
              <w:ind w:left="300"/>
              <w:spacing w:after="0" w:line="196" w:lineRule="exact"/>
              <w:rPr>
                <w:sz w:val="20"/>
                <w:szCs w:val="20"/>
                <w:color w:val="auto"/>
              </w:rPr>
            </w:pPr>
            <w:r>
              <w:rPr>
                <w:rFonts w:ascii="Arial" w:cs="Arial" w:eastAsia="Arial" w:hAnsi="Arial"/>
                <w:sz w:val="18"/>
                <w:szCs w:val="18"/>
                <w:color w:val="auto"/>
              </w:rPr>
              <w:t xml:space="preserve">) (the </w:t>
            </w:r>
            <w:r>
              <w:rPr>
                <w:rFonts w:ascii="Arial" w:cs="Arial" w:eastAsia="Arial" w:hAnsi="Arial"/>
                <w:sz w:val="18"/>
                <w:szCs w:val="18"/>
                <w:i w:val="1"/>
                <w:iCs w:val="1"/>
                <w:color w:val="auto"/>
              </w:rPr>
              <w:t>“Requested Amount”</w:t>
            </w:r>
            <w:r>
              <w:rPr>
                <w:rFonts w:ascii="Arial" w:cs="Arial" w:eastAsia="Arial" w:hAnsi="Arial"/>
                <w:sz w:val="18"/>
                <w:szCs w:val="18"/>
                <w:color w:val="auto"/>
              </w:rPr>
              <w:t>).</w:t>
            </w:r>
          </w:p>
        </w:tc>
      </w:tr>
      <w:tr>
        <w:trPr>
          <w:trHeight w:val="20"/>
        </w:trPr>
        <w:tc>
          <w:tcPr>
            <w:tcW w:w="2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bl>
    <w:p>
      <w:pPr>
        <w:sectPr>
          <w:pgSz w:w="11900" w:h="16838" w:orient="portrait"/>
          <w:cols w:equalWidth="0" w:num="1">
            <w:col w:w="11240"/>
          </w:cols>
          <w:pgMar w:left="320" w:top="274" w:right="339" w:bottom="1440" w:gutter="0" w:footer="0" w:header="0"/>
        </w:sectPr>
      </w:pPr>
    </w:p>
    <w:bookmarkStart w:id="208" w:name="page209"/>
    <w:bookmarkEnd w:id="208"/>
    <w:p>
      <w:pPr>
        <w:jc w:val="both"/>
        <w:ind w:firstLine="428"/>
        <w:spacing w:after="0" w:line="256" w:lineRule="auto"/>
        <w:tabs>
          <w:tab w:leader="none" w:pos="607"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hereby gives notice of its request for Advances in an aggregate principal amount equal to the Requested Amount to the Collateral Agent (who shall forward such request to the Lenders)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of the Credit Agreement and requests that the Lenders remit, or cause to be remitted, the proceeds thereof to the Principal Collection Subaccount in the respective pro rata amounts in accordance with the following wiring instructions: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Paul, MN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ABA 091 000 022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Acct 1047 9006 2574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Acct name: PennantPark Floating Rate Fd 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Reference: Sender’s name</w:t>
      </w:r>
    </w:p>
    <w:p>
      <w:pPr>
        <w:spacing w:after="0" w:line="84" w:lineRule="exact"/>
        <w:rPr>
          <w:sz w:val="20"/>
          <w:szCs w:val="20"/>
          <w:color w:val="auto"/>
        </w:rPr>
      </w:pPr>
    </w:p>
    <w:p>
      <w:pPr>
        <w:ind w:right="60" w:firstLine="428"/>
        <w:spacing w:after="0" w:line="268" w:lineRule="auto"/>
        <w:tabs>
          <w:tab w:leader="none" w:pos="60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The Borrower certifies that immediately after giving effect to the proposed Borrowing on the Borrowing Date each of the applicable conditions precedent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of the Credit Agreement is satisfied, including:</w:t>
      </w:r>
    </w:p>
    <w:p>
      <w:pPr>
        <w:spacing w:after="0" w:line="44" w:lineRule="exact"/>
        <w:rPr>
          <w:rFonts w:ascii="Arial" w:cs="Arial" w:eastAsia="Arial" w:hAnsi="Arial"/>
          <w:sz w:val="18"/>
          <w:szCs w:val="18"/>
          <w:color w:val="auto"/>
        </w:rPr>
      </w:pPr>
    </w:p>
    <w:p>
      <w:pPr>
        <w:jc w:val="both"/>
        <w:ind w:left="440" w:right="140" w:firstLine="420"/>
        <w:spacing w:after="0" w:line="262" w:lineRule="auto"/>
        <w:tabs>
          <w:tab w:leader="none" w:pos="110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 xml:space="preserve">the Matrix Inputs that are applicable as of the Borrowing Date shall be those set forth in Row </w:t>
      </w:r>
      <w:r>
        <w:rPr>
          <w:rFonts w:ascii="Arial" w:cs="Arial" w:eastAsia="Arial" w:hAnsi="Arial"/>
          <w:sz w:val="18"/>
          <w:szCs w:val="18"/>
          <w:b w:val="1"/>
          <w:bCs w:val="1"/>
          <w:color w:val="auto"/>
        </w:rPr>
        <w:t>[__]</w:t>
      </w:r>
      <w:r>
        <w:rPr>
          <w:rFonts w:ascii="Arial" w:cs="Arial" w:eastAsia="Arial" w:hAnsi="Arial"/>
          <w:sz w:val="18"/>
          <w:szCs w:val="18"/>
          <w:color w:val="auto"/>
        </w:rPr>
        <w:t xml:space="preserve"> of the Matrix, and immediately after the making of such Advance on the Borrowing Date, each Coverage Test shall be satisfied (as demonstrated on the Borrowing Base Calculation Statement attached hereto);</w:t>
      </w:r>
    </w:p>
    <w:p>
      <w:pPr>
        <w:spacing w:after="0" w:line="57" w:lineRule="exact"/>
        <w:rPr>
          <w:rFonts w:ascii="Arial" w:cs="Arial" w:eastAsia="Arial" w:hAnsi="Arial"/>
          <w:sz w:val="18"/>
          <w:szCs w:val="18"/>
          <w:color w:val="auto"/>
        </w:rPr>
      </w:pPr>
    </w:p>
    <w:p>
      <w:pPr>
        <w:ind w:left="440" w:firstLine="420"/>
        <w:spacing w:after="0" w:line="306" w:lineRule="auto"/>
        <w:tabs>
          <w:tab w:leader="none" w:pos="1102" w:val="left"/>
        </w:tabs>
        <w:numPr>
          <w:ilvl w:val="1"/>
          <w:numId w:val="215"/>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of the Borrower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 Credit Agreement is true and correct in all material respects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25" w:lineRule="exact"/>
        <w:rPr>
          <w:rFonts w:ascii="Arial" w:cs="Arial" w:eastAsia="Arial" w:hAnsi="Arial"/>
          <w:sz w:val="16"/>
          <w:szCs w:val="16"/>
          <w:color w:val="auto"/>
        </w:rPr>
      </w:pPr>
    </w:p>
    <w:p>
      <w:pPr>
        <w:ind w:left="440" w:right="80" w:firstLine="420"/>
        <w:spacing w:after="0" w:line="268" w:lineRule="auto"/>
        <w:tabs>
          <w:tab w:leader="none" w:pos="110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at the time of the making of such Advance or shall result upon the making of such Advance.</w:t>
      </w:r>
    </w:p>
    <w:p>
      <w:pPr>
        <w:spacing w:after="0" w:line="126"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w:t>
      </w: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780" w:top="280" w:right="399" w:bottom="1440" w:gutter="0" w:footer="0" w:header="0"/>
        </w:sectPr>
      </w:pPr>
    </w:p>
    <w:bookmarkStart w:id="209" w:name="page210"/>
    <w:bookmarkEnd w:id="209"/>
    <w:p>
      <w:pPr>
        <w:spacing w:after="0"/>
        <w:tabs>
          <w:tab w:leader="none" w:pos="3300" w:val="left"/>
          <w:tab w:leader="none" w:pos="4480" w:val="left"/>
          <w:tab w:leader="none" w:pos="5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Notice of Borrowing is made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201</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1740535</wp:posOffset>
            </wp:positionH>
            <wp:positionV relativeFrom="paragraph">
              <wp:posOffset>-13970</wp:posOffset>
            </wp:positionV>
            <wp:extent cx="3340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-13970</wp:posOffset>
            </wp:positionV>
            <wp:extent cx="4457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-13970</wp:posOffset>
            </wp:positionV>
            <wp:extent cx="1111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92"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ENNANT</w:t>
      </w:r>
      <w:r>
        <w:rPr>
          <w:rFonts w:ascii="Arial" w:cs="Arial" w:eastAsia="Arial" w:hAnsi="Arial"/>
          <w:sz w:val="16"/>
          <w:szCs w:val="16"/>
          <w:color w:val="auto"/>
        </w:rPr>
        <w:t>P</w:t>
      </w:r>
      <w:r>
        <w:rPr>
          <w:rFonts w:ascii="Arial" w:cs="Arial" w:eastAsia="Arial" w:hAnsi="Arial"/>
          <w:sz w:val="13"/>
          <w:szCs w:val="13"/>
          <w:color w:val="auto"/>
        </w:rPr>
        <w:t>ARK</w:t>
      </w:r>
      <w:r>
        <w:rPr>
          <w:rFonts w:ascii="Arial" w:cs="Arial" w:eastAsia="Arial" w:hAnsi="Arial"/>
          <w:sz w:val="16"/>
          <w:szCs w:val="16"/>
          <w:color w:val="auto"/>
        </w:rPr>
        <w:t xml:space="preserve"> F</w:t>
      </w:r>
      <w:r>
        <w:rPr>
          <w:rFonts w:ascii="Arial" w:cs="Arial" w:eastAsia="Arial" w:hAnsi="Arial"/>
          <w:sz w:val="13"/>
          <w:szCs w:val="13"/>
          <w:color w:val="auto"/>
        </w:rPr>
        <w:t>LOATING</w:t>
      </w:r>
      <w:r>
        <w:rPr>
          <w:rFonts w:ascii="Arial" w:cs="Arial" w:eastAsia="Arial" w:hAnsi="Arial"/>
          <w:sz w:val="16"/>
          <w:szCs w:val="16"/>
          <w:color w:val="auto"/>
        </w:rPr>
        <w:t xml:space="preserve"> R</w:t>
      </w:r>
      <w:r>
        <w:rPr>
          <w:rFonts w:ascii="Arial" w:cs="Arial" w:eastAsia="Arial" w:hAnsi="Arial"/>
          <w:sz w:val="13"/>
          <w:szCs w:val="13"/>
          <w:color w:val="auto"/>
        </w:rPr>
        <w:t>ATE</w:t>
      </w:r>
      <w:r>
        <w:rPr>
          <w:rFonts w:ascii="Arial" w:cs="Arial" w:eastAsia="Arial" w:hAnsi="Arial"/>
          <w:sz w:val="16"/>
          <w:szCs w:val="16"/>
          <w:color w:val="auto"/>
        </w:rPr>
        <w:t xml:space="preserve"> F</w:t>
      </w:r>
      <w:r>
        <w:rPr>
          <w:rFonts w:ascii="Arial" w:cs="Arial" w:eastAsia="Arial" w:hAnsi="Arial"/>
          <w:sz w:val="13"/>
          <w:szCs w:val="13"/>
          <w:color w:val="auto"/>
        </w:rPr>
        <w:t>UNDING</w:t>
      </w:r>
      <w:r>
        <w:rPr>
          <w:rFonts w:ascii="Arial" w:cs="Arial" w:eastAsia="Arial" w:hAnsi="Arial"/>
          <w:sz w:val="16"/>
          <w:szCs w:val="16"/>
          <w:color w:val="auto"/>
        </w:rPr>
        <w:t xml:space="preserve"> I, LLC, as</w:t>
      </w:r>
    </w:p>
    <w:p>
      <w:pPr>
        <w:spacing w:after="0" w:line="3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Borrower</w:t>
      </w:r>
    </w:p>
    <w:p>
      <w:pPr>
        <w:spacing w:after="0" w:line="21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-13970</wp:posOffset>
            </wp:positionV>
            <wp:extent cx="19221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22145"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122555</wp:posOffset>
            </wp:positionV>
            <wp:extent cx="8077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20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-13970</wp:posOffset>
            </wp:positionV>
            <wp:extent cx="24237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23795" cy="825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-17780</wp:posOffset>
            </wp:positionV>
            <wp:extent cx="195008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950085" cy="825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118745</wp:posOffset>
            </wp:positionV>
            <wp:extent cx="5295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9590" cy="8255"/>
                    </a:xfrm>
                    <a:prstGeom prst="rect">
                      <a:avLst/>
                    </a:prstGeom>
                    <a:noFill/>
                  </pic:spPr>
                </pic:pic>
              </a:graphicData>
            </a:graphic>
          </wp:anchor>
        </w:drawing>
      </w:r>
    </w:p>
    <w:p>
      <w:pPr>
        <w:spacing w:after="0" w:line="34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80"/>
          </w:cols>
          <w:pgMar w:left="780" w:top="280" w:right="10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N</w:t>
      </w:r>
      <w:r>
        <w:rPr>
          <w:rFonts w:ascii="Arial" w:cs="Arial" w:eastAsia="Arial" w:hAnsi="Arial"/>
          <w:sz w:val="15"/>
          <w:szCs w:val="15"/>
          <w:b w:val="1"/>
          <w:bCs w:val="1"/>
          <w:color w:val="auto"/>
        </w:rPr>
        <w:t xml:space="preserve">OTICE OF </w:t>
      </w:r>
      <w:r>
        <w:rPr>
          <w:rFonts w:ascii="Arial" w:cs="Arial" w:eastAsia="Arial" w:hAnsi="Arial"/>
          <w:sz w:val="17"/>
          <w:szCs w:val="17"/>
          <w:b w:val="1"/>
          <w:bCs w:val="1"/>
          <w:color w:val="auto"/>
        </w:rPr>
        <w:t>B</w:t>
      </w:r>
      <w:r>
        <w:rPr>
          <w:rFonts w:ascii="Arial" w:cs="Arial" w:eastAsia="Arial" w:hAnsi="Arial"/>
          <w:sz w:val="15"/>
          <w:szCs w:val="15"/>
          <w:b w:val="1"/>
          <w:bCs w:val="1"/>
          <w:color w:val="auto"/>
        </w:rPr>
        <w:t>ORROWING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Borrowing Base Calculation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Amounts are pro forma for proposed borrowing and related use of proceeds</w:t>
      </w:r>
    </w:p>
    <w:p>
      <w:pPr>
        <w:sectPr>
          <w:pgSz w:w="11900" w:h="16838" w:orient="portrait"/>
          <w:cols w:equalWidth="0" w:num="1">
            <w:col w:w="11240"/>
          </w:cols>
          <w:pgMar w:left="320" w:top="274" w:right="33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Date of Determination:</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p>
    <w:p>
      <w:pPr>
        <w:spacing w:after="0" w:line="199" w:lineRule="exact"/>
        <w:rPr>
          <w:sz w:val="20"/>
          <w:szCs w:val="20"/>
          <w:color w:val="auto"/>
        </w:rPr>
      </w:pPr>
    </w:p>
    <w:p>
      <w:pPr>
        <w:sectPr>
          <w:pgSz w:w="11900" w:h="16838" w:orient="portrait"/>
          <w:cols w:equalWidth="0" w:num="2">
            <w:col w:w="9640" w:space="720"/>
            <w:col w:w="880"/>
          </w:cols>
          <w:pgMar w:left="320" w:top="27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Maximum Advance Rate Test: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Satisfied if (A) is less than (B)</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  Sum of:</w:t>
      </w:r>
    </w:p>
    <w:p>
      <w:pPr>
        <w:sectPr>
          <w:pgSz w:w="11900" w:h="16838" w:orient="portrait"/>
          <w:cols w:equalWidth="0" w:num="1">
            <w:col w:w="11240"/>
          </w:cols>
          <w:pgMar w:left="320" w:top="274" w:right="339" w:bottom="1440" w:gutter="0" w:footer="0" w:header="0"/>
          <w:type w:val="continuous"/>
        </w:sectPr>
      </w:pPr>
    </w:p>
    <w:p>
      <w:pPr>
        <w:spacing w:after="0" w:line="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Aggregate principal balance of Advances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__________</w:t>
      </w:r>
    </w:p>
    <w:p>
      <w:pPr>
        <w:spacing w:after="0" w:line="43" w:lineRule="exact"/>
        <w:rPr>
          <w:sz w:val="20"/>
          <w:szCs w:val="20"/>
          <w:color w:val="auto"/>
        </w:rPr>
      </w:pPr>
    </w:p>
    <w:p>
      <w:pPr>
        <w:sectPr>
          <w:pgSz w:w="11900" w:h="16838" w:orient="portrait"/>
          <w:cols w:equalWidth="0" w:num="3">
            <w:col w:w="7540" w:space="720"/>
            <w:col w:w="200" w:space="600"/>
            <w:col w:w="2180"/>
          </w:cols>
          <w:pgMar w:left="320" w:top="274" w:right="339" w:bottom="1440" w:gutter="0" w:footer="0" w:header="0"/>
          <w:type w:val="continuous"/>
        </w:sectPr>
      </w:pPr>
    </w:p>
    <w:p>
      <w:pPr>
        <w:ind w:left="880" w:right="8080" w:hanging="440"/>
        <w:spacing w:after="0" w:line="250" w:lineRule="auto"/>
        <w:tabs>
          <w:tab w:leader="none" w:pos="69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Net Aggregate Exposure Amounts: Excess of:</w:t>
      </w:r>
    </w:p>
    <w:p>
      <w:pPr>
        <w:ind w:left="1560" w:hanging="256"/>
        <w:spacing w:after="0"/>
        <w:tabs>
          <w:tab w:leader="none" w:pos="15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Aggregate unfunded amounts of all Revolving Collateral Loans and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gridSpan w:val="2"/>
          </w:tcPr>
          <w:p>
            <w:pPr>
              <w:ind w:left="1300"/>
              <w:spacing w:after="0"/>
              <w:rPr>
                <w:sz w:val="20"/>
                <w:szCs w:val="20"/>
                <w:color w:val="auto"/>
              </w:rPr>
            </w:pPr>
            <w:r>
              <w:rPr>
                <w:rFonts w:ascii="Arial" w:cs="Arial" w:eastAsia="Arial" w:hAnsi="Arial"/>
                <w:sz w:val="18"/>
                <w:szCs w:val="18"/>
                <w:color w:val="auto"/>
              </w:rPr>
              <w:t>Delayed Draw Collateral Loans</w:t>
            </w:r>
          </w:p>
        </w:tc>
        <w:tc>
          <w:tcPr>
            <w:tcW w:w="1360" w:type="dxa"/>
            <w:vAlign w:val="bottom"/>
          </w:tcPr>
          <w:p>
            <w:pPr>
              <w:spacing w:after="0"/>
              <w:rPr>
                <w:sz w:val="18"/>
                <w:szCs w:val="18"/>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3"/>
          </w:tcPr>
          <w:p>
            <w:pPr>
              <w:ind w:left="1300"/>
              <w:spacing w:after="0"/>
              <w:rPr>
                <w:sz w:val="20"/>
                <w:szCs w:val="20"/>
                <w:color w:val="auto"/>
              </w:rPr>
            </w:pPr>
            <w:r>
              <w:rPr>
                <w:rFonts w:ascii="Arial" w:cs="Arial" w:eastAsia="Arial" w:hAnsi="Arial"/>
                <w:sz w:val="18"/>
                <w:szCs w:val="18"/>
                <w:color w:val="auto"/>
              </w:rPr>
              <w:t>(y) Amount on deposit in the Revolving Reserve Account</w:t>
            </w: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0"/>
              </w:rPr>
              <w:t>(b)</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(B)  The Maximum Available Amount (the least of):</w:t>
            </w:r>
          </w:p>
        </w:tc>
        <w:tc>
          <w:tcPr>
            <w:tcW w:w="1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0" w:type="dxa"/>
            <w:vAlign w:val="bottom"/>
          </w:tcPr>
          <w:p>
            <w:pPr>
              <w:spacing w:after="0"/>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(a) The Facility Amount</w:t>
            </w:r>
          </w:p>
        </w:tc>
        <w:tc>
          <w:tcPr>
            <w:tcW w:w="1360" w:type="dxa"/>
            <w:vAlign w:val="bottom"/>
          </w:tcPr>
          <w:p>
            <w:pPr>
              <w:spacing w:after="0"/>
              <w:rPr>
                <w:sz w:val="18"/>
                <w:szCs w:val="18"/>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0"/>
              </w:rPr>
              <w:t>(a)</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(b) The sum of:</w:t>
            </w: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(x) The product of:</w:t>
            </w: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1300"/>
              <w:spacing w:after="0"/>
              <w:rPr>
                <w:sz w:val="20"/>
                <w:szCs w:val="20"/>
                <w:color w:val="auto"/>
              </w:rPr>
            </w:pPr>
            <w:r>
              <w:rPr>
                <w:rFonts w:ascii="Arial" w:cs="Arial" w:eastAsia="Arial" w:hAnsi="Arial"/>
                <w:sz w:val="18"/>
                <w:szCs w:val="18"/>
                <w:color w:val="auto"/>
              </w:rPr>
              <w:t>(i) The Borrowing Base:</w:t>
            </w: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3"/>
          </w:tcPr>
          <w:p>
            <w:pPr>
              <w:ind w:left="1740"/>
              <w:spacing w:after="0"/>
              <w:rPr>
                <w:sz w:val="20"/>
                <w:szCs w:val="20"/>
                <w:color w:val="auto"/>
              </w:rPr>
            </w:pPr>
            <w:r>
              <w:rPr>
                <w:rFonts w:ascii="Arial" w:cs="Arial" w:eastAsia="Arial" w:hAnsi="Arial"/>
                <w:sz w:val="18"/>
                <w:szCs w:val="18"/>
                <w:color w:val="auto"/>
              </w:rPr>
              <w:t>(X) The Aggregate Collateral Balance per clause (a), less</w:t>
            </w:r>
          </w:p>
        </w:tc>
        <w:tc>
          <w:tcPr>
            <w:tcW w:w="2360" w:type="dxa"/>
            <w:vAlign w:val="bottom"/>
          </w:tcPr>
          <w:p>
            <w:pPr>
              <w:jc w:val="right"/>
              <w:ind w:right="1112"/>
              <w:spacing w:after="0"/>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1740"/>
              <w:spacing w:after="0"/>
              <w:rPr>
                <w:sz w:val="20"/>
                <w:szCs w:val="20"/>
                <w:color w:val="auto"/>
              </w:rPr>
            </w:pPr>
            <w:r>
              <w:rPr>
                <w:rFonts w:ascii="Arial" w:cs="Arial" w:eastAsia="Arial" w:hAnsi="Arial"/>
                <w:sz w:val="18"/>
                <w:szCs w:val="18"/>
                <w:color w:val="auto"/>
              </w:rPr>
              <w:t>(Y) Any Excess Concentrations</w:t>
            </w:r>
          </w:p>
        </w:tc>
        <w:tc>
          <w:tcPr>
            <w:tcW w:w="1360" w:type="dxa"/>
            <w:vAlign w:val="bottom"/>
          </w:tcPr>
          <w:p>
            <w:pPr>
              <w:spacing w:after="0"/>
              <w:rPr>
                <w:sz w:val="18"/>
                <w:szCs w:val="18"/>
                <w:color w:val="auto"/>
              </w:rPr>
            </w:pPr>
          </w:p>
        </w:tc>
        <w:tc>
          <w:tcPr>
            <w:tcW w:w="2360" w:type="dxa"/>
            <w:vAlign w:val="bottom"/>
          </w:tcPr>
          <w:p>
            <w:pPr>
              <w:jc w:val="right"/>
              <w:ind w:right="1112"/>
              <w:spacing w:after="0"/>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gridSpan w:val="2"/>
            <w:vMerge w:val="restart"/>
          </w:tcPr>
          <w:p>
            <w:pPr>
              <w:ind w:left="1740"/>
              <w:spacing w:after="0"/>
              <w:rPr>
                <w:sz w:val="20"/>
                <w:szCs w:val="20"/>
                <w:color w:val="auto"/>
              </w:rPr>
            </w:pPr>
            <w:r>
              <w:rPr>
                <w:rFonts w:ascii="Arial" w:cs="Arial" w:eastAsia="Arial" w:hAnsi="Arial"/>
                <w:sz w:val="18"/>
                <w:szCs w:val="18"/>
                <w:i w:val="1"/>
                <w:iCs w:val="1"/>
                <w:color w:val="auto"/>
              </w:rPr>
              <w:t>times</w:t>
            </w:r>
          </w:p>
        </w:tc>
        <w:tc>
          <w:tcPr>
            <w:tcW w:w="1360" w:type="dxa"/>
            <w:vAlign w:val="bottom"/>
          </w:tcPr>
          <w:p>
            <w:pPr>
              <w:spacing w:after="0"/>
              <w:rPr>
                <w:sz w:val="19"/>
                <w:szCs w:val="19"/>
                <w:color w:val="auto"/>
              </w:rPr>
            </w:pPr>
          </w:p>
        </w:tc>
        <w:tc>
          <w:tcPr>
            <w:tcW w:w="2360" w:type="dxa"/>
            <w:vAlign w:val="bottom"/>
          </w:tcPr>
          <w:p>
            <w:pPr>
              <w:jc w:val="right"/>
              <w:ind w:right="1112"/>
              <w:spacing w:after="0"/>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22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300"/>
              <w:spacing w:after="0" w:line="190" w:lineRule="exact"/>
              <w:rPr>
                <w:sz w:val="20"/>
                <w:szCs w:val="20"/>
                <w:color w:val="auto"/>
              </w:rPr>
            </w:pPr>
            <w:r>
              <w:rPr>
                <w:rFonts w:ascii="Arial" w:cs="Arial" w:eastAsia="Arial" w:hAnsi="Arial"/>
                <w:sz w:val="18"/>
                <w:szCs w:val="18"/>
                <w:color w:val="auto"/>
                <w:w w:val="89"/>
              </w:rPr>
              <w:t xml:space="preserve">(ii) The Maximum Advance Rate (Based on Row </w:t>
            </w:r>
            <w:r>
              <w:rPr>
                <w:rFonts w:ascii="Arial" w:cs="Arial" w:eastAsia="Arial" w:hAnsi="Arial"/>
                <w:sz w:val="18"/>
                <w:szCs w:val="18"/>
                <w:b w:val="1"/>
                <w:bCs w:val="1"/>
                <w:color w:val="auto"/>
                <w:w w:val="89"/>
              </w:rPr>
              <w:t>[</w:t>
            </w:r>
          </w:p>
        </w:tc>
        <w:tc>
          <w:tcPr>
            <w:tcW w:w="340" w:type="dxa"/>
            <w:vAlign w:val="bottom"/>
            <w:tcBorders>
              <w:bottom w:val="single" w:sz="8" w:color="auto"/>
            </w:tcBorders>
          </w:tcPr>
          <w:p>
            <w:pPr>
              <w:spacing w:after="0"/>
              <w:rPr>
                <w:sz w:val="16"/>
                <w:szCs w:val="16"/>
                <w:color w:val="auto"/>
              </w:rPr>
            </w:pPr>
          </w:p>
        </w:tc>
        <w:tc>
          <w:tcPr>
            <w:tcW w:w="1360" w:type="dxa"/>
            <w:vAlign w:val="bottom"/>
          </w:tcPr>
          <w:p>
            <w:pPr>
              <w:spacing w:after="0" w:line="190"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of the Matrix)</w:t>
            </w:r>
          </w:p>
        </w:tc>
        <w:tc>
          <w:tcPr>
            <w:tcW w:w="2360" w:type="dxa"/>
            <w:vAlign w:val="bottom"/>
          </w:tcPr>
          <w:p>
            <w:pPr>
              <w:jc w:val="right"/>
              <w:ind w:right="1112"/>
              <w:spacing w:after="0" w:line="190" w:lineRule="exact"/>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20" w:type="dxa"/>
            <w:vAlign w:val="bottom"/>
            <w:gridSpan w:val="2"/>
            <w:vMerge w:val="restart"/>
          </w:tcPr>
          <w:p>
            <w:pPr>
              <w:ind w:left="1300"/>
              <w:spacing w:after="0"/>
              <w:rPr>
                <w:sz w:val="20"/>
                <w:szCs w:val="20"/>
                <w:color w:val="auto"/>
              </w:rPr>
            </w:pPr>
            <w:r>
              <w:rPr>
                <w:rFonts w:ascii="Arial" w:cs="Arial" w:eastAsia="Arial" w:hAnsi="Arial"/>
                <w:sz w:val="18"/>
                <w:szCs w:val="18"/>
                <w:i w:val="1"/>
                <w:iCs w:val="1"/>
                <w:color w:val="auto"/>
              </w:rPr>
              <w:t>plus</w:t>
            </w:r>
          </w:p>
        </w:tc>
        <w:tc>
          <w:tcPr>
            <w:tcW w:w="1360" w:type="dxa"/>
            <w:vAlign w:val="bottom"/>
          </w:tcPr>
          <w:p>
            <w:pPr>
              <w:spacing w:after="0"/>
              <w:rPr>
                <w:sz w:val="20"/>
                <w:szCs w:val="20"/>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(y) Cash in the Principal Collection Subaccount</w:t>
            </w:r>
          </w:p>
        </w:tc>
        <w:tc>
          <w:tcPr>
            <w:tcW w:w="1360" w:type="dxa"/>
            <w:vAlign w:val="bottom"/>
          </w:tcPr>
          <w:p>
            <w:pPr>
              <w:spacing w:after="0"/>
              <w:rPr>
                <w:sz w:val="18"/>
                <w:szCs w:val="18"/>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gridSpan w:val="2"/>
            <w:vMerge w:val="restart"/>
          </w:tcPr>
          <w:p>
            <w:pPr>
              <w:ind w:left="440"/>
              <w:spacing w:after="0"/>
              <w:rPr>
                <w:sz w:val="20"/>
                <w:szCs w:val="20"/>
                <w:color w:val="auto"/>
              </w:rPr>
            </w:pPr>
            <w:r>
              <w:rPr>
                <w:rFonts w:ascii="Arial" w:cs="Arial" w:eastAsia="Arial" w:hAnsi="Arial"/>
                <w:sz w:val="18"/>
                <w:szCs w:val="18"/>
                <w:color w:val="auto"/>
              </w:rPr>
              <w:t>(c) The sum of:</w:t>
            </w:r>
          </w:p>
        </w:tc>
        <w:tc>
          <w:tcPr>
            <w:tcW w:w="1360" w:type="dxa"/>
            <w:vAlign w:val="bottom"/>
          </w:tcPr>
          <w:p>
            <w:pPr>
              <w:spacing w:after="0"/>
              <w:rPr>
                <w:sz w:val="19"/>
                <w:szCs w:val="19"/>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0"/>
              </w:rPr>
              <w:t>(b)</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(x) The Borrowing Base, less</w:t>
            </w:r>
          </w:p>
        </w:tc>
        <w:tc>
          <w:tcPr>
            <w:tcW w:w="1360" w:type="dxa"/>
            <w:vAlign w:val="bottom"/>
          </w:tcPr>
          <w:p>
            <w:pPr>
              <w:spacing w:after="0"/>
              <w:rPr>
                <w:sz w:val="18"/>
                <w:szCs w:val="18"/>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(y) The Minimum Equity Amount, plus</w:t>
            </w:r>
          </w:p>
        </w:tc>
        <w:tc>
          <w:tcPr>
            <w:tcW w:w="1360" w:type="dxa"/>
            <w:vAlign w:val="bottom"/>
          </w:tcPr>
          <w:p>
            <w:pPr>
              <w:spacing w:after="0"/>
              <w:rPr>
                <w:sz w:val="18"/>
                <w:szCs w:val="18"/>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(z) Cash in the Principal Collection Subaccount</w:t>
            </w:r>
          </w:p>
        </w:tc>
        <w:tc>
          <w:tcPr>
            <w:tcW w:w="1360" w:type="dxa"/>
            <w:vAlign w:val="bottom"/>
          </w:tcPr>
          <w:p>
            <w:pPr>
              <w:spacing w:after="0"/>
              <w:rPr>
                <w:sz w:val="18"/>
                <w:szCs w:val="18"/>
                <w:color w:val="auto"/>
              </w:rPr>
            </w:pPr>
          </w:p>
        </w:tc>
        <w:tc>
          <w:tcPr>
            <w:tcW w:w="2360" w:type="dxa"/>
            <w:vAlign w:val="bottom"/>
          </w:tcPr>
          <w:p>
            <w:pPr>
              <w:jc w:val="center"/>
              <w:ind w:left="115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5"/>
              </w:rPr>
              <w:t>(c)</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040" w:type="dxa"/>
            <w:vAlign w:val="bottom"/>
          </w:tcPr>
          <w:p>
            <w:pPr>
              <w:jc w:val="center"/>
              <w:ind w:left="72"/>
              <w:spacing w:after="0"/>
              <w:rPr>
                <w:sz w:val="20"/>
                <w:szCs w:val="20"/>
                <w:color w:val="auto"/>
              </w:rPr>
            </w:pPr>
            <w:r>
              <w:rPr>
                <w:rFonts w:ascii="Arial" w:cs="Arial" w:eastAsia="Arial" w:hAnsi="Arial"/>
                <w:sz w:val="18"/>
                <w:szCs w:val="18"/>
                <w:color w:val="auto"/>
                <w:w w:val="87"/>
              </w:rPr>
              <w:t>__________</w:t>
            </w: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COMPLIANCE?</w:t>
            </w:r>
          </w:p>
        </w:tc>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center"/>
              <w:ind w:left="32"/>
              <w:spacing w:after="0"/>
              <w:rPr>
                <w:sz w:val="20"/>
                <w:szCs w:val="20"/>
                <w:color w:val="auto"/>
              </w:rPr>
            </w:pPr>
            <w:r>
              <w:rPr>
                <w:rFonts w:ascii="Arial" w:cs="Arial" w:eastAsia="Arial" w:hAnsi="Arial"/>
                <w:sz w:val="18"/>
                <w:szCs w:val="18"/>
                <w:b w:val="1"/>
                <w:bCs w:val="1"/>
                <w:color w:val="auto"/>
                <w:w w:val="94"/>
              </w:rPr>
              <w:t>YES/NO</w:t>
            </w:r>
          </w:p>
        </w:tc>
        <w:tc>
          <w:tcPr>
            <w:tcW w:w="0" w:type="dxa"/>
            <w:vAlign w:val="bottom"/>
          </w:tcPr>
          <w:p>
            <w:pPr>
              <w:spacing w:after="0"/>
              <w:rPr>
                <w:sz w:val="1"/>
                <w:szCs w:val="1"/>
                <w:color w:val="auto"/>
              </w:rPr>
            </w:pPr>
          </w:p>
        </w:tc>
      </w:tr>
    </w:tbl>
    <w:p>
      <w:pPr>
        <w:sectPr>
          <w:pgSz w:w="11900" w:h="16838" w:orient="portrait"/>
          <w:cols w:equalWidth="0" w:num="1">
            <w:col w:w="11240"/>
          </w:cols>
          <w:pgMar w:left="320" w:top="274" w:right="339"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Interest Coverage Ratio Test: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Satisfied if (A) is greater than or equal to (B) as of the most recent Payment Date Report</w:t>
      </w:r>
    </w:p>
    <w:p>
      <w:pPr>
        <w:sectPr>
          <w:pgSz w:w="11900" w:h="16838" w:orient="portrait"/>
          <w:cols w:equalWidth="0" w:num="1">
            <w:col w:w="11240"/>
          </w:cols>
          <w:pgMar w:left="320" w:top="274" w:right="33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  Interest Coverage Ratio, the percentage equal to:</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Collateral Interest Amount, divided by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(b) Aggregate amount payable under Section 9.01(a)(i)(A) on the related Payment Date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  125%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__________</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__________</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100"/>
        <w:spacing w:after="0" w:line="369" w:lineRule="auto"/>
        <w:rPr>
          <w:sz w:val="20"/>
          <w:szCs w:val="20"/>
          <w:color w:val="auto"/>
        </w:rPr>
      </w:pPr>
      <w:r>
        <w:rPr>
          <w:rFonts w:ascii="Arial" w:cs="Arial" w:eastAsia="Arial" w:hAnsi="Arial"/>
          <w:sz w:val="15"/>
          <w:szCs w:val="15"/>
          <w:color w:val="auto"/>
        </w:rPr>
        <w:t>__________ __________</w:t>
      </w:r>
    </w:p>
    <w:p>
      <w:pPr>
        <w:spacing w:after="0" w:line="98" w:lineRule="exact"/>
        <w:rPr>
          <w:sz w:val="20"/>
          <w:szCs w:val="20"/>
          <w:color w:val="auto"/>
        </w:rPr>
      </w:pPr>
    </w:p>
    <w:p>
      <w:pPr>
        <w:sectPr>
          <w:pgSz w:w="11900" w:h="16838" w:orient="portrait"/>
          <w:cols w:equalWidth="0" w:num="3">
            <w:col w:w="8420" w:space="720"/>
            <w:col w:w="880" w:space="240"/>
            <w:col w:w="980"/>
          </w:cols>
          <w:pgMar w:left="320" w:top="274"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COMPLIANCE?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YES/NO</w:t>
      </w:r>
    </w:p>
    <w:p>
      <w:pPr>
        <w:spacing w:after="0" w:line="186" w:lineRule="exact"/>
        <w:rPr>
          <w:sz w:val="20"/>
          <w:szCs w:val="20"/>
          <w:color w:val="auto"/>
        </w:rPr>
      </w:pPr>
    </w:p>
    <w:p>
      <w:pPr>
        <w:sectPr>
          <w:pgSz w:w="11900" w:h="16838" w:orient="portrait"/>
          <w:cols w:equalWidth="0" w:num="2">
            <w:col w:w="9860" w:space="720"/>
            <w:col w:w="660"/>
          </w:cols>
          <w:pgMar w:left="320" w:top="274"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274" w:right="339" w:bottom="1440" w:gutter="0" w:footer="0" w:header="0"/>
          <w:type w:val="continuous"/>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N</w:t>
      </w:r>
      <w:r>
        <w:rPr>
          <w:rFonts w:ascii="Arial" w:cs="Arial" w:eastAsia="Arial" w:hAnsi="Arial"/>
          <w:sz w:val="15"/>
          <w:szCs w:val="15"/>
          <w:b w:val="1"/>
          <w:bCs w:val="1"/>
          <w:color w:val="auto"/>
        </w:rPr>
        <w:t xml:space="preserve">OTICE OF </w:t>
      </w:r>
      <w:r>
        <w:rPr>
          <w:rFonts w:ascii="Arial" w:cs="Arial" w:eastAsia="Arial" w:hAnsi="Arial"/>
          <w:sz w:val="17"/>
          <w:szCs w:val="17"/>
          <w:b w:val="1"/>
          <w:bCs w:val="1"/>
          <w:color w:val="auto"/>
        </w:rPr>
        <w:t>B</w:t>
      </w:r>
      <w:r>
        <w:rPr>
          <w:rFonts w:ascii="Arial" w:cs="Arial" w:eastAsia="Arial" w:hAnsi="Arial"/>
          <w:sz w:val="15"/>
          <w:szCs w:val="15"/>
          <w:b w:val="1"/>
          <w:bCs w:val="1"/>
          <w:color w:val="auto"/>
        </w:rPr>
        <w:t>ORROWING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ind w:left="4360"/>
              <w:spacing w:after="0"/>
              <w:rPr>
                <w:sz w:val="20"/>
                <w:szCs w:val="20"/>
                <w:color w:val="auto"/>
              </w:rPr>
            </w:pPr>
            <w:r>
              <w:rPr>
                <w:rFonts w:ascii="Arial" w:cs="Arial" w:eastAsia="Arial" w:hAnsi="Arial"/>
                <w:sz w:val="18"/>
                <w:szCs w:val="18"/>
                <w:b w:val="1"/>
                <w:bCs w:val="1"/>
                <w:color w:val="auto"/>
              </w:rPr>
              <w:t>Matrix Selection and Compliance</w:t>
            </w:r>
          </w:p>
        </w:tc>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00" w:type="dxa"/>
            <w:vAlign w:val="bottom"/>
          </w:tcPr>
          <w:p>
            <w:pPr>
              <w:spacing w:after="0"/>
              <w:rPr>
                <w:sz w:val="20"/>
                <w:szCs w:val="20"/>
                <w:color w:val="auto"/>
              </w:rPr>
            </w:pPr>
            <w:r>
              <w:rPr>
                <w:rFonts w:ascii="Arial" w:cs="Arial" w:eastAsia="Arial" w:hAnsi="Arial"/>
                <w:sz w:val="18"/>
                <w:szCs w:val="18"/>
                <w:b w:val="1"/>
                <w:bCs w:val="1"/>
                <w:color w:val="auto"/>
              </w:rPr>
              <w:t>Select Matrix Row</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7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jc w:val="right"/>
              <w:ind w:right="215"/>
              <w:spacing w:after="0"/>
              <w:rPr>
                <w:sz w:val="20"/>
                <w:szCs w:val="20"/>
                <w:color w:val="auto"/>
              </w:rPr>
            </w:pPr>
            <w:r>
              <w:rPr>
                <w:rFonts w:ascii="Arial" w:cs="Arial" w:eastAsia="Arial" w:hAnsi="Arial"/>
                <w:sz w:val="13"/>
                <w:szCs w:val="13"/>
                <w:b w:val="1"/>
                <w:bCs w:val="1"/>
                <w:color w:val="auto"/>
              </w:rPr>
              <w:t>Applicable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500" w:type="dxa"/>
            <w:vAlign w:val="bottom"/>
          </w:tcPr>
          <w:p>
            <w:pPr>
              <w:spacing w:after="0"/>
              <w:rPr>
                <w:sz w:val="12"/>
                <w:szCs w:val="12"/>
                <w:color w:val="auto"/>
              </w:rPr>
            </w:pPr>
          </w:p>
        </w:tc>
        <w:tc>
          <w:tcPr>
            <w:tcW w:w="1660" w:type="dxa"/>
            <w:vAlign w:val="bottom"/>
          </w:tcPr>
          <w:p>
            <w:pPr>
              <w:jc w:val="right"/>
              <w:ind w:right="314"/>
              <w:spacing w:after="0" w:line="147" w:lineRule="exact"/>
              <w:rPr>
                <w:sz w:val="20"/>
                <w:szCs w:val="20"/>
                <w:color w:val="auto"/>
              </w:rPr>
            </w:pPr>
            <w:r>
              <w:rPr>
                <w:rFonts w:ascii="Arial" w:cs="Arial" w:eastAsia="Arial" w:hAnsi="Arial"/>
                <w:sz w:val="13"/>
                <w:szCs w:val="13"/>
                <w:b w:val="1"/>
                <w:bCs w:val="1"/>
                <w:color w:val="auto"/>
              </w:rPr>
              <w:t>Current</w:t>
            </w:r>
          </w:p>
        </w:tc>
        <w:tc>
          <w:tcPr>
            <w:tcW w:w="1220" w:type="dxa"/>
            <w:vAlign w:val="bottom"/>
          </w:tcPr>
          <w:p>
            <w:pPr>
              <w:jc w:val="right"/>
              <w:ind w:right="375"/>
              <w:spacing w:after="0" w:line="147" w:lineRule="exact"/>
              <w:rPr>
                <w:sz w:val="20"/>
                <w:szCs w:val="20"/>
                <w:color w:val="auto"/>
              </w:rPr>
            </w:pPr>
            <w:r>
              <w:rPr>
                <w:rFonts w:ascii="Arial" w:cs="Arial" w:eastAsia="Arial" w:hAnsi="Arial"/>
                <w:sz w:val="13"/>
                <w:szCs w:val="13"/>
                <w:b w:val="1"/>
                <w:bCs w:val="1"/>
                <w:color w:val="auto"/>
              </w:rPr>
              <w:t>Limit</w:t>
            </w:r>
          </w:p>
        </w:tc>
        <w:tc>
          <w:tcPr>
            <w:tcW w:w="860" w:type="dxa"/>
            <w:vAlign w:val="bottom"/>
          </w:tcPr>
          <w:p>
            <w:pPr>
              <w:ind w:left="160"/>
              <w:spacing w:after="0" w:line="147" w:lineRule="exact"/>
              <w:rPr>
                <w:sz w:val="20"/>
                <w:szCs w:val="20"/>
                <w:color w:val="auto"/>
              </w:rPr>
            </w:pPr>
            <w:r>
              <w:rPr>
                <w:rFonts w:ascii="Arial" w:cs="Arial" w:eastAsia="Arial" w:hAnsi="Arial"/>
                <w:sz w:val="13"/>
                <w:szCs w:val="13"/>
                <w:b w:val="1"/>
                <w:bCs w:val="1"/>
                <w:color w:val="auto"/>
                <w:w w:val="92"/>
              </w:rPr>
              <w:t>Compliance</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Maximum Advance Rate</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ind w:left="180"/>
              <w:spacing w:after="0"/>
              <w:rPr>
                <w:sz w:val="20"/>
                <w:szCs w:val="20"/>
                <w:color w:val="auto"/>
              </w:rPr>
            </w:pPr>
            <w:r>
              <w:rPr>
                <w:rFonts w:ascii="Arial" w:cs="Arial" w:eastAsia="Arial" w:hAnsi="Arial"/>
                <w:sz w:val="18"/>
                <w:szCs w:val="18"/>
                <w:b w:val="1"/>
                <w:bCs w:val="1"/>
                <w:color w:val="auto"/>
                <w:w w:val="96"/>
              </w:rPr>
              <w:t>YES/NO</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Minimum Weighted Average Spread</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Minimum Diversity Score</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ind w:left="180"/>
              <w:spacing w:after="0"/>
              <w:rPr>
                <w:sz w:val="20"/>
                <w:szCs w:val="20"/>
                <w:color w:val="auto"/>
              </w:rPr>
            </w:pPr>
            <w:r>
              <w:rPr>
                <w:rFonts w:ascii="Arial" w:cs="Arial" w:eastAsia="Arial" w:hAnsi="Arial"/>
                <w:sz w:val="18"/>
                <w:szCs w:val="18"/>
                <w:b w:val="1"/>
                <w:bCs w:val="1"/>
                <w:color w:val="auto"/>
                <w:w w:val="96"/>
              </w:rPr>
              <w:t>YES/NO</w:t>
            </w: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b w:val="1"/>
                <w:bCs w:val="1"/>
                <w:color w:val="auto"/>
              </w:rPr>
              <w:t>Maximum Obligor Concentration</w:t>
            </w: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Second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Third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Fourth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Fifth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Sixth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Seventh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440"/>
              <w:spacing w:after="0"/>
              <w:rPr>
                <w:sz w:val="20"/>
                <w:szCs w:val="20"/>
                <w:color w:val="auto"/>
              </w:rPr>
            </w:pPr>
            <w:r>
              <w:rPr>
                <w:rFonts w:ascii="Arial" w:cs="Arial" w:eastAsia="Arial" w:hAnsi="Arial"/>
                <w:sz w:val="18"/>
                <w:szCs w:val="18"/>
                <w:color w:val="auto"/>
              </w:rPr>
              <w:t>All Others</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b w:val="1"/>
                <w:bCs w:val="1"/>
                <w:color w:val="auto"/>
              </w:rPr>
              <w:t>Ratings Limitations</w:t>
            </w: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6"/>
              </w:rPr>
              <w:t>YES/NO</w:t>
            </w:r>
          </w:p>
        </w:tc>
        <w:tc>
          <w:tcPr>
            <w:tcW w:w="0" w:type="dxa"/>
            <w:vAlign w:val="bottom"/>
          </w:tcPr>
          <w:p>
            <w:pPr>
              <w:spacing w:after="0"/>
              <w:rPr>
                <w:sz w:val="1"/>
                <w:szCs w:val="1"/>
                <w:color w:val="auto"/>
              </w:rPr>
            </w:pPr>
          </w:p>
        </w:tc>
      </w:tr>
      <w:tr>
        <w:trPr>
          <w:trHeight w:val="210"/>
        </w:trPr>
        <w:tc>
          <w:tcPr>
            <w:tcW w:w="7500" w:type="dxa"/>
            <w:vAlign w:val="bottom"/>
          </w:tcPr>
          <w:p>
            <w:pPr>
              <w:ind w:left="440"/>
              <w:spacing w:after="0"/>
              <w:rPr>
                <w:sz w:val="20"/>
                <w:szCs w:val="20"/>
                <w:color w:val="auto"/>
              </w:rPr>
            </w:pPr>
            <w:r>
              <w:rPr>
                <w:rFonts w:ascii="Arial" w:cs="Arial" w:eastAsia="Arial" w:hAnsi="Arial"/>
                <w:sz w:val="18"/>
                <w:szCs w:val="18"/>
                <w:color w:val="auto"/>
              </w:rPr>
              <w:t>Percentage of Aggregate Collateral Balance rated B/B2 or better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b w:val="1"/>
                <w:bCs w:val="1"/>
                <w:color w:val="auto"/>
              </w:rPr>
              <w:t>Maximum Loan Types</w:t>
            </w: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Senior B and Second Lien</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ind w:left="440"/>
              <w:spacing w:after="0"/>
              <w:rPr>
                <w:sz w:val="20"/>
                <w:szCs w:val="20"/>
                <w:color w:val="auto"/>
              </w:rPr>
            </w:pPr>
            <w:r>
              <w:rPr>
                <w:rFonts w:ascii="Arial" w:cs="Arial" w:eastAsia="Arial" w:hAnsi="Arial"/>
                <w:sz w:val="18"/>
                <w:szCs w:val="18"/>
                <w:color w:val="auto"/>
              </w:rPr>
              <w:t>Second Lien</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4"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REPAYMENT</w:t>
      </w:r>
      <w:r>
        <w:rPr>
          <w:rFonts w:ascii="Arial" w:cs="Arial" w:eastAsia="Arial" w:hAnsi="Arial"/>
          <w:sz w:val="18"/>
          <w:szCs w:val="18"/>
          <w:b w:val="1"/>
          <w:bCs w:val="1"/>
          <w:color w:val="auto"/>
        </w:rPr>
        <w: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 – CDO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Jennifer Vlasuk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PennantPark Floating Rate Funding I, LLC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REPAYMENT</w:t>
      </w:r>
    </w:p>
    <w:p>
      <w:pPr>
        <w:spacing w:after="0" w:line="177" w:lineRule="exact"/>
        <w:rPr>
          <w:sz w:val="20"/>
          <w:szCs w:val="20"/>
          <w:color w:val="auto"/>
        </w:rPr>
      </w:pPr>
    </w:p>
    <w:p>
      <w:pPr>
        <w:ind w:right="20" w:firstLine="449"/>
        <w:spacing w:after="0" w:line="310" w:lineRule="auto"/>
        <w:rPr>
          <w:sz w:val="20"/>
          <w:szCs w:val="20"/>
          <w:color w:val="auto"/>
        </w:rPr>
      </w:pPr>
      <w:r>
        <w:rPr>
          <w:rFonts w:ascii="Arial" w:cs="Arial" w:eastAsia="Arial" w:hAnsi="Arial"/>
          <w:sz w:val="15"/>
          <w:szCs w:val="15"/>
          <w:color w:val="auto"/>
        </w:rPr>
        <w:t xml:space="preserve">This Notice of Prepayment is made pursuant to </w:t>
      </w:r>
      <w:r>
        <w:rPr>
          <w:rFonts w:ascii="Arial" w:cs="Arial" w:eastAsia="Arial" w:hAnsi="Arial"/>
          <w:sz w:val="15"/>
          <w:szCs w:val="15"/>
          <w:u w:val="single" w:color="auto"/>
          <w:color w:val="auto"/>
        </w:rPr>
        <w:t>Section 2.05</w:t>
      </w:r>
      <w:r>
        <w:rPr>
          <w:rFonts w:ascii="Arial" w:cs="Arial" w:eastAsia="Arial" w:hAnsi="Arial"/>
          <w:sz w:val="15"/>
          <w:szCs w:val="15"/>
          <w:color w:val="auto"/>
        </w:rPr>
        <w:t xml:space="preserve"> of that certain Amended and Restated Revolving Credit and Security Agreement dated as of May 14, 2012 (as the same may from time to time be amended, supplemented, waived or modified, the </w:t>
      </w:r>
      <w:r>
        <w:rPr>
          <w:rFonts w:ascii="Arial" w:cs="Arial" w:eastAsia="Arial" w:hAnsi="Arial"/>
          <w:sz w:val="15"/>
          <w:szCs w:val="15"/>
          <w:i w:val="1"/>
          <w:iCs w:val="1"/>
          <w:color w:val="auto"/>
        </w:rPr>
        <w:t>“Credit Agreement”</w:t>
      </w:r>
      <w:r>
        <w:rPr>
          <w:rFonts w:ascii="Arial" w:cs="Arial" w:eastAsia="Arial" w:hAnsi="Arial"/>
          <w:sz w:val="15"/>
          <w:szCs w:val="15"/>
          <w:color w:val="auto"/>
        </w:rPr>
        <w:t xml:space="preserve">) among PennantPark Floating Rate Funding I, LLC, a Delaware limited liability company, as borrower (the </w:t>
      </w:r>
      <w:r>
        <w:rPr>
          <w:rFonts w:ascii="Arial" w:cs="Arial" w:eastAsia="Arial" w:hAnsi="Arial"/>
          <w:sz w:val="15"/>
          <w:szCs w:val="15"/>
          <w:i w:val="1"/>
          <w:iCs w:val="1"/>
          <w:color w:val="auto"/>
        </w:rPr>
        <w:t>“Borrower”</w:t>
      </w:r>
      <w:r>
        <w:rPr>
          <w:rFonts w:ascii="Arial" w:cs="Arial" w:eastAsia="Arial" w:hAnsi="Arial"/>
          <w:sz w:val="15"/>
          <w:szCs w:val="15"/>
          <w:color w:val="auto"/>
        </w:rPr>
        <w:t xml:space="preserve">); PennantPark Investment Advisers, LLC, a Delaware limited liability company, as the collateral manager (together with its permitted successors and assigns, the </w:t>
      </w:r>
      <w:r>
        <w:rPr>
          <w:rFonts w:ascii="Arial" w:cs="Arial" w:eastAsia="Arial" w:hAnsi="Arial"/>
          <w:sz w:val="15"/>
          <w:szCs w:val="15"/>
          <w:i w:val="1"/>
          <w:iCs w:val="1"/>
          <w:color w:val="auto"/>
        </w:rPr>
        <w:t>“Collateral Manager”</w:t>
      </w:r>
      <w:r>
        <w:rPr>
          <w:rFonts w:ascii="Arial" w:cs="Arial" w:eastAsia="Arial" w:hAnsi="Arial"/>
          <w:sz w:val="15"/>
          <w:szCs w:val="15"/>
          <w:color w:val="auto"/>
        </w:rPr>
        <w:t xml:space="preserve">), the Lenders from time to time party thereto; SunTrust Bank, as administrative agent for the Secured Parties (in such capacity, together with its successors and assigns, the </w:t>
      </w:r>
      <w:r>
        <w:rPr>
          <w:rFonts w:ascii="Arial" w:cs="Arial" w:eastAsia="Arial" w:hAnsi="Arial"/>
          <w:sz w:val="15"/>
          <w:szCs w:val="15"/>
          <w:i w:val="1"/>
          <w:iCs w:val="1"/>
          <w:color w:val="auto"/>
        </w:rPr>
        <w:t>“Administrative Agent”</w:t>
      </w:r>
      <w:r>
        <w:rPr>
          <w:rFonts w:ascii="Arial" w:cs="Arial" w:eastAsia="Arial" w:hAnsi="Arial"/>
          <w:sz w:val="15"/>
          <w:szCs w:val="15"/>
          <w:color w:val="auto"/>
        </w:rPr>
        <w:t xml:space="preserve">), U.S. Bank National Association, as collateral agent for the Secured Parties (in such capacity, together with its successors and assigns, the </w:t>
      </w:r>
      <w:r>
        <w:rPr>
          <w:rFonts w:ascii="Arial" w:cs="Arial" w:eastAsia="Arial" w:hAnsi="Arial"/>
          <w:sz w:val="15"/>
          <w:szCs w:val="15"/>
          <w:i w:val="1"/>
          <w:iCs w:val="1"/>
          <w:color w:val="auto"/>
        </w:rPr>
        <w:t>“Collateral Agent”</w:t>
      </w:r>
      <w:r>
        <w:rPr>
          <w:rFonts w:ascii="Arial" w:cs="Arial" w:eastAsia="Arial" w:hAnsi="Arial"/>
          <w:sz w:val="15"/>
          <w:szCs w:val="15"/>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580" w:type="dxa"/>
            <w:vAlign w:val="bottom"/>
            <w:gridSpan w:val="2"/>
          </w:tcPr>
          <w:p>
            <w:pPr>
              <w:ind w:left="420"/>
              <w:spacing w:after="0"/>
              <w:rPr>
                <w:sz w:val="20"/>
                <w:szCs w:val="20"/>
                <w:color w:val="auto"/>
              </w:rPr>
            </w:pPr>
            <w:r>
              <w:rPr>
                <w:rFonts w:ascii="Arial" w:cs="Arial" w:eastAsia="Arial" w:hAnsi="Arial"/>
                <w:sz w:val="18"/>
                <w:szCs w:val="18"/>
                <w:color w:val="auto"/>
                <w:w w:val="89"/>
              </w:rPr>
              <w:t>1. The Borrower hereby gives notice that on</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520" w:type="dxa"/>
            <w:vAlign w:val="bottom"/>
            <w:gridSpan w:val="5"/>
          </w:tcPr>
          <w:p>
            <w:pPr>
              <w:ind w:left="80"/>
              <w:spacing w:after="0"/>
              <w:rPr>
                <w:sz w:val="20"/>
                <w:szCs w:val="20"/>
                <w:color w:val="auto"/>
              </w:rPr>
            </w:pPr>
            <w:r>
              <w:rPr>
                <w:rFonts w:ascii="Arial" w:cs="Arial" w:eastAsia="Arial" w:hAnsi="Arial"/>
                <w:sz w:val="18"/>
                <w:szCs w:val="18"/>
                <w:color w:val="auto"/>
                <w:w w:val="91"/>
              </w:rPr>
              <w:t xml:space="preserve">, 201   (the </w:t>
            </w:r>
            <w:r>
              <w:rPr>
                <w:rFonts w:ascii="Arial" w:cs="Arial" w:eastAsia="Arial" w:hAnsi="Arial"/>
                <w:sz w:val="18"/>
                <w:szCs w:val="18"/>
                <w:i w:val="1"/>
                <w:iCs w:val="1"/>
                <w:color w:val="auto"/>
                <w:w w:val="91"/>
              </w:rPr>
              <w:t>“Prepayment Date”</w:t>
            </w:r>
            <w:r>
              <w:rPr>
                <w:rFonts w:ascii="Arial" w:cs="Arial" w:eastAsia="Arial" w:hAnsi="Arial"/>
                <w:sz w:val="18"/>
                <w:szCs w:val="18"/>
                <w:color w:val="auto"/>
                <w:w w:val="91"/>
              </w:rPr>
              <w:t>) it will make a prepayment under the Credit</w:t>
            </w:r>
          </w:p>
        </w:tc>
      </w:tr>
      <w:tr>
        <w:trPr>
          <w:trHeight w:val="196"/>
        </w:trPr>
        <w:tc>
          <w:tcPr>
            <w:tcW w:w="2680" w:type="dxa"/>
            <w:vAlign w:val="bottom"/>
          </w:tcPr>
          <w:p>
            <w:pPr>
              <w:spacing w:after="0" w:line="196" w:lineRule="exact"/>
              <w:rPr>
                <w:sz w:val="20"/>
                <w:szCs w:val="20"/>
                <w:color w:val="auto"/>
              </w:rPr>
            </w:pPr>
            <w:r>
              <w:rPr>
                <w:rFonts w:ascii="Arial" w:cs="Arial" w:eastAsia="Arial" w:hAnsi="Arial"/>
                <w:sz w:val="18"/>
                <w:szCs w:val="18"/>
                <w:color w:val="auto"/>
                <w:w w:val="90"/>
              </w:rPr>
              <w:t>Agreement in the principal amount of</w:t>
            </w:r>
          </w:p>
        </w:tc>
        <w:tc>
          <w:tcPr>
            <w:tcW w:w="9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tcBorders>
          </w:tcPr>
          <w:p>
            <w:pPr>
              <w:ind w:left="40"/>
              <w:spacing w:after="0" w:line="196" w:lineRule="exact"/>
              <w:rPr>
                <w:sz w:val="20"/>
                <w:szCs w:val="20"/>
                <w:color w:val="auto"/>
              </w:rPr>
            </w:pPr>
            <w:r>
              <w:rPr>
                <w:rFonts w:ascii="Arial" w:cs="Arial" w:eastAsia="Arial" w:hAnsi="Arial"/>
                <w:sz w:val="18"/>
                <w:szCs w:val="18"/>
                <w:color w:val="auto"/>
                <w:w w:val="96"/>
              </w:rPr>
              <w:t>Dollars ($</w:t>
            </w:r>
          </w:p>
        </w:tc>
        <w:tc>
          <w:tcPr>
            <w:tcW w:w="80" w:type="dxa"/>
            <w:vAlign w:val="bottom"/>
            <w:tcBorders>
              <w:top w:val="single" w:sz="8" w:color="auto"/>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20" w:type="dxa"/>
            <w:vAlign w:val="bottom"/>
          </w:tcPr>
          <w:p>
            <w:pPr>
              <w:spacing w:after="0" w:line="196" w:lineRule="exact"/>
              <w:rPr>
                <w:sz w:val="20"/>
                <w:szCs w:val="20"/>
                <w:color w:val="auto"/>
              </w:rPr>
            </w:pPr>
            <w:r>
              <w:rPr>
                <w:rFonts w:ascii="Arial" w:cs="Arial" w:eastAsia="Arial" w:hAnsi="Arial"/>
                <w:sz w:val="18"/>
                <w:szCs w:val="18"/>
                <w:color w:val="auto"/>
              </w:rPr>
              <w:t xml:space="preserve">) (the </w:t>
            </w:r>
            <w:r>
              <w:rPr>
                <w:rFonts w:ascii="Arial" w:cs="Arial" w:eastAsia="Arial" w:hAnsi="Arial"/>
                <w:sz w:val="18"/>
                <w:szCs w:val="18"/>
                <w:i w:val="1"/>
                <w:iCs w:val="1"/>
                <w:color w:val="auto"/>
              </w:rPr>
              <w:t>“Prepayment Amount”</w:t>
            </w:r>
            <w:r>
              <w:rPr>
                <w:rFonts w:ascii="Arial" w:cs="Arial" w:eastAsia="Arial" w:hAnsi="Arial"/>
                <w:sz w:val="18"/>
                <w:szCs w:val="18"/>
                <w:color w:val="auto"/>
              </w:rPr>
              <w:t>).</w:t>
            </w:r>
          </w:p>
        </w:tc>
      </w:tr>
    </w:tbl>
    <w:p>
      <w:pPr>
        <w:spacing w:after="0" w:line="100" w:lineRule="exact"/>
        <w:rPr>
          <w:sz w:val="20"/>
          <w:szCs w:val="20"/>
          <w:color w:val="auto"/>
        </w:rPr>
      </w:pPr>
    </w:p>
    <w:p>
      <w:pPr>
        <w:ind w:left="460" w:right="60" w:firstLine="428"/>
        <w:spacing w:after="0" w:line="259" w:lineRule="auto"/>
        <w:tabs>
          <w:tab w:leader="none" w:pos="106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The Borrower hereby gives notice of intent to prepay an aggregate principal amount equal to the Prepayment Amount to the Collateral Agent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of the Credit Agreement and will remit, or cause to be remitted, the proceeds thereof to the Agent’s Account. The calculation of the Coverage Tests after giving effect to such prepayment is set forth in Schedule I hereto.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ectPr>
          <w:pgSz w:w="11900" w:h="16838" w:orient="portrait"/>
          <w:cols w:equalWidth="0" w:num="1">
            <w:col w:w="11240"/>
          </w:cols>
          <w:pgMar w:left="320" w:top="274" w:right="339" w:bottom="1440" w:gutter="0" w:footer="0" w:header="0"/>
        </w:sectPr>
      </w:pPr>
    </w:p>
    <w:bookmarkStart w:id="214" w:name="page215"/>
    <w:bookmarkEnd w:id="214"/>
    <w:p>
      <w:pPr>
        <w:spacing w:after="0"/>
        <w:tabs>
          <w:tab w:leader="none" w:pos="2420" w:val="left"/>
          <w:tab w:leader="none" w:pos="3960" w:val="left"/>
          <w:tab w:leader="none" w:pos="4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w:t>
      </w:r>
      <w:r>
        <w:rPr>
          <w:rFonts w:ascii="Arial" w:cs="Arial" w:eastAsia="Arial" w:hAnsi="Arial"/>
          <w:sz w:val="14"/>
          <w:szCs w:val="14"/>
          <w:color w:val="auto"/>
        </w:rPr>
        <w:t>ITNESS</w:t>
      </w:r>
      <w:r>
        <w:rPr>
          <w:rFonts w:ascii="Arial" w:cs="Arial" w:eastAsia="Arial" w:hAnsi="Arial"/>
          <w:sz w:val="18"/>
          <w:szCs w:val="18"/>
          <w:color w:val="auto"/>
        </w:rPr>
        <w:t xml:space="preserve"> my hand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201</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-13970</wp:posOffset>
            </wp:positionV>
            <wp:extent cx="167449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74495" cy="8255"/>
                    </a:xfrm>
                    <a:prstGeom prst="rect">
                      <a:avLst/>
                    </a:prstGeom>
                    <a:noFill/>
                  </pic:spPr>
                </pic:pic>
              </a:graphicData>
            </a:graphic>
          </wp:anchor>
        </w:drawing>
      </w:r>
    </w:p>
    <w:p>
      <w:pPr>
        <w:spacing w:after="0" w:line="19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ENNANT</w:t>
      </w:r>
      <w:r>
        <w:rPr>
          <w:rFonts w:ascii="Arial" w:cs="Arial" w:eastAsia="Arial" w:hAnsi="Arial"/>
          <w:sz w:val="16"/>
          <w:szCs w:val="16"/>
          <w:color w:val="auto"/>
        </w:rPr>
        <w:t>P</w:t>
      </w:r>
      <w:r>
        <w:rPr>
          <w:rFonts w:ascii="Arial" w:cs="Arial" w:eastAsia="Arial" w:hAnsi="Arial"/>
          <w:sz w:val="13"/>
          <w:szCs w:val="13"/>
          <w:color w:val="auto"/>
        </w:rPr>
        <w:t>ARK</w:t>
      </w:r>
      <w:r>
        <w:rPr>
          <w:rFonts w:ascii="Arial" w:cs="Arial" w:eastAsia="Arial" w:hAnsi="Arial"/>
          <w:sz w:val="16"/>
          <w:szCs w:val="16"/>
          <w:color w:val="auto"/>
        </w:rPr>
        <w:t xml:space="preserve"> F</w:t>
      </w:r>
      <w:r>
        <w:rPr>
          <w:rFonts w:ascii="Arial" w:cs="Arial" w:eastAsia="Arial" w:hAnsi="Arial"/>
          <w:sz w:val="13"/>
          <w:szCs w:val="13"/>
          <w:color w:val="auto"/>
        </w:rPr>
        <w:t>LOATING</w:t>
      </w:r>
      <w:r>
        <w:rPr>
          <w:rFonts w:ascii="Arial" w:cs="Arial" w:eastAsia="Arial" w:hAnsi="Arial"/>
          <w:sz w:val="16"/>
          <w:szCs w:val="16"/>
          <w:color w:val="auto"/>
        </w:rPr>
        <w:t xml:space="preserve"> R</w:t>
      </w:r>
      <w:r>
        <w:rPr>
          <w:rFonts w:ascii="Arial" w:cs="Arial" w:eastAsia="Arial" w:hAnsi="Arial"/>
          <w:sz w:val="13"/>
          <w:szCs w:val="13"/>
          <w:color w:val="auto"/>
        </w:rPr>
        <w:t>ATE</w:t>
      </w:r>
      <w:r>
        <w:rPr>
          <w:rFonts w:ascii="Arial" w:cs="Arial" w:eastAsia="Arial" w:hAnsi="Arial"/>
          <w:sz w:val="16"/>
          <w:szCs w:val="16"/>
          <w:color w:val="auto"/>
        </w:rPr>
        <w:t xml:space="preserve"> F</w:t>
      </w:r>
      <w:r>
        <w:rPr>
          <w:rFonts w:ascii="Arial" w:cs="Arial" w:eastAsia="Arial" w:hAnsi="Arial"/>
          <w:sz w:val="13"/>
          <w:szCs w:val="13"/>
          <w:color w:val="auto"/>
        </w:rPr>
        <w:t>UNDING</w:t>
      </w:r>
      <w:r>
        <w:rPr>
          <w:rFonts w:ascii="Arial" w:cs="Arial" w:eastAsia="Arial" w:hAnsi="Arial"/>
          <w:sz w:val="16"/>
          <w:szCs w:val="16"/>
          <w:color w:val="auto"/>
        </w:rPr>
        <w:t xml:space="preserve"> I, LLC, as Borrower</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-13970</wp:posOffset>
            </wp:positionV>
            <wp:extent cx="192214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922145" cy="8890"/>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122555</wp:posOffset>
            </wp:positionV>
            <wp:extent cx="8077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20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-13970</wp:posOffset>
            </wp:positionV>
            <wp:extent cx="24237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23795"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-17780</wp:posOffset>
            </wp:positionV>
            <wp:extent cx="195008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5008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118745</wp:posOffset>
            </wp:positionV>
            <wp:extent cx="5295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9590" cy="8255"/>
                    </a:xfrm>
                    <a:prstGeom prst="rect">
                      <a:avLst/>
                    </a:prstGeom>
                    <a:noFill/>
                  </pic:spPr>
                </pic:pic>
              </a:graphicData>
            </a:graphic>
          </wp:anchor>
        </w:drawing>
      </w:r>
    </w:p>
    <w:p>
      <w:pPr>
        <w:spacing w:after="0" w:line="34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780" w:top="280"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N</w:t>
      </w:r>
      <w:r>
        <w:rPr>
          <w:rFonts w:ascii="Arial" w:cs="Arial" w:eastAsia="Arial" w:hAnsi="Arial"/>
          <w:sz w:val="15"/>
          <w:szCs w:val="15"/>
          <w:b w:val="1"/>
          <w:bCs w:val="1"/>
          <w:color w:val="auto"/>
        </w:rPr>
        <w:t xml:space="preserve">OTICE OF </w:t>
      </w:r>
      <w:r>
        <w:rPr>
          <w:rFonts w:ascii="Arial" w:cs="Arial" w:eastAsia="Arial" w:hAnsi="Arial"/>
          <w:sz w:val="17"/>
          <w:szCs w:val="17"/>
          <w:b w:val="1"/>
          <w:bCs w:val="1"/>
          <w:color w:val="auto"/>
        </w:rPr>
        <w:t>P</w:t>
      </w:r>
      <w:r>
        <w:rPr>
          <w:rFonts w:ascii="Arial" w:cs="Arial" w:eastAsia="Arial" w:hAnsi="Arial"/>
          <w:sz w:val="15"/>
          <w:szCs w:val="15"/>
          <w:b w:val="1"/>
          <w:bCs w:val="1"/>
          <w:color w:val="auto"/>
        </w:rPr>
        <w:t>REPAYMENT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ind w:left="4360"/>
              <w:spacing w:after="0"/>
              <w:rPr>
                <w:sz w:val="20"/>
                <w:szCs w:val="20"/>
                <w:color w:val="auto"/>
              </w:rPr>
            </w:pPr>
            <w:r>
              <w:rPr>
                <w:rFonts w:ascii="Arial" w:cs="Arial" w:eastAsia="Arial" w:hAnsi="Arial"/>
                <w:sz w:val="18"/>
                <w:szCs w:val="18"/>
                <w:b w:val="1"/>
                <w:bCs w:val="1"/>
                <w:color w:val="auto"/>
              </w:rPr>
              <w:t>Matrix Selection and Compliance</w:t>
            </w:r>
          </w:p>
        </w:tc>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00" w:type="dxa"/>
            <w:vAlign w:val="bottom"/>
          </w:tcPr>
          <w:p>
            <w:pPr>
              <w:spacing w:after="0"/>
              <w:rPr>
                <w:sz w:val="20"/>
                <w:szCs w:val="20"/>
                <w:color w:val="auto"/>
              </w:rPr>
            </w:pPr>
            <w:r>
              <w:rPr>
                <w:rFonts w:ascii="Arial" w:cs="Arial" w:eastAsia="Arial" w:hAnsi="Arial"/>
                <w:sz w:val="18"/>
                <w:szCs w:val="18"/>
                <w:b w:val="1"/>
                <w:bCs w:val="1"/>
                <w:color w:val="auto"/>
              </w:rPr>
              <w:t>Select Matrix Row</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7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jc w:val="right"/>
              <w:ind w:right="215"/>
              <w:spacing w:after="0"/>
              <w:rPr>
                <w:sz w:val="20"/>
                <w:szCs w:val="20"/>
                <w:color w:val="auto"/>
              </w:rPr>
            </w:pPr>
            <w:r>
              <w:rPr>
                <w:rFonts w:ascii="Arial" w:cs="Arial" w:eastAsia="Arial" w:hAnsi="Arial"/>
                <w:sz w:val="13"/>
                <w:szCs w:val="13"/>
                <w:b w:val="1"/>
                <w:bCs w:val="1"/>
                <w:color w:val="auto"/>
              </w:rPr>
              <w:t>Applicable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500" w:type="dxa"/>
            <w:vAlign w:val="bottom"/>
          </w:tcPr>
          <w:p>
            <w:pPr>
              <w:spacing w:after="0"/>
              <w:rPr>
                <w:sz w:val="12"/>
                <w:szCs w:val="12"/>
                <w:color w:val="auto"/>
              </w:rPr>
            </w:pPr>
          </w:p>
        </w:tc>
        <w:tc>
          <w:tcPr>
            <w:tcW w:w="1660" w:type="dxa"/>
            <w:vAlign w:val="bottom"/>
          </w:tcPr>
          <w:p>
            <w:pPr>
              <w:jc w:val="right"/>
              <w:ind w:right="314"/>
              <w:spacing w:after="0" w:line="147" w:lineRule="exact"/>
              <w:rPr>
                <w:sz w:val="20"/>
                <w:szCs w:val="20"/>
                <w:color w:val="auto"/>
              </w:rPr>
            </w:pPr>
            <w:r>
              <w:rPr>
                <w:rFonts w:ascii="Arial" w:cs="Arial" w:eastAsia="Arial" w:hAnsi="Arial"/>
                <w:sz w:val="13"/>
                <w:szCs w:val="13"/>
                <w:b w:val="1"/>
                <w:bCs w:val="1"/>
                <w:color w:val="auto"/>
              </w:rPr>
              <w:t>Current</w:t>
            </w:r>
          </w:p>
        </w:tc>
        <w:tc>
          <w:tcPr>
            <w:tcW w:w="1220" w:type="dxa"/>
            <w:vAlign w:val="bottom"/>
          </w:tcPr>
          <w:p>
            <w:pPr>
              <w:jc w:val="right"/>
              <w:ind w:right="375"/>
              <w:spacing w:after="0" w:line="147" w:lineRule="exact"/>
              <w:rPr>
                <w:sz w:val="20"/>
                <w:szCs w:val="20"/>
                <w:color w:val="auto"/>
              </w:rPr>
            </w:pPr>
            <w:r>
              <w:rPr>
                <w:rFonts w:ascii="Arial" w:cs="Arial" w:eastAsia="Arial" w:hAnsi="Arial"/>
                <w:sz w:val="13"/>
                <w:szCs w:val="13"/>
                <w:b w:val="1"/>
                <w:bCs w:val="1"/>
                <w:color w:val="auto"/>
              </w:rPr>
              <w:t>Limit</w:t>
            </w:r>
          </w:p>
        </w:tc>
        <w:tc>
          <w:tcPr>
            <w:tcW w:w="860" w:type="dxa"/>
            <w:vAlign w:val="bottom"/>
          </w:tcPr>
          <w:p>
            <w:pPr>
              <w:ind w:left="160"/>
              <w:spacing w:after="0" w:line="147" w:lineRule="exact"/>
              <w:rPr>
                <w:sz w:val="20"/>
                <w:szCs w:val="20"/>
                <w:color w:val="auto"/>
              </w:rPr>
            </w:pPr>
            <w:r>
              <w:rPr>
                <w:rFonts w:ascii="Arial" w:cs="Arial" w:eastAsia="Arial" w:hAnsi="Arial"/>
                <w:sz w:val="13"/>
                <w:szCs w:val="13"/>
                <w:b w:val="1"/>
                <w:bCs w:val="1"/>
                <w:color w:val="auto"/>
                <w:w w:val="92"/>
              </w:rPr>
              <w:t>Compliance</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Maximum Advance Rate</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ind w:left="180"/>
              <w:spacing w:after="0"/>
              <w:rPr>
                <w:sz w:val="20"/>
                <w:szCs w:val="20"/>
                <w:color w:val="auto"/>
              </w:rPr>
            </w:pPr>
            <w:r>
              <w:rPr>
                <w:rFonts w:ascii="Arial" w:cs="Arial" w:eastAsia="Arial" w:hAnsi="Arial"/>
                <w:sz w:val="18"/>
                <w:szCs w:val="18"/>
                <w:b w:val="1"/>
                <w:bCs w:val="1"/>
                <w:color w:val="auto"/>
                <w:w w:val="96"/>
              </w:rPr>
              <w:t>YES/NO</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Minimum Weighted Average Spread</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Minimum Diversity Score</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ind w:left="180"/>
              <w:spacing w:after="0"/>
              <w:rPr>
                <w:sz w:val="20"/>
                <w:szCs w:val="20"/>
                <w:color w:val="auto"/>
              </w:rPr>
            </w:pPr>
            <w:r>
              <w:rPr>
                <w:rFonts w:ascii="Arial" w:cs="Arial" w:eastAsia="Arial" w:hAnsi="Arial"/>
                <w:sz w:val="18"/>
                <w:szCs w:val="18"/>
                <w:b w:val="1"/>
                <w:bCs w:val="1"/>
                <w:color w:val="auto"/>
                <w:w w:val="96"/>
              </w:rPr>
              <w:t>YES/NO</w:t>
            </w: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b w:val="1"/>
                <w:bCs w:val="1"/>
                <w:color w:val="auto"/>
              </w:rPr>
              <w:t>Maximum Obligor Concentration</w:t>
            </w: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Second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Third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Fourth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Fifth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Sixth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Seventh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440"/>
              <w:spacing w:after="0"/>
              <w:rPr>
                <w:sz w:val="20"/>
                <w:szCs w:val="20"/>
                <w:color w:val="auto"/>
              </w:rPr>
            </w:pPr>
            <w:r>
              <w:rPr>
                <w:rFonts w:ascii="Arial" w:cs="Arial" w:eastAsia="Arial" w:hAnsi="Arial"/>
                <w:sz w:val="18"/>
                <w:szCs w:val="18"/>
                <w:color w:val="auto"/>
              </w:rPr>
              <w:t>All Others</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b w:val="1"/>
                <w:bCs w:val="1"/>
                <w:color w:val="auto"/>
              </w:rPr>
              <w:t>Ratings Limitations</w:t>
            </w: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6"/>
              </w:rPr>
              <w:t>YES/NO</w:t>
            </w:r>
          </w:p>
        </w:tc>
        <w:tc>
          <w:tcPr>
            <w:tcW w:w="0" w:type="dxa"/>
            <w:vAlign w:val="bottom"/>
          </w:tcPr>
          <w:p>
            <w:pPr>
              <w:spacing w:after="0"/>
              <w:rPr>
                <w:sz w:val="1"/>
                <w:szCs w:val="1"/>
                <w:color w:val="auto"/>
              </w:rPr>
            </w:pPr>
          </w:p>
        </w:tc>
      </w:tr>
      <w:tr>
        <w:trPr>
          <w:trHeight w:val="210"/>
        </w:trPr>
        <w:tc>
          <w:tcPr>
            <w:tcW w:w="7500" w:type="dxa"/>
            <w:vAlign w:val="bottom"/>
          </w:tcPr>
          <w:p>
            <w:pPr>
              <w:ind w:left="440"/>
              <w:spacing w:after="0"/>
              <w:rPr>
                <w:sz w:val="20"/>
                <w:szCs w:val="20"/>
                <w:color w:val="auto"/>
              </w:rPr>
            </w:pPr>
            <w:r>
              <w:rPr>
                <w:rFonts w:ascii="Arial" w:cs="Arial" w:eastAsia="Arial" w:hAnsi="Arial"/>
                <w:sz w:val="18"/>
                <w:szCs w:val="18"/>
                <w:color w:val="auto"/>
              </w:rPr>
              <w:t>Percentage of Aggregate Collateral Balance rated B/B2 or better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b w:val="1"/>
                <w:bCs w:val="1"/>
                <w:color w:val="auto"/>
              </w:rPr>
              <w:t>Maximum Loan Types</w:t>
            </w: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Senior B and Second Lien</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ind w:left="440"/>
              <w:spacing w:after="0"/>
              <w:rPr>
                <w:sz w:val="20"/>
                <w:szCs w:val="20"/>
                <w:color w:val="auto"/>
              </w:rPr>
            </w:pPr>
            <w:r>
              <w:rPr>
                <w:rFonts w:ascii="Arial" w:cs="Arial" w:eastAsia="Arial" w:hAnsi="Arial"/>
                <w:sz w:val="18"/>
                <w:szCs w:val="18"/>
                <w:color w:val="auto"/>
              </w:rPr>
              <w:t>Second Lien</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4"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SSIGNMENT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CCEPTANCE</w:t>
      </w:r>
      <w:r>
        <w:rPr>
          <w:rFonts w:ascii="Arial" w:cs="Arial" w:eastAsia="Arial" w:hAnsi="Arial"/>
          <w:sz w:val="18"/>
          <w:szCs w:val="18"/>
          <w:b w:val="1"/>
          <w:bCs w:val="1"/>
          <w:color w:val="auto"/>
        </w:rPr>
        <w:t>]</w:t>
      </w:r>
    </w:p>
    <w:p>
      <w:pPr>
        <w:spacing w:after="0" w:line="17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 xml:space="preserve">Reference is made to the Amended and Restated Revolving Credit and Security Agreement dated as of May 14, 2012 (as the same may from time to time be amended, supplemented, waived or modified, the </w:t>
      </w:r>
      <w:r>
        <w:rPr>
          <w:rFonts w:ascii="Arial" w:cs="Arial" w:eastAsia="Arial" w:hAnsi="Arial"/>
          <w:sz w:val="16"/>
          <w:szCs w:val="16"/>
          <w:i w:val="1"/>
          <w:iCs w:val="1"/>
          <w:color w:val="auto"/>
        </w:rPr>
        <w:t>“Credit Agreement”</w:t>
      </w:r>
      <w:r>
        <w:rPr>
          <w:rFonts w:ascii="Arial" w:cs="Arial" w:eastAsia="Arial" w:hAnsi="Arial"/>
          <w:sz w:val="16"/>
          <w:szCs w:val="16"/>
          <w:color w:val="auto"/>
        </w:rPr>
        <w:t xml:space="preserve">) among [Insert Name of Assigning Lender] (the </w:t>
      </w:r>
      <w:r>
        <w:rPr>
          <w:rFonts w:ascii="Arial" w:cs="Arial" w:eastAsia="Arial" w:hAnsi="Arial"/>
          <w:sz w:val="16"/>
          <w:szCs w:val="16"/>
          <w:i w:val="1"/>
          <w:iCs w:val="1"/>
          <w:color w:val="auto"/>
        </w:rPr>
        <w:t>“Assignor”</w:t>
      </w:r>
      <w:r>
        <w:rPr>
          <w:rFonts w:ascii="Arial" w:cs="Arial" w:eastAsia="Arial" w:hAnsi="Arial"/>
          <w:sz w:val="16"/>
          <w:szCs w:val="16"/>
          <w:color w:val="auto"/>
        </w:rPr>
        <w:t xml:space="preserve">), PennantPark Floating Rate Funding I, LLC, a Delaware limited liability company, as borrower (the </w:t>
      </w:r>
      <w:r>
        <w:rPr>
          <w:rFonts w:ascii="Arial" w:cs="Arial" w:eastAsia="Arial" w:hAnsi="Arial"/>
          <w:sz w:val="16"/>
          <w:szCs w:val="16"/>
          <w:i w:val="1"/>
          <w:iCs w:val="1"/>
          <w:color w:val="auto"/>
        </w:rPr>
        <w:t>“Borrower”</w:t>
      </w:r>
      <w:r>
        <w:rPr>
          <w:rFonts w:ascii="Arial" w:cs="Arial" w:eastAsia="Arial" w:hAnsi="Arial"/>
          <w:sz w:val="16"/>
          <w:szCs w:val="16"/>
          <w:color w:val="auto"/>
        </w:rPr>
        <w:t xml:space="preserve">); PennantPark Investment Advisers, LLC, a Delaware limited liability company, as the collateral manager (together with its permitted successors and assigns, the </w:t>
      </w:r>
      <w:r>
        <w:rPr>
          <w:rFonts w:ascii="Arial" w:cs="Arial" w:eastAsia="Arial" w:hAnsi="Arial"/>
          <w:sz w:val="16"/>
          <w:szCs w:val="16"/>
          <w:i w:val="1"/>
          <w:iCs w:val="1"/>
          <w:color w:val="auto"/>
        </w:rPr>
        <w:t>“Collateral Manager”</w:t>
      </w:r>
      <w:r>
        <w:rPr>
          <w:rFonts w:ascii="Arial" w:cs="Arial" w:eastAsia="Arial" w:hAnsi="Arial"/>
          <w:sz w:val="16"/>
          <w:szCs w:val="16"/>
          <w:color w:val="auto"/>
        </w:rPr>
        <w:t xml:space="preserve">), the other Lenders from time to time party thereto; SunTrust Bank, as administrative agent for the Secured Parties (in such 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U.S. Bank National Association, as collateral agent for the Secured Parties (in such capacity, together with its successors and assigns,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“Collateral Agent”</w:t>
      </w:r>
      <w:r>
        <w:rPr>
          <w:rFonts w:ascii="Arial" w:cs="Arial" w:eastAsia="Arial" w:hAnsi="Arial"/>
          <w:sz w:val="16"/>
          <w:szCs w:val="16"/>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Assignor and the “Assignee” referred to on Schedule I hereto agree as follows:</w:t>
      </w:r>
    </w:p>
    <w:p>
      <w:pPr>
        <w:spacing w:after="0" w:line="90" w:lineRule="exact"/>
        <w:rPr>
          <w:sz w:val="20"/>
          <w:szCs w:val="20"/>
          <w:color w:val="auto"/>
        </w:rPr>
      </w:pPr>
    </w:p>
    <w:p>
      <w:pPr>
        <w:ind w:left="460" w:right="20" w:firstLine="428"/>
        <w:spacing w:after="0" w:line="291" w:lineRule="auto"/>
        <w:tabs>
          <w:tab w:leader="none" w:pos="106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As of the Effective Date (as defined below), the Assignor hereby absolutely and unconditionally sells and assigns, without recourse, to the Assignee, and the Assignee hereby purchases and assumes, without recourse to or representation of any kind (except as set forth below) from Assignor, an interest in and to the Assignor’s rights and obligations under the Credit Agreement and under the other Facility Documents equal to the percentage interest specified on Schedule I hereto, including the Assignor’s percentage interest specified on Schedule I hereto of the outstanding principal amount of the Advances to the Borrower (such rights and obligations assigned hereby being the </w:t>
      </w:r>
      <w:r>
        <w:rPr>
          <w:rFonts w:ascii="Arial" w:cs="Arial" w:eastAsia="Arial" w:hAnsi="Arial"/>
          <w:sz w:val="16"/>
          <w:szCs w:val="16"/>
          <w:i w:val="1"/>
          <w:iCs w:val="1"/>
          <w:color w:val="auto"/>
        </w:rPr>
        <w:t>“Assigned Interests”</w:t>
      </w:r>
      <w:r>
        <w:rPr>
          <w:rFonts w:ascii="Arial" w:cs="Arial" w:eastAsia="Arial" w:hAnsi="Arial"/>
          <w:sz w:val="16"/>
          <w:szCs w:val="16"/>
          <w:color w:val="auto"/>
        </w:rPr>
        <w:t>). After giving effect to such sale, assignment and assumption, the Assignee’s “Percentage” will be as set forth on Schedule I hereto.</w:t>
      </w:r>
    </w:p>
    <w:p>
      <w:pPr>
        <w:spacing w:after="0" w:line="38" w:lineRule="exact"/>
        <w:rPr>
          <w:rFonts w:ascii="Arial" w:cs="Arial" w:eastAsia="Arial" w:hAnsi="Arial"/>
          <w:sz w:val="16"/>
          <w:szCs w:val="16"/>
          <w:color w:val="auto"/>
        </w:rPr>
      </w:pPr>
    </w:p>
    <w:p>
      <w:pPr>
        <w:ind w:left="460" w:firstLine="428"/>
        <w:spacing w:after="0" w:line="310" w:lineRule="auto"/>
        <w:tabs>
          <w:tab w:leader="none" w:pos="1067" w:val="left"/>
        </w:tabs>
        <w:numPr>
          <w:ilvl w:val="0"/>
          <w:numId w:val="218"/>
        </w:numPr>
        <w:rPr>
          <w:rFonts w:ascii="Arial" w:cs="Arial" w:eastAsia="Arial" w:hAnsi="Arial"/>
          <w:sz w:val="15"/>
          <w:szCs w:val="15"/>
          <w:color w:val="auto"/>
        </w:rPr>
      </w:pPr>
      <w:r>
        <w:rPr>
          <w:rFonts w:ascii="Arial" w:cs="Arial" w:eastAsia="Arial" w:hAnsi="Arial"/>
          <w:sz w:val="15"/>
          <w:szCs w:val="15"/>
          <w:color w:val="auto"/>
        </w:rPr>
        <w:t>The Assignor (i) represents and warrants that immediately prior to the Effective Date it is the legal and beneficial owner of the Assigned Interest free and clear of any Lien created by the Assignor; (ii) makes no representation or warranty and assumes no responsibility with respect to any statements, warranties or representations made in or in connection with the Facility Documents or the execution, legality, validity, enforceability, genuineness, sufficiency or value of, or the perfection or priority of any lien or security or ownership interest created or purported to be created under or in connection with, the Facility Documents or any other instrument or document furnished pursuant thereto or the condition or value of the Assigned Interest, Collateral relating to the Borrower, or any interest therein; and (iii) makes no representation or warranty and assumes no responsibility with respect to the condition (financial or otherwise) of the Borrower, the Administrative Agent, the Collateral Manager or any other Person, or the performance or observance by any Person of any of its obligations under any Facility Document or any instrument or document furnished pursuant thereto.</w:t>
      </w:r>
    </w:p>
    <w:p>
      <w:pPr>
        <w:sectPr>
          <w:pgSz w:w="11900" w:h="16838" w:orient="portrait"/>
          <w:cols w:equalWidth="0" w:num="1">
            <w:col w:w="11240"/>
          </w:cols>
          <w:pgMar w:left="320" w:top="274" w:right="339" w:bottom="1440" w:gutter="0" w:footer="0" w:header="0"/>
        </w:sectPr>
      </w:pPr>
    </w:p>
    <w:bookmarkStart w:id="217" w:name="page218"/>
    <w:bookmarkEnd w:id="217"/>
    <w:p>
      <w:pPr>
        <w:ind w:left="3" w:right="20" w:firstLine="428"/>
        <w:spacing w:after="0" w:line="301" w:lineRule="auto"/>
        <w:tabs>
          <w:tab w:leader="none" w:pos="610" w:val="left"/>
        </w:tabs>
        <w:numPr>
          <w:ilvl w:val="1"/>
          <w:numId w:val="21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Assignee (i) confirms that it has received a copy of the Credit Agreement and the other Facility Documents, together with copies of any financial statements delivered pursuant to </w:t>
      </w:r>
      <w:r>
        <w:rPr>
          <w:rFonts w:ascii="Arial" w:cs="Arial" w:eastAsia="Arial" w:hAnsi="Arial"/>
          <w:sz w:val="15"/>
          <w:szCs w:val="15"/>
          <w:u w:val="single" w:color="auto"/>
          <w:color w:val="auto"/>
        </w:rPr>
        <w:t>Section 5.01</w:t>
      </w:r>
      <w:r>
        <w:rPr>
          <w:rFonts w:ascii="Arial" w:cs="Arial" w:eastAsia="Arial" w:hAnsi="Arial"/>
          <w:sz w:val="15"/>
          <w:szCs w:val="15"/>
          <w:color w:val="auto"/>
        </w:rPr>
        <w:t xml:space="preserve"> of the Credit Agreement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or in connection with any of the Facility Documents; (iii) appoints and authorizes the Administrative Agent to take such action as agent on its behalf and to exercise such powers and discretion under the Facility Documents as are delegated to the Administrative Agent by the terms thereof, together with such powers and discretion as are reasonably incidental thereto; and</w:t>
      </w:r>
    </w:p>
    <w:p>
      <w:pPr>
        <w:spacing w:after="0" w:line="4" w:lineRule="exact"/>
        <w:rPr>
          <w:rFonts w:ascii="Arial" w:cs="Arial" w:eastAsia="Arial" w:hAnsi="Arial"/>
          <w:sz w:val="15"/>
          <w:szCs w:val="15"/>
          <w:color w:val="auto"/>
        </w:rPr>
      </w:pPr>
    </w:p>
    <w:p>
      <w:pPr>
        <w:ind w:left="3" w:right="600" w:hanging="3"/>
        <w:spacing w:after="0" w:line="260" w:lineRule="auto"/>
        <w:tabs>
          <w:tab w:leader="none" w:pos="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agrees that it will perform in accordance with their terms all of the obligations that by the terms of the Facility Documents are required to be performed by it as a Lender.</w:t>
      </w:r>
    </w:p>
    <w:p>
      <w:pPr>
        <w:spacing w:after="0" w:line="58" w:lineRule="exact"/>
        <w:rPr>
          <w:rFonts w:ascii="Arial" w:cs="Arial" w:eastAsia="Arial" w:hAnsi="Arial"/>
          <w:sz w:val="18"/>
          <w:szCs w:val="18"/>
          <w:color w:val="auto"/>
        </w:rPr>
      </w:pPr>
    </w:p>
    <w:p>
      <w:pPr>
        <w:jc w:val="both"/>
        <w:ind w:left="3" w:right="520" w:firstLine="428"/>
        <w:spacing w:after="0" w:line="302" w:lineRule="auto"/>
        <w:tabs>
          <w:tab w:leader="none" w:pos="61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The Assignee, by checking the box below, (i) acknowledges that it is required to be a Qualified Purchaser for purposes of the Investment Company Act at the time it becomes a Lender and on each date on which an Advance is made under the Credit Agreement and (ii) represents and warrants to the Assignor, the Borrower and the Agents that the Assignee is a Qualified Purchaser:</w:t>
      </w:r>
    </w:p>
    <w:p>
      <w:pPr>
        <w:spacing w:after="0" w:line="34" w:lineRule="exact"/>
        <w:rPr>
          <w:rFonts w:ascii="Arial" w:cs="Arial" w:eastAsia="Arial" w:hAnsi="Arial"/>
          <w:sz w:val="16"/>
          <w:szCs w:val="16"/>
          <w:color w:val="auto"/>
        </w:rPr>
      </w:pPr>
    </w:p>
    <w:p>
      <w:pPr>
        <w:ind w:left="1003" w:hanging="561"/>
        <w:spacing w:after="0"/>
        <w:tabs>
          <w:tab w:leader="none" w:pos="1003" w:val="left"/>
        </w:tabs>
        <w:numPr>
          <w:ilvl w:val="2"/>
          <w:numId w:val="220"/>
        </w:numPr>
        <w:rPr>
          <w:rFonts w:ascii="MS PGothic" w:cs="MS PGothic" w:eastAsia="MS PGothic" w:hAnsi="MS PGothic"/>
          <w:sz w:val="18"/>
          <w:szCs w:val="18"/>
          <w:color w:val="auto"/>
        </w:rPr>
      </w:pPr>
      <w:r>
        <w:rPr>
          <w:rFonts w:ascii="Arial" w:cs="Arial" w:eastAsia="Arial" w:hAnsi="Arial"/>
          <w:sz w:val="18"/>
          <w:szCs w:val="18"/>
          <w:color w:val="auto"/>
        </w:rPr>
        <w:t>By checking this box, the Assignee represents and warrants that it is a Qualified Purchaser.</w:t>
      </w:r>
    </w:p>
    <w:p>
      <w:pPr>
        <w:spacing w:after="0" w:line="90" w:lineRule="exact"/>
        <w:rPr>
          <w:rFonts w:ascii="MS PGothic" w:cs="MS PGothic" w:eastAsia="MS PGothic" w:hAnsi="MS PGothic"/>
          <w:sz w:val="18"/>
          <w:szCs w:val="18"/>
          <w:color w:val="auto"/>
        </w:rPr>
      </w:pPr>
    </w:p>
    <w:p>
      <w:pPr>
        <w:ind w:left="3" w:right="180" w:firstLine="428"/>
        <w:spacing w:after="0" w:line="259" w:lineRule="auto"/>
        <w:tabs>
          <w:tab w:leader="none" w:pos="61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xml:space="preserve">Following the execution of this Assignment and Acceptance, it will be delivered to the Administrative Agent for acceptance and recording by the Administrative Agent. The effective date for this Assignment and Acceptance (the </w:t>
      </w:r>
      <w:r>
        <w:rPr>
          <w:rFonts w:ascii="Arial" w:cs="Arial" w:eastAsia="Arial" w:hAnsi="Arial"/>
          <w:sz w:val="18"/>
          <w:szCs w:val="18"/>
          <w:i w:val="1"/>
          <w:iCs w:val="1"/>
          <w:color w:val="auto"/>
        </w:rPr>
        <w:t>“Effective Date”</w:t>
      </w:r>
      <w:r>
        <w:rPr>
          <w:rFonts w:ascii="Arial" w:cs="Arial" w:eastAsia="Arial" w:hAnsi="Arial"/>
          <w:sz w:val="18"/>
          <w:szCs w:val="18"/>
          <w:color w:val="auto"/>
        </w:rPr>
        <w:t>) shall be the date of acceptance hereof by the Administrative Agent, unless a later effective date is specified on Schedule I hereto.</w:t>
      </w:r>
    </w:p>
    <w:p>
      <w:pPr>
        <w:spacing w:after="0" w:line="58" w:lineRule="exact"/>
        <w:rPr>
          <w:rFonts w:ascii="Arial" w:cs="Arial" w:eastAsia="Arial" w:hAnsi="Arial"/>
          <w:sz w:val="18"/>
          <w:szCs w:val="18"/>
          <w:color w:val="auto"/>
        </w:rPr>
      </w:pPr>
    </w:p>
    <w:p>
      <w:pPr>
        <w:ind w:left="3" w:firstLine="428"/>
        <w:spacing w:after="0" w:line="254" w:lineRule="auto"/>
        <w:tabs>
          <w:tab w:leader="none" w:pos="61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xml:space="preserve">Upon such acceptance and recording by the Administrative Agent, as of the Effective Date, (i) the Assignee shall be a party to and bound by the provisions of the Credit Agreement and, to the extent provided in this Assignment and Acceptance, have the rights and obligations of a Lender thereunder and under any other Facility Document, (ii) without limiting the generality of the foregoing, the Assignee expressly acknowledges and agrees to its obligations of indemnification to the Agents pursuant to and as provided in </w:t>
      </w:r>
      <w:r>
        <w:rPr>
          <w:rFonts w:ascii="Arial" w:cs="Arial" w:eastAsia="Arial" w:hAnsi="Arial"/>
          <w:sz w:val="18"/>
          <w:szCs w:val="18"/>
          <w:u w:val="single" w:color="auto"/>
          <w:color w:val="auto"/>
        </w:rPr>
        <w:t>Section 15.04</w:t>
      </w:r>
      <w:r>
        <w:rPr>
          <w:rFonts w:ascii="Arial" w:cs="Arial" w:eastAsia="Arial" w:hAnsi="Arial"/>
          <w:sz w:val="18"/>
          <w:szCs w:val="18"/>
          <w:color w:val="auto"/>
        </w:rPr>
        <w:t xml:space="preserve"> thereof, and (iii) the Assignor shall, to the extent provided in this Assignment and Acceptance, relinquish its rights and be released from its obligations under the Credit Agreement and under any other Facility Document.</w:t>
      </w:r>
    </w:p>
    <w:p>
      <w:pPr>
        <w:spacing w:after="0" w:line="62" w:lineRule="exact"/>
        <w:rPr>
          <w:rFonts w:ascii="Arial" w:cs="Arial" w:eastAsia="Arial" w:hAnsi="Arial"/>
          <w:sz w:val="18"/>
          <w:szCs w:val="18"/>
          <w:color w:val="auto"/>
        </w:rPr>
      </w:pPr>
    </w:p>
    <w:p>
      <w:pPr>
        <w:ind w:left="3" w:right="260" w:firstLine="428"/>
        <w:spacing w:after="0" w:line="306" w:lineRule="auto"/>
        <w:tabs>
          <w:tab w:leader="none" w:pos="61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Upon such acceptance and recording by the Administrative Agent, from and after the Effective Date, the Borrower shall make all payments under the Credit Agreement in respect of the Assigned Interest to the Assignee. The Assignor and Assignee shall make all appropriate adjustments in payments under the Credit Agreement and the Assigned Interests for periods prior to the Effective Date directly between themselves.</w:t>
      </w:r>
    </w:p>
    <w:p>
      <w:pPr>
        <w:spacing w:after="0" w:line="93" w:lineRule="exact"/>
        <w:rPr>
          <w:sz w:val="20"/>
          <w:szCs w:val="20"/>
          <w:color w:val="auto"/>
        </w:rPr>
      </w:pPr>
    </w:p>
    <w:p>
      <w:pPr>
        <w:jc w:val="center"/>
        <w:ind w:right="39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3"/>
          </w:cols>
          <w:pgMar w:left="777" w:top="280" w:right="379" w:bottom="1440" w:gutter="0" w:footer="0" w:header="0"/>
        </w:sectPr>
      </w:pPr>
    </w:p>
    <w:bookmarkStart w:id="218" w:name="page219"/>
    <w:bookmarkEnd w:id="218"/>
    <w:p>
      <w:pPr>
        <w:ind w:left="1060" w:hanging="172"/>
        <w:spacing w:after="0"/>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Assignment and Acceptance shall be governed by, and construed in accordance with, the laws of the State of New York.</w:t>
      </w:r>
    </w:p>
    <w:p>
      <w:pPr>
        <w:spacing w:after="0" w:line="90" w:lineRule="exact"/>
        <w:rPr>
          <w:rFonts w:ascii="Arial" w:cs="Arial" w:eastAsia="Arial" w:hAnsi="Arial"/>
          <w:sz w:val="18"/>
          <w:szCs w:val="18"/>
          <w:color w:val="auto"/>
        </w:rPr>
      </w:pPr>
    </w:p>
    <w:p>
      <w:pPr>
        <w:ind w:left="460" w:firstLine="428"/>
        <w:spacing w:after="0" w:line="256" w:lineRule="auto"/>
        <w:tabs>
          <w:tab w:leader="none" w:pos="106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I to this Assignment and Acceptance by telecopier shall be effective as a delivery of a manually executed counterpart of this Assignment and Acceptance.</w:t>
      </w:r>
    </w:p>
    <w:p>
      <w:pPr>
        <w:spacing w:after="0" w:line="143" w:lineRule="exact"/>
        <w:rPr>
          <w:sz w:val="20"/>
          <w:szCs w:val="20"/>
          <w:color w:val="auto"/>
        </w:rPr>
      </w:pPr>
    </w:p>
    <w:p>
      <w:pPr>
        <w:ind w:right="420" w:firstLine="449"/>
        <w:spacing w:after="0" w:line="268" w:lineRule="auto"/>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w:t>
      </w:r>
      <w:r>
        <w:rPr>
          <w:rFonts w:ascii="Arial" w:cs="Arial" w:eastAsia="Arial" w:hAnsi="Arial"/>
          <w:sz w:val="18"/>
          <w:szCs w:val="18"/>
          <w:color w:val="auto"/>
        </w:rPr>
        <w:t xml:space="preserve"> W</w:t>
      </w:r>
      <w:r>
        <w:rPr>
          <w:rFonts w:ascii="Arial" w:cs="Arial" w:eastAsia="Arial" w:hAnsi="Arial"/>
          <w:sz w:val="14"/>
          <w:szCs w:val="14"/>
          <w:color w:val="auto"/>
        </w:rPr>
        <w:t>ITNESS</w:t>
      </w:r>
      <w:r>
        <w:rPr>
          <w:rFonts w:ascii="Arial" w:cs="Arial" w:eastAsia="Arial" w:hAnsi="Arial"/>
          <w:sz w:val="18"/>
          <w:szCs w:val="18"/>
          <w:color w:val="auto"/>
        </w:rPr>
        <w:t xml:space="preserve"> W</w:t>
      </w:r>
      <w:r>
        <w:rPr>
          <w:rFonts w:ascii="Arial" w:cs="Arial" w:eastAsia="Arial" w:hAnsi="Arial"/>
          <w:sz w:val="14"/>
          <w:szCs w:val="14"/>
          <w:color w:val="auto"/>
        </w:rPr>
        <w:t>HEREOF</w:t>
      </w:r>
      <w:r>
        <w:rPr>
          <w:rFonts w:ascii="Arial" w:cs="Arial" w:eastAsia="Arial" w:hAnsi="Arial"/>
          <w:sz w:val="18"/>
          <w:szCs w:val="18"/>
          <w:color w:val="auto"/>
        </w:rPr>
        <w:t>, the Assignor and the Assignee have caused Schedule I to this Assignment and Acceptance to be executed by their officers thereunto duly authorized as of the date specified thereon.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280" w:right="399" w:bottom="1440" w:gutter="0" w:footer="0" w:header="0"/>
        </w:sectPr>
      </w:pPr>
    </w:p>
    <w:bookmarkStart w:id="219" w:name="page220"/>
    <w:bookmarkEnd w:id="219"/>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177"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Percentage interest transferred by Assignor:</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-13970</wp:posOffset>
            </wp:positionV>
            <wp:extent cx="5575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19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SSIGNOR</w:t>
      </w:r>
      <w:r>
        <w:rPr>
          <w:rFonts w:ascii="Arial" w:cs="Arial" w:eastAsia="Arial" w:hAnsi="Arial"/>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[I</w:t>
      </w:r>
      <w:r>
        <w:rPr>
          <w:rFonts w:ascii="Arial" w:cs="Arial" w:eastAsia="Arial" w:hAnsi="Arial"/>
          <w:sz w:val="13"/>
          <w:szCs w:val="13"/>
          <w:color w:val="auto"/>
        </w:rPr>
        <w:t>NSERT</w:t>
      </w:r>
      <w:r>
        <w:rPr>
          <w:rFonts w:ascii="Arial" w:cs="Arial" w:eastAsia="Arial" w:hAnsi="Arial"/>
          <w:sz w:val="16"/>
          <w:szCs w:val="16"/>
          <w:color w:val="auto"/>
        </w:rPr>
        <w:t xml:space="preserve"> N</w:t>
      </w:r>
      <w:r>
        <w:rPr>
          <w:rFonts w:ascii="Arial" w:cs="Arial" w:eastAsia="Arial" w:hAnsi="Arial"/>
          <w:sz w:val="13"/>
          <w:szCs w:val="13"/>
          <w:color w:val="auto"/>
        </w:rPr>
        <w:t>AME</w:t>
      </w:r>
      <w:r>
        <w:rPr>
          <w:rFonts w:ascii="Arial" w:cs="Arial" w:eastAsia="Arial" w:hAnsi="Arial"/>
          <w:sz w:val="16"/>
          <w:szCs w:val="16"/>
          <w:color w:val="auto"/>
        </w:rPr>
        <w:t xml:space="preserve"> O</w:t>
      </w:r>
      <w:r>
        <w:rPr>
          <w:rFonts w:ascii="Arial" w:cs="Arial" w:eastAsia="Arial" w:hAnsi="Arial"/>
          <w:sz w:val="13"/>
          <w:szCs w:val="13"/>
          <w:color w:val="auto"/>
        </w:rPr>
        <w:t>F</w:t>
      </w:r>
      <w:r>
        <w:rPr>
          <w:rFonts w:ascii="Arial" w:cs="Arial" w:eastAsia="Arial" w:hAnsi="Arial"/>
          <w:sz w:val="16"/>
          <w:szCs w:val="16"/>
          <w:color w:val="auto"/>
        </w:rPr>
        <w:t xml:space="preserve"> A</w:t>
      </w:r>
      <w:r>
        <w:rPr>
          <w:rFonts w:ascii="Arial" w:cs="Arial" w:eastAsia="Arial" w:hAnsi="Arial"/>
          <w:sz w:val="13"/>
          <w:szCs w:val="13"/>
          <w:color w:val="auto"/>
        </w:rPr>
        <w:t>SSIGNOR</w:t>
      </w:r>
      <w:r>
        <w:rPr>
          <w:rFonts w:ascii="Arial" w:cs="Arial" w:eastAsia="Arial" w:hAnsi="Arial"/>
          <w:sz w:val="16"/>
          <w:szCs w:val="16"/>
          <w:color w:val="auto"/>
        </w:rPr>
        <w:t>], as Assignor</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10795</wp:posOffset>
            </wp:positionV>
            <wp:extent cx="27000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Authorized Signatory</w:t>
      </w:r>
    </w:p>
    <w:p>
      <w:pPr>
        <w:spacing w:after="0" w:line="21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SSIGNEE</w:t>
      </w:r>
      <w:r>
        <w:rPr>
          <w:rFonts w:ascii="Arial" w:cs="Arial" w:eastAsia="Arial" w:hAnsi="Arial"/>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[I</w:t>
      </w:r>
      <w:r>
        <w:rPr>
          <w:rFonts w:ascii="Arial" w:cs="Arial" w:eastAsia="Arial" w:hAnsi="Arial"/>
          <w:sz w:val="13"/>
          <w:szCs w:val="13"/>
          <w:color w:val="auto"/>
        </w:rPr>
        <w:t>NSERT</w:t>
      </w:r>
      <w:r>
        <w:rPr>
          <w:rFonts w:ascii="Arial" w:cs="Arial" w:eastAsia="Arial" w:hAnsi="Arial"/>
          <w:sz w:val="16"/>
          <w:szCs w:val="16"/>
          <w:color w:val="auto"/>
        </w:rPr>
        <w:t xml:space="preserve"> N</w:t>
      </w:r>
      <w:r>
        <w:rPr>
          <w:rFonts w:ascii="Arial" w:cs="Arial" w:eastAsia="Arial" w:hAnsi="Arial"/>
          <w:sz w:val="13"/>
          <w:szCs w:val="13"/>
          <w:color w:val="auto"/>
        </w:rPr>
        <w:t>AME OF</w:t>
      </w:r>
      <w:r>
        <w:rPr>
          <w:rFonts w:ascii="Arial" w:cs="Arial" w:eastAsia="Arial" w:hAnsi="Arial"/>
          <w:sz w:val="16"/>
          <w:szCs w:val="16"/>
          <w:color w:val="auto"/>
        </w:rPr>
        <w:t xml:space="preserve"> A</w:t>
      </w:r>
      <w:r>
        <w:rPr>
          <w:rFonts w:ascii="Arial" w:cs="Arial" w:eastAsia="Arial" w:hAnsi="Arial"/>
          <w:sz w:val="13"/>
          <w:szCs w:val="13"/>
          <w:color w:val="auto"/>
        </w:rPr>
        <w:t>SSIGNEE</w:t>
      </w:r>
      <w:r>
        <w:rPr>
          <w:rFonts w:ascii="Arial" w:cs="Arial" w:eastAsia="Arial" w:hAnsi="Arial"/>
          <w:sz w:val="16"/>
          <w:szCs w:val="16"/>
          <w:color w:val="auto"/>
        </w:rPr>
        <w:t>] as Assignee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10795</wp:posOffset>
            </wp:positionV>
            <wp:extent cx="27000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Authorized Signatory</w:t>
      </w:r>
    </w:p>
    <w:p>
      <w:pPr>
        <w:spacing w:after="0" w:line="212" w:lineRule="exact"/>
        <w:rPr>
          <w:sz w:val="20"/>
          <w:szCs w:val="20"/>
          <w:color w:val="auto"/>
        </w:rPr>
      </w:pPr>
    </w:p>
    <w:p>
      <w:pPr>
        <w:spacing w:after="0"/>
        <w:tabs>
          <w:tab w:leader="none" w:pos="1380" w:val="left"/>
          <w:tab w:leader="none" w:pos="2760" w:val="left"/>
        </w:tabs>
        <w:rPr>
          <w:sz w:val="20"/>
          <w:szCs w:val="20"/>
          <w:color w:val="auto"/>
        </w:rPr>
      </w:pPr>
      <w:r>
        <w:rPr>
          <w:rFonts w:ascii="Arial" w:cs="Arial" w:eastAsia="Arial" w:hAnsi="Arial"/>
          <w:sz w:val="18"/>
          <w:szCs w:val="18"/>
          <w:color w:val="auto"/>
        </w:rPr>
        <w:t>Accepted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-13970</wp:posOffset>
            </wp:positionV>
            <wp:extent cx="22288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-13970</wp:posOffset>
            </wp:positionV>
            <wp:extent cx="5568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10795</wp:posOffset>
            </wp:positionV>
            <wp:extent cx="27000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Authorized Signatory</w:t>
      </w:r>
    </w:p>
    <w:p>
      <w:pPr>
        <w:spacing w:after="0" w:line="171" w:lineRule="exact"/>
        <w:rPr>
          <w:sz w:val="20"/>
          <w:szCs w:val="20"/>
          <w:color w:val="auto"/>
        </w:rPr>
      </w:pPr>
    </w:p>
    <w:p>
      <w:pPr>
        <w:spacing w:after="0"/>
        <w:tabs>
          <w:tab w:leader="none" w:pos="1700" w:val="left"/>
          <w:tab w:leader="none" w:pos="3060" w:val="left"/>
        </w:tabs>
        <w:rPr>
          <w:sz w:val="20"/>
          <w:szCs w:val="20"/>
          <w:color w:val="auto"/>
        </w:rPr>
      </w:pPr>
      <w:r>
        <w:rPr>
          <w:rFonts w:ascii="Arial" w:cs="Arial" w:eastAsia="Arial" w:hAnsi="Arial"/>
          <w:sz w:val="18"/>
          <w:szCs w:val="18"/>
          <w:color w:val="auto"/>
        </w:rPr>
        <w:t>[Consented to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-13970</wp:posOffset>
            </wp:positionV>
            <wp:extent cx="2228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-13970</wp:posOffset>
            </wp:positionV>
            <wp:extent cx="5568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LLC, as Borrower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10795</wp:posOffset>
            </wp:positionV>
            <wp:extent cx="27000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 _________________________________</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Title:1__________________________________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12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Insert in an Assignment and Acceptance if Borrower consent is required</w:t>
      </w:r>
    </w:p>
    <w:p>
      <w:pPr>
        <w:sectPr>
          <w:pgSz w:w="11900" w:h="16838" w:orient="portrait"/>
          <w:cols w:equalWidth="0" w:num="1">
            <w:col w:w="10139"/>
          </w:cols>
          <w:pgMar w:left="320" w:top="274" w:right="1440"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Account Control Agreement.</w:t>
      </w:r>
    </w:p>
    <w:p>
      <w:pPr>
        <w:sectPr>
          <w:pgSz w:w="11900" w:h="16838" w:orient="portrait"/>
          <w:cols w:equalWidth="0" w:num="1">
            <w:col w:w="9019"/>
          </w:cols>
          <w:pgMar w:left="1440" w:top="274" w:right="1440"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ACILITY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MOUNT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NCREASE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p>
    <w:p>
      <w:pPr>
        <w:spacing w:after="0" w:line="177"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-13970</wp:posOffset>
            </wp:positionV>
            <wp:extent cx="89154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51"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To: S</w:t>
      </w:r>
      <w:r>
        <w:rPr>
          <w:rFonts w:ascii="Arial" w:cs="Arial" w:eastAsia="Arial" w:hAnsi="Arial"/>
          <w:sz w:val="13"/>
          <w:szCs w:val="13"/>
          <w:color w:val="auto"/>
        </w:rPr>
        <w:t>UN</w:t>
      </w:r>
      <w:r>
        <w:rPr>
          <w:rFonts w:ascii="Arial" w:cs="Arial" w:eastAsia="Arial" w:hAnsi="Arial"/>
          <w:sz w:val="16"/>
          <w:szCs w:val="16"/>
          <w:color w:val="auto"/>
        </w:rPr>
        <w:t>T</w:t>
      </w:r>
      <w:r>
        <w:rPr>
          <w:rFonts w:ascii="Arial" w:cs="Arial" w:eastAsia="Arial" w:hAnsi="Arial"/>
          <w:sz w:val="13"/>
          <w:szCs w:val="13"/>
          <w:color w:val="auto"/>
        </w:rPr>
        <w:t>RUST</w:t>
      </w:r>
      <w:r>
        <w:rPr>
          <w:rFonts w:ascii="Arial" w:cs="Arial" w:eastAsia="Arial" w:hAnsi="Arial"/>
          <w:sz w:val="16"/>
          <w:szCs w:val="16"/>
          <w:color w:val="auto"/>
        </w:rPr>
        <w:t xml:space="preserve"> B</w:t>
      </w:r>
      <w:r>
        <w:rPr>
          <w:rFonts w:ascii="Arial" w:cs="Arial" w:eastAsia="Arial" w:hAnsi="Arial"/>
          <w:sz w:val="13"/>
          <w:szCs w:val="13"/>
          <w:color w:val="auto"/>
        </w:rPr>
        <w:t>ANK</w:t>
      </w:r>
      <w:r>
        <w:rPr>
          <w:rFonts w:ascii="Arial" w:cs="Arial" w:eastAsia="Arial" w:hAnsi="Arial"/>
          <w:sz w:val="16"/>
          <w:szCs w:val="16"/>
          <w:color w:val="auto"/>
        </w:rPr>
        <w:t xml:space="preserve">, as Administrative Agent for the Lenders parties to the Amended and Restated Revolving Credit and Security Agreement dated as of May 14, 2012 (as extended, renewed, amended or restated from time to time, the </w:t>
      </w:r>
      <w:r>
        <w:rPr>
          <w:rFonts w:ascii="Arial" w:cs="Arial" w:eastAsia="Arial" w:hAnsi="Arial"/>
          <w:sz w:val="16"/>
          <w:szCs w:val="16"/>
          <w:i w:val="1"/>
          <w:iCs w:val="1"/>
          <w:color w:val="auto"/>
        </w:rPr>
        <w:t>“Credit Agreement”</w:t>
      </w:r>
      <w:r>
        <w:rPr>
          <w:rFonts w:ascii="Arial" w:cs="Arial" w:eastAsia="Arial" w:hAnsi="Arial"/>
          <w:sz w:val="16"/>
          <w:szCs w:val="16"/>
          <w:color w:val="auto"/>
        </w:rPr>
        <w:t>), among P</w:t>
      </w:r>
      <w:r>
        <w:rPr>
          <w:rFonts w:ascii="Arial" w:cs="Arial" w:eastAsia="Arial" w:hAnsi="Arial"/>
          <w:sz w:val="13"/>
          <w:szCs w:val="13"/>
          <w:color w:val="auto"/>
        </w:rPr>
        <w:t>ENNANT</w:t>
      </w:r>
      <w:r>
        <w:rPr>
          <w:rFonts w:ascii="Arial" w:cs="Arial" w:eastAsia="Arial" w:hAnsi="Arial"/>
          <w:sz w:val="16"/>
          <w:szCs w:val="16"/>
          <w:color w:val="auto"/>
        </w:rPr>
        <w:t>P</w:t>
      </w:r>
      <w:r>
        <w:rPr>
          <w:rFonts w:ascii="Arial" w:cs="Arial" w:eastAsia="Arial" w:hAnsi="Arial"/>
          <w:sz w:val="13"/>
          <w:szCs w:val="13"/>
          <w:color w:val="auto"/>
        </w:rPr>
        <w:t>ARK</w:t>
      </w:r>
      <w:r>
        <w:rPr>
          <w:rFonts w:ascii="Arial" w:cs="Arial" w:eastAsia="Arial" w:hAnsi="Arial"/>
          <w:sz w:val="16"/>
          <w:szCs w:val="16"/>
          <w:color w:val="auto"/>
        </w:rPr>
        <w:t xml:space="preserve"> F</w:t>
      </w:r>
      <w:r>
        <w:rPr>
          <w:rFonts w:ascii="Arial" w:cs="Arial" w:eastAsia="Arial" w:hAnsi="Arial"/>
          <w:sz w:val="13"/>
          <w:szCs w:val="13"/>
          <w:color w:val="auto"/>
        </w:rPr>
        <w:t>LOATING</w:t>
      </w:r>
      <w:r>
        <w:rPr>
          <w:rFonts w:ascii="Arial" w:cs="Arial" w:eastAsia="Arial" w:hAnsi="Arial"/>
          <w:sz w:val="16"/>
          <w:szCs w:val="16"/>
          <w:color w:val="auto"/>
        </w:rPr>
        <w:t xml:space="preserve"> R</w:t>
      </w:r>
      <w:r>
        <w:rPr>
          <w:rFonts w:ascii="Arial" w:cs="Arial" w:eastAsia="Arial" w:hAnsi="Arial"/>
          <w:sz w:val="13"/>
          <w:szCs w:val="13"/>
          <w:color w:val="auto"/>
        </w:rPr>
        <w:t>ATE</w:t>
      </w:r>
      <w:r>
        <w:rPr>
          <w:rFonts w:ascii="Arial" w:cs="Arial" w:eastAsia="Arial" w:hAnsi="Arial"/>
          <w:sz w:val="16"/>
          <w:szCs w:val="16"/>
          <w:color w:val="auto"/>
        </w:rPr>
        <w:t xml:space="preserve"> F</w:t>
      </w:r>
      <w:r>
        <w:rPr>
          <w:rFonts w:ascii="Arial" w:cs="Arial" w:eastAsia="Arial" w:hAnsi="Arial"/>
          <w:sz w:val="13"/>
          <w:szCs w:val="13"/>
          <w:color w:val="auto"/>
        </w:rPr>
        <w:t>UNDING</w:t>
      </w:r>
      <w:r>
        <w:rPr>
          <w:rFonts w:ascii="Arial" w:cs="Arial" w:eastAsia="Arial" w:hAnsi="Arial"/>
          <w:sz w:val="16"/>
          <w:szCs w:val="16"/>
          <w:color w:val="auto"/>
        </w:rPr>
        <w:t xml:space="preserve"> I, LLC, a Delaware limited liability company, as borrower (together with its permitted successors and assigns, the </w:t>
      </w:r>
      <w:r>
        <w:rPr>
          <w:rFonts w:ascii="Arial" w:cs="Arial" w:eastAsia="Arial" w:hAnsi="Arial"/>
          <w:sz w:val="16"/>
          <w:szCs w:val="16"/>
          <w:i w:val="1"/>
          <w:iCs w:val="1"/>
          <w:color w:val="auto"/>
        </w:rPr>
        <w:t>“Borrower”</w:t>
      </w:r>
      <w:r>
        <w:rPr>
          <w:rFonts w:ascii="Arial" w:cs="Arial" w:eastAsia="Arial" w:hAnsi="Arial"/>
          <w:sz w:val="16"/>
          <w:szCs w:val="16"/>
          <w:color w:val="auto"/>
        </w:rPr>
        <w:t>); P</w:t>
      </w:r>
      <w:r>
        <w:rPr>
          <w:rFonts w:ascii="Arial" w:cs="Arial" w:eastAsia="Arial" w:hAnsi="Arial"/>
          <w:sz w:val="13"/>
          <w:szCs w:val="13"/>
          <w:color w:val="auto"/>
        </w:rPr>
        <w:t>ENNANT</w:t>
      </w:r>
      <w:r>
        <w:rPr>
          <w:rFonts w:ascii="Arial" w:cs="Arial" w:eastAsia="Arial" w:hAnsi="Arial"/>
          <w:sz w:val="16"/>
          <w:szCs w:val="16"/>
          <w:color w:val="auto"/>
        </w:rPr>
        <w:t>P</w:t>
      </w:r>
      <w:r>
        <w:rPr>
          <w:rFonts w:ascii="Arial" w:cs="Arial" w:eastAsia="Arial" w:hAnsi="Arial"/>
          <w:sz w:val="13"/>
          <w:szCs w:val="13"/>
          <w:color w:val="auto"/>
        </w:rPr>
        <w:t>ARK</w:t>
      </w:r>
      <w:r>
        <w:rPr>
          <w:rFonts w:ascii="Arial" w:cs="Arial" w:eastAsia="Arial" w:hAnsi="Arial"/>
          <w:sz w:val="16"/>
          <w:szCs w:val="16"/>
          <w:color w:val="auto"/>
        </w:rPr>
        <w:t xml:space="preserve"> I</w:t>
      </w:r>
      <w:r>
        <w:rPr>
          <w:rFonts w:ascii="Arial" w:cs="Arial" w:eastAsia="Arial" w:hAnsi="Arial"/>
          <w:sz w:val="13"/>
          <w:szCs w:val="13"/>
          <w:color w:val="auto"/>
        </w:rPr>
        <w:t>NVESTMENT</w:t>
      </w:r>
      <w:r>
        <w:rPr>
          <w:rFonts w:ascii="Arial" w:cs="Arial" w:eastAsia="Arial" w:hAnsi="Arial"/>
          <w:sz w:val="16"/>
          <w:szCs w:val="16"/>
          <w:color w:val="auto"/>
        </w:rPr>
        <w:t xml:space="preserve"> A</w:t>
      </w:r>
      <w:r>
        <w:rPr>
          <w:rFonts w:ascii="Arial" w:cs="Arial" w:eastAsia="Arial" w:hAnsi="Arial"/>
          <w:sz w:val="13"/>
          <w:szCs w:val="13"/>
          <w:color w:val="auto"/>
        </w:rPr>
        <w:t>DVISERS</w:t>
      </w:r>
      <w:r>
        <w:rPr>
          <w:rFonts w:ascii="Arial" w:cs="Arial" w:eastAsia="Arial" w:hAnsi="Arial"/>
          <w:sz w:val="16"/>
          <w:szCs w:val="16"/>
          <w:color w:val="auto"/>
        </w:rPr>
        <w:t xml:space="preserve">, LLC, a Delaware limited liability company, as the collateral manager (together with its permitted successors and assigns, the </w:t>
      </w:r>
      <w:r>
        <w:rPr>
          <w:rFonts w:ascii="Arial" w:cs="Arial" w:eastAsia="Arial" w:hAnsi="Arial"/>
          <w:sz w:val="16"/>
          <w:szCs w:val="16"/>
          <w:i w:val="1"/>
          <w:iCs w:val="1"/>
          <w:color w:val="auto"/>
        </w:rPr>
        <w:t>“Collateral</w:t>
      </w:r>
      <w:r>
        <w:rPr>
          <w:rFonts w:ascii="Arial" w:cs="Arial" w:eastAsia="Arial" w:hAnsi="Arial"/>
          <w:sz w:val="16"/>
          <w:szCs w:val="16"/>
          <w:color w:val="auto"/>
        </w:rPr>
        <w:t xml:space="preserve"> </w:t>
      </w:r>
      <w:r>
        <w:rPr>
          <w:rFonts w:ascii="Arial" w:cs="Arial" w:eastAsia="Arial" w:hAnsi="Arial"/>
          <w:sz w:val="16"/>
          <w:szCs w:val="16"/>
          <w:i w:val="1"/>
          <w:iCs w:val="1"/>
          <w:color w:val="auto"/>
        </w:rPr>
        <w:t>Manager”</w:t>
      </w:r>
      <w:r>
        <w:rPr>
          <w:rFonts w:ascii="Arial" w:cs="Arial" w:eastAsia="Arial" w:hAnsi="Arial"/>
          <w:sz w:val="16"/>
          <w:szCs w:val="16"/>
          <w:color w:val="auto"/>
        </w:rPr>
        <w:t>), the Lenders from time to time party thereto; S</w:t>
      </w:r>
      <w:r>
        <w:rPr>
          <w:rFonts w:ascii="Arial" w:cs="Arial" w:eastAsia="Arial" w:hAnsi="Arial"/>
          <w:sz w:val="13"/>
          <w:szCs w:val="13"/>
          <w:color w:val="auto"/>
        </w:rPr>
        <w:t>UN</w:t>
      </w:r>
      <w:r>
        <w:rPr>
          <w:rFonts w:ascii="Arial" w:cs="Arial" w:eastAsia="Arial" w:hAnsi="Arial"/>
          <w:sz w:val="16"/>
          <w:szCs w:val="16"/>
          <w:color w:val="auto"/>
        </w:rPr>
        <w:t>T</w:t>
      </w:r>
      <w:r>
        <w:rPr>
          <w:rFonts w:ascii="Arial" w:cs="Arial" w:eastAsia="Arial" w:hAnsi="Arial"/>
          <w:sz w:val="13"/>
          <w:szCs w:val="13"/>
          <w:color w:val="auto"/>
        </w:rPr>
        <w:t>RUST</w:t>
      </w:r>
      <w:r>
        <w:rPr>
          <w:rFonts w:ascii="Arial" w:cs="Arial" w:eastAsia="Arial" w:hAnsi="Arial"/>
          <w:sz w:val="16"/>
          <w:szCs w:val="16"/>
          <w:i w:val="1"/>
          <w:iCs w:val="1"/>
          <w:color w:val="auto"/>
        </w:rPr>
        <w:t xml:space="preserve"> </w:t>
      </w:r>
      <w:r>
        <w:rPr>
          <w:rFonts w:ascii="Arial" w:cs="Arial" w:eastAsia="Arial" w:hAnsi="Arial"/>
          <w:sz w:val="16"/>
          <w:szCs w:val="16"/>
          <w:color w:val="auto"/>
        </w:rPr>
        <w:t>B</w:t>
      </w:r>
      <w:r>
        <w:rPr>
          <w:rFonts w:ascii="Arial" w:cs="Arial" w:eastAsia="Arial" w:hAnsi="Arial"/>
          <w:sz w:val="13"/>
          <w:szCs w:val="13"/>
          <w:color w:val="auto"/>
        </w:rPr>
        <w:t>ANK</w:t>
      </w:r>
      <w:r>
        <w:rPr>
          <w:rFonts w:ascii="Arial" w:cs="Arial" w:eastAsia="Arial" w:hAnsi="Arial"/>
          <w:sz w:val="16"/>
          <w:szCs w:val="16"/>
          <w:color w:val="auto"/>
        </w:rPr>
        <w:t>, as administrative agent (in such capacity, together with its successors and assigns,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“Administrative Agent”</w:t>
      </w:r>
      <w:r>
        <w:rPr>
          <w:rFonts w:ascii="Arial" w:cs="Arial" w:eastAsia="Arial" w:hAnsi="Arial"/>
          <w:sz w:val="16"/>
          <w:szCs w:val="16"/>
          <w:color w:val="auto"/>
        </w:rPr>
        <w:t>), U.S. Bank National Association, as collateral agent, U.S. Bank National Association, as custodian, U.S. Bank National Association, as Collateral Administrator, U.S. Bank National Association, as backup collateral manager.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 xml:space="preserve">The undersigned, PennantPark Floating Rate Funding I, LLC, a Delaware limited liability company (the </w:t>
      </w:r>
      <w:r>
        <w:rPr>
          <w:rFonts w:ascii="Arial" w:cs="Arial" w:eastAsia="Arial" w:hAnsi="Arial"/>
          <w:sz w:val="18"/>
          <w:szCs w:val="18"/>
          <w:i w:val="1"/>
          <w:iCs w:val="1"/>
          <w:color w:val="auto"/>
        </w:rPr>
        <w:t>“Borrower”</w:t>
      </w:r>
      <w:r>
        <w:rPr>
          <w:rFonts w:ascii="Arial" w:cs="Arial" w:eastAsia="Arial" w:hAnsi="Arial"/>
          <w:sz w:val="18"/>
          <w:szCs w:val="18"/>
          <w:color w:val="auto"/>
        </w:rPr>
        <w:t xml:space="preserve">) hereby refers to the Credit Agreement and requests that the Administrative Agent consent to an increase in the Facility Amount (the </w:t>
      </w:r>
      <w:r>
        <w:rPr>
          <w:rFonts w:ascii="Arial" w:cs="Arial" w:eastAsia="Arial" w:hAnsi="Arial"/>
          <w:sz w:val="18"/>
          <w:szCs w:val="18"/>
          <w:i w:val="1"/>
          <w:iCs w:val="1"/>
          <w:color w:val="auto"/>
        </w:rPr>
        <w:t>“Facility Amount Increase”</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of the Credit Agreement, to be effected by </w:t>
      </w:r>
      <w:r>
        <w:rPr>
          <w:rFonts w:ascii="Arial" w:cs="Arial" w:eastAsia="Arial" w:hAnsi="Arial"/>
          <w:sz w:val="18"/>
          <w:szCs w:val="18"/>
          <w:b w:val="1"/>
          <w:bCs w:val="1"/>
          <w:color w:val="auto"/>
        </w:rPr>
        <w:t>[an increase in the Commitment of [name of existing Lender] [the addition of [name of new</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Lender] (the </w:t>
      </w:r>
      <w:r>
        <w:rPr>
          <w:rFonts w:ascii="Arial" w:cs="Arial" w:eastAsia="Arial" w:hAnsi="Arial"/>
          <w:sz w:val="18"/>
          <w:szCs w:val="18"/>
          <w:b w:val="1"/>
          <w:bCs w:val="1"/>
          <w:i w:val="1"/>
          <w:iCs w:val="1"/>
          <w:color w:val="auto"/>
        </w:rPr>
        <w:t>“New Lender”</w:t>
      </w:r>
      <w:r>
        <w:rPr>
          <w:rFonts w:ascii="Arial" w:cs="Arial" w:eastAsia="Arial" w:hAnsi="Arial"/>
          <w:sz w:val="18"/>
          <w:szCs w:val="18"/>
          <w:b w:val="1"/>
          <w:bCs w:val="1"/>
          <w:color w:val="auto"/>
        </w:rPr>
        <w:t>) as a Lender under the terms of the Credit Agreement]</w:t>
      </w:r>
      <w:r>
        <w:rPr>
          <w:rFonts w:ascii="Arial" w:cs="Arial" w:eastAsia="Arial" w:hAnsi="Arial"/>
          <w:sz w:val="18"/>
          <w:szCs w:val="18"/>
          <w:color w:val="auto"/>
        </w:rPr>
        <w:t>. Capitalized terms used herein without definition shall have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herein as such terms have in the Credit Agreement.</w:t>
      </w:r>
    </w:p>
    <w:p>
      <w:pPr>
        <w:spacing w:after="0" w:line="141" w:lineRule="exact"/>
        <w:rPr>
          <w:sz w:val="20"/>
          <w:szCs w:val="20"/>
          <w:color w:val="auto"/>
        </w:rPr>
      </w:pPr>
    </w:p>
    <w:p>
      <w:pPr>
        <w:ind w:left="460"/>
        <w:spacing w:after="0"/>
        <w:tabs>
          <w:tab w:leader="none" w:pos="9220" w:val="left"/>
        </w:tabs>
        <w:rPr>
          <w:sz w:val="20"/>
          <w:szCs w:val="20"/>
          <w:color w:val="auto"/>
        </w:rPr>
      </w:pPr>
      <w:r>
        <w:rPr>
          <w:rFonts w:ascii="Arial" w:cs="Arial" w:eastAsia="Arial" w:hAnsi="Arial"/>
          <w:sz w:val="18"/>
          <w:szCs w:val="18"/>
          <w:color w:val="auto"/>
        </w:rPr>
        <w:t xml:space="preserve">After giving effect to such Facility Amount Increase, the Commitment of the </w:t>
      </w:r>
      <w:r>
        <w:rPr>
          <w:rFonts w:ascii="Arial" w:cs="Arial" w:eastAsia="Arial" w:hAnsi="Arial"/>
          <w:sz w:val="18"/>
          <w:szCs w:val="18"/>
          <w:b w:val="1"/>
          <w:bCs w:val="1"/>
          <w:color w:val="auto"/>
        </w:rPr>
        <w:t>[Lender] [New Lender]</w:t>
      </w:r>
      <w:r>
        <w:rPr>
          <w:rFonts w:ascii="Arial" w:cs="Arial" w:eastAsia="Arial" w:hAnsi="Arial"/>
          <w:sz w:val="18"/>
          <w:szCs w:val="18"/>
          <w:color w:val="auto"/>
        </w:rPr>
        <w:t xml:space="preserve"> shall be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5307965</wp:posOffset>
            </wp:positionH>
            <wp:positionV relativeFrom="paragraph">
              <wp:posOffset>-10160</wp:posOffset>
            </wp:positionV>
            <wp:extent cx="5575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[Include paragraphs 1-4 for a New Lender]</w:t>
      </w:r>
    </w:p>
    <w:p>
      <w:pPr>
        <w:spacing w:after="0" w:line="177" w:lineRule="exact"/>
        <w:rPr>
          <w:sz w:val="20"/>
          <w:szCs w:val="20"/>
          <w:color w:val="auto"/>
        </w:rPr>
      </w:pPr>
    </w:p>
    <w:p>
      <w:pPr>
        <w:ind w:firstLine="457"/>
        <w:spacing w:after="0" w:line="290" w:lineRule="auto"/>
        <w:tabs>
          <w:tab w:leader="none" w:pos="62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New Lender hereby confirms that it has received a copy of the Facility Documents and the exhibits related thereto, together with copies of the documents which were required to be delivered under the Credit Agreement as a condition to the making of the Advances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Facility Document or with respect to the legality, validity, sufficiency or enforceability of the Credit Agreement or any other Facility Document or the value of any security therefor.</w:t>
      </w:r>
    </w:p>
    <w:p>
      <w:pPr>
        <w:sectPr>
          <w:pgSz w:w="11900" w:h="16838" w:orient="portrait"/>
          <w:cols w:equalWidth="0" w:num="1">
            <w:col w:w="11220"/>
          </w:cols>
          <w:pgMar w:left="320" w:top="274" w:right="359" w:bottom="1440" w:gutter="0" w:footer="0" w:header="0"/>
        </w:sectPr>
      </w:pPr>
    </w:p>
    <w:bookmarkStart w:id="222" w:name="page223"/>
    <w:bookmarkEnd w:id="222"/>
    <w:p>
      <w:pPr>
        <w:ind w:left="640" w:hanging="183"/>
        <w:spacing w:after="0"/>
        <w:tabs>
          <w:tab w:leader="none" w:pos="640" w:val="left"/>
        </w:tabs>
        <w:numPr>
          <w:ilvl w:val="1"/>
          <w:numId w:val="2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 as otherwise provided in the Credit Agreement, effective as of the date of acceptance hereof by the Administrative Agent, the New Lender</w:t>
      </w:r>
    </w:p>
    <w:p>
      <w:pPr>
        <w:spacing w:after="0" w:line="38" w:lineRule="exact"/>
        <w:rPr>
          <w:rFonts w:ascii="Arial" w:cs="Arial" w:eastAsia="Arial" w:hAnsi="Arial"/>
          <w:sz w:val="16"/>
          <w:szCs w:val="16"/>
          <w:color w:val="auto"/>
        </w:rPr>
      </w:pPr>
    </w:p>
    <w:p>
      <w:pPr>
        <w:ind w:right="120" w:firstLine="8"/>
        <w:spacing w:after="0" w:line="255" w:lineRule="auto"/>
        <w:tabs>
          <w:tab w:leader="none" w:pos="21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shall be deemed automatically to have become a party to the Credit Agreement and have all the rights and obligations of a </w:t>
      </w:r>
      <w:r>
        <w:rPr>
          <w:rFonts w:ascii="Arial" w:cs="Arial" w:eastAsia="Arial" w:hAnsi="Arial"/>
          <w:sz w:val="18"/>
          <w:szCs w:val="18"/>
          <w:i w:val="1"/>
          <w:iCs w:val="1"/>
          <w:color w:val="auto"/>
        </w:rPr>
        <w:t>“Lender”</w:t>
      </w:r>
      <w:r>
        <w:rPr>
          <w:rFonts w:ascii="Arial" w:cs="Arial" w:eastAsia="Arial" w:hAnsi="Arial"/>
          <w:sz w:val="18"/>
          <w:szCs w:val="18"/>
          <w:color w:val="auto"/>
        </w:rPr>
        <w:t xml:space="preserve"> under the Credit Agreement as if it were an original signatory thereto and (ii) agrees to be bound by the terms and conditions set forth in the Credit Agreement as if it were an original signatory thereto.</w:t>
      </w:r>
    </w:p>
    <w:p>
      <w:pPr>
        <w:spacing w:after="0" w:line="143" w:lineRule="exact"/>
        <w:rPr>
          <w:rFonts w:ascii="Arial" w:cs="Arial" w:eastAsia="Arial" w:hAnsi="Arial"/>
          <w:sz w:val="18"/>
          <w:szCs w:val="18"/>
          <w:color w:val="auto"/>
        </w:rPr>
      </w:pPr>
    </w:p>
    <w:p>
      <w:pPr>
        <w:ind w:right="220" w:firstLine="457"/>
        <w:spacing w:after="0" w:line="268" w:lineRule="auto"/>
        <w:tabs>
          <w:tab w:leader="none" w:pos="62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New Lender shall deliver to the Administrative Agent such information and shall complete such forms as are reasonably requested of the New Lender by the Administrative Agent.</w:t>
      </w:r>
    </w:p>
    <w:p>
      <w:pPr>
        <w:spacing w:after="0" w:line="126" w:lineRule="exact"/>
        <w:rPr>
          <w:sz w:val="20"/>
          <w:szCs w:val="20"/>
          <w:color w:val="auto"/>
        </w:rPr>
      </w:pPr>
    </w:p>
    <w:p>
      <w:pPr>
        <w:ind w:right="440" w:firstLine="449"/>
        <w:spacing w:after="0" w:line="339" w:lineRule="auto"/>
        <w:rPr>
          <w:sz w:val="20"/>
          <w:szCs w:val="20"/>
          <w:color w:val="auto"/>
        </w:rPr>
      </w:pPr>
      <w:r>
        <w:rPr>
          <w:rFonts w:ascii="Arial" w:cs="Arial" w:eastAsia="Arial" w:hAnsi="Arial"/>
          <w:sz w:val="16"/>
          <w:szCs w:val="16"/>
          <w:b w:val="1"/>
          <w:bCs w:val="1"/>
          <w:color w:val="auto"/>
        </w:rPr>
        <w:t xml:space="preserve">[4. The New Lender has delivered, if appropriate, to the Borrower and the Administrative Agent (or is delivering to the Borrower and the Administrative Agent concurrently herewith) the tax forms referred to in </w:t>
      </w:r>
      <w:r>
        <w:rPr>
          <w:rFonts w:ascii="Arial" w:cs="Arial" w:eastAsia="Arial" w:hAnsi="Arial"/>
          <w:sz w:val="16"/>
          <w:szCs w:val="16"/>
          <w:b w:val="1"/>
          <w:bCs w:val="1"/>
          <w:u w:val="single" w:color="auto"/>
          <w:color w:val="auto"/>
        </w:rPr>
        <w:t>Section 15.03</w:t>
      </w:r>
      <w:r>
        <w:rPr>
          <w:rFonts w:ascii="Arial" w:cs="Arial" w:eastAsia="Arial" w:hAnsi="Arial"/>
          <w:sz w:val="16"/>
          <w:szCs w:val="16"/>
          <w:b w:val="1"/>
          <w:bCs w:val="1"/>
          <w:color w:val="auto"/>
        </w:rPr>
        <w:t xml:space="preserve"> of the Credit Agreement.]*</w:t>
      </w:r>
    </w:p>
    <w:p>
      <w:pPr>
        <w:spacing w:after="0" w:line="80"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HIS</w:t>
      </w:r>
      <w:r>
        <w:rPr>
          <w:rFonts w:ascii="Arial" w:cs="Arial" w:eastAsia="Arial" w:hAnsi="Arial"/>
          <w:sz w:val="18"/>
          <w:szCs w:val="18"/>
          <w:color w:val="auto"/>
        </w:rPr>
        <w:t xml:space="preserve"> A</w:t>
      </w:r>
      <w:r>
        <w:rPr>
          <w:rFonts w:ascii="Arial" w:cs="Arial" w:eastAsia="Arial" w:hAnsi="Arial"/>
          <w:sz w:val="14"/>
          <w:szCs w:val="14"/>
          <w:color w:val="auto"/>
        </w:rPr>
        <w:t>GREEMENT SHALL BE DEEMED TO BE A CONTRACTUAL OBLIGATION UNDER</w:t>
      </w:r>
      <w:r>
        <w:rPr>
          <w:rFonts w:ascii="Arial" w:cs="Arial" w:eastAsia="Arial" w:hAnsi="Arial"/>
          <w:sz w:val="18"/>
          <w:szCs w:val="18"/>
          <w:color w:val="auto"/>
        </w:rPr>
        <w:t xml:space="preserve">, </w:t>
      </w:r>
      <w:r>
        <w:rPr>
          <w:rFonts w:ascii="Arial" w:cs="Arial" w:eastAsia="Arial" w:hAnsi="Arial"/>
          <w:sz w:val="14"/>
          <w:szCs w:val="14"/>
          <w:color w:val="auto"/>
        </w:rPr>
        <w:t>AND SHALL BE GOVERNED BY AND CONSTRUED IN ACCORDANCE</w:t>
      </w:r>
      <w:r>
        <w:rPr>
          <w:rFonts w:ascii="Arial" w:cs="Arial" w:eastAsia="Arial" w:hAnsi="Arial"/>
          <w:sz w:val="18"/>
          <w:szCs w:val="18"/>
          <w:color w:val="auto"/>
        </w:rPr>
        <w:t xml:space="preserve"> </w:t>
      </w:r>
      <w:r>
        <w:rPr>
          <w:rFonts w:ascii="Arial" w:cs="Arial" w:eastAsia="Arial" w:hAnsi="Arial"/>
          <w:sz w:val="14"/>
          <w:szCs w:val="14"/>
          <w:color w:val="auto"/>
        </w:rPr>
        <w:t>WITH</w:t>
      </w:r>
      <w:r>
        <w:rPr>
          <w:rFonts w:ascii="Arial" w:cs="Arial" w:eastAsia="Arial" w:hAnsi="Arial"/>
          <w:sz w:val="17"/>
          <w:szCs w:val="17"/>
          <w:color w:val="auto"/>
        </w:rPr>
        <w:t>,</w:t>
      </w:r>
      <w:r>
        <w:rPr>
          <w:rFonts w:ascii="Arial" w:cs="Arial" w:eastAsia="Arial" w:hAnsi="Arial"/>
          <w:sz w:val="14"/>
          <w:szCs w:val="14"/>
          <w:color w:val="auto"/>
        </w:rPr>
        <w:t xml:space="preserve"> THE LAWS OF THE STATE OF </w:t>
      </w:r>
      <w:r>
        <w:rPr>
          <w:rFonts w:ascii="Arial" w:cs="Arial" w:eastAsia="Arial" w:hAnsi="Arial"/>
          <w:sz w:val="17"/>
          <w:szCs w:val="17"/>
          <w:color w:val="auto"/>
        </w:rPr>
        <w:t>N</w:t>
      </w:r>
      <w:r>
        <w:rPr>
          <w:rFonts w:ascii="Arial" w:cs="Arial" w:eastAsia="Arial" w:hAnsi="Arial"/>
          <w:sz w:val="14"/>
          <w:szCs w:val="14"/>
          <w:color w:val="auto"/>
        </w:rPr>
        <w:t xml:space="preserve">EW </w:t>
      </w:r>
      <w:r>
        <w:rPr>
          <w:rFonts w:ascii="Arial" w:cs="Arial" w:eastAsia="Arial" w:hAnsi="Arial"/>
          <w:sz w:val="17"/>
          <w:szCs w:val="17"/>
          <w:color w:val="auto"/>
        </w:rPr>
        <w:t>Y</w:t>
      </w:r>
      <w:r>
        <w:rPr>
          <w:rFonts w:ascii="Arial" w:cs="Arial" w:eastAsia="Arial" w:hAnsi="Arial"/>
          <w:sz w:val="14"/>
          <w:szCs w:val="14"/>
          <w:color w:val="auto"/>
        </w:rPr>
        <w:t>ORK</w:t>
      </w:r>
      <w:r>
        <w:rPr>
          <w:rFonts w:ascii="Arial" w:cs="Arial" w:eastAsia="Arial" w:hAnsi="Arial"/>
          <w:sz w:val="17"/>
          <w:szCs w:val="17"/>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Facility Amount Increase shall be effective when the executed consent of the Administrative Agent is received or otherwise in accordance with</w:t>
      </w:r>
    </w:p>
    <w:p>
      <w:pPr>
        <w:spacing w:after="0" w:line="38"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of the Credit Agreement, but not in any case prior to , 201__. It shall be a condition to the effectiveness of the Facility Amount Increase that all expenses referred to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of the Credit Agreement shall have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-171450</wp:posOffset>
            </wp:positionV>
            <wp:extent cx="5575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hereby certifies that no Default or Event of Default has occurred and is continuing.</w:t>
      </w:r>
    </w:p>
    <w:p>
      <w:pPr>
        <w:spacing w:after="0" w:line="171"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Please indicate the Administrative Agent’s consent to such Facility Amount Increase by signing the enclosed copy of this letter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ind w:left="5520" w:right="860" w:hanging="5512"/>
        <w:spacing w:after="0" w:line="440" w:lineRule="auto"/>
        <w:tabs>
          <w:tab w:leader="none" w:pos="22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Insert bracketed paragraph if New Lender is organized under the law of a jurisdiction other than the United States of America or a state thereof. -2-</w:t>
      </w:r>
    </w:p>
    <w:p>
      <w:pPr>
        <w:sectPr>
          <w:pgSz w:w="11900" w:h="16838" w:orient="portrait"/>
          <w:cols w:equalWidth="0" w:num="1">
            <w:col w:w="11160"/>
          </w:cols>
          <w:pgMar w:left="320" w:top="280" w:right="419" w:bottom="1440" w:gutter="0" w:footer="0" w:header="0"/>
        </w:sectPr>
      </w:pPr>
    </w:p>
    <w:bookmarkStart w:id="223" w:name="page224"/>
    <w:bookmarkEnd w:id="223"/>
    <w:p>
      <w:pPr>
        <w:ind w:left="6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ENNANT</w:t>
      </w:r>
      <w:r>
        <w:rPr>
          <w:rFonts w:ascii="Arial" w:cs="Arial" w:eastAsia="Arial" w:hAnsi="Arial"/>
          <w:sz w:val="16"/>
          <w:szCs w:val="16"/>
          <w:color w:val="auto"/>
        </w:rPr>
        <w:t>P</w:t>
      </w:r>
      <w:r>
        <w:rPr>
          <w:rFonts w:ascii="Arial" w:cs="Arial" w:eastAsia="Arial" w:hAnsi="Arial"/>
          <w:sz w:val="13"/>
          <w:szCs w:val="13"/>
          <w:color w:val="auto"/>
        </w:rPr>
        <w:t>ARK</w:t>
      </w:r>
      <w:r>
        <w:rPr>
          <w:rFonts w:ascii="Arial" w:cs="Arial" w:eastAsia="Arial" w:hAnsi="Arial"/>
          <w:sz w:val="16"/>
          <w:szCs w:val="16"/>
          <w:color w:val="auto"/>
        </w:rPr>
        <w:t xml:space="preserve"> F</w:t>
      </w:r>
      <w:r>
        <w:rPr>
          <w:rFonts w:ascii="Arial" w:cs="Arial" w:eastAsia="Arial" w:hAnsi="Arial"/>
          <w:sz w:val="13"/>
          <w:szCs w:val="13"/>
          <w:color w:val="auto"/>
        </w:rPr>
        <w:t>LOATING</w:t>
      </w:r>
      <w:r>
        <w:rPr>
          <w:rFonts w:ascii="Arial" w:cs="Arial" w:eastAsia="Arial" w:hAnsi="Arial"/>
          <w:sz w:val="16"/>
          <w:szCs w:val="16"/>
          <w:color w:val="auto"/>
        </w:rPr>
        <w:t xml:space="preserve"> R</w:t>
      </w:r>
      <w:r>
        <w:rPr>
          <w:rFonts w:ascii="Arial" w:cs="Arial" w:eastAsia="Arial" w:hAnsi="Arial"/>
          <w:sz w:val="13"/>
          <w:szCs w:val="13"/>
          <w:color w:val="auto"/>
        </w:rPr>
        <w:t>ATE</w:t>
      </w:r>
      <w:r>
        <w:rPr>
          <w:rFonts w:ascii="Arial" w:cs="Arial" w:eastAsia="Arial" w:hAnsi="Arial"/>
          <w:sz w:val="16"/>
          <w:szCs w:val="16"/>
          <w:color w:val="auto"/>
        </w:rPr>
        <w:t xml:space="preserve"> F</w:t>
      </w:r>
      <w:r>
        <w:rPr>
          <w:rFonts w:ascii="Arial" w:cs="Arial" w:eastAsia="Arial" w:hAnsi="Arial"/>
          <w:sz w:val="13"/>
          <w:szCs w:val="13"/>
          <w:color w:val="auto"/>
        </w:rPr>
        <w:t>UNDING</w:t>
      </w:r>
      <w:r>
        <w:rPr>
          <w:rFonts w:ascii="Arial" w:cs="Arial" w:eastAsia="Arial" w:hAnsi="Arial"/>
          <w:sz w:val="16"/>
          <w:szCs w:val="16"/>
          <w:color w:val="auto"/>
        </w:rPr>
        <w:t xml:space="preserve"> I, LLC</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10795</wp:posOffset>
            </wp:positionV>
            <wp:extent cx="27000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6985</wp:posOffset>
            </wp:positionV>
            <wp:extent cx="23571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-129540</wp:posOffset>
            </wp:positionV>
            <wp:extent cx="23571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 OR EXISTING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NCREASING</w:t>
      </w:r>
    </w:p>
    <w:p>
      <w:pPr>
        <w:spacing w:after="0" w:line="21"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w:t>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10795</wp:posOffset>
            </wp:positionV>
            <wp:extent cx="27000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6985</wp:posOffset>
            </wp:positionV>
            <wp:extent cx="23571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-129540</wp:posOffset>
            </wp:positionV>
            <wp:extent cx="23571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99"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The undersigned hereby consents on this</w:t>
      </w:r>
      <w:r>
        <w:rPr>
          <w:sz w:val="20"/>
          <w:szCs w:val="20"/>
          <w:color w:val="auto"/>
        </w:rPr>
        <w:tab/>
      </w: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1849755</wp:posOffset>
            </wp:positionH>
            <wp:positionV relativeFrom="paragraph">
              <wp:posOffset>-13970</wp:posOffset>
            </wp:positionV>
            <wp:extent cx="22288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ind w:left="1540" w:hanging="655"/>
        <w:spacing w:after="0"/>
        <w:tabs>
          <w:tab w:leader="none" w:pos="1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the above-requested Facility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474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Increase.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10795</wp:posOffset>
            </wp:positionV>
            <wp:extent cx="27000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6985</wp:posOffset>
            </wp:positionV>
            <wp:extent cx="23831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-129540</wp:posOffset>
            </wp:positionV>
            <wp:extent cx="23831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4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00"/>
          </w:cols>
          <w:pgMar w:left="320" w:top="280" w:right="1279" w:bottom="1440" w:gutter="0" w:footer="0" w:header="0"/>
        </w:sectPr>
      </w:pPr>
    </w:p>
    <w:bookmarkStart w:id="224" w:name="page225"/>
    <w:bookmarkEnd w:id="2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ELEASE OF</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NDERLYING</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40" w:type="dxa"/>
            <w:vAlign w:val="bottom"/>
          </w:tcPr>
          <w:p>
            <w:pPr>
              <w:spacing w:after="0"/>
              <w:rPr>
                <w:sz w:val="20"/>
                <w:szCs w:val="20"/>
                <w:color w:val="auto"/>
              </w:rPr>
            </w:pPr>
            <w:r>
              <w:rPr>
                <w:rFonts w:ascii="Arial" w:cs="Arial" w:eastAsia="Arial" w:hAnsi="Arial"/>
                <w:sz w:val="18"/>
                <w:szCs w:val="18"/>
                <w:b w:val="1"/>
                <w:bCs w:val="1"/>
                <w:color w:val="auto"/>
              </w:rPr>
              <w:t>[Delivery Date]</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40"/>
        </w:trPr>
        <w:tc>
          <w:tcPr>
            <w:tcW w:w="1540" w:type="dxa"/>
            <w:vAlign w:val="bottom"/>
          </w:tcPr>
          <w:p>
            <w:pPr>
              <w:spacing w:after="0"/>
              <w:rPr>
                <w:sz w:val="20"/>
                <w:szCs w:val="20"/>
                <w:color w:val="auto"/>
              </w:rPr>
            </w:pPr>
            <w:r>
              <w:rPr>
                <w:rFonts w:ascii="Arial" w:cs="Arial" w:eastAsia="Arial" w:hAnsi="Arial"/>
                <w:sz w:val="18"/>
                <w:szCs w:val="18"/>
                <w:color w:val="auto"/>
              </w:rPr>
              <w:t>BY FACSIMILE: (</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r>
      <w:tr>
        <w:trPr>
          <w:trHeight w:val="228"/>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_______________</w:t>
            </w:r>
          </w:p>
        </w:tc>
        <w:tc>
          <w:tcPr>
            <w:tcW w:w="2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_______________</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_______________</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1540" w:type="dxa"/>
            <w:vAlign w:val="bottom"/>
          </w:tcPr>
          <w:p>
            <w:pPr>
              <w:spacing w:after="0"/>
              <w:rPr>
                <w:sz w:val="20"/>
                <w:szCs w:val="20"/>
                <w:color w:val="auto"/>
              </w:rPr>
            </w:pPr>
            <w:r>
              <w:rPr>
                <w:rFonts w:ascii="Arial" w:cs="Arial" w:eastAsia="Arial" w:hAnsi="Arial"/>
                <w:sz w:val="18"/>
                <w:szCs w:val="18"/>
                <w:color w:val="auto"/>
              </w:rPr>
              <w:t>_______________</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Attention: ___________________</w:t>
      </w:r>
    </w:p>
    <w:p>
      <w:pPr>
        <w:spacing w:after="0" w:line="84" w:lineRule="exact"/>
        <w:rPr>
          <w:sz w:val="20"/>
          <w:szCs w:val="20"/>
          <w:color w:val="auto"/>
        </w:rPr>
      </w:pPr>
    </w:p>
    <w:p>
      <w:pPr>
        <w:ind w:left="460" w:hanging="459"/>
        <w:spacing w:after="0" w:line="288" w:lineRule="auto"/>
        <w:tabs>
          <w:tab w:leader="none" w:pos="440" w:val="left"/>
        </w:tabs>
        <w:rPr>
          <w:sz w:val="20"/>
          <w:szCs w:val="20"/>
          <w:color w:val="auto"/>
        </w:rPr>
      </w:pPr>
      <w:r>
        <w:rPr>
          <w:rFonts w:ascii="Arial" w:cs="Arial" w:eastAsia="Arial" w:hAnsi="Arial"/>
          <w:sz w:val="16"/>
          <w:szCs w:val="16"/>
          <w:color w:val="auto"/>
        </w:rPr>
        <w:t>Re:</w:t>
        <w:tab/>
        <w:t>Amended and Restated Revolving Credit and Security Agreement dated as of May 14, 2012 (as extended, renewed, amended or restated from time to time, the “</w:t>
      </w:r>
      <w:r>
        <w:rPr>
          <w:rFonts w:ascii="Arial" w:cs="Arial" w:eastAsia="Arial" w:hAnsi="Arial"/>
          <w:sz w:val="16"/>
          <w:szCs w:val="16"/>
          <w:i w:val="1"/>
          <w:iCs w:val="1"/>
          <w:color w:val="auto"/>
        </w:rPr>
        <w:t>Credit Agreement</w:t>
      </w:r>
      <w:r>
        <w:rPr>
          <w:rFonts w:ascii="Arial" w:cs="Arial" w:eastAsia="Arial" w:hAnsi="Arial"/>
          <w:sz w:val="16"/>
          <w:szCs w:val="16"/>
          <w:color w:val="auto"/>
        </w:rPr>
        <w:t>”), among PennantPark Floating Rate Funding I, LLC, a Delaware limited liability company, as borrower (together with its permitted successors and assigns, the “</w:t>
      </w:r>
      <w:r>
        <w:rPr>
          <w:rFonts w:ascii="Arial" w:cs="Arial" w:eastAsia="Arial" w:hAnsi="Arial"/>
          <w:sz w:val="16"/>
          <w:szCs w:val="16"/>
          <w:i w:val="1"/>
          <w:iCs w:val="1"/>
          <w:color w:val="auto"/>
        </w:rPr>
        <w:t>Borrower</w:t>
      </w:r>
      <w:r>
        <w:rPr>
          <w:rFonts w:ascii="Arial" w:cs="Arial" w:eastAsia="Arial" w:hAnsi="Arial"/>
          <w:sz w:val="16"/>
          <w:szCs w:val="16"/>
          <w:color w:val="auto"/>
        </w:rPr>
        <w:t>”); PennantPark Investment Advisers, LLC, a Delaware limited liability company, as the collateral manager (together with its permitted successors and assigns, the “</w:t>
      </w:r>
      <w:r>
        <w:rPr>
          <w:rFonts w:ascii="Arial" w:cs="Arial" w:eastAsia="Arial" w:hAnsi="Arial"/>
          <w:sz w:val="16"/>
          <w:szCs w:val="16"/>
          <w:i w:val="1"/>
          <w:iCs w:val="1"/>
          <w:color w:val="auto"/>
        </w:rPr>
        <w:t>Collateral Manager</w:t>
      </w:r>
      <w:r>
        <w:rPr>
          <w:rFonts w:ascii="Arial" w:cs="Arial" w:eastAsia="Arial" w:hAnsi="Arial"/>
          <w:sz w:val="16"/>
          <w:szCs w:val="16"/>
          <w:color w:val="auto"/>
        </w:rPr>
        <w:t>”), the Lenders from time to time party thereto; SunTrust Bank, as administrative agent (in such 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U.S. B</w:t>
      </w:r>
      <w:r>
        <w:rPr>
          <w:rFonts w:ascii="Arial" w:cs="Arial" w:eastAsia="Arial" w:hAnsi="Arial"/>
          <w:sz w:val="13"/>
          <w:szCs w:val="13"/>
          <w:color w:val="auto"/>
        </w:rPr>
        <w:t>ANK</w:t>
      </w:r>
      <w:r>
        <w:rPr>
          <w:rFonts w:ascii="Arial" w:cs="Arial" w:eastAsia="Arial" w:hAnsi="Arial"/>
          <w:sz w:val="16"/>
          <w:szCs w:val="16"/>
          <w:color w:val="auto"/>
        </w:rPr>
        <w:t xml:space="preserve"> N</w:t>
      </w:r>
      <w:r>
        <w:rPr>
          <w:rFonts w:ascii="Arial" w:cs="Arial" w:eastAsia="Arial" w:hAnsi="Arial"/>
          <w:sz w:val="13"/>
          <w:szCs w:val="13"/>
          <w:color w:val="auto"/>
        </w:rPr>
        <w:t>ATIONAL</w:t>
      </w:r>
      <w:r>
        <w:rPr>
          <w:rFonts w:ascii="Arial" w:cs="Arial" w:eastAsia="Arial" w:hAnsi="Arial"/>
          <w:sz w:val="16"/>
          <w:szCs w:val="16"/>
          <w:color w:val="auto"/>
        </w:rPr>
        <w:t xml:space="preserve"> A</w:t>
      </w:r>
      <w:r>
        <w:rPr>
          <w:rFonts w:ascii="Arial" w:cs="Arial" w:eastAsia="Arial" w:hAnsi="Arial"/>
          <w:sz w:val="13"/>
          <w:szCs w:val="13"/>
          <w:color w:val="auto"/>
        </w:rPr>
        <w:t>SSOCIATION</w:t>
      </w:r>
      <w:r>
        <w:rPr>
          <w:rFonts w:ascii="Arial" w:cs="Arial" w:eastAsia="Arial" w:hAnsi="Arial"/>
          <w:sz w:val="16"/>
          <w:szCs w:val="16"/>
          <w:color w:val="auto"/>
        </w:rPr>
        <w:t>, as collateral agent (in such capacity, together with its successors and assigns, the “</w:t>
      </w:r>
      <w:r>
        <w:rPr>
          <w:rFonts w:ascii="Arial" w:cs="Arial" w:eastAsia="Arial" w:hAnsi="Arial"/>
          <w:sz w:val="16"/>
          <w:szCs w:val="16"/>
          <w:i w:val="1"/>
          <w:iCs w:val="1"/>
          <w:color w:val="auto"/>
        </w:rPr>
        <w:t>Collateral Agent</w:t>
      </w:r>
      <w:r>
        <w:rPr>
          <w:rFonts w:ascii="Arial" w:cs="Arial" w:eastAsia="Arial" w:hAnsi="Arial"/>
          <w:sz w:val="16"/>
          <w:szCs w:val="16"/>
          <w:color w:val="auto"/>
        </w:rPr>
        <w:t>”), U.S. B</w:t>
      </w:r>
      <w:r>
        <w:rPr>
          <w:rFonts w:ascii="Arial" w:cs="Arial" w:eastAsia="Arial" w:hAnsi="Arial"/>
          <w:sz w:val="13"/>
          <w:szCs w:val="13"/>
          <w:color w:val="auto"/>
        </w:rPr>
        <w:t>ANK</w:t>
      </w:r>
      <w:r>
        <w:rPr>
          <w:rFonts w:ascii="Arial" w:cs="Arial" w:eastAsia="Arial" w:hAnsi="Arial"/>
          <w:sz w:val="16"/>
          <w:szCs w:val="16"/>
          <w:color w:val="auto"/>
        </w:rPr>
        <w:t xml:space="preserve"> N</w:t>
      </w:r>
      <w:r>
        <w:rPr>
          <w:rFonts w:ascii="Arial" w:cs="Arial" w:eastAsia="Arial" w:hAnsi="Arial"/>
          <w:sz w:val="13"/>
          <w:szCs w:val="13"/>
          <w:color w:val="auto"/>
        </w:rPr>
        <w:t>ATIONAL</w:t>
      </w:r>
      <w:r>
        <w:rPr>
          <w:rFonts w:ascii="Arial" w:cs="Arial" w:eastAsia="Arial" w:hAnsi="Arial"/>
          <w:sz w:val="16"/>
          <w:szCs w:val="16"/>
          <w:color w:val="auto"/>
        </w:rPr>
        <w:t xml:space="preserve"> A</w:t>
      </w:r>
      <w:r>
        <w:rPr>
          <w:rFonts w:ascii="Arial" w:cs="Arial" w:eastAsia="Arial" w:hAnsi="Arial"/>
          <w:sz w:val="13"/>
          <w:szCs w:val="13"/>
          <w:color w:val="auto"/>
        </w:rPr>
        <w:t>SSOCIATION</w:t>
      </w:r>
      <w:r>
        <w:rPr>
          <w:rFonts w:ascii="Arial" w:cs="Arial" w:eastAsia="Arial" w:hAnsi="Arial"/>
          <w:sz w:val="16"/>
          <w:szCs w:val="16"/>
          <w:color w:val="auto"/>
        </w:rPr>
        <w:t>, as custodian (in such capacity, together with its successors and assigns, the “</w:t>
      </w:r>
      <w:r>
        <w:rPr>
          <w:rFonts w:ascii="Arial" w:cs="Arial" w:eastAsia="Arial" w:hAnsi="Arial"/>
          <w:sz w:val="16"/>
          <w:szCs w:val="16"/>
          <w:i w:val="1"/>
          <w:iCs w:val="1"/>
          <w:color w:val="auto"/>
        </w:rPr>
        <w:t>Custodian</w:t>
      </w:r>
      <w:r>
        <w:rPr>
          <w:rFonts w:ascii="Arial" w:cs="Arial" w:eastAsia="Arial" w:hAnsi="Arial"/>
          <w:sz w:val="16"/>
          <w:szCs w:val="16"/>
          <w:color w:val="auto"/>
        </w:rPr>
        <w:t>”); U.S. B</w:t>
      </w:r>
      <w:r>
        <w:rPr>
          <w:rFonts w:ascii="Arial" w:cs="Arial" w:eastAsia="Arial" w:hAnsi="Arial"/>
          <w:sz w:val="13"/>
          <w:szCs w:val="13"/>
          <w:color w:val="auto"/>
        </w:rPr>
        <w:t>ANK</w:t>
      </w:r>
      <w:r>
        <w:rPr>
          <w:rFonts w:ascii="Arial" w:cs="Arial" w:eastAsia="Arial" w:hAnsi="Arial"/>
          <w:sz w:val="16"/>
          <w:szCs w:val="16"/>
          <w:color w:val="auto"/>
        </w:rPr>
        <w:t xml:space="preserve"> N</w:t>
      </w:r>
      <w:r>
        <w:rPr>
          <w:rFonts w:ascii="Arial" w:cs="Arial" w:eastAsia="Arial" w:hAnsi="Arial"/>
          <w:sz w:val="13"/>
          <w:szCs w:val="13"/>
          <w:color w:val="auto"/>
        </w:rPr>
        <w:t>ATIONAL</w:t>
      </w:r>
      <w:r>
        <w:rPr>
          <w:rFonts w:ascii="Arial" w:cs="Arial" w:eastAsia="Arial" w:hAnsi="Arial"/>
          <w:sz w:val="16"/>
          <w:szCs w:val="16"/>
          <w:color w:val="auto"/>
        </w:rPr>
        <w:t xml:space="preserve"> A</w:t>
      </w:r>
      <w:r>
        <w:rPr>
          <w:rFonts w:ascii="Arial" w:cs="Arial" w:eastAsia="Arial" w:hAnsi="Arial"/>
          <w:sz w:val="13"/>
          <w:szCs w:val="13"/>
          <w:color w:val="auto"/>
        </w:rPr>
        <w:t>SSOCIATION</w:t>
      </w:r>
      <w:r>
        <w:rPr>
          <w:rFonts w:ascii="Arial" w:cs="Arial" w:eastAsia="Arial" w:hAnsi="Arial"/>
          <w:sz w:val="16"/>
          <w:szCs w:val="16"/>
          <w:color w:val="auto"/>
        </w:rPr>
        <w:t>, as backup collateral manager (in such capacity, together with its successors and assigns, the “</w:t>
      </w:r>
      <w:r>
        <w:rPr>
          <w:rFonts w:ascii="Arial" w:cs="Arial" w:eastAsia="Arial" w:hAnsi="Arial"/>
          <w:sz w:val="16"/>
          <w:szCs w:val="16"/>
          <w:i w:val="1"/>
          <w:iCs w:val="1"/>
          <w:color w:val="auto"/>
        </w:rPr>
        <w:t>Backup Collateral Manager</w:t>
      </w:r>
      <w:r>
        <w:rPr>
          <w:rFonts w:ascii="Arial" w:cs="Arial" w:eastAsia="Arial" w:hAnsi="Arial"/>
          <w:sz w:val="16"/>
          <w:szCs w:val="16"/>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60" w:firstLine="449"/>
        <w:spacing w:after="0" w:line="256" w:lineRule="auto"/>
        <w:rPr>
          <w:sz w:val="20"/>
          <w:szCs w:val="20"/>
          <w:color w:val="auto"/>
        </w:rPr>
      </w:pPr>
      <w:r>
        <w:rPr>
          <w:rFonts w:ascii="Arial" w:cs="Arial" w:eastAsia="Arial" w:hAnsi="Arial"/>
          <w:sz w:val="18"/>
          <w:szCs w:val="18"/>
          <w:color w:val="auto"/>
        </w:rPr>
        <w:t>In connection with the administration of the Related Documents held by 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xml:space="preserve"> as the Custodian on behalf of the Administrative Agent as agent for the Secured Parties, under the Credit Agreement, we request the release of the Related Documents (or such documents as specified below) for the Collateral Loans described below, for the reason indicated. All capitalized terms used but not defined herein shall have the meaning provided in the Credit Agreement.</w:t>
      </w:r>
    </w:p>
    <w:p>
      <w:pPr>
        <w:sectPr>
          <w:pgSz w:w="11900" w:h="16838" w:orient="portrait"/>
          <w:cols w:equalWidth="0" w:num="1">
            <w:col w:w="11220"/>
          </w:cols>
          <w:pgMar w:left="320" w:top="274" w:right="3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Obligor’s Name, Address &amp; Zip Code</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Identification Number</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Reason for Requesting Documents</w:t>
      </w:r>
      <w:r>
        <w:rPr>
          <w:rFonts w:ascii="Arial" w:cs="Arial" w:eastAsia="Arial" w:hAnsi="Arial"/>
          <w:sz w:val="18"/>
          <w:szCs w:val="18"/>
          <w:color w:val="auto"/>
        </w:rPr>
        <w:t xml:space="preserve"> (check one)</w:t>
      </w:r>
    </w:p>
    <w:p>
      <w:pPr>
        <w:spacing w:after="0" w:line="90" w:lineRule="exact"/>
        <w:rPr>
          <w:sz w:val="20"/>
          <w:szCs w:val="20"/>
          <w:color w:val="auto"/>
        </w:rPr>
      </w:pPr>
    </w:p>
    <w:p>
      <w:pPr>
        <w:ind w:left="660" w:right="180" w:hanging="652"/>
        <w:spacing w:after="0" w:line="268" w:lineRule="auto"/>
        <w:tabs>
          <w:tab w:leader="none" w:pos="322" w:val="left"/>
        </w:tabs>
        <w:numPr>
          <w:ilvl w:val="0"/>
          <w:numId w:val="228"/>
        </w:numPr>
        <w:rPr>
          <w:rFonts w:ascii="MS PGothic" w:cs="MS PGothic" w:eastAsia="MS PGothic" w:hAnsi="MS PGothic"/>
          <w:sz w:val="18"/>
          <w:szCs w:val="18"/>
          <w:color w:val="auto"/>
        </w:rPr>
      </w:pPr>
      <w:r>
        <w:rPr>
          <w:rFonts w:ascii="Arial" w:cs="Arial" w:eastAsia="Arial" w:hAnsi="Arial"/>
          <w:sz w:val="18"/>
          <w:szCs w:val="18"/>
          <w:color w:val="auto"/>
        </w:rPr>
        <w:t>1. Collateral Loan paid in full. (The Collateral Manager hereby certifies that all amounts received in connection with such Collateral Loan have been credited to the Collection Account.)</w:t>
      </w:r>
    </w:p>
    <w:p>
      <w:pPr>
        <w:spacing w:after="0" w:line="45" w:lineRule="exact"/>
        <w:rPr>
          <w:sz w:val="20"/>
          <w:szCs w:val="20"/>
          <w:color w:val="auto"/>
        </w:rPr>
      </w:pPr>
    </w:p>
    <w:p>
      <w:pPr>
        <w:spacing w:after="0" w:line="207" w:lineRule="exact"/>
        <w:tabs>
          <w:tab w:leader="none" w:pos="300" w:val="left"/>
          <w:tab w:leader="none" w:pos="640" w:val="left"/>
          <w:tab w:leader="none" w:pos="45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2.</w:t>
        <w:tab/>
        <w:t>Collateral Loan liquidated by</w:t>
      </w:r>
      <w:r>
        <w:rPr>
          <w:sz w:val="20"/>
          <w:szCs w:val="20"/>
          <w:color w:val="auto"/>
        </w:rPr>
        <w:tab/>
      </w:r>
      <w:r>
        <w:rPr>
          <w:rFonts w:ascii="Arial" w:cs="Arial" w:eastAsia="Arial" w:hAnsi="Arial"/>
          <w:sz w:val="15"/>
          <w:szCs w:val="15"/>
          <w:color w:val="auto"/>
        </w:rPr>
        <w:t>. (The Collateral Manager hereby certifies that all proceeds (net of liquidation expenses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5715</wp:posOffset>
            </wp:positionV>
            <wp:extent cx="11144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36" w:lineRule="exact"/>
        <w:rPr>
          <w:sz w:val="20"/>
          <w:szCs w:val="20"/>
          <w:color w:val="auto"/>
        </w:rPr>
      </w:pPr>
    </w:p>
    <w:p>
      <w:pPr>
        <w:ind w:left="660" w:right="20"/>
        <w:spacing w:after="0" w:line="252" w:lineRule="auto"/>
        <w:rPr>
          <w:sz w:val="20"/>
          <w:szCs w:val="20"/>
          <w:color w:val="auto"/>
        </w:rPr>
      </w:pPr>
      <w:r>
        <w:rPr>
          <w:rFonts w:ascii="Arial" w:cs="Arial" w:eastAsia="Arial" w:hAnsi="Arial"/>
          <w:sz w:val="18"/>
          <w:szCs w:val="18"/>
          <w:color w:val="auto"/>
        </w:rPr>
        <w:t>the Collateral Manager may retain to pay such expenses) of foreclosure, insurance, condemnation or other liquidation have been finally received and credited to the Collection Account.)</w:t>
      </w:r>
    </w:p>
    <w:p>
      <w:pPr>
        <w:spacing w:after="0" w:line="91" w:lineRule="exact"/>
        <w:rPr>
          <w:sz w:val="20"/>
          <w:szCs w:val="20"/>
          <w:color w:val="auto"/>
        </w:rPr>
      </w:pPr>
    </w:p>
    <w:p>
      <w:pPr>
        <w:ind w:left="320" w:hanging="312"/>
        <w:spacing w:after="0"/>
        <w:tabs>
          <w:tab w:leader="none" w:pos="320" w:val="left"/>
        </w:tabs>
        <w:numPr>
          <w:ilvl w:val="0"/>
          <w:numId w:val="229"/>
        </w:numPr>
        <w:rPr>
          <w:rFonts w:ascii="MS PGothic" w:cs="MS PGothic" w:eastAsia="MS PGothic" w:hAnsi="MS PGothic"/>
          <w:sz w:val="18"/>
          <w:szCs w:val="18"/>
          <w:color w:val="auto"/>
        </w:rPr>
      </w:pPr>
      <w:r>
        <w:rPr>
          <w:rFonts w:ascii="Arial" w:cs="Arial" w:eastAsia="Arial" w:hAnsi="Arial"/>
          <w:sz w:val="18"/>
          <w:szCs w:val="18"/>
          <w:color w:val="auto"/>
        </w:rPr>
        <w:t>3.   Collateral Loan in foreclosure.</w:t>
      </w:r>
    </w:p>
    <w:p>
      <w:pPr>
        <w:spacing w:after="0" w:line="117" w:lineRule="exact"/>
        <w:rPr>
          <w:rFonts w:ascii="MS PGothic" w:cs="MS PGothic" w:eastAsia="MS PGothic" w:hAnsi="MS PGothic"/>
          <w:sz w:val="18"/>
          <w:szCs w:val="18"/>
          <w:color w:val="auto"/>
        </w:rPr>
      </w:pPr>
    </w:p>
    <w:p>
      <w:pPr>
        <w:ind w:left="320" w:hanging="312"/>
        <w:spacing w:after="0"/>
        <w:tabs>
          <w:tab w:leader="none" w:pos="320" w:val="left"/>
        </w:tabs>
        <w:numPr>
          <w:ilvl w:val="0"/>
          <w:numId w:val="229"/>
        </w:numPr>
        <w:rPr>
          <w:rFonts w:ascii="MS PGothic" w:cs="MS PGothic" w:eastAsia="MS PGothic" w:hAnsi="MS PGothic"/>
          <w:sz w:val="18"/>
          <w:szCs w:val="18"/>
          <w:color w:val="auto"/>
        </w:rPr>
      </w:pPr>
      <w:r>
        <w:rPr>
          <w:rFonts w:ascii="Arial" w:cs="Arial" w:eastAsia="Arial" w:hAnsi="Arial"/>
          <w:sz w:val="18"/>
          <w:szCs w:val="18"/>
          <w:color w:val="auto"/>
        </w:rPr>
        <w:t>4.   Delivered in Error.</w:t>
      </w:r>
    </w:p>
    <w:p>
      <w:pPr>
        <w:spacing w:after="0" w:line="117" w:lineRule="exact"/>
        <w:rPr>
          <w:rFonts w:ascii="MS PGothic" w:cs="MS PGothic" w:eastAsia="MS PGothic" w:hAnsi="MS PGothic"/>
          <w:sz w:val="18"/>
          <w:szCs w:val="18"/>
          <w:color w:val="auto"/>
        </w:rPr>
      </w:pPr>
    </w:p>
    <w:p>
      <w:pPr>
        <w:ind w:left="320" w:hanging="312"/>
        <w:spacing w:after="0"/>
        <w:tabs>
          <w:tab w:leader="none" w:pos="320" w:val="left"/>
        </w:tabs>
        <w:numPr>
          <w:ilvl w:val="0"/>
          <w:numId w:val="229"/>
        </w:numPr>
        <w:rPr>
          <w:rFonts w:ascii="MS PGothic" w:cs="MS PGothic" w:eastAsia="MS PGothic" w:hAnsi="MS PGothic"/>
          <w:sz w:val="18"/>
          <w:szCs w:val="18"/>
          <w:color w:val="auto"/>
        </w:rPr>
      </w:pPr>
      <w:r>
        <w:rPr>
          <w:rFonts w:ascii="Arial" w:cs="Arial" w:eastAsia="Arial" w:hAnsi="Arial"/>
          <w:sz w:val="18"/>
          <w:szCs w:val="18"/>
          <w:color w:val="auto"/>
        </w:rPr>
        <w:t>5.   Substitution.</w:t>
      </w:r>
    </w:p>
    <w:p>
      <w:pPr>
        <w:spacing w:after="0" w:line="117" w:lineRule="exact"/>
        <w:rPr>
          <w:rFonts w:ascii="MS PGothic" w:cs="MS PGothic" w:eastAsia="MS PGothic" w:hAnsi="MS PGothic"/>
          <w:sz w:val="18"/>
          <w:szCs w:val="18"/>
          <w:color w:val="auto"/>
        </w:rPr>
      </w:pPr>
    </w:p>
    <w:p>
      <w:pPr>
        <w:ind w:left="320" w:hanging="312"/>
        <w:spacing w:after="0"/>
        <w:tabs>
          <w:tab w:leader="none" w:pos="320" w:val="left"/>
        </w:tabs>
        <w:numPr>
          <w:ilvl w:val="0"/>
          <w:numId w:val="229"/>
        </w:numPr>
        <w:rPr>
          <w:rFonts w:ascii="MS PGothic" w:cs="MS PGothic" w:eastAsia="MS PGothic" w:hAnsi="MS PGothic"/>
          <w:sz w:val="18"/>
          <w:szCs w:val="18"/>
          <w:color w:val="auto"/>
        </w:rPr>
      </w:pPr>
      <w:r>
        <w:rPr>
          <w:rFonts w:ascii="Arial" w:cs="Arial" w:eastAsia="Arial" w:hAnsi="Arial"/>
          <w:sz w:val="18"/>
          <w:szCs w:val="18"/>
          <w:color w:val="auto"/>
        </w:rPr>
        <w:t>6.   Failure to satisfy Review Criteria.</w:t>
      </w:r>
    </w:p>
    <w:p>
      <w:pPr>
        <w:spacing w:after="0" w:line="117" w:lineRule="exact"/>
        <w:rPr>
          <w:rFonts w:ascii="MS PGothic" w:cs="MS PGothic" w:eastAsia="MS PGothic" w:hAnsi="MS PGothic"/>
          <w:sz w:val="18"/>
          <w:szCs w:val="18"/>
          <w:color w:val="auto"/>
        </w:rPr>
      </w:pPr>
    </w:p>
    <w:p>
      <w:pPr>
        <w:ind w:left="320" w:hanging="312"/>
        <w:spacing w:after="0"/>
        <w:tabs>
          <w:tab w:leader="none" w:pos="320" w:val="left"/>
        </w:tabs>
        <w:numPr>
          <w:ilvl w:val="0"/>
          <w:numId w:val="229"/>
        </w:numPr>
        <w:rPr>
          <w:rFonts w:ascii="MS PGothic" w:cs="MS PGothic" w:eastAsia="MS PGothic" w:hAnsi="MS PGothic"/>
          <w:sz w:val="18"/>
          <w:szCs w:val="18"/>
          <w:color w:val="auto"/>
        </w:rPr>
      </w:pPr>
      <w:r>
        <w:rPr>
          <w:rFonts w:ascii="Arial" w:cs="Arial" w:eastAsia="Arial" w:hAnsi="Arial"/>
          <w:sz w:val="18"/>
          <w:szCs w:val="18"/>
          <w:color w:val="auto"/>
        </w:rPr>
        <w:t>7.   Repurchased.</w:t>
      </w:r>
    </w:p>
    <w:p>
      <w:pPr>
        <w:spacing w:after="0" w:line="117" w:lineRule="exact"/>
        <w:rPr>
          <w:rFonts w:ascii="MS PGothic" w:cs="MS PGothic" w:eastAsia="MS PGothic" w:hAnsi="MS PGothic"/>
          <w:sz w:val="18"/>
          <w:szCs w:val="18"/>
          <w:color w:val="auto"/>
        </w:rPr>
      </w:pPr>
    </w:p>
    <w:p>
      <w:pPr>
        <w:ind w:left="320" w:hanging="312"/>
        <w:spacing w:after="0"/>
        <w:tabs>
          <w:tab w:leader="none" w:pos="320" w:val="left"/>
        </w:tabs>
        <w:numPr>
          <w:ilvl w:val="0"/>
          <w:numId w:val="229"/>
        </w:numPr>
        <w:rPr>
          <w:rFonts w:ascii="MS PGothic" w:cs="MS PGothic" w:eastAsia="MS PGothic" w:hAnsi="MS PGothic"/>
          <w:sz w:val="18"/>
          <w:szCs w:val="18"/>
          <w:color w:val="auto"/>
        </w:rPr>
      </w:pPr>
      <w:r>
        <w:rPr>
          <w:rFonts w:ascii="Arial" w:cs="Arial" w:eastAsia="Arial" w:hAnsi="Arial"/>
          <w:sz w:val="18"/>
          <w:szCs w:val="18"/>
          <w:color w:val="auto"/>
        </w:rPr>
        <w:t>8.   Optional Sale.</w:t>
      </w:r>
    </w:p>
    <w:p>
      <w:pPr>
        <w:spacing w:after="0" w:line="117" w:lineRule="exact"/>
        <w:rPr>
          <w:rFonts w:ascii="MS PGothic" w:cs="MS PGothic" w:eastAsia="MS PGothic" w:hAnsi="MS PGothic"/>
          <w:sz w:val="18"/>
          <w:szCs w:val="18"/>
          <w:color w:val="auto"/>
        </w:rPr>
      </w:pPr>
    </w:p>
    <w:p>
      <w:pPr>
        <w:ind w:left="320" w:hanging="312"/>
        <w:spacing w:after="0"/>
        <w:tabs>
          <w:tab w:leader="none" w:pos="320" w:val="left"/>
        </w:tabs>
        <w:numPr>
          <w:ilvl w:val="0"/>
          <w:numId w:val="229"/>
        </w:numPr>
        <w:rPr>
          <w:rFonts w:ascii="MS PGothic" w:cs="MS PGothic" w:eastAsia="MS PGothic" w:hAnsi="MS PGothic"/>
          <w:sz w:val="18"/>
          <w:szCs w:val="18"/>
          <w:color w:val="auto"/>
        </w:rPr>
      </w:pPr>
      <w:r>
        <w:rPr>
          <w:rFonts w:ascii="Arial" w:cs="Arial" w:eastAsia="Arial" w:hAnsi="Arial"/>
          <w:sz w:val="18"/>
          <w:szCs w:val="18"/>
          <w:color w:val="auto"/>
        </w:rPr>
        <w:t>9.   Discretionary Sale.</w:t>
      </w:r>
    </w:p>
    <w:p>
      <w:pPr>
        <w:spacing w:after="0" w:line="117" w:lineRule="exact"/>
        <w:rPr>
          <w:rFonts w:ascii="MS PGothic" w:cs="MS PGothic" w:eastAsia="MS PGothic" w:hAnsi="MS PGothic"/>
          <w:sz w:val="18"/>
          <w:szCs w:val="18"/>
          <w:color w:val="auto"/>
        </w:rPr>
      </w:pPr>
    </w:p>
    <w:p>
      <w:pPr>
        <w:ind w:left="320" w:hanging="312"/>
        <w:spacing w:after="0"/>
        <w:tabs>
          <w:tab w:leader="none" w:pos="320" w:val="left"/>
        </w:tabs>
        <w:numPr>
          <w:ilvl w:val="0"/>
          <w:numId w:val="229"/>
        </w:numPr>
        <w:rPr>
          <w:rFonts w:ascii="MS PGothic" w:cs="MS PGothic" w:eastAsia="MS PGothic" w:hAnsi="MS PGothic"/>
          <w:sz w:val="18"/>
          <w:szCs w:val="18"/>
          <w:color w:val="auto"/>
        </w:rPr>
      </w:pPr>
      <w:r>
        <w:rPr>
          <w:rFonts w:ascii="Arial" w:cs="Arial" w:eastAsia="Arial" w:hAnsi="Arial"/>
          <w:sz w:val="18"/>
          <w:szCs w:val="18"/>
          <w:color w:val="auto"/>
        </w:rPr>
        <w:t>10.  Termination of Agreement.</w:t>
      </w:r>
    </w:p>
    <w:p>
      <w:pPr>
        <w:spacing w:after="0" w:line="117" w:lineRule="exact"/>
        <w:rPr>
          <w:rFonts w:ascii="MS PGothic" w:cs="MS PGothic" w:eastAsia="MS PGothic" w:hAnsi="MS PGothic"/>
          <w:sz w:val="18"/>
          <w:szCs w:val="18"/>
          <w:color w:val="auto"/>
        </w:rPr>
      </w:pPr>
    </w:p>
    <w:p>
      <w:pPr>
        <w:ind w:left="320" w:hanging="312"/>
        <w:spacing w:after="0"/>
        <w:tabs>
          <w:tab w:leader="none" w:pos="320" w:val="left"/>
        </w:tabs>
        <w:numPr>
          <w:ilvl w:val="0"/>
          <w:numId w:val="229"/>
        </w:numPr>
        <w:rPr>
          <w:rFonts w:ascii="MS PGothic" w:cs="MS PGothic" w:eastAsia="MS PGothic" w:hAnsi="MS PGothic"/>
          <w:sz w:val="18"/>
          <w:szCs w:val="18"/>
          <w:color w:val="auto"/>
        </w:rPr>
      </w:pPr>
      <w:r>
        <w:rPr>
          <w:rFonts w:ascii="Arial" w:cs="Arial" w:eastAsia="Arial" w:hAnsi="Arial"/>
          <w:sz w:val="18"/>
          <w:szCs w:val="18"/>
          <w:color w:val="auto"/>
        </w:rPr>
        <w:t>11.  Servicing.</w:t>
      </w:r>
    </w:p>
    <w:p>
      <w:pPr>
        <w:spacing w:after="0" w:line="117" w:lineRule="exact"/>
        <w:rPr>
          <w:rFonts w:ascii="MS PGothic" w:cs="MS PGothic" w:eastAsia="MS PGothic" w:hAnsi="MS PGothic"/>
          <w:sz w:val="18"/>
          <w:szCs w:val="18"/>
          <w:color w:val="auto"/>
        </w:rPr>
      </w:pPr>
    </w:p>
    <w:p>
      <w:pPr>
        <w:ind w:left="320" w:hanging="312"/>
        <w:spacing w:after="0"/>
        <w:tabs>
          <w:tab w:leader="none" w:pos="320" w:val="left"/>
        </w:tabs>
        <w:numPr>
          <w:ilvl w:val="0"/>
          <w:numId w:val="229"/>
        </w:numPr>
        <w:rPr>
          <w:rFonts w:ascii="MS PGothic" w:cs="MS PGothic" w:eastAsia="MS PGothic" w:hAnsi="MS PGothic"/>
          <w:sz w:val="18"/>
          <w:szCs w:val="18"/>
          <w:color w:val="auto"/>
        </w:rPr>
      </w:pPr>
      <w:r>
        <w:rPr>
          <w:rFonts w:ascii="Arial" w:cs="Arial" w:eastAsia="Arial" w:hAnsi="Arial"/>
          <w:sz w:val="18"/>
          <w:szCs w:val="18"/>
          <w:color w:val="auto"/>
        </w:rPr>
        <w:t>12.  Other (explain). ___________________________________________________________________________________</w:t>
      </w:r>
    </w:p>
    <w:p>
      <w:pPr>
        <w:spacing w:after="0" w:line="117" w:lineRule="exact"/>
        <w:rPr>
          <w:rFonts w:ascii="MS PGothic" w:cs="MS PGothic" w:eastAsia="MS PGothic" w:hAnsi="MS PGothic"/>
          <w:sz w:val="18"/>
          <w:szCs w:val="18"/>
          <w:color w:val="auto"/>
        </w:rPr>
      </w:pPr>
    </w:p>
    <w:p>
      <w:pPr>
        <w:ind w:left="1840"/>
        <w:spacing w:after="0"/>
        <w:rPr>
          <w:rFonts w:ascii="MS PGothic" w:cs="MS PGothic" w:eastAsia="MS PGothic" w:hAnsi="MS PGothic"/>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117" w:lineRule="exact"/>
        <w:rPr>
          <w:rFonts w:ascii="MS PGothic" w:cs="MS PGothic" w:eastAsia="MS PGothic" w:hAnsi="MS PGothic"/>
          <w:sz w:val="18"/>
          <w:szCs w:val="18"/>
          <w:color w:val="auto"/>
        </w:rPr>
      </w:pPr>
    </w:p>
    <w:p>
      <w:pPr>
        <w:ind w:left="1840"/>
        <w:spacing w:after="0"/>
        <w:rPr>
          <w:rFonts w:ascii="MS PGothic" w:cs="MS PGothic" w:eastAsia="MS PGothic" w:hAnsi="MS PGothic"/>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box 1, 2, 4, 5, 6, 7, 8, 9 or 10 above is checked, and if all or part of the Related Documents were previously released to us, please release to us the Related Documents, requested in our previous request and receipt on file with you, as well as any additional documents in your possession relating to the specified Collateral Loan.</w:t>
      </w:r>
    </w:p>
    <w:p>
      <w:pPr>
        <w:spacing w:after="0" w:line="14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If box 3, 11 or 12 above is checked, we will return of all of the above Related Documents to you as the Custodian (i) promptly upon the request of the Administrative Agent or (ii) when our need therefor no longer exists.</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280" w:right="459" w:bottom="1440" w:gutter="0" w:footer="0" w:header="0"/>
        </w:sectPr>
      </w:pPr>
    </w:p>
    <w:bookmarkStart w:id="226" w:name="page227"/>
    <w:bookmarkEnd w:id="226"/>
    <w:p>
      <w:pPr>
        <w:ind w:left="6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the Collateral Manager</w:t>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10795</wp:posOffset>
            </wp:positionV>
            <wp:extent cx="264858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6985</wp:posOffset>
            </wp:positionV>
            <wp:extent cx="22199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21996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-129540</wp:posOffset>
            </wp:positionV>
            <wp:extent cx="22199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Consent of Administrative Agent if required under the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10795</wp:posOffset>
            </wp:positionV>
            <wp:extent cx="266573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6985</wp:posOffset>
            </wp:positionV>
            <wp:extent cx="22542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25425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-129540</wp:posOffset>
            </wp:positionV>
            <wp:extent cx="22542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4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280" w:right="1440"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ATRIX</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DJUSTMENT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 – CDO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Jennifer Vlasuk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PennantPark Floating Rate Funding I, LLC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ATRIX</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DJUSTMENT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177"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 xml:space="preserve">This Matrix Adjustment Notice is made pursuant to </w:t>
      </w:r>
      <w:r>
        <w:rPr>
          <w:rFonts w:ascii="Arial" w:cs="Arial" w:eastAsia="Arial" w:hAnsi="Arial"/>
          <w:sz w:val="16"/>
          <w:szCs w:val="16"/>
          <w:u w:val="single" w:color="auto"/>
          <w:color w:val="auto"/>
        </w:rPr>
        <w:t>Section 11.02(e)</w:t>
      </w:r>
      <w:r>
        <w:rPr>
          <w:rFonts w:ascii="Arial" w:cs="Arial" w:eastAsia="Arial" w:hAnsi="Arial"/>
          <w:sz w:val="16"/>
          <w:szCs w:val="16"/>
          <w:color w:val="auto"/>
        </w:rPr>
        <w:t xml:space="preserve"> of that certain Amended and Restated Revolving Credit and Security Agreement dated as of May 14, 2012 (as the same may from time to time be amended, supplemented, waived or modified, the </w:t>
      </w:r>
      <w:r>
        <w:rPr>
          <w:rFonts w:ascii="Arial" w:cs="Arial" w:eastAsia="Arial" w:hAnsi="Arial"/>
          <w:sz w:val="16"/>
          <w:szCs w:val="16"/>
          <w:i w:val="1"/>
          <w:iCs w:val="1"/>
          <w:color w:val="auto"/>
        </w:rPr>
        <w:t>“Credit Agreement”</w:t>
      </w:r>
      <w:r>
        <w:rPr>
          <w:rFonts w:ascii="Arial" w:cs="Arial" w:eastAsia="Arial" w:hAnsi="Arial"/>
          <w:sz w:val="16"/>
          <w:szCs w:val="16"/>
          <w:color w:val="auto"/>
        </w:rPr>
        <w:t xml:space="preserve">) among PennantPark Floating Rate Funding I, LLC, a Delaware limited liability company, as borrower (together with its permitted successors and assigns, the </w:t>
      </w:r>
      <w:r>
        <w:rPr>
          <w:rFonts w:ascii="Arial" w:cs="Arial" w:eastAsia="Arial" w:hAnsi="Arial"/>
          <w:sz w:val="16"/>
          <w:szCs w:val="16"/>
          <w:i w:val="1"/>
          <w:iCs w:val="1"/>
          <w:color w:val="auto"/>
        </w:rPr>
        <w:t>“Borrower”</w:t>
      </w:r>
      <w:r>
        <w:rPr>
          <w:rFonts w:ascii="Arial" w:cs="Arial" w:eastAsia="Arial" w:hAnsi="Arial"/>
          <w:sz w:val="16"/>
          <w:szCs w:val="16"/>
          <w:color w:val="auto"/>
        </w:rPr>
        <w:t xml:space="preserve">); PennantPark Investment Advisers, LLC, a Delaware limited liability company, as the collateral manager (together with its permitted successors and assigns, the </w:t>
      </w:r>
      <w:r>
        <w:rPr>
          <w:rFonts w:ascii="Arial" w:cs="Arial" w:eastAsia="Arial" w:hAnsi="Arial"/>
          <w:sz w:val="16"/>
          <w:szCs w:val="16"/>
          <w:i w:val="1"/>
          <w:iCs w:val="1"/>
          <w:color w:val="auto"/>
        </w:rPr>
        <w:t>“Collateral Manager”</w:t>
      </w:r>
      <w:r>
        <w:rPr>
          <w:rFonts w:ascii="Arial" w:cs="Arial" w:eastAsia="Arial" w:hAnsi="Arial"/>
          <w:sz w:val="16"/>
          <w:szCs w:val="16"/>
          <w:color w:val="auto"/>
        </w:rPr>
        <w:t>), the Lenders from time to time party thereto; SunTrust Bank, as administrative agent for the Secured Parties (as hereinafter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xml:space="preserve">), U.S. Bank National Association, as collateral agent for the Secured Parties (in such capacity, together with its successors and assigns, the </w:t>
      </w:r>
      <w:r>
        <w:rPr>
          <w:rFonts w:ascii="Arial" w:cs="Arial" w:eastAsia="Arial" w:hAnsi="Arial"/>
          <w:sz w:val="16"/>
          <w:szCs w:val="16"/>
          <w:i w:val="1"/>
          <w:iCs w:val="1"/>
          <w:color w:val="auto"/>
        </w:rPr>
        <w:t>“Collateral Agent”</w:t>
      </w:r>
      <w:r>
        <w:rPr>
          <w:rFonts w:ascii="Arial" w:cs="Arial" w:eastAsia="Arial" w:hAnsi="Arial"/>
          <w:sz w:val="16"/>
          <w:szCs w:val="16"/>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260" w:type="dxa"/>
            <w:vAlign w:val="bottom"/>
          </w:tcPr>
          <w:p>
            <w:pPr>
              <w:ind w:left="420"/>
              <w:spacing w:after="0"/>
              <w:rPr>
                <w:sz w:val="20"/>
                <w:szCs w:val="20"/>
                <w:color w:val="auto"/>
              </w:rPr>
            </w:pPr>
            <w:r>
              <w:rPr>
                <w:rFonts w:ascii="Arial" w:cs="Arial" w:eastAsia="Arial" w:hAnsi="Arial"/>
                <w:sz w:val="18"/>
                <w:szCs w:val="18"/>
                <w:color w:val="auto"/>
                <w:w w:val="89"/>
              </w:rPr>
              <w:t>1. The Collateral Manager hereby gives notice that on</w:t>
            </w:r>
          </w:p>
        </w:tc>
        <w:tc>
          <w:tcPr>
            <w:tcW w:w="880" w:type="dxa"/>
            <w:vAlign w:val="bottom"/>
            <w:tcBorders>
              <w:bottom w:val="single" w:sz="8" w:color="auto"/>
            </w:tcBorders>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1"/>
              </w:rPr>
              <w:t xml:space="preserve">, 201_ (the </w:t>
            </w:r>
            <w:r>
              <w:rPr>
                <w:rFonts w:ascii="Arial" w:cs="Arial" w:eastAsia="Arial" w:hAnsi="Arial"/>
                <w:sz w:val="18"/>
                <w:szCs w:val="18"/>
                <w:i w:val="1"/>
                <w:iCs w:val="1"/>
                <w:color w:val="auto"/>
                <w:w w:val="91"/>
              </w:rPr>
              <w:t>“Matrix Adjustment Date”</w:t>
            </w:r>
            <w:r>
              <w:rPr>
                <w:rFonts w:ascii="Arial" w:cs="Arial" w:eastAsia="Arial" w:hAnsi="Arial"/>
                <w:sz w:val="18"/>
                <w:szCs w:val="18"/>
                <w:color w:val="auto"/>
                <w:w w:val="91"/>
              </w:rPr>
              <w:t xml:space="preserve">), the Matrix Inputs set forth in Row </w:t>
            </w:r>
            <w:r>
              <w:rPr>
                <w:rFonts w:ascii="Arial" w:cs="Arial" w:eastAsia="Arial" w:hAnsi="Arial"/>
                <w:sz w:val="18"/>
                <w:szCs w:val="18"/>
                <w:b w:val="1"/>
                <w:bCs w:val="1"/>
                <w:color w:val="auto"/>
                <w:w w:val="91"/>
              </w:rPr>
              <w:t>[__]</w:t>
            </w:r>
          </w:p>
        </w:tc>
      </w:tr>
      <w:tr>
        <w:trPr>
          <w:trHeight w:val="235"/>
        </w:trPr>
        <w:tc>
          <w:tcPr>
            <w:tcW w:w="4260" w:type="dxa"/>
            <w:vAlign w:val="bottom"/>
          </w:tcPr>
          <w:p>
            <w:pPr>
              <w:spacing w:after="0"/>
              <w:rPr>
                <w:sz w:val="20"/>
                <w:szCs w:val="20"/>
                <w:color w:val="auto"/>
              </w:rPr>
            </w:pPr>
            <w:r>
              <w:rPr>
                <w:rFonts w:ascii="Arial" w:cs="Arial" w:eastAsia="Arial" w:hAnsi="Arial"/>
                <w:sz w:val="18"/>
                <w:szCs w:val="18"/>
                <w:color w:val="auto"/>
              </w:rPr>
              <w:t>of the Matrix shall apply.</w:t>
            </w:r>
          </w:p>
        </w:tc>
        <w:tc>
          <w:tcPr>
            <w:tcW w:w="880" w:type="dxa"/>
            <w:vAlign w:val="bottom"/>
          </w:tcPr>
          <w:p>
            <w:pPr>
              <w:spacing w:after="0"/>
              <w:rPr>
                <w:sz w:val="20"/>
                <w:szCs w:val="20"/>
                <w:color w:val="auto"/>
              </w:rPr>
            </w:pPr>
          </w:p>
        </w:tc>
        <w:tc>
          <w:tcPr>
            <w:tcW w:w="5560" w:type="dxa"/>
            <w:vAlign w:val="bottom"/>
          </w:tcPr>
          <w:p>
            <w:pPr>
              <w:spacing w:after="0"/>
              <w:rPr>
                <w:sz w:val="20"/>
                <w:szCs w:val="20"/>
                <w:color w:val="auto"/>
              </w:rPr>
            </w:pPr>
          </w:p>
        </w:tc>
      </w:tr>
    </w:tbl>
    <w:p>
      <w:pPr>
        <w:spacing w:after="0" w:line="75" w:lineRule="exact"/>
        <w:rPr>
          <w:sz w:val="20"/>
          <w:szCs w:val="20"/>
          <w:color w:val="auto"/>
        </w:rPr>
      </w:pPr>
    </w:p>
    <w:p>
      <w:pPr>
        <w:ind w:left="460" w:right="240" w:firstLine="428"/>
        <w:spacing w:after="0" w:line="259" w:lineRule="auto"/>
        <w:tabs>
          <w:tab w:leader="none" w:pos="106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After giving effect to such change in the Matrix Inputs, each Coverage Test is satisfied and no Default or Event of Default would occur under the Credit Agreement. The calculation of the Borrowing Base and the Maximum Advance Rate Test after giving effect to the foregoing change in the Matrix and the Matrix Inputs is set forth on Schedule I hereto.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ectPr>
          <w:pgSz w:w="11900" w:h="16838" w:orient="portrait"/>
          <w:cols w:equalWidth="0" w:num="1">
            <w:col w:w="11240"/>
          </w:cols>
          <w:pgMar w:left="320" w:top="274" w:right="339" w:bottom="1440" w:gutter="0" w:footer="0" w:header="0"/>
        </w:sectPr>
      </w:pPr>
    </w:p>
    <w:bookmarkStart w:id="228" w:name="page229"/>
    <w:bookmarkEnd w:id="228"/>
    <w:p>
      <w:pPr>
        <w:spacing w:after="0"/>
        <w:tabs>
          <w:tab w:leader="none" w:pos="2240" w:val="left"/>
          <w:tab w:leader="none" w:pos="3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w:t>
      </w:r>
      <w:r>
        <w:rPr>
          <w:rFonts w:ascii="Arial" w:cs="Arial" w:eastAsia="Arial" w:hAnsi="Arial"/>
          <w:sz w:val="14"/>
          <w:szCs w:val="14"/>
          <w:color w:val="auto"/>
        </w:rPr>
        <w:t>ITNESS</w:t>
      </w:r>
      <w:r>
        <w:rPr>
          <w:rFonts w:ascii="Arial" w:cs="Arial" w:eastAsia="Arial" w:hAnsi="Arial"/>
          <w:sz w:val="18"/>
          <w:szCs w:val="18"/>
          <w:color w:val="auto"/>
        </w:rPr>
        <w:t xml:space="preserve"> my hand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-13970</wp:posOffset>
            </wp:positionV>
            <wp:extent cx="22288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1748790</wp:posOffset>
            </wp:positionH>
            <wp:positionV relativeFrom="paragraph">
              <wp:posOffset>-13970</wp:posOffset>
            </wp:positionV>
            <wp:extent cx="55689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spacing w:after="0" w:line="27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as Collateral Manager</w:t>
      </w:r>
    </w:p>
    <w:p>
      <w:pPr>
        <w:spacing w:after="0" w:line="2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10795</wp:posOffset>
            </wp:positionV>
            <wp:extent cx="27000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4462145</wp:posOffset>
            </wp:positionH>
            <wp:positionV relativeFrom="paragraph">
              <wp:posOffset>6985</wp:posOffset>
            </wp:positionV>
            <wp:extent cx="23831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-129540</wp:posOffset>
            </wp:positionV>
            <wp:extent cx="23831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679"/>
          </w:cols>
          <w:pgMar w:left="780" w:top="280" w:right="1440"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M</w:t>
      </w:r>
      <w:r>
        <w:rPr>
          <w:rFonts w:ascii="Arial" w:cs="Arial" w:eastAsia="Arial" w:hAnsi="Arial"/>
          <w:sz w:val="15"/>
          <w:szCs w:val="15"/>
          <w:b w:val="1"/>
          <w:bCs w:val="1"/>
          <w:color w:val="auto"/>
        </w:rPr>
        <w:t xml:space="preserve">ATRIX </w:t>
      </w:r>
      <w:r>
        <w:rPr>
          <w:rFonts w:ascii="Arial" w:cs="Arial" w:eastAsia="Arial" w:hAnsi="Arial"/>
          <w:sz w:val="17"/>
          <w:szCs w:val="17"/>
          <w:b w:val="1"/>
          <w:bCs w:val="1"/>
          <w:color w:val="auto"/>
        </w:rPr>
        <w:t>A</w:t>
      </w:r>
      <w:r>
        <w:rPr>
          <w:rFonts w:ascii="Arial" w:cs="Arial" w:eastAsia="Arial" w:hAnsi="Arial"/>
          <w:sz w:val="15"/>
          <w:szCs w:val="15"/>
          <w:b w:val="1"/>
          <w:bCs w:val="1"/>
          <w:color w:val="auto"/>
        </w:rPr>
        <w:t xml:space="preserve">DJUSTMENT </w:t>
      </w:r>
      <w:r>
        <w:rPr>
          <w:rFonts w:ascii="Arial" w:cs="Arial" w:eastAsia="Arial" w:hAnsi="Arial"/>
          <w:sz w:val="17"/>
          <w:szCs w:val="17"/>
          <w:b w:val="1"/>
          <w:bCs w:val="1"/>
          <w:color w:val="auto"/>
        </w:rPr>
        <w:t>N</w:t>
      </w:r>
      <w:r>
        <w:rPr>
          <w:rFonts w:ascii="Arial" w:cs="Arial" w:eastAsia="Arial" w:hAnsi="Arial"/>
          <w:sz w:val="15"/>
          <w:szCs w:val="15"/>
          <w:b w:val="1"/>
          <w:bCs w:val="1"/>
          <w:color w:val="auto"/>
        </w:rPr>
        <w:t>OTICE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Borrowing Base Calculation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are pro forma for proposed borrowing and related use of proceeds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20" w:type="dxa"/>
            <w:vAlign w:val="bottom"/>
            <w:gridSpan w:val="2"/>
          </w:tcPr>
          <w:p>
            <w:pPr>
              <w:spacing w:after="0"/>
              <w:rPr>
                <w:sz w:val="20"/>
                <w:szCs w:val="20"/>
                <w:color w:val="auto"/>
              </w:rPr>
            </w:pPr>
            <w:r>
              <w:rPr>
                <w:rFonts w:ascii="Arial" w:cs="Arial" w:eastAsia="Arial" w:hAnsi="Arial"/>
                <w:sz w:val="18"/>
                <w:szCs w:val="18"/>
                <w:color w:val="auto"/>
              </w:rPr>
              <w:t>Date of Determination:</w:t>
            </w:r>
          </w:p>
        </w:tc>
        <w:tc>
          <w:tcPr>
            <w:tcW w:w="1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__________</w:t>
            </w:r>
          </w:p>
        </w:tc>
        <w:tc>
          <w:tcPr>
            <w:tcW w:w="0" w:type="dxa"/>
            <w:vAlign w:val="bottom"/>
          </w:tcPr>
          <w:p>
            <w:pPr>
              <w:spacing w:after="0"/>
              <w:rPr>
                <w:sz w:val="1"/>
                <w:szCs w:val="1"/>
                <w:color w:val="auto"/>
              </w:rPr>
            </w:pPr>
          </w:p>
        </w:tc>
      </w:tr>
      <w:tr>
        <w:trPr>
          <w:trHeight w:val="37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Maximum Advance Rate Test:</w:t>
            </w:r>
          </w:p>
        </w:tc>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20" w:type="dxa"/>
            <w:vAlign w:val="bottom"/>
            <w:gridSpan w:val="2"/>
          </w:tcPr>
          <w:p>
            <w:pPr>
              <w:spacing w:after="0"/>
              <w:rPr>
                <w:sz w:val="20"/>
                <w:szCs w:val="20"/>
                <w:color w:val="auto"/>
              </w:rPr>
            </w:pPr>
            <w:r>
              <w:rPr>
                <w:rFonts w:ascii="Arial" w:cs="Arial" w:eastAsia="Arial" w:hAnsi="Arial"/>
                <w:sz w:val="18"/>
                <w:szCs w:val="18"/>
                <w:color w:val="auto"/>
              </w:rPr>
              <w:t>Satisfied if (A) is less than (B)</w:t>
            </w:r>
          </w:p>
        </w:tc>
        <w:tc>
          <w:tcPr>
            <w:tcW w:w="1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220" w:type="dxa"/>
            <w:vAlign w:val="bottom"/>
            <w:gridSpan w:val="2"/>
          </w:tcPr>
          <w:p>
            <w:pPr>
              <w:spacing w:after="0"/>
              <w:rPr>
                <w:sz w:val="20"/>
                <w:szCs w:val="20"/>
                <w:color w:val="auto"/>
              </w:rPr>
            </w:pPr>
            <w:r>
              <w:rPr>
                <w:rFonts w:ascii="Arial" w:cs="Arial" w:eastAsia="Arial" w:hAnsi="Arial"/>
                <w:sz w:val="18"/>
                <w:szCs w:val="18"/>
                <w:color w:val="auto"/>
              </w:rPr>
              <w:t>(A)  Sum of:</w:t>
            </w:r>
          </w:p>
        </w:tc>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(a) Aggregate principal balance of Advances outstanding</w:t>
            </w:r>
          </w:p>
        </w:tc>
        <w:tc>
          <w:tcPr>
            <w:tcW w:w="1360" w:type="dxa"/>
            <w:vAlign w:val="bottom"/>
          </w:tcPr>
          <w:p>
            <w:pPr>
              <w:spacing w:after="0"/>
              <w:rPr>
                <w:sz w:val="18"/>
                <w:szCs w:val="18"/>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0"/>
              </w:rPr>
              <w:t>(a)</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(b) Net Aggregate Exposure Amounts:</w:t>
            </w: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Excess of:</w:t>
            </w: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3"/>
          </w:tcPr>
          <w:p>
            <w:pPr>
              <w:ind w:left="1300"/>
              <w:spacing w:after="0"/>
              <w:rPr>
                <w:sz w:val="20"/>
                <w:szCs w:val="20"/>
                <w:color w:val="auto"/>
              </w:rPr>
            </w:pPr>
            <w:r>
              <w:rPr>
                <w:rFonts w:ascii="Arial" w:cs="Arial" w:eastAsia="Arial" w:hAnsi="Arial"/>
                <w:sz w:val="18"/>
                <w:szCs w:val="18"/>
                <w:color w:val="auto"/>
                <w:w w:val="93"/>
              </w:rPr>
              <w:t>(x) Aggregate unfunded amounts of all Revolving Collateral Loans and</w:t>
            </w: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1300"/>
              <w:spacing w:after="0"/>
              <w:rPr>
                <w:sz w:val="20"/>
                <w:szCs w:val="20"/>
                <w:color w:val="auto"/>
              </w:rPr>
            </w:pPr>
            <w:r>
              <w:rPr>
                <w:rFonts w:ascii="Arial" w:cs="Arial" w:eastAsia="Arial" w:hAnsi="Arial"/>
                <w:sz w:val="18"/>
                <w:szCs w:val="18"/>
                <w:color w:val="auto"/>
              </w:rPr>
              <w:t>Delayed Draw Collateral Loans</w:t>
            </w:r>
          </w:p>
        </w:tc>
        <w:tc>
          <w:tcPr>
            <w:tcW w:w="1360" w:type="dxa"/>
            <w:vAlign w:val="bottom"/>
          </w:tcPr>
          <w:p>
            <w:pPr>
              <w:spacing w:after="0"/>
              <w:rPr>
                <w:sz w:val="18"/>
                <w:szCs w:val="18"/>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3"/>
          </w:tcPr>
          <w:p>
            <w:pPr>
              <w:ind w:left="1300"/>
              <w:spacing w:after="0"/>
              <w:rPr>
                <w:sz w:val="20"/>
                <w:szCs w:val="20"/>
                <w:color w:val="auto"/>
              </w:rPr>
            </w:pPr>
            <w:r>
              <w:rPr>
                <w:rFonts w:ascii="Arial" w:cs="Arial" w:eastAsia="Arial" w:hAnsi="Arial"/>
                <w:sz w:val="18"/>
                <w:szCs w:val="18"/>
                <w:color w:val="auto"/>
              </w:rPr>
              <w:t>(y) Amount on deposit in the Revolving Reserve Account</w:t>
            </w: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0"/>
              </w:rPr>
              <w:t>(b)</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(B)  The Maximum Available Amount (the least of):</w:t>
            </w:r>
          </w:p>
        </w:tc>
        <w:tc>
          <w:tcPr>
            <w:tcW w:w="1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0" w:type="dxa"/>
            <w:vAlign w:val="bottom"/>
          </w:tcPr>
          <w:p>
            <w:pPr>
              <w:spacing w:after="0"/>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(a) The Facility Amount</w:t>
            </w:r>
          </w:p>
        </w:tc>
        <w:tc>
          <w:tcPr>
            <w:tcW w:w="1360" w:type="dxa"/>
            <w:vAlign w:val="bottom"/>
          </w:tcPr>
          <w:p>
            <w:pPr>
              <w:spacing w:after="0"/>
              <w:rPr>
                <w:sz w:val="18"/>
                <w:szCs w:val="18"/>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0"/>
              </w:rPr>
              <w:t>(a)</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(b) The sum of:</w:t>
            </w: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(x) The product of:</w:t>
            </w: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1300"/>
              <w:spacing w:after="0"/>
              <w:rPr>
                <w:sz w:val="20"/>
                <w:szCs w:val="20"/>
                <w:color w:val="auto"/>
              </w:rPr>
            </w:pPr>
            <w:r>
              <w:rPr>
                <w:rFonts w:ascii="Arial" w:cs="Arial" w:eastAsia="Arial" w:hAnsi="Arial"/>
                <w:sz w:val="18"/>
                <w:szCs w:val="18"/>
                <w:color w:val="auto"/>
              </w:rPr>
              <w:t>(i) The Borrowing Base:</w:t>
            </w: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3"/>
          </w:tcPr>
          <w:p>
            <w:pPr>
              <w:ind w:left="1740"/>
              <w:spacing w:after="0"/>
              <w:rPr>
                <w:sz w:val="20"/>
                <w:szCs w:val="20"/>
                <w:color w:val="auto"/>
              </w:rPr>
            </w:pPr>
            <w:r>
              <w:rPr>
                <w:rFonts w:ascii="Arial" w:cs="Arial" w:eastAsia="Arial" w:hAnsi="Arial"/>
                <w:sz w:val="18"/>
                <w:szCs w:val="18"/>
                <w:color w:val="auto"/>
              </w:rPr>
              <w:t>(X) The Aggregate Collateral Balance per clause (a), less</w:t>
            </w:r>
          </w:p>
        </w:tc>
        <w:tc>
          <w:tcPr>
            <w:tcW w:w="2360" w:type="dxa"/>
            <w:vAlign w:val="bottom"/>
          </w:tcPr>
          <w:p>
            <w:pPr>
              <w:jc w:val="right"/>
              <w:ind w:right="1112"/>
              <w:spacing w:after="0"/>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1740"/>
              <w:spacing w:after="0"/>
              <w:rPr>
                <w:sz w:val="20"/>
                <w:szCs w:val="20"/>
                <w:color w:val="auto"/>
              </w:rPr>
            </w:pPr>
            <w:r>
              <w:rPr>
                <w:rFonts w:ascii="Arial" w:cs="Arial" w:eastAsia="Arial" w:hAnsi="Arial"/>
                <w:sz w:val="18"/>
                <w:szCs w:val="18"/>
                <w:color w:val="auto"/>
              </w:rPr>
              <w:t>(Y) Any Excess Concentrations</w:t>
            </w:r>
          </w:p>
        </w:tc>
        <w:tc>
          <w:tcPr>
            <w:tcW w:w="1360" w:type="dxa"/>
            <w:vAlign w:val="bottom"/>
          </w:tcPr>
          <w:p>
            <w:pPr>
              <w:spacing w:after="0"/>
              <w:rPr>
                <w:sz w:val="18"/>
                <w:szCs w:val="18"/>
                <w:color w:val="auto"/>
              </w:rPr>
            </w:pPr>
          </w:p>
        </w:tc>
        <w:tc>
          <w:tcPr>
            <w:tcW w:w="2360" w:type="dxa"/>
            <w:vAlign w:val="bottom"/>
          </w:tcPr>
          <w:p>
            <w:pPr>
              <w:jc w:val="right"/>
              <w:ind w:right="1112"/>
              <w:spacing w:after="0"/>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gridSpan w:val="2"/>
            <w:vMerge w:val="restart"/>
          </w:tcPr>
          <w:p>
            <w:pPr>
              <w:ind w:left="1740"/>
              <w:spacing w:after="0"/>
              <w:rPr>
                <w:sz w:val="20"/>
                <w:szCs w:val="20"/>
                <w:color w:val="auto"/>
              </w:rPr>
            </w:pPr>
            <w:r>
              <w:rPr>
                <w:rFonts w:ascii="Arial" w:cs="Arial" w:eastAsia="Arial" w:hAnsi="Arial"/>
                <w:sz w:val="18"/>
                <w:szCs w:val="18"/>
                <w:i w:val="1"/>
                <w:iCs w:val="1"/>
                <w:color w:val="auto"/>
              </w:rPr>
              <w:t>times</w:t>
            </w:r>
          </w:p>
        </w:tc>
        <w:tc>
          <w:tcPr>
            <w:tcW w:w="1360" w:type="dxa"/>
            <w:vAlign w:val="bottom"/>
          </w:tcPr>
          <w:p>
            <w:pPr>
              <w:spacing w:after="0"/>
              <w:rPr>
                <w:sz w:val="19"/>
                <w:szCs w:val="19"/>
                <w:color w:val="auto"/>
              </w:rPr>
            </w:pPr>
          </w:p>
        </w:tc>
        <w:tc>
          <w:tcPr>
            <w:tcW w:w="2360" w:type="dxa"/>
            <w:vAlign w:val="bottom"/>
          </w:tcPr>
          <w:p>
            <w:pPr>
              <w:jc w:val="right"/>
              <w:ind w:right="1112"/>
              <w:spacing w:after="0"/>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22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300"/>
              <w:spacing w:after="0" w:line="190" w:lineRule="exact"/>
              <w:rPr>
                <w:sz w:val="20"/>
                <w:szCs w:val="20"/>
                <w:color w:val="auto"/>
              </w:rPr>
            </w:pPr>
            <w:r>
              <w:rPr>
                <w:rFonts w:ascii="Arial" w:cs="Arial" w:eastAsia="Arial" w:hAnsi="Arial"/>
                <w:sz w:val="18"/>
                <w:szCs w:val="18"/>
                <w:color w:val="auto"/>
                <w:w w:val="89"/>
              </w:rPr>
              <w:t xml:space="preserve">(ii) The Maximum Advance Rate (Based on Row </w:t>
            </w:r>
            <w:r>
              <w:rPr>
                <w:rFonts w:ascii="Arial" w:cs="Arial" w:eastAsia="Arial" w:hAnsi="Arial"/>
                <w:sz w:val="18"/>
                <w:szCs w:val="18"/>
                <w:b w:val="1"/>
                <w:bCs w:val="1"/>
                <w:color w:val="auto"/>
                <w:w w:val="89"/>
              </w:rPr>
              <w:t>[</w:t>
            </w:r>
          </w:p>
        </w:tc>
        <w:tc>
          <w:tcPr>
            <w:tcW w:w="340" w:type="dxa"/>
            <w:vAlign w:val="bottom"/>
            <w:tcBorders>
              <w:bottom w:val="single" w:sz="8" w:color="auto"/>
            </w:tcBorders>
          </w:tcPr>
          <w:p>
            <w:pPr>
              <w:spacing w:after="0"/>
              <w:rPr>
                <w:sz w:val="16"/>
                <w:szCs w:val="16"/>
                <w:color w:val="auto"/>
              </w:rPr>
            </w:pPr>
          </w:p>
        </w:tc>
        <w:tc>
          <w:tcPr>
            <w:tcW w:w="1360" w:type="dxa"/>
            <w:vAlign w:val="bottom"/>
          </w:tcPr>
          <w:p>
            <w:pPr>
              <w:spacing w:after="0" w:line="190"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of the Matrix)</w:t>
            </w:r>
          </w:p>
        </w:tc>
        <w:tc>
          <w:tcPr>
            <w:tcW w:w="2360" w:type="dxa"/>
            <w:vAlign w:val="bottom"/>
          </w:tcPr>
          <w:p>
            <w:pPr>
              <w:jc w:val="right"/>
              <w:ind w:right="1112"/>
              <w:spacing w:after="0" w:line="190" w:lineRule="exact"/>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20" w:type="dxa"/>
            <w:vAlign w:val="bottom"/>
            <w:gridSpan w:val="2"/>
            <w:vMerge w:val="restart"/>
          </w:tcPr>
          <w:p>
            <w:pPr>
              <w:ind w:left="1300"/>
              <w:spacing w:after="0"/>
              <w:rPr>
                <w:sz w:val="20"/>
                <w:szCs w:val="20"/>
                <w:color w:val="auto"/>
              </w:rPr>
            </w:pPr>
            <w:r>
              <w:rPr>
                <w:rFonts w:ascii="Arial" w:cs="Arial" w:eastAsia="Arial" w:hAnsi="Arial"/>
                <w:sz w:val="18"/>
                <w:szCs w:val="18"/>
                <w:i w:val="1"/>
                <w:iCs w:val="1"/>
                <w:color w:val="auto"/>
              </w:rPr>
              <w:t>plus</w:t>
            </w:r>
          </w:p>
        </w:tc>
        <w:tc>
          <w:tcPr>
            <w:tcW w:w="1360" w:type="dxa"/>
            <w:vAlign w:val="bottom"/>
          </w:tcPr>
          <w:p>
            <w:pPr>
              <w:spacing w:after="0"/>
              <w:rPr>
                <w:sz w:val="20"/>
                <w:szCs w:val="20"/>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(y) Cash in the Principal Collection Subaccount</w:t>
            </w:r>
          </w:p>
        </w:tc>
        <w:tc>
          <w:tcPr>
            <w:tcW w:w="1360" w:type="dxa"/>
            <w:vAlign w:val="bottom"/>
          </w:tcPr>
          <w:p>
            <w:pPr>
              <w:spacing w:after="0"/>
              <w:rPr>
                <w:sz w:val="18"/>
                <w:szCs w:val="18"/>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gridSpan w:val="2"/>
            <w:vMerge w:val="restart"/>
          </w:tcPr>
          <w:p>
            <w:pPr>
              <w:ind w:left="440"/>
              <w:spacing w:after="0"/>
              <w:rPr>
                <w:sz w:val="20"/>
                <w:szCs w:val="20"/>
                <w:color w:val="auto"/>
              </w:rPr>
            </w:pPr>
            <w:r>
              <w:rPr>
                <w:rFonts w:ascii="Arial" w:cs="Arial" w:eastAsia="Arial" w:hAnsi="Arial"/>
                <w:sz w:val="18"/>
                <w:szCs w:val="18"/>
                <w:color w:val="auto"/>
              </w:rPr>
              <w:t>(c) The sum of:</w:t>
            </w:r>
          </w:p>
        </w:tc>
        <w:tc>
          <w:tcPr>
            <w:tcW w:w="1360" w:type="dxa"/>
            <w:vAlign w:val="bottom"/>
          </w:tcPr>
          <w:p>
            <w:pPr>
              <w:spacing w:after="0"/>
              <w:rPr>
                <w:sz w:val="19"/>
                <w:szCs w:val="19"/>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0"/>
              </w:rPr>
              <w:t>(b)</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(x) The Borrowing Base, less</w:t>
            </w:r>
          </w:p>
        </w:tc>
        <w:tc>
          <w:tcPr>
            <w:tcW w:w="1360" w:type="dxa"/>
            <w:vAlign w:val="bottom"/>
          </w:tcPr>
          <w:p>
            <w:pPr>
              <w:spacing w:after="0"/>
              <w:rPr>
                <w:sz w:val="18"/>
                <w:szCs w:val="18"/>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(y) The Minimum Equity Amount, plus</w:t>
            </w:r>
          </w:p>
        </w:tc>
        <w:tc>
          <w:tcPr>
            <w:tcW w:w="1360" w:type="dxa"/>
            <w:vAlign w:val="bottom"/>
          </w:tcPr>
          <w:p>
            <w:pPr>
              <w:spacing w:after="0"/>
              <w:rPr>
                <w:sz w:val="18"/>
                <w:szCs w:val="18"/>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(z) Cash in the Principal Collection Subaccount</w:t>
            </w:r>
          </w:p>
        </w:tc>
        <w:tc>
          <w:tcPr>
            <w:tcW w:w="1360" w:type="dxa"/>
            <w:vAlign w:val="bottom"/>
          </w:tcPr>
          <w:p>
            <w:pPr>
              <w:spacing w:after="0"/>
              <w:rPr>
                <w:sz w:val="18"/>
                <w:szCs w:val="18"/>
                <w:color w:val="auto"/>
              </w:rPr>
            </w:pPr>
          </w:p>
        </w:tc>
        <w:tc>
          <w:tcPr>
            <w:tcW w:w="2360" w:type="dxa"/>
            <w:vAlign w:val="bottom"/>
          </w:tcPr>
          <w:p>
            <w:pPr>
              <w:jc w:val="center"/>
              <w:ind w:left="115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5"/>
              </w:rPr>
              <w:t>(c)</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COMPLIANCE?</w:t>
            </w:r>
          </w:p>
        </w:tc>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YES/NO</w:t>
            </w:r>
          </w:p>
        </w:tc>
        <w:tc>
          <w:tcPr>
            <w:tcW w:w="0" w:type="dxa"/>
            <w:vAlign w:val="bottom"/>
          </w:tcPr>
          <w:p>
            <w:pPr>
              <w:spacing w:after="0"/>
              <w:rPr>
                <w:sz w:val="1"/>
                <w:szCs w:val="1"/>
                <w:color w:val="auto"/>
              </w:rPr>
            </w:pPr>
          </w:p>
        </w:tc>
      </w:tr>
    </w:tbl>
    <w:p>
      <w:pPr>
        <w:sectPr>
          <w:pgSz w:w="11900" w:h="16838" w:orient="portrait"/>
          <w:cols w:equalWidth="0" w:num="1">
            <w:col w:w="11240"/>
          </w:cols>
          <w:pgMar w:left="320" w:top="274" w:right="3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 Coverage Ratio Test: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Satisfied if (A) is greater than or equal to (B) as of the most recent Payment Date Report</w:t>
      </w:r>
    </w:p>
    <w:p>
      <w:pPr>
        <w:sectPr>
          <w:pgSz w:w="11900" w:h="16838" w:orient="portrait"/>
          <w:cols w:equalWidth="0" w:num="1">
            <w:col w:w="11140"/>
          </w:cols>
          <w:pgMar w:left="320" w:top="274" w:right="439" w:bottom="1440" w:gutter="0" w:footer="0" w:header="0"/>
        </w:sect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  Interest Coverage Ratio, the percentage equal to:</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Collateral Interest Amount, divided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 Aggregate amount payable under Section 9.01(a)(i)(A) on the related Payment Date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  125%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_________</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_________</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69" w:lineRule="auto"/>
        <w:rPr>
          <w:sz w:val="20"/>
          <w:szCs w:val="20"/>
          <w:color w:val="auto"/>
        </w:rPr>
      </w:pPr>
      <w:r>
        <w:rPr>
          <w:rFonts w:ascii="Arial" w:cs="Arial" w:eastAsia="Arial" w:hAnsi="Arial"/>
          <w:sz w:val="15"/>
          <w:szCs w:val="15"/>
          <w:color w:val="auto"/>
        </w:rPr>
        <w:t>_________ _________</w:t>
      </w:r>
    </w:p>
    <w:p>
      <w:pPr>
        <w:spacing w:after="0" w:line="112" w:lineRule="exact"/>
        <w:rPr>
          <w:sz w:val="20"/>
          <w:szCs w:val="20"/>
          <w:color w:val="auto"/>
        </w:rPr>
      </w:pPr>
    </w:p>
    <w:p>
      <w:pPr>
        <w:sectPr>
          <w:pgSz w:w="11900" w:h="16838" w:orient="portrait"/>
          <w:cols w:equalWidth="0" w:num="3">
            <w:col w:w="8560" w:space="720"/>
            <w:col w:w="800" w:space="280"/>
            <w:col w:w="780"/>
          </w:cols>
          <w:pgMar w:left="320" w:top="274" w:right="4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COMPLIANCE?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YES/NO</w:t>
      </w:r>
    </w:p>
    <w:p>
      <w:pPr>
        <w:spacing w:after="0" w:line="186" w:lineRule="exact"/>
        <w:rPr>
          <w:sz w:val="20"/>
          <w:szCs w:val="20"/>
          <w:color w:val="auto"/>
        </w:rPr>
      </w:pPr>
    </w:p>
    <w:p>
      <w:pPr>
        <w:sectPr>
          <w:pgSz w:w="11900" w:h="16838" w:orient="portrait"/>
          <w:cols w:equalWidth="0" w:num="2">
            <w:col w:w="9780" w:space="720"/>
            <w:col w:w="640"/>
          </w:cols>
          <w:pgMar w:left="320" w:top="274"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40"/>
          </w:cols>
          <w:pgMar w:left="320" w:top="274" w:right="439" w:bottom="1440" w:gutter="0" w:footer="0" w:header="0"/>
          <w:type w:val="continuous"/>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M</w:t>
      </w:r>
      <w:r>
        <w:rPr>
          <w:rFonts w:ascii="Arial" w:cs="Arial" w:eastAsia="Arial" w:hAnsi="Arial"/>
          <w:sz w:val="15"/>
          <w:szCs w:val="15"/>
          <w:b w:val="1"/>
          <w:bCs w:val="1"/>
          <w:color w:val="auto"/>
        </w:rPr>
        <w:t xml:space="preserve">ATRIX </w:t>
      </w:r>
      <w:r>
        <w:rPr>
          <w:rFonts w:ascii="Arial" w:cs="Arial" w:eastAsia="Arial" w:hAnsi="Arial"/>
          <w:sz w:val="17"/>
          <w:szCs w:val="17"/>
          <w:b w:val="1"/>
          <w:bCs w:val="1"/>
          <w:color w:val="auto"/>
        </w:rPr>
        <w:t>A</w:t>
      </w:r>
      <w:r>
        <w:rPr>
          <w:rFonts w:ascii="Arial" w:cs="Arial" w:eastAsia="Arial" w:hAnsi="Arial"/>
          <w:sz w:val="15"/>
          <w:szCs w:val="15"/>
          <w:b w:val="1"/>
          <w:bCs w:val="1"/>
          <w:color w:val="auto"/>
        </w:rPr>
        <w:t xml:space="preserve">DJUSTMENT </w:t>
      </w:r>
      <w:r>
        <w:rPr>
          <w:rFonts w:ascii="Arial" w:cs="Arial" w:eastAsia="Arial" w:hAnsi="Arial"/>
          <w:sz w:val="17"/>
          <w:szCs w:val="17"/>
          <w:b w:val="1"/>
          <w:bCs w:val="1"/>
          <w:color w:val="auto"/>
        </w:rPr>
        <w:t>N</w:t>
      </w:r>
      <w:r>
        <w:rPr>
          <w:rFonts w:ascii="Arial" w:cs="Arial" w:eastAsia="Arial" w:hAnsi="Arial"/>
          <w:sz w:val="15"/>
          <w:szCs w:val="15"/>
          <w:b w:val="1"/>
          <w:bCs w:val="1"/>
          <w:color w:val="auto"/>
        </w:rPr>
        <w:t>OTICE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ind w:left="4360"/>
              <w:spacing w:after="0"/>
              <w:rPr>
                <w:sz w:val="20"/>
                <w:szCs w:val="20"/>
                <w:color w:val="auto"/>
              </w:rPr>
            </w:pPr>
            <w:r>
              <w:rPr>
                <w:rFonts w:ascii="Arial" w:cs="Arial" w:eastAsia="Arial" w:hAnsi="Arial"/>
                <w:sz w:val="18"/>
                <w:szCs w:val="18"/>
                <w:b w:val="1"/>
                <w:bCs w:val="1"/>
                <w:color w:val="auto"/>
              </w:rPr>
              <w:t>Matrix Selection and Compliance</w:t>
            </w:r>
          </w:p>
        </w:tc>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00" w:type="dxa"/>
            <w:vAlign w:val="bottom"/>
          </w:tcPr>
          <w:p>
            <w:pPr>
              <w:spacing w:after="0"/>
              <w:rPr>
                <w:sz w:val="20"/>
                <w:szCs w:val="20"/>
                <w:color w:val="auto"/>
              </w:rPr>
            </w:pPr>
            <w:r>
              <w:rPr>
                <w:rFonts w:ascii="Arial" w:cs="Arial" w:eastAsia="Arial" w:hAnsi="Arial"/>
                <w:sz w:val="18"/>
                <w:szCs w:val="18"/>
                <w:b w:val="1"/>
                <w:bCs w:val="1"/>
                <w:color w:val="auto"/>
              </w:rPr>
              <w:t>Select Matrix Row</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7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jc w:val="right"/>
              <w:ind w:right="215"/>
              <w:spacing w:after="0"/>
              <w:rPr>
                <w:sz w:val="20"/>
                <w:szCs w:val="20"/>
                <w:color w:val="auto"/>
              </w:rPr>
            </w:pPr>
            <w:r>
              <w:rPr>
                <w:rFonts w:ascii="Arial" w:cs="Arial" w:eastAsia="Arial" w:hAnsi="Arial"/>
                <w:sz w:val="13"/>
                <w:szCs w:val="13"/>
                <w:b w:val="1"/>
                <w:bCs w:val="1"/>
                <w:color w:val="auto"/>
              </w:rPr>
              <w:t>Applicable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500" w:type="dxa"/>
            <w:vAlign w:val="bottom"/>
          </w:tcPr>
          <w:p>
            <w:pPr>
              <w:spacing w:after="0"/>
              <w:rPr>
                <w:sz w:val="12"/>
                <w:szCs w:val="12"/>
                <w:color w:val="auto"/>
              </w:rPr>
            </w:pPr>
          </w:p>
        </w:tc>
        <w:tc>
          <w:tcPr>
            <w:tcW w:w="1660" w:type="dxa"/>
            <w:vAlign w:val="bottom"/>
          </w:tcPr>
          <w:p>
            <w:pPr>
              <w:jc w:val="right"/>
              <w:ind w:right="314"/>
              <w:spacing w:after="0" w:line="147" w:lineRule="exact"/>
              <w:rPr>
                <w:sz w:val="20"/>
                <w:szCs w:val="20"/>
                <w:color w:val="auto"/>
              </w:rPr>
            </w:pPr>
            <w:r>
              <w:rPr>
                <w:rFonts w:ascii="Arial" w:cs="Arial" w:eastAsia="Arial" w:hAnsi="Arial"/>
                <w:sz w:val="13"/>
                <w:szCs w:val="13"/>
                <w:b w:val="1"/>
                <w:bCs w:val="1"/>
                <w:color w:val="auto"/>
              </w:rPr>
              <w:t>Current</w:t>
            </w:r>
          </w:p>
        </w:tc>
        <w:tc>
          <w:tcPr>
            <w:tcW w:w="1220" w:type="dxa"/>
            <w:vAlign w:val="bottom"/>
          </w:tcPr>
          <w:p>
            <w:pPr>
              <w:jc w:val="right"/>
              <w:ind w:right="375"/>
              <w:spacing w:after="0" w:line="147" w:lineRule="exact"/>
              <w:rPr>
                <w:sz w:val="20"/>
                <w:szCs w:val="20"/>
                <w:color w:val="auto"/>
              </w:rPr>
            </w:pPr>
            <w:r>
              <w:rPr>
                <w:rFonts w:ascii="Arial" w:cs="Arial" w:eastAsia="Arial" w:hAnsi="Arial"/>
                <w:sz w:val="13"/>
                <w:szCs w:val="13"/>
                <w:b w:val="1"/>
                <w:bCs w:val="1"/>
                <w:color w:val="auto"/>
              </w:rPr>
              <w:t>Limit</w:t>
            </w:r>
          </w:p>
        </w:tc>
        <w:tc>
          <w:tcPr>
            <w:tcW w:w="860" w:type="dxa"/>
            <w:vAlign w:val="bottom"/>
          </w:tcPr>
          <w:p>
            <w:pPr>
              <w:ind w:left="160"/>
              <w:spacing w:after="0" w:line="147" w:lineRule="exact"/>
              <w:rPr>
                <w:sz w:val="20"/>
                <w:szCs w:val="20"/>
                <w:color w:val="auto"/>
              </w:rPr>
            </w:pPr>
            <w:r>
              <w:rPr>
                <w:rFonts w:ascii="Arial" w:cs="Arial" w:eastAsia="Arial" w:hAnsi="Arial"/>
                <w:sz w:val="13"/>
                <w:szCs w:val="13"/>
                <w:b w:val="1"/>
                <w:bCs w:val="1"/>
                <w:color w:val="auto"/>
                <w:w w:val="92"/>
              </w:rPr>
              <w:t>Compliance</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Maximum Advance Rate</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ind w:left="180"/>
              <w:spacing w:after="0"/>
              <w:rPr>
                <w:sz w:val="20"/>
                <w:szCs w:val="20"/>
                <w:color w:val="auto"/>
              </w:rPr>
            </w:pPr>
            <w:r>
              <w:rPr>
                <w:rFonts w:ascii="Arial" w:cs="Arial" w:eastAsia="Arial" w:hAnsi="Arial"/>
                <w:sz w:val="18"/>
                <w:szCs w:val="18"/>
                <w:b w:val="1"/>
                <w:bCs w:val="1"/>
                <w:color w:val="auto"/>
                <w:w w:val="96"/>
              </w:rPr>
              <w:t>YES/NO</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Minimum Weighted Average Spread</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Minimum Diversity Score</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ind w:left="180"/>
              <w:spacing w:after="0"/>
              <w:rPr>
                <w:sz w:val="20"/>
                <w:szCs w:val="20"/>
                <w:color w:val="auto"/>
              </w:rPr>
            </w:pPr>
            <w:r>
              <w:rPr>
                <w:rFonts w:ascii="Arial" w:cs="Arial" w:eastAsia="Arial" w:hAnsi="Arial"/>
                <w:sz w:val="18"/>
                <w:szCs w:val="18"/>
                <w:b w:val="1"/>
                <w:bCs w:val="1"/>
                <w:color w:val="auto"/>
                <w:w w:val="96"/>
              </w:rPr>
              <w:t>YES/NO</w:t>
            </w: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b w:val="1"/>
                <w:bCs w:val="1"/>
                <w:color w:val="auto"/>
              </w:rPr>
              <w:t>Maximum Obligor Concentration</w:t>
            </w: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Second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Third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Fourth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Fifth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Sixth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Seventh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440"/>
              <w:spacing w:after="0"/>
              <w:rPr>
                <w:sz w:val="20"/>
                <w:szCs w:val="20"/>
                <w:color w:val="auto"/>
              </w:rPr>
            </w:pPr>
            <w:r>
              <w:rPr>
                <w:rFonts w:ascii="Arial" w:cs="Arial" w:eastAsia="Arial" w:hAnsi="Arial"/>
                <w:sz w:val="18"/>
                <w:szCs w:val="18"/>
                <w:color w:val="auto"/>
              </w:rPr>
              <w:t>All Others</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b w:val="1"/>
                <w:bCs w:val="1"/>
                <w:color w:val="auto"/>
              </w:rPr>
              <w:t>Ratings Limitations</w:t>
            </w: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6"/>
              </w:rPr>
              <w:t>YES/NO</w:t>
            </w:r>
          </w:p>
        </w:tc>
        <w:tc>
          <w:tcPr>
            <w:tcW w:w="0" w:type="dxa"/>
            <w:vAlign w:val="bottom"/>
          </w:tcPr>
          <w:p>
            <w:pPr>
              <w:spacing w:after="0"/>
              <w:rPr>
                <w:sz w:val="1"/>
                <w:szCs w:val="1"/>
                <w:color w:val="auto"/>
              </w:rPr>
            </w:pPr>
          </w:p>
        </w:tc>
      </w:tr>
      <w:tr>
        <w:trPr>
          <w:trHeight w:val="210"/>
        </w:trPr>
        <w:tc>
          <w:tcPr>
            <w:tcW w:w="7500" w:type="dxa"/>
            <w:vAlign w:val="bottom"/>
          </w:tcPr>
          <w:p>
            <w:pPr>
              <w:ind w:left="440"/>
              <w:spacing w:after="0"/>
              <w:rPr>
                <w:sz w:val="20"/>
                <w:szCs w:val="20"/>
                <w:color w:val="auto"/>
              </w:rPr>
            </w:pPr>
            <w:r>
              <w:rPr>
                <w:rFonts w:ascii="Arial" w:cs="Arial" w:eastAsia="Arial" w:hAnsi="Arial"/>
                <w:sz w:val="18"/>
                <w:szCs w:val="18"/>
                <w:color w:val="auto"/>
              </w:rPr>
              <w:t>Percentage of Aggregate Collateral Balance rated B/B2 or better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b w:val="1"/>
                <w:bCs w:val="1"/>
                <w:color w:val="auto"/>
              </w:rPr>
              <w:t>Maximum Loan Types</w:t>
            </w: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Senior B and Second Lien</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ind w:left="440"/>
              <w:spacing w:after="0"/>
              <w:rPr>
                <w:sz w:val="20"/>
                <w:szCs w:val="20"/>
                <w:color w:val="auto"/>
              </w:rPr>
            </w:pPr>
            <w:r>
              <w:rPr>
                <w:rFonts w:ascii="Arial" w:cs="Arial" w:eastAsia="Arial" w:hAnsi="Arial"/>
                <w:sz w:val="18"/>
                <w:szCs w:val="18"/>
                <w:color w:val="auto"/>
              </w:rPr>
              <w:t>Second Lien</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4" w:right="339" w:bottom="1440" w:gutter="0" w:footer="0" w:header="0"/>
        </w:sectPr>
      </w:pPr>
    </w:p>
    <w:bookmarkStart w:id="232" w:name="page233"/>
    <w:bookmarkEnd w:id="2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w:t>
      </w:r>
    </w:p>
    <w:p>
      <w:pPr>
        <w:spacing w:after="0" w:line="17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3.03(e)</w:t>
      </w:r>
      <w:r>
        <w:rPr>
          <w:rFonts w:ascii="Arial" w:cs="Arial" w:eastAsia="Arial" w:hAnsi="Arial"/>
          <w:sz w:val="18"/>
          <w:szCs w:val="18"/>
          <w:color w:val="auto"/>
        </w:rPr>
        <w:t xml:space="preserve"> of that certain Amended and Restated Revolving Credit and Security Agreement (the “</w:t>
      </w:r>
      <w:r>
        <w:rPr>
          <w:rFonts w:ascii="Arial" w:cs="Arial" w:eastAsia="Arial" w:hAnsi="Arial"/>
          <w:sz w:val="18"/>
          <w:szCs w:val="18"/>
          <w:i w:val="1"/>
          <w:iCs w:val="1"/>
          <w:color w:val="auto"/>
        </w:rPr>
        <w:t>Credit Agreement</w:t>
      </w:r>
      <w:r>
        <w:rPr>
          <w:rFonts w:ascii="Arial" w:cs="Arial" w:eastAsia="Arial" w:hAnsi="Arial"/>
          <w:sz w:val="18"/>
          <w:szCs w:val="18"/>
          <w:color w:val="auto"/>
        </w:rPr>
        <w:t>”), dated as May 14, 2012, by and among PennantPark Floating Rate Funding I, LLC, a Delaware limited liability company, as borrower (the “</w:t>
      </w:r>
      <w:r>
        <w:rPr>
          <w:rFonts w:ascii="Arial" w:cs="Arial" w:eastAsia="Arial" w:hAnsi="Arial"/>
          <w:sz w:val="18"/>
          <w:szCs w:val="18"/>
          <w:i w:val="1"/>
          <w:iCs w:val="1"/>
          <w:color w:val="auto"/>
        </w:rPr>
        <w:t>Borrower</w:t>
      </w:r>
      <w:r>
        <w:rPr>
          <w:rFonts w:ascii="Arial" w:cs="Arial" w:eastAsia="Arial" w:hAnsi="Arial"/>
          <w:sz w:val="18"/>
          <w:szCs w:val="18"/>
          <w:color w:val="auto"/>
        </w:rPr>
        <w:t>”), PennantPark Investment Advisers, LLC, a Delaware limited liability company, as collateral manager, the Lenders from time to time party thereto, SunTrust Bank, as administrative agent, and U.S. Bank National Association, as collateral agent (the “</w:t>
      </w:r>
      <w:r>
        <w:rPr>
          <w:rFonts w:ascii="Arial" w:cs="Arial" w:eastAsia="Arial" w:hAnsi="Arial"/>
          <w:sz w:val="18"/>
          <w:szCs w:val="18"/>
          <w:i w:val="1"/>
          <w:iCs w:val="1"/>
          <w:color w:val="auto"/>
        </w:rPr>
        <w:t>Collateral Agent</w:t>
      </w:r>
      <w:r>
        <w:rPr>
          <w:rFonts w:ascii="Arial" w:cs="Arial" w:eastAsia="Arial" w:hAnsi="Arial"/>
          <w:sz w:val="18"/>
          <w:szCs w:val="18"/>
          <w:color w:val="auto"/>
        </w:rPr>
        <w:t>”), as collateral administrator, as custodian and as backup collateral manager, Borrower does hereby certify that, in the case of each item of Collateral pledged to the Collateral Agent, on the date hereof and immediately prior to the delivery thereof on the date hereof:</w:t>
      </w:r>
    </w:p>
    <w:p>
      <w:pPr>
        <w:spacing w:after="0" w:line="57" w:lineRule="exact"/>
        <w:rPr>
          <w:sz w:val="20"/>
          <w:szCs w:val="20"/>
          <w:color w:val="auto"/>
        </w:rPr>
      </w:pPr>
    </w:p>
    <w:p>
      <w:pPr>
        <w:ind w:left="460" w:firstLine="428"/>
        <w:spacing w:after="0" w:line="275" w:lineRule="auto"/>
        <w:tabs>
          <w:tab w:leader="none" w:pos="106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On the Restatement Effective Date, the Matrix Inputs set forth in Row </w:t>
      </w:r>
      <w:r>
        <w:rPr>
          <w:rFonts w:ascii="Arial" w:cs="Arial" w:eastAsia="Arial" w:hAnsi="Arial"/>
          <w:sz w:val="18"/>
          <w:szCs w:val="18"/>
          <w:b w:val="1"/>
          <w:bCs w:val="1"/>
          <w:color w:val="auto"/>
        </w:rPr>
        <w:t>[__]</w:t>
      </w:r>
      <w:r>
        <w:rPr>
          <w:rFonts w:ascii="Arial" w:cs="Arial" w:eastAsia="Arial" w:hAnsi="Arial"/>
          <w:sz w:val="18"/>
          <w:szCs w:val="18"/>
          <w:color w:val="auto"/>
        </w:rPr>
        <w:t xml:space="preserve"> of the Matrix shall apply. The calculation of the Borrowing Base and the Maximum Advance Rate Test on the Restatement Effective Date is set forth on Schedule I hereto.</w:t>
      </w:r>
    </w:p>
    <w:p>
      <w:pPr>
        <w:spacing w:after="0" w:line="44" w:lineRule="exact"/>
        <w:rPr>
          <w:rFonts w:ascii="Arial" w:cs="Arial" w:eastAsia="Arial" w:hAnsi="Arial"/>
          <w:sz w:val="18"/>
          <w:szCs w:val="18"/>
          <w:color w:val="auto"/>
        </w:rPr>
      </w:pPr>
    </w:p>
    <w:p>
      <w:pPr>
        <w:ind w:left="460" w:right="60" w:firstLine="428"/>
        <w:spacing w:after="0" w:line="268" w:lineRule="auto"/>
        <w:tabs>
          <w:tab w:leader="none" w:pos="106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On the Restatement Effective Date, each Coverage Test is satisfied and no Default or Event of Default has occurred and is continuing under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defined herein shall have the meaning given to such terms in the Credit Agreement.</w:t>
      </w:r>
    </w:p>
    <w:p>
      <w:pPr>
        <w:sectPr>
          <w:pgSz w:w="11900" w:h="16838" w:orient="portrait"/>
          <w:cols w:equalWidth="0" w:num="1">
            <w:col w:w="11200"/>
          </w:cols>
          <w:pgMar w:left="320" w:top="274" w:right="379" w:bottom="1440" w:gutter="0" w:footer="0" w:header="0"/>
        </w:sectPr>
      </w:pPr>
    </w:p>
    <w:bookmarkStart w:id="233" w:name="page234"/>
    <w:bookmarkEnd w:id="233"/>
    <w:p>
      <w:pPr>
        <w:ind w:firstLine="44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Borrower has caused this Restatement Effective Date Closing Certificate to be duly executed as of the day and year first above written.</w:t>
      </w:r>
    </w:p>
    <w:p>
      <w:pPr>
        <w:spacing w:after="0" w:line="17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LLC, as Borrower</w:t>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C</w:t>
      </w:r>
      <w:r>
        <w:rPr>
          <w:rFonts w:ascii="Arial" w:cs="Arial" w:eastAsia="Arial" w:hAnsi="Arial"/>
          <w:sz w:val="14"/>
          <w:szCs w:val="14"/>
          <w:color w:val="auto"/>
        </w:rPr>
        <w:t>APITAL</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TD</w:t>
      </w:r>
      <w:r>
        <w:rPr>
          <w:rFonts w:ascii="Arial" w:cs="Arial" w:eastAsia="Arial" w:hAnsi="Arial"/>
          <w:sz w:val="18"/>
          <w:szCs w:val="18"/>
          <w:color w:val="auto"/>
        </w:rPr>
        <w:t>., as Designated Manager</w:t>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10795</wp:posOffset>
            </wp:positionV>
            <wp:extent cx="26746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100"/>
          </w:cols>
          <w:pgMar w:left="320" w:top="280" w:right="47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R</w:t>
      </w:r>
      <w:r>
        <w:rPr>
          <w:rFonts w:ascii="Arial" w:cs="Arial" w:eastAsia="Arial" w:hAnsi="Arial"/>
          <w:sz w:val="15"/>
          <w:szCs w:val="15"/>
          <w:b w:val="1"/>
          <w:bCs w:val="1"/>
          <w:color w:val="auto"/>
        </w:rPr>
        <w:t xml:space="preserve">ESTATEMENT </w:t>
      </w:r>
      <w:r>
        <w:rPr>
          <w:rFonts w:ascii="Arial" w:cs="Arial" w:eastAsia="Arial" w:hAnsi="Arial"/>
          <w:sz w:val="17"/>
          <w:szCs w:val="17"/>
          <w:b w:val="1"/>
          <w:bCs w:val="1"/>
          <w:color w:val="auto"/>
        </w:rPr>
        <w:t>E</w:t>
      </w:r>
      <w:r>
        <w:rPr>
          <w:rFonts w:ascii="Arial" w:cs="Arial" w:eastAsia="Arial" w:hAnsi="Arial"/>
          <w:sz w:val="15"/>
          <w:szCs w:val="15"/>
          <w:b w:val="1"/>
          <w:bCs w:val="1"/>
          <w:color w:val="auto"/>
        </w:rPr>
        <w:t xml:space="preserve">FFECTIVE </w:t>
      </w:r>
      <w:r>
        <w:rPr>
          <w:rFonts w:ascii="Arial" w:cs="Arial" w:eastAsia="Arial" w:hAnsi="Arial"/>
          <w:sz w:val="17"/>
          <w:szCs w:val="17"/>
          <w:b w:val="1"/>
          <w:bCs w:val="1"/>
          <w:color w:val="auto"/>
        </w:rPr>
        <w:t>D</w:t>
      </w:r>
      <w:r>
        <w:rPr>
          <w:rFonts w:ascii="Arial" w:cs="Arial" w:eastAsia="Arial" w:hAnsi="Arial"/>
          <w:sz w:val="15"/>
          <w:szCs w:val="15"/>
          <w:b w:val="1"/>
          <w:bCs w:val="1"/>
          <w:color w:val="auto"/>
        </w:rPr>
        <w:t xml:space="preserve">ATE </w:t>
      </w:r>
      <w:r>
        <w:rPr>
          <w:rFonts w:ascii="Arial" w:cs="Arial" w:eastAsia="Arial" w:hAnsi="Arial"/>
          <w:sz w:val="17"/>
          <w:szCs w:val="17"/>
          <w:b w:val="1"/>
          <w:bCs w:val="1"/>
          <w:color w:val="auto"/>
        </w:rPr>
        <w:t>C</w:t>
      </w:r>
      <w:r>
        <w:rPr>
          <w:rFonts w:ascii="Arial" w:cs="Arial" w:eastAsia="Arial" w:hAnsi="Arial"/>
          <w:sz w:val="15"/>
          <w:szCs w:val="15"/>
          <w:b w:val="1"/>
          <w:bCs w:val="1"/>
          <w:color w:val="auto"/>
        </w:rPr>
        <w:t xml:space="preserve">LOSING </w:t>
      </w:r>
      <w:r>
        <w:rPr>
          <w:rFonts w:ascii="Arial" w:cs="Arial" w:eastAsia="Arial" w:hAnsi="Arial"/>
          <w:sz w:val="17"/>
          <w:szCs w:val="17"/>
          <w:b w:val="1"/>
          <w:bCs w:val="1"/>
          <w:color w:val="auto"/>
        </w:rPr>
        <w:t>C</w:t>
      </w:r>
      <w:r>
        <w:rPr>
          <w:rFonts w:ascii="Arial" w:cs="Arial" w:eastAsia="Arial" w:hAnsi="Arial"/>
          <w:sz w:val="15"/>
          <w:szCs w:val="15"/>
          <w:b w:val="1"/>
          <w:bCs w:val="1"/>
          <w:color w:val="auto"/>
        </w:rPr>
        <w:t>ERTIFICATE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Borrowing Base Calculation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are pro forma for proposed borrowing and related use of proceeds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20" w:type="dxa"/>
            <w:vAlign w:val="bottom"/>
            <w:gridSpan w:val="2"/>
          </w:tcPr>
          <w:p>
            <w:pPr>
              <w:spacing w:after="0"/>
              <w:rPr>
                <w:sz w:val="20"/>
                <w:szCs w:val="20"/>
                <w:color w:val="auto"/>
              </w:rPr>
            </w:pPr>
            <w:r>
              <w:rPr>
                <w:rFonts w:ascii="Arial" w:cs="Arial" w:eastAsia="Arial" w:hAnsi="Arial"/>
                <w:sz w:val="18"/>
                <w:szCs w:val="18"/>
                <w:color w:val="auto"/>
              </w:rPr>
              <w:t>Date of Determination:</w:t>
            </w:r>
          </w:p>
        </w:tc>
        <w:tc>
          <w:tcPr>
            <w:tcW w:w="1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__________</w:t>
            </w:r>
          </w:p>
        </w:tc>
        <w:tc>
          <w:tcPr>
            <w:tcW w:w="0" w:type="dxa"/>
            <w:vAlign w:val="bottom"/>
          </w:tcPr>
          <w:p>
            <w:pPr>
              <w:spacing w:after="0"/>
              <w:rPr>
                <w:sz w:val="1"/>
                <w:szCs w:val="1"/>
                <w:color w:val="auto"/>
              </w:rPr>
            </w:pPr>
          </w:p>
        </w:tc>
      </w:tr>
      <w:tr>
        <w:trPr>
          <w:trHeight w:val="37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Maximum Advance Rate Test:</w:t>
            </w:r>
          </w:p>
        </w:tc>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20" w:type="dxa"/>
            <w:vAlign w:val="bottom"/>
            <w:gridSpan w:val="2"/>
          </w:tcPr>
          <w:p>
            <w:pPr>
              <w:spacing w:after="0"/>
              <w:rPr>
                <w:sz w:val="20"/>
                <w:szCs w:val="20"/>
                <w:color w:val="auto"/>
              </w:rPr>
            </w:pPr>
            <w:r>
              <w:rPr>
                <w:rFonts w:ascii="Arial" w:cs="Arial" w:eastAsia="Arial" w:hAnsi="Arial"/>
                <w:sz w:val="18"/>
                <w:szCs w:val="18"/>
                <w:color w:val="auto"/>
              </w:rPr>
              <w:t>Satisfied if (A) is less than (B)</w:t>
            </w:r>
          </w:p>
        </w:tc>
        <w:tc>
          <w:tcPr>
            <w:tcW w:w="1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220" w:type="dxa"/>
            <w:vAlign w:val="bottom"/>
            <w:gridSpan w:val="2"/>
          </w:tcPr>
          <w:p>
            <w:pPr>
              <w:spacing w:after="0"/>
              <w:rPr>
                <w:sz w:val="20"/>
                <w:szCs w:val="20"/>
                <w:color w:val="auto"/>
              </w:rPr>
            </w:pPr>
            <w:r>
              <w:rPr>
                <w:rFonts w:ascii="Arial" w:cs="Arial" w:eastAsia="Arial" w:hAnsi="Arial"/>
                <w:sz w:val="18"/>
                <w:szCs w:val="18"/>
                <w:color w:val="auto"/>
              </w:rPr>
              <w:t>(A)  Sum of:</w:t>
            </w:r>
          </w:p>
        </w:tc>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(a) Aggregate principal balance of Advances outstanding</w:t>
            </w:r>
          </w:p>
        </w:tc>
        <w:tc>
          <w:tcPr>
            <w:tcW w:w="1360" w:type="dxa"/>
            <w:vAlign w:val="bottom"/>
          </w:tcPr>
          <w:p>
            <w:pPr>
              <w:spacing w:after="0"/>
              <w:rPr>
                <w:sz w:val="18"/>
                <w:szCs w:val="18"/>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0"/>
              </w:rPr>
              <w:t>(a)</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(b) Net Aggregate Exposure Amounts:</w:t>
            </w: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Excess of:</w:t>
            </w: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3"/>
          </w:tcPr>
          <w:p>
            <w:pPr>
              <w:ind w:left="1300"/>
              <w:spacing w:after="0"/>
              <w:rPr>
                <w:sz w:val="20"/>
                <w:szCs w:val="20"/>
                <w:color w:val="auto"/>
              </w:rPr>
            </w:pPr>
            <w:r>
              <w:rPr>
                <w:rFonts w:ascii="Arial" w:cs="Arial" w:eastAsia="Arial" w:hAnsi="Arial"/>
                <w:sz w:val="18"/>
                <w:szCs w:val="18"/>
                <w:color w:val="auto"/>
                <w:w w:val="93"/>
              </w:rPr>
              <w:t>(x) Aggregate unfunded amounts of all Revolving Collateral Loans and</w:t>
            </w: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1300"/>
              <w:spacing w:after="0"/>
              <w:rPr>
                <w:sz w:val="20"/>
                <w:szCs w:val="20"/>
                <w:color w:val="auto"/>
              </w:rPr>
            </w:pPr>
            <w:r>
              <w:rPr>
                <w:rFonts w:ascii="Arial" w:cs="Arial" w:eastAsia="Arial" w:hAnsi="Arial"/>
                <w:sz w:val="18"/>
                <w:szCs w:val="18"/>
                <w:color w:val="auto"/>
              </w:rPr>
              <w:t>Delayed Draw Collateral Loans</w:t>
            </w:r>
          </w:p>
        </w:tc>
        <w:tc>
          <w:tcPr>
            <w:tcW w:w="1360" w:type="dxa"/>
            <w:vAlign w:val="bottom"/>
          </w:tcPr>
          <w:p>
            <w:pPr>
              <w:spacing w:after="0"/>
              <w:rPr>
                <w:sz w:val="18"/>
                <w:szCs w:val="18"/>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3"/>
          </w:tcPr>
          <w:p>
            <w:pPr>
              <w:ind w:left="1300"/>
              <w:spacing w:after="0"/>
              <w:rPr>
                <w:sz w:val="20"/>
                <w:szCs w:val="20"/>
                <w:color w:val="auto"/>
              </w:rPr>
            </w:pPr>
            <w:r>
              <w:rPr>
                <w:rFonts w:ascii="Arial" w:cs="Arial" w:eastAsia="Arial" w:hAnsi="Arial"/>
                <w:sz w:val="18"/>
                <w:szCs w:val="18"/>
                <w:color w:val="auto"/>
              </w:rPr>
              <w:t>(y) Amount on deposit in the Revolving Reserve Account</w:t>
            </w: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0"/>
              </w:rPr>
              <w:t>(b)</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(B)  The Maximum Available Amount (the least of):</w:t>
            </w:r>
          </w:p>
        </w:tc>
        <w:tc>
          <w:tcPr>
            <w:tcW w:w="1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0" w:type="dxa"/>
            <w:vAlign w:val="bottom"/>
          </w:tcPr>
          <w:p>
            <w:pPr>
              <w:spacing w:after="0"/>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(a) The Facility Amount</w:t>
            </w:r>
          </w:p>
        </w:tc>
        <w:tc>
          <w:tcPr>
            <w:tcW w:w="1360" w:type="dxa"/>
            <w:vAlign w:val="bottom"/>
          </w:tcPr>
          <w:p>
            <w:pPr>
              <w:spacing w:after="0"/>
              <w:rPr>
                <w:sz w:val="18"/>
                <w:szCs w:val="18"/>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0"/>
              </w:rPr>
              <w:t>(a)</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(b) The sum of:</w:t>
            </w: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(x) The product of:</w:t>
            </w: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1300"/>
              <w:spacing w:after="0"/>
              <w:rPr>
                <w:sz w:val="20"/>
                <w:szCs w:val="20"/>
                <w:color w:val="auto"/>
              </w:rPr>
            </w:pPr>
            <w:r>
              <w:rPr>
                <w:rFonts w:ascii="Arial" w:cs="Arial" w:eastAsia="Arial" w:hAnsi="Arial"/>
                <w:sz w:val="18"/>
                <w:szCs w:val="18"/>
                <w:color w:val="auto"/>
              </w:rPr>
              <w:t>(i) The Borrowing Base:</w:t>
            </w: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3"/>
          </w:tcPr>
          <w:p>
            <w:pPr>
              <w:ind w:left="1740"/>
              <w:spacing w:after="0"/>
              <w:rPr>
                <w:sz w:val="20"/>
                <w:szCs w:val="20"/>
                <w:color w:val="auto"/>
              </w:rPr>
            </w:pPr>
            <w:r>
              <w:rPr>
                <w:rFonts w:ascii="Arial" w:cs="Arial" w:eastAsia="Arial" w:hAnsi="Arial"/>
                <w:sz w:val="18"/>
                <w:szCs w:val="18"/>
                <w:color w:val="auto"/>
              </w:rPr>
              <w:t>(X) The Aggregate Collateral Balance per clause (a), less</w:t>
            </w:r>
          </w:p>
        </w:tc>
        <w:tc>
          <w:tcPr>
            <w:tcW w:w="2360" w:type="dxa"/>
            <w:vAlign w:val="bottom"/>
          </w:tcPr>
          <w:p>
            <w:pPr>
              <w:jc w:val="right"/>
              <w:ind w:right="1112"/>
              <w:spacing w:after="0"/>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1740"/>
              <w:spacing w:after="0"/>
              <w:rPr>
                <w:sz w:val="20"/>
                <w:szCs w:val="20"/>
                <w:color w:val="auto"/>
              </w:rPr>
            </w:pPr>
            <w:r>
              <w:rPr>
                <w:rFonts w:ascii="Arial" w:cs="Arial" w:eastAsia="Arial" w:hAnsi="Arial"/>
                <w:sz w:val="18"/>
                <w:szCs w:val="18"/>
                <w:color w:val="auto"/>
              </w:rPr>
              <w:t>(Y) Any Excess Concentrations</w:t>
            </w:r>
          </w:p>
        </w:tc>
        <w:tc>
          <w:tcPr>
            <w:tcW w:w="1360" w:type="dxa"/>
            <w:vAlign w:val="bottom"/>
          </w:tcPr>
          <w:p>
            <w:pPr>
              <w:spacing w:after="0"/>
              <w:rPr>
                <w:sz w:val="18"/>
                <w:szCs w:val="18"/>
                <w:color w:val="auto"/>
              </w:rPr>
            </w:pPr>
          </w:p>
        </w:tc>
        <w:tc>
          <w:tcPr>
            <w:tcW w:w="2360" w:type="dxa"/>
            <w:vAlign w:val="bottom"/>
          </w:tcPr>
          <w:p>
            <w:pPr>
              <w:jc w:val="right"/>
              <w:ind w:right="1112"/>
              <w:spacing w:after="0"/>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gridSpan w:val="2"/>
            <w:vMerge w:val="restart"/>
          </w:tcPr>
          <w:p>
            <w:pPr>
              <w:ind w:left="1740"/>
              <w:spacing w:after="0"/>
              <w:rPr>
                <w:sz w:val="20"/>
                <w:szCs w:val="20"/>
                <w:color w:val="auto"/>
              </w:rPr>
            </w:pPr>
            <w:r>
              <w:rPr>
                <w:rFonts w:ascii="Arial" w:cs="Arial" w:eastAsia="Arial" w:hAnsi="Arial"/>
                <w:sz w:val="18"/>
                <w:szCs w:val="18"/>
                <w:i w:val="1"/>
                <w:iCs w:val="1"/>
                <w:color w:val="auto"/>
              </w:rPr>
              <w:t>times</w:t>
            </w:r>
          </w:p>
        </w:tc>
        <w:tc>
          <w:tcPr>
            <w:tcW w:w="1360" w:type="dxa"/>
            <w:vAlign w:val="bottom"/>
          </w:tcPr>
          <w:p>
            <w:pPr>
              <w:spacing w:after="0"/>
              <w:rPr>
                <w:sz w:val="19"/>
                <w:szCs w:val="19"/>
                <w:color w:val="auto"/>
              </w:rPr>
            </w:pPr>
          </w:p>
        </w:tc>
        <w:tc>
          <w:tcPr>
            <w:tcW w:w="2360" w:type="dxa"/>
            <w:vAlign w:val="bottom"/>
          </w:tcPr>
          <w:p>
            <w:pPr>
              <w:jc w:val="right"/>
              <w:ind w:right="1112"/>
              <w:spacing w:after="0"/>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22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300"/>
              <w:spacing w:after="0" w:line="190" w:lineRule="exact"/>
              <w:rPr>
                <w:sz w:val="20"/>
                <w:szCs w:val="20"/>
                <w:color w:val="auto"/>
              </w:rPr>
            </w:pPr>
            <w:r>
              <w:rPr>
                <w:rFonts w:ascii="Arial" w:cs="Arial" w:eastAsia="Arial" w:hAnsi="Arial"/>
                <w:sz w:val="18"/>
                <w:szCs w:val="18"/>
                <w:color w:val="auto"/>
                <w:w w:val="89"/>
              </w:rPr>
              <w:t xml:space="preserve">(ii) The Maximum Advance Rate (Based on Row </w:t>
            </w:r>
            <w:r>
              <w:rPr>
                <w:rFonts w:ascii="Arial" w:cs="Arial" w:eastAsia="Arial" w:hAnsi="Arial"/>
                <w:sz w:val="18"/>
                <w:szCs w:val="18"/>
                <w:b w:val="1"/>
                <w:bCs w:val="1"/>
                <w:color w:val="auto"/>
                <w:w w:val="89"/>
              </w:rPr>
              <w:t>[</w:t>
            </w:r>
          </w:p>
        </w:tc>
        <w:tc>
          <w:tcPr>
            <w:tcW w:w="340" w:type="dxa"/>
            <w:vAlign w:val="bottom"/>
            <w:tcBorders>
              <w:bottom w:val="single" w:sz="8" w:color="auto"/>
            </w:tcBorders>
          </w:tcPr>
          <w:p>
            <w:pPr>
              <w:spacing w:after="0"/>
              <w:rPr>
                <w:sz w:val="16"/>
                <w:szCs w:val="16"/>
                <w:color w:val="auto"/>
              </w:rPr>
            </w:pPr>
          </w:p>
        </w:tc>
        <w:tc>
          <w:tcPr>
            <w:tcW w:w="1360" w:type="dxa"/>
            <w:vAlign w:val="bottom"/>
          </w:tcPr>
          <w:p>
            <w:pPr>
              <w:spacing w:after="0" w:line="190"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of the Matrix)</w:t>
            </w:r>
          </w:p>
        </w:tc>
        <w:tc>
          <w:tcPr>
            <w:tcW w:w="2360" w:type="dxa"/>
            <w:vAlign w:val="bottom"/>
          </w:tcPr>
          <w:p>
            <w:pPr>
              <w:jc w:val="right"/>
              <w:ind w:right="1112"/>
              <w:spacing w:after="0" w:line="190" w:lineRule="exact"/>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20" w:type="dxa"/>
            <w:vAlign w:val="bottom"/>
            <w:gridSpan w:val="2"/>
            <w:vMerge w:val="restart"/>
          </w:tcPr>
          <w:p>
            <w:pPr>
              <w:ind w:left="1300"/>
              <w:spacing w:after="0"/>
              <w:rPr>
                <w:sz w:val="20"/>
                <w:szCs w:val="20"/>
                <w:color w:val="auto"/>
              </w:rPr>
            </w:pPr>
            <w:r>
              <w:rPr>
                <w:rFonts w:ascii="Arial" w:cs="Arial" w:eastAsia="Arial" w:hAnsi="Arial"/>
                <w:sz w:val="18"/>
                <w:szCs w:val="18"/>
                <w:i w:val="1"/>
                <w:iCs w:val="1"/>
                <w:color w:val="auto"/>
              </w:rPr>
              <w:t>plus</w:t>
            </w:r>
          </w:p>
        </w:tc>
        <w:tc>
          <w:tcPr>
            <w:tcW w:w="1360" w:type="dxa"/>
            <w:vAlign w:val="bottom"/>
          </w:tcPr>
          <w:p>
            <w:pPr>
              <w:spacing w:after="0"/>
              <w:rPr>
                <w:sz w:val="20"/>
                <w:szCs w:val="20"/>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(y) Cash in the Principal Collection Subaccount</w:t>
            </w:r>
          </w:p>
        </w:tc>
        <w:tc>
          <w:tcPr>
            <w:tcW w:w="1360" w:type="dxa"/>
            <w:vAlign w:val="bottom"/>
          </w:tcPr>
          <w:p>
            <w:pPr>
              <w:spacing w:after="0"/>
              <w:rPr>
                <w:sz w:val="18"/>
                <w:szCs w:val="18"/>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gridSpan w:val="2"/>
            <w:vMerge w:val="restart"/>
          </w:tcPr>
          <w:p>
            <w:pPr>
              <w:ind w:left="440"/>
              <w:spacing w:after="0"/>
              <w:rPr>
                <w:sz w:val="20"/>
                <w:szCs w:val="20"/>
                <w:color w:val="auto"/>
              </w:rPr>
            </w:pPr>
            <w:r>
              <w:rPr>
                <w:rFonts w:ascii="Arial" w:cs="Arial" w:eastAsia="Arial" w:hAnsi="Arial"/>
                <w:sz w:val="18"/>
                <w:szCs w:val="18"/>
                <w:color w:val="auto"/>
              </w:rPr>
              <w:t>(c) The sum of:</w:t>
            </w:r>
          </w:p>
        </w:tc>
        <w:tc>
          <w:tcPr>
            <w:tcW w:w="1360" w:type="dxa"/>
            <w:vAlign w:val="bottom"/>
          </w:tcPr>
          <w:p>
            <w:pPr>
              <w:spacing w:after="0"/>
              <w:rPr>
                <w:sz w:val="19"/>
                <w:szCs w:val="19"/>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0"/>
              </w:rPr>
              <w:t>(b)</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(x) The Borrowing Base, less</w:t>
            </w:r>
          </w:p>
        </w:tc>
        <w:tc>
          <w:tcPr>
            <w:tcW w:w="1360" w:type="dxa"/>
            <w:vAlign w:val="bottom"/>
          </w:tcPr>
          <w:p>
            <w:pPr>
              <w:spacing w:after="0"/>
              <w:rPr>
                <w:sz w:val="18"/>
                <w:szCs w:val="18"/>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(y) The Minimum Equity Amount, plus</w:t>
            </w:r>
          </w:p>
        </w:tc>
        <w:tc>
          <w:tcPr>
            <w:tcW w:w="1360" w:type="dxa"/>
            <w:vAlign w:val="bottom"/>
          </w:tcPr>
          <w:p>
            <w:pPr>
              <w:spacing w:after="0"/>
              <w:rPr>
                <w:sz w:val="18"/>
                <w:szCs w:val="18"/>
                <w:color w:val="auto"/>
              </w:rPr>
            </w:pPr>
          </w:p>
        </w:tc>
        <w:tc>
          <w:tcPr>
            <w:tcW w:w="2360" w:type="dxa"/>
            <w:vAlign w:val="bottom"/>
          </w:tcPr>
          <w:p>
            <w:pPr>
              <w:jc w:val="center"/>
              <w:ind w:left="107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(z) Cash in the Principal Collection Subaccount</w:t>
            </w:r>
          </w:p>
        </w:tc>
        <w:tc>
          <w:tcPr>
            <w:tcW w:w="1360" w:type="dxa"/>
            <w:vAlign w:val="bottom"/>
          </w:tcPr>
          <w:p>
            <w:pPr>
              <w:spacing w:after="0"/>
              <w:rPr>
                <w:sz w:val="18"/>
                <w:szCs w:val="18"/>
                <w:color w:val="auto"/>
              </w:rPr>
            </w:pPr>
          </w:p>
        </w:tc>
        <w:tc>
          <w:tcPr>
            <w:tcW w:w="2360" w:type="dxa"/>
            <w:vAlign w:val="bottom"/>
          </w:tcPr>
          <w:p>
            <w:pPr>
              <w:jc w:val="center"/>
              <w:ind w:left="1152"/>
              <w:spacing w:after="0"/>
              <w:rPr>
                <w:sz w:val="20"/>
                <w:szCs w:val="20"/>
                <w:color w:val="auto"/>
              </w:rPr>
            </w:pPr>
            <w:r>
              <w:rPr>
                <w:rFonts w:ascii="Arial" w:cs="Arial" w:eastAsia="Arial" w:hAnsi="Arial"/>
                <w:sz w:val="18"/>
                <w:szCs w:val="18"/>
                <w:color w:val="auto"/>
                <w:w w:val="87"/>
              </w:rPr>
              <w:t>__________</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jc w:val="center"/>
              <w:ind w:left="1112"/>
              <w:spacing w:after="0"/>
              <w:rPr>
                <w:sz w:val="20"/>
                <w:szCs w:val="20"/>
                <w:color w:val="auto"/>
              </w:rPr>
            </w:pPr>
            <w:r>
              <w:rPr>
                <w:rFonts w:ascii="Arial" w:cs="Arial" w:eastAsia="Arial" w:hAnsi="Arial"/>
                <w:sz w:val="18"/>
                <w:szCs w:val="18"/>
                <w:color w:val="auto"/>
                <w:w w:val="95"/>
              </w:rPr>
              <w:t>(c)</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__________</w:t>
            </w: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COMPLIANCE?</w:t>
            </w:r>
          </w:p>
        </w:tc>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YES/NO</w:t>
            </w:r>
          </w:p>
        </w:tc>
        <w:tc>
          <w:tcPr>
            <w:tcW w:w="0" w:type="dxa"/>
            <w:vAlign w:val="bottom"/>
          </w:tcPr>
          <w:p>
            <w:pPr>
              <w:spacing w:after="0"/>
              <w:rPr>
                <w:sz w:val="1"/>
                <w:szCs w:val="1"/>
                <w:color w:val="auto"/>
              </w:rPr>
            </w:pPr>
          </w:p>
        </w:tc>
      </w:tr>
    </w:tbl>
    <w:p>
      <w:pPr>
        <w:sectPr>
          <w:pgSz w:w="11900" w:h="16838" w:orient="portrait"/>
          <w:cols w:equalWidth="0" w:num="1">
            <w:col w:w="11240"/>
          </w:cols>
          <w:pgMar w:left="320" w:top="274" w:right="3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 Coverage Ratio Test: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Satisfied if (A) is greater than or equal to (B) as of the most recent Payment Date Report</w:t>
      </w:r>
    </w:p>
    <w:p>
      <w:pPr>
        <w:sectPr>
          <w:pgSz w:w="11900" w:h="16838" w:orient="portrait"/>
          <w:cols w:equalWidth="0" w:num="1">
            <w:col w:w="11140"/>
          </w:cols>
          <w:pgMar w:left="320" w:top="382" w:right="439" w:bottom="1440" w:gutter="0" w:footer="0" w:header="0"/>
        </w:sectPr>
      </w:pP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  Interest Coverage Ratio, the percentage equal to:</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Collateral Interest Amount, divided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 Aggregate amount payable under Section 9.01(a)(i)(A) on the related Payment Date</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_________</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_________</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_________</w:t>
      </w:r>
    </w:p>
    <w:p>
      <w:pPr>
        <w:spacing w:after="0" w:line="145" w:lineRule="exact"/>
        <w:rPr>
          <w:sz w:val="20"/>
          <w:szCs w:val="20"/>
          <w:color w:val="auto"/>
        </w:rPr>
      </w:pPr>
    </w:p>
    <w:p>
      <w:pPr>
        <w:sectPr>
          <w:pgSz w:w="11900" w:h="16838" w:orient="portrait"/>
          <w:cols w:equalWidth="0" w:num="3">
            <w:col w:w="8580" w:space="720"/>
            <w:col w:w="800" w:space="260"/>
            <w:col w:w="780"/>
          </w:cols>
          <w:pgMar w:left="320" w:top="382" w:right="4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  125%</w:t>
      </w:r>
    </w:p>
    <w:p>
      <w:pPr>
        <w:spacing w:after="0" w:line="20" w:lineRule="exact"/>
        <w:rPr>
          <w:sz w:val="20"/>
          <w:szCs w:val="20"/>
          <w:color w:val="auto"/>
        </w:rPr>
      </w:pPr>
      <w:r>
        <w:rPr>
          <w:sz w:val="20"/>
          <w:szCs w:val="20"/>
          <w:color w:val="auto"/>
        </w:rPr>
        <w:br w:type="column"/>
      </w:r>
    </w:p>
    <w:p>
      <w:pPr>
        <w:spacing w:after="0"/>
        <w:tabs>
          <w:tab w:leader="none" w:pos="760" w:val="left"/>
        </w:tabs>
        <w:rPr>
          <w:sz w:val="20"/>
          <w:szCs w:val="20"/>
          <w:color w:val="auto"/>
        </w:rPr>
      </w:pPr>
      <w:r>
        <w:rPr>
          <w:rFonts w:ascii="Arial" w:cs="Arial" w:eastAsia="Arial" w:hAnsi="Arial"/>
          <w:sz w:val="15"/>
          <w:szCs w:val="15"/>
          <w:b w:val="1"/>
          <w:bCs w:val="1"/>
          <w:color w:val="auto"/>
        </w:rPr>
        <w:t>(B)</w:t>
      </w:r>
      <w:r>
        <w:rPr>
          <w:sz w:val="20"/>
          <w:szCs w:val="20"/>
          <w:color w:val="auto"/>
        </w:rPr>
        <w:tab/>
      </w:r>
      <w:r>
        <w:rPr>
          <w:rFonts w:ascii="Arial" w:cs="Arial" w:eastAsia="Arial" w:hAnsi="Arial"/>
          <w:sz w:val="15"/>
          <w:szCs w:val="15"/>
          <w:color w:val="auto"/>
        </w:rPr>
        <w:t>_________</w:t>
      </w:r>
    </w:p>
    <w:p>
      <w:pPr>
        <w:spacing w:after="0" w:line="151" w:lineRule="exact"/>
        <w:rPr>
          <w:sz w:val="20"/>
          <w:szCs w:val="20"/>
          <w:color w:val="auto"/>
        </w:rPr>
      </w:pPr>
    </w:p>
    <w:p>
      <w:pPr>
        <w:sectPr>
          <w:pgSz w:w="11900" w:h="16838" w:orient="portrait"/>
          <w:cols w:equalWidth="0" w:num="2">
            <w:col w:w="8860" w:space="720"/>
            <w:col w:w="1560"/>
          </w:cols>
          <w:pgMar w:left="320" w:top="382" w:right="4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COMPLIANCE?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YES/NO</w:t>
      </w:r>
    </w:p>
    <w:p>
      <w:pPr>
        <w:spacing w:after="0" w:line="186" w:lineRule="exact"/>
        <w:rPr>
          <w:sz w:val="20"/>
          <w:szCs w:val="20"/>
          <w:color w:val="auto"/>
        </w:rPr>
      </w:pPr>
    </w:p>
    <w:p>
      <w:pPr>
        <w:sectPr>
          <w:pgSz w:w="11900" w:h="16838" w:orient="portrait"/>
          <w:cols w:equalWidth="0" w:num="2">
            <w:col w:w="9780" w:space="720"/>
            <w:col w:w="640"/>
          </w:cols>
          <w:pgMar w:left="320" w:top="382"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40"/>
          </w:cols>
          <w:pgMar w:left="320" w:top="382" w:right="439" w:bottom="1440" w:gutter="0" w:footer="0" w:header="0"/>
          <w:type w:val="continuous"/>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R</w:t>
      </w:r>
      <w:r>
        <w:rPr>
          <w:rFonts w:ascii="Arial" w:cs="Arial" w:eastAsia="Arial" w:hAnsi="Arial"/>
          <w:sz w:val="15"/>
          <w:szCs w:val="15"/>
          <w:b w:val="1"/>
          <w:bCs w:val="1"/>
          <w:color w:val="auto"/>
        </w:rPr>
        <w:t xml:space="preserve">ESTATEMENT </w:t>
      </w:r>
      <w:r>
        <w:rPr>
          <w:rFonts w:ascii="Arial" w:cs="Arial" w:eastAsia="Arial" w:hAnsi="Arial"/>
          <w:sz w:val="17"/>
          <w:szCs w:val="17"/>
          <w:b w:val="1"/>
          <w:bCs w:val="1"/>
          <w:color w:val="auto"/>
        </w:rPr>
        <w:t>E</w:t>
      </w:r>
      <w:r>
        <w:rPr>
          <w:rFonts w:ascii="Arial" w:cs="Arial" w:eastAsia="Arial" w:hAnsi="Arial"/>
          <w:sz w:val="15"/>
          <w:szCs w:val="15"/>
          <w:b w:val="1"/>
          <w:bCs w:val="1"/>
          <w:color w:val="auto"/>
        </w:rPr>
        <w:t xml:space="preserve">FFECTIVE </w:t>
      </w:r>
      <w:r>
        <w:rPr>
          <w:rFonts w:ascii="Arial" w:cs="Arial" w:eastAsia="Arial" w:hAnsi="Arial"/>
          <w:sz w:val="17"/>
          <w:szCs w:val="17"/>
          <w:b w:val="1"/>
          <w:bCs w:val="1"/>
          <w:color w:val="auto"/>
        </w:rPr>
        <w:t>D</w:t>
      </w:r>
      <w:r>
        <w:rPr>
          <w:rFonts w:ascii="Arial" w:cs="Arial" w:eastAsia="Arial" w:hAnsi="Arial"/>
          <w:sz w:val="15"/>
          <w:szCs w:val="15"/>
          <w:b w:val="1"/>
          <w:bCs w:val="1"/>
          <w:color w:val="auto"/>
        </w:rPr>
        <w:t xml:space="preserve">ATE </w:t>
      </w:r>
      <w:r>
        <w:rPr>
          <w:rFonts w:ascii="Arial" w:cs="Arial" w:eastAsia="Arial" w:hAnsi="Arial"/>
          <w:sz w:val="17"/>
          <w:szCs w:val="17"/>
          <w:b w:val="1"/>
          <w:bCs w:val="1"/>
          <w:color w:val="auto"/>
        </w:rPr>
        <w:t>C</w:t>
      </w:r>
      <w:r>
        <w:rPr>
          <w:rFonts w:ascii="Arial" w:cs="Arial" w:eastAsia="Arial" w:hAnsi="Arial"/>
          <w:sz w:val="15"/>
          <w:szCs w:val="15"/>
          <w:b w:val="1"/>
          <w:bCs w:val="1"/>
          <w:color w:val="auto"/>
        </w:rPr>
        <w:t xml:space="preserve">LOSING </w:t>
      </w:r>
      <w:r>
        <w:rPr>
          <w:rFonts w:ascii="Arial" w:cs="Arial" w:eastAsia="Arial" w:hAnsi="Arial"/>
          <w:sz w:val="17"/>
          <w:szCs w:val="17"/>
          <w:b w:val="1"/>
          <w:bCs w:val="1"/>
          <w:color w:val="auto"/>
        </w:rPr>
        <w:t>C</w:t>
      </w:r>
      <w:r>
        <w:rPr>
          <w:rFonts w:ascii="Arial" w:cs="Arial" w:eastAsia="Arial" w:hAnsi="Arial"/>
          <w:sz w:val="15"/>
          <w:szCs w:val="15"/>
          <w:b w:val="1"/>
          <w:bCs w:val="1"/>
          <w:color w:val="auto"/>
        </w:rPr>
        <w:t>ERTIFICATE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ind w:left="4360"/>
              <w:spacing w:after="0"/>
              <w:rPr>
                <w:sz w:val="20"/>
                <w:szCs w:val="20"/>
                <w:color w:val="auto"/>
              </w:rPr>
            </w:pPr>
            <w:r>
              <w:rPr>
                <w:rFonts w:ascii="Arial" w:cs="Arial" w:eastAsia="Arial" w:hAnsi="Arial"/>
                <w:sz w:val="18"/>
                <w:szCs w:val="18"/>
                <w:b w:val="1"/>
                <w:bCs w:val="1"/>
                <w:color w:val="auto"/>
              </w:rPr>
              <w:t>Matrix Selection and Compliance</w:t>
            </w:r>
          </w:p>
        </w:tc>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00" w:type="dxa"/>
            <w:vAlign w:val="bottom"/>
          </w:tcPr>
          <w:p>
            <w:pPr>
              <w:spacing w:after="0"/>
              <w:rPr>
                <w:sz w:val="20"/>
                <w:szCs w:val="20"/>
                <w:color w:val="auto"/>
              </w:rPr>
            </w:pPr>
            <w:r>
              <w:rPr>
                <w:rFonts w:ascii="Arial" w:cs="Arial" w:eastAsia="Arial" w:hAnsi="Arial"/>
                <w:sz w:val="18"/>
                <w:szCs w:val="18"/>
                <w:b w:val="1"/>
                <w:bCs w:val="1"/>
                <w:color w:val="auto"/>
              </w:rPr>
              <w:t>Select Matrix Row</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7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jc w:val="right"/>
              <w:ind w:right="215"/>
              <w:spacing w:after="0"/>
              <w:rPr>
                <w:sz w:val="20"/>
                <w:szCs w:val="20"/>
                <w:color w:val="auto"/>
              </w:rPr>
            </w:pPr>
            <w:r>
              <w:rPr>
                <w:rFonts w:ascii="Arial" w:cs="Arial" w:eastAsia="Arial" w:hAnsi="Arial"/>
                <w:sz w:val="13"/>
                <w:szCs w:val="13"/>
                <w:b w:val="1"/>
                <w:bCs w:val="1"/>
                <w:color w:val="auto"/>
              </w:rPr>
              <w:t>Applicable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500" w:type="dxa"/>
            <w:vAlign w:val="bottom"/>
          </w:tcPr>
          <w:p>
            <w:pPr>
              <w:spacing w:after="0"/>
              <w:rPr>
                <w:sz w:val="12"/>
                <w:szCs w:val="12"/>
                <w:color w:val="auto"/>
              </w:rPr>
            </w:pPr>
          </w:p>
        </w:tc>
        <w:tc>
          <w:tcPr>
            <w:tcW w:w="1660" w:type="dxa"/>
            <w:vAlign w:val="bottom"/>
          </w:tcPr>
          <w:p>
            <w:pPr>
              <w:jc w:val="right"/>
              <w:ind w:right="314"/>
              <w:spacing w:after="0" w:line="147" w:lineRule="exact"/>
              <w:rPr>
                <w:sz w:val="20"/>
                <w:szCs w:val="20"/>
                <w:color w:val="auto"/>
              </w:rPr>
            </w:pPr>
            <w:r>
              <w:rPr>
                <w:rFonts w:ascii="Arial" w:cs="Arial" w:eastAsia="Arial" w:hAnsi="Arial"/>
                <w:sz w:val="13"/>
                <w:szCs w:val="13"/>
                <w:b w:val="1"/>
                <w:bCs w:val="1"/>
                <w:color w:val="auto"/>
              </w:rPr>
              <w:t>Current</w:t>
            </w:r>
          </w:p>
        </w:tc>
        <w:tc>
          <w:tcPr>
            <w:tcW w:w="1220" w:type="dxa"/>
            <w:vAlign w:val="bottom"/>
          </w:tcPr>
          <w:p>
            <w:pPr>
              <w:jc w:val="right"/>
              <w:ind w:right="375"/>
              <w:spacing w:after="0" w:line="147" w:lineRule="exact"/>
              <w:rPr>
                <w:sz w:val="20"/>
                <w:szCs w:val="20"/>
                <w:color w:val="auto"/>
              </w:rPr>
            </w:pPr>
            <w:r>
              <w:rPr>
                <w:rFonts w:ascii="Arial" w:cs="Arial" w:eastAsia="Arial" w:hAnsi="Arial"/>
                <w:sz w:val="13"/>
                <w:szCs w:val="13"/>
                <w:b w:val="1"/>
                <w:bCs w:val="1"/>
                <w:color w:val="auto"/>
              </w:rPr>
              <w:t>Limit</w:t>
            </w:r>
          </w:p>
        </w:tc>
        <w:tc>
          <w:tcPr>
            <w:tcW w:w="860" w:type="dxa"/>
            <w:vAlign w:val="bottom"/>
          </w:tcPr>
          <w:p>
            <w:pPr>
              <w:ind w:left="160"/>
              <w:spacing w:after="0" w:line="147" w:lineRule="exact"/>
              <w:rPr>
                <w:sz w:val="20"/>
                <w:szCs w:val="20"/>
                <w:color w:val="auto"/>
              </w:rPr>
            </w:pPr>
            <w:r>
              <w:rPr>
                <w:rFonts w:ascii="Arial" w:cs="Arial" w:eastAsia="Arial" w:hAnsi="Arial"/>
                <w:sz w:val="13"/>
                <w:szCs w:val="13"/>
                <w:b w:val="1"/>
                <w:bCs w:val="1"/>
                <w:color w:val="auto"/>
                <w:w w:val="92"/>
              </w:rPr>
              <w:t>Compliance</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Maximum Advance Rate</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ind w:left="180"/>
              <w:spacing w:after="0"/>
              <w:rPr>
                <w:sz w:val="20"/>
                <w:szCs w:val="20"/>
                <w:color w:val="auto"/>
              </w:rPr>
            </w:pPr>
            <w:r>
              <w:rPr>
                <w:rFonts w:ascii="Arial" w:cs="Arial" w:eastAsia="Arial" w:hAnsi="Arial"/>
                <w:sz w:val="18"/>
                <w:szCs w:val="18"/>
                <w:b w:val="1"/>
                <w:bCs w:val="1"/>
                <w:color w:val="auto"/>
                <w:w w:val="96"/>
              </w:rPr>
              <w:t>YES/NO</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Minimum Weighted Average Spread</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Minimum Diversity Score</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ind w:left="180"/>
              <w:spacing w:after="0"/>
              <w:rPr>
                <w:sz w:val="20"/>
                <w:szCs w:val="20"/>
                <w:color w:val="auto"/>
              </w:rPr>
            </w:pPr>
            <w:r>
              <w:rPr>
                <w:rFonts w:ascii="Arial" w:cs="Arial" w:eastAsia="Arial" w:hAnsi="Arial"/>
                <w:sz w:val="18"/>
                <w:szCs w:val="18"/>
                <w:b w:val="1"/>
                <w:bCs w:val="1"/>
                <w:color w:val="auto"/>
                <w:w w:val="96"/>
              </w:rPr>
              <w:t>YES/NO</w:t>
            </w: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b w:val="1"/>
                <w:bCs w:val="1"/>
                <w:color w:val="auto"/>
              </w:rPr>
              <w:t>Maximum Obligor Concentration</w:t>
            </w: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Second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Third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Fourth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Fifth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Sixth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Seventh Largest Obligor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440"/>
              <w:spacing w:after="0"/>
              <w:rPr>
                <w:sz w:val="20"/>
                <w:szCs w:val="20"/>
                <w:color w:val="auto"/>
              </w:rPr>
            </w:pPr>
            <w:r>
              <w:rPr>
                <w:rFonts w:ascii="Arial" w:cs="Arial" w:eastAsia="Arial" w:hAnsi="Arial"/>
                <w:sz w:val="18"/>
                <w:szCs w:val="18"/>
                <w:color w:val="auto"/>
              </w:rPr>
              <w:t>All Others</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b w:val="1"/>
                <w:bCs w:val="1"/>
                <w:color w:val="auto"/>
              </w:rPr>
              <w:t>Ratings Limitations</w:t>
            </w: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6"/>
              </w:rPr>
              <w:t>YES/NO</w:t>
            </w:r>
          </w:p>
        </w:tc>
        <w:tc>
          <w:tcPr>
            <w:tcW w:w="0" w:type="dxa"/>
            <w:vAlign w:val="bottom"/>
          </w:tcPr>
          <w:p>
            <w:pPr>
              <w:spacing w:after="0"/>
              <w:rPr>
                <w:sz w:val="1"/>
                <w:szCs w:val="1"/>
                <w:color w:val="auto"/>
              </w:rPr>
            </w:pPr>
          </w:p>
        </w:tc>
      </w:tr>
      <w:tr>
        <w:trPr>
          <w:trHeight w:val="210"/>
        </w:trPr>
        <w:tc>
          <w:tcPr>
            <w:tcW w:w="7500" w:type="dxa"/>
            <w:vAlign w:val="bottom"/>
          </w:tcPr>
          <w:p>
            <w:pPr>
              <w:ind w:left="440"/>
              <w:spacing w:after="0"/>
              <w:rPr>
                <w:sz w:val="20"/>
                <w:szCs w:val="20"/>
                <w:color w:val="auto"/>
              </w:rPr>
            </w:pPr>
            <w:r>
              <w:rPr>
                <w:rFonts w:ascii="Arial" w:cs="Arial" w:eastAsia="Arial" w:hAnsi="Arial"/>
                <w:sz w:val="18"/>
                <w:szCs w:val="18"/>
                <w:color w:val="auto"/>
              </w:rPr>
              <w:t>Percentage of Aggregate Collateral Balance rated B/B2 or better</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b w:val="1"/>
                <w:bCs w:val="1"/>
                <w:color w:val="auto"/>
              </w:rPr>
              <w:t>Maximum Loan Types</w:t>
            </w: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Senior B and Second Lien</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ind w:left="440"/>
              <w:spacing w:after="0"/>
              <w:rPr>
                <w:sz w:val="20"/>
                <w:szCs w:val="20"/>
                <w:color w:val="auto"/>
              </w:rPr>
            </w:pPr>
            <w:r>
              <w:rPr>
                <w:rFonts w:ascii="Arial" w:cs="Arial" w:eastAsia="Arial" w:hAnsi="Arial"/>
                <w:sz w:val="18"/>
                <w:szCs w:val="18"/>
                <w:color w:val="auto"/>
              </w:rPr>
              <w:t>Second Lien</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__________</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__________</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4"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ADVISORY MANAGEMENT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ADVISERS, LLC</w:t>
      </w:r>
    </w:p>
    <w:p>
      <w:pPr>
        <w:spacing w:after="0" w:line="177" w:lineRule="exact"/>
        <w:rPr>
          <w:sz w:val="20"/>
          <w:szCs w:val="20"/>
          <w:color w:val="auto"/>
        </w:rPr>
      </w:pPr>
    </w:p>
    <w:p>
      <w:pPr>
        <w:jc w:val="both"/>
        <w:ind w:right="240" w:firstLine="449"/>
        <w:spacing w:after="0" w:line="259" w:lineRule="auto"/>
        <w:rPr>
          <w:sz w:val="20"/>
          <w:szCs w:val="20"/>
          <w:color w:val="auto"/>
        </w:rPr>
      </w:pPr>
      <w:r>
        <w:rPr>
          <w:rFonts w:ascii="Arial" w:cs="Arial" w:eastAsia="Arial" w:hAnsi="Arial"/>
          <w:sz w:val="18"/>
          <w:szCs w:val="18"/>
          <w:color w:val="auto"/>
        </w:rPr>
        <w:t>AMENDED AND RESTATED AGREEMENT (this “Agreement”) made this 7</w:t>
      </w:r>
      <w:r>
        <w:rPr>
          <w:rFonts w:ascii="Arial" w:cs="Arial" w:eastAsia="Arial" w:hAnsi="Arial"/>
          <w:sz w:val="11"/>
          <w:szCs w:val="11"/>
          <w:color w:val="auto"/>
        </w:rPr>
        <w:t>th</w:t>
      </w:r>
      <w:r>
        <w:rPr>
          <w:rFonts w:ascii="Arial" w:cs="Arial" w:eastAsia="Arial" w:hAnsi="Arial"/>
          <w:sz w:val="18"/>
          <w:szCs w:val="18"/>
          <w:color w:val="auto"/>
        </w:rPr>
        <w:t xml:space="preserve"> day of August, 2012, by and between PENNANTPARK FLOATING RATE CAPITAL LTD., a Maryland corporation (the “Corporation”), and PENNANTPARK INVESTMENT ADVISERS, LLC, a Delaware limited liability company (the “Adviser”).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Corporation operates as a closed-end management investment company;</w:t>
      </w:r>
    </w:p>
    <w:p>
      <w:pPr>
        <w:spacing w:after="0" w:line="171" w:lineRule="exact"/>
        <w:rPr>
          <w:sz w:val="20"/>
          <w:szCs w:val="20"/>
          <w:color w:val="auto"/>
        </w:rPr>
      </w:pPr>
    </w:p>
    <w:p>
      <w:pPr>
        <w:ind w:right="420" w:firstLine="449"/>
        <w:spacing w:after="0" w:line="268" w:lineRule="auto"/>
        <w:rPr>
          <w:sz w:val="20"/>
          <w:szCs w:val="20"/>
          <w:color w:val="auto"/>
        </w:rPr>
      </w:pPr>
      <w:r>
        <w:rPr>
          <w:rFonts w:ascii="Arial" w:cs="Arial" w:eastAsia="Arial" w:hAnsi="Arial"/>
          <w:sz w:val="18"/>
          <w:szCs w:val="18"/>
          <w:color w:val="auto"/>
        </w:rPr>
        <w:t>WHEREAS, the Corporation has filed an election to be treated as a business development company under the Investment Company Act of 1940, as amended (the “1940 Act”);</w:t>
      </w:r>
    </w:p>
    <w:p>
      <w:pPr>
        <w:spacing w:after="0" w:line="132" w:lineRule="exact"/>
        <w:rPr>
          <w:sz w:val="20"/>
          <w:szCs w:val="20"/>
          <w:color w:val="auto"/>
        </w:rPr>
      </w:pPr>
    </w:p>
    <w:p>
      <w:pPr>
        <w:ind w:right="180" w:firstLine="449"/>
        <w:spacing w:after="0" w:line="268" w:lineRule="auto"/>
        <w:rPr>
          <w:sz w:val="20"/>
          <w:szCs w:val="20"/>
          <w:color w:val="auto"/>
        </w:rPr>
      </w:pPr>
      <w:r>
        <w:rPr>
          <w:rFonts w:ascii="Arial" w:cs="Arial" w:eastAsia="Arial" w:hAnsi="Arial"/>
          <w:sz w:val="18"/>
          <w:szCs w:val="18"/>
          <w:color w:val="auto"/>
        </w:rPr>
        <w:t>WHEREAS, the Corporation and the Adviser are party to that certain investment advisory management agreement dated April 7, 2011 by and between the Corporation and the Adviser (the “Prior Agreement”); and</w:t>
      </w:r>
    </w:p>
    <w:p>
      <w:pPr>
        <w:spacing w:after="0" w:line="132" w:lineRule="exact"/>
        <w:rPr>
          <w:sz w:val="20"/>
          <w:szCs w:val="20"/>
          <w:color w:val="auto"/>
        </w:rPr>
      </w:pPr>
    </w:p>
    <w:p>
      <w:pPr>
        <w:ind w:right="340" w:firstLine="449"/>
        <w:spacing w:after="0" w:line="268" w:lineRule="auto"/>
        <w:rPr>
          <w:sz w:val="20"/>
          <w:szCs w:val="20"/>
          <w:color w:val="auto"/>
        </w:rPr>
      </w:pPr>
      <w:r>
        <w:rPr>
          <w:rFonts w:ascii="Arial" w:cs="Arial" w:eastAsia="Arial" w:hAnsi="Arial"/>
          <w:sz w:val="18"/>
          <w:szCs w:val="18"/>
          <w:color w:val="auto"/>
        </w:rPr>
        <w:t>WHEREAS, the Corporation and the Adviser desire to amend and restate the Prior Agreement to set forth the terms and conditions for the continued provision by the Adviser of investment advisory services to the Corporation.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and for other good and valuable consideration, the parties hereby agree as follows:</w:t>
      </w:r>
    </w:p>
    <w:p>
      <w:pPr>
        <w:spacing w:after="0" w:line="194" w:lineRule="exact"/>
        <w:rPr>
          <w:sz w:val="20"/>
          <w:szCs w:val="20"/>
          <w:color w:val="auto"/>
        </w:rPr>
      </w:pPr>
    </w:p>
    <w:p>
      <w:pPr>
        <w:ind w:left="640" w:hanging="183"/>
        <w:spacing w:after="0"/>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Duties of the Adviser</w:t>
      </w:r>
      <w:r>
        <w:rPr>
          <w:rFonts w:ascii="Arial" w:cs="Arial" w:eastAsia="Arial" w:hAnsi="Arial"/>
          <w:sz w:val="18"/>
          <w:szCs w:val="18"/>
          <w:color w:val="auto"/>
        </w:rPr>
        <w:t>.</w:t>
      </w:r>
    </w:p>
    <w:p>
      <w:pPr>
        <w:spacing w:after="0" w:line="171" w:lineRule="exact"/>
        <w:rPr>
          <w:sz w:val="20"/>
          <w:szCs w:val="20"/>
          <w:color w:val="auto"/>
        </w:rPr>
      </w:pPr>
    </w:p>
    <w:p>
      <w:pPr>
        <w:ind w:right="120" w:firstLine="457"/>
        <w:spacing w:after="0" w:line="290" w:lineRule="auto"/>
        <w:tabs>
          <w:tab w:leader="none" w:pos="68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Corporation hereby employs the Adviser to act as the investment adviser to the Corporation and to manage the investment and reinvestment of the assets of the Corporation, subject to the supervision of the Board of Directors of the Corporation, for the period and upon the terms herein set forth, (i) in accordance with the investment objective, policies and restrictions that are set forth in the Corporation’s registration statement, as the same may be amended from time to time, (ii) in accordance with the 1940 Act and (iii) during the term of this Agreement in accordance with all other applicable federal and state laws, rules and regulations, and the Corporation’s charter and by-laws. Without limiting the generality of the foregoing, the Adviser shall, during the term and subject to the provisions of this Agreement, (i) determine the composition of the portfolio of the Corporation, the nature and timing of the changes therein and the manner of implementing such changes; (ii) identify, evaluate and negotiate the structure of</w:t>
      </w:r>
    </w:p>
    <w:p>
      <w:pPr>
        <w:sectPr>
          <w:pgSz w:w="11900" w:h="16838" w:orient="portrait"/>
          <w:cols w:equalWidth="0" w:num="1">
            <w:col w:w="11240"/>
          </w:cols>
          <w:pgMar w:left="320" w:top="125" w:right="339" w:bottom="1440" w:gutter="0" w:footer="0" w:header="0"/>
        </w:sectPr>
      </w:pPr>
    </w:p>
    <w:bookmarkStart w:id="238" w:name="page239"/>
    <w:bookmarkEnd w:id="23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investments made by the Corporation; (iii) close and monitor the Corporation’s investments; determine the securities and other assets that the Corporation will purchase, retain, or sell; perform due diligence on prospective portfolio companies; and (vi) provide the Corporation with such other investment advisory, research and related services as the Corporation may, from time to time, reasonably require for the investment of its funds. The Adviser shall have the power and authority on behalf of the Corporation to effectuate its investment decisions for the Corporation, including the execution and delivery of all documents relating to the Corporation’s investments and the placing of orders for other purchase or sale transactions on behalf of the Corporation. In the event that the Corporation determines to acquire debt financing, the Adviser will arrange for such financing on the Corporation’s behalf, subject to the oversight and approval of the Corporation’s Board of Directors. If it is necessary for the Adviser to make investments on behalf of the Corporation through a special purpose vehicle, the Adviser shall have authority to create or arrange for the creation of such special purpose vehicle and to make such investments through such special purpose vehicle in accordance with the 1940 Act.</w:t>
      </w:r>
    </w:p>
    <w:p>
      <w:pPr>
        <w:spacing w:after="0" w:line="119" w:lineRule="exact"/>
        <w:rPr>
          <w:sz w:val="20"/>
          <w:szCs w:val="20"/>
          <w:color w:val="auto"/>
        </w:rPr>
      </w:pPr>
    </w:p>
    <w:p>
      <w:pPr>
        <w:ind w:right="600" w:firstLine="457"/>
        <w:spacing w:after="0" w:line="268" w:lineRule="auto"/>
        <w:tabs>
          <w:tab w:leader="none" w:pos="69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Adviser hereby accepts such employment and agrees during the term hereof to render the services described herein for the compensation provided herein.</w:t>
      </w:r>
    </w:p>
    <w:p>
      <w:pPr>
        <w:spacing w:after="0" w:line="131" w:lineRule="exact"/>
        <w:rPr>
          <w:rFonts w:ascii="Arial" w:cs="Arial" w:eastAsia="Arial" w:hAnsi="Arial"/>
          <w:sz w:val="18"/>
          <w:szCs w:val="18"/>
          <w:color w:val="auto"/>
        </w:rPr>
      </w:pPr>
    </w:p>
    <w:p>
      <w:pPr>
        <w:ind w:right="140" w:firstLine="457"/>
        <w:spacing w:after="0" w:line="290" w:lineRule="auto"/>
        <w:tabs>
          <w:tab w:leader="none" w:pos="68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Subject to the requirements of the 1940 Act, the Adviser is hereby authorized to enter into one or more sub-advisory agreements with other investment advisers (each, a “Sub-Adviser”) pursuant to which the Adviser may obtain the services of the Sub-Adviser(s) to assist the Adviser in fulfilling its responsibilities hereunder. Specifically, the Adviser may retain a Sub-Adviser to recommend specific securities or other investments based upon the Corporation’s investment objective and policies, and work, along with the Adviser, in structuring, negotiating, arranging or effecting the acquisition or disposition of such investments and monitoring investments on behalf of the Corporation, subject to the oversight of the Adviser and the Corporation. The Adviser, and not the Corporation, shall be responsible for any compensation payable to any Sub-Adviser. Any sub-advisory agreement entered into by the Adviser shall be in accordance with the requirements of the 1940 Act and other applicable federal and state law.</w:t>
      </w:r>
    </w:p>
    <w:p>
      <w:pPr>
        <w:spacing w:after="0" w:line="117" w:lineRule="exact"/>
        <w:rPr>
          <w:rFonts w:ascii="Arial" w:cs="Arial" w:eastAsia="Arial" w:hAnsi="Arial"/>
          <w:sz w:val="16"/>
          <w:szCs w:val="16"/>
          <w:color w:val="auto"/>
        </w:rPr>
      </w:pPr>
    </w:p>
    <w:p>
      <w:pPr>
        <w:ind w:right="20" w:firstLine="457"/>
        <w:spacing w:after="0" w:line="331" w:lineRule="auto"/>
        <w:tabs>
          <w:tab w:leader="none" w:pos="69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Adviser shall for all purposes herein provided be deemed to be an independent contractor and, except as expressly provided or authorized herein, shall have no authority to act for or represent the Corporation in any way or otherwise be deemed an agent of the Corporation.</w:t>
      </w:r>
    </w:p>
    <w:p>
      <w:pPr>
        <w:spacing w:after="0" w:line="86" w:lineRule="exact"/>
        <w:rPr>
          <w:rFonts w:ascii="Arial" w:cs="Arial" w:eastAsia="Arial" w:hAnsi="Arial"/>
          <w:sz w:val="16"/>
          <w:szCs w:val="16"/>
          <w:color w:val="auto"/>
        </w:rPr>
      </w:pPr>
    </w:p>
    <w:p>
      <w:pPr>
        <w:ind w:right="60" w:firstLine="457"/>
        <w:spacing w:after="0" w:line="294" w:lineRule="auto"/>
        <w:tabs>
          <w:tab w:leader="none" w:pos="68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Adviser shall keep and preserve, in the manner and for the period that would be applicable to investment companies registered under the 1940 Act any books and records relevant to the provision of its investment advisory services to the Corporation and shall specifically maintain all books and records with respect to the Corporation’s portfolio transactions and shall render to the Corporation’s Board of Directors such periodic and special reports as the Board may reasonably request. The Adviser agrees that all records that it maintains for the Corporation are the property of the Corporation and will surrender promptly to the Corporation any such records upon the Corporation’s request, provided that the Adviser may retain a copy of such records.</w:t>
      </w:r>
    </w:p>
    <w:p>
      <w:pPr>
        <w:spacing w:after="0" w:line="101" w:lineRule="exact"/>
        <w:rPr>
          <w:rFonts w:ascii="Arial" w:cs="Arial" w:eastAsia="Arial" w:hAnsi="Arial"/>
          <w:sz w:val="16"/>
          <w:szCs w:val="16"/>
          <w:color w:val="auto"/>
        </w:rPr>
      </w:pPr>
    </w:p>
    <w:p>
      <w:pPr>
        <w:ind w:left="5580" w:hanging="102"/>
        <w:spacing w:after="0"/>
        <w:tabs>
          <w:tab w:leader="none" w:pos="55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220"/>
          </w:cols>
          <w:pgMar w:left="320" w:top="280" w:right="359" w:bottom="1440" w:gutter="0" w:footer="0" w:header="0"/>
        </w:sectPr>
      </w:pPr>
    </w:p>
    <w:bookmarkStart w:id="239" w:name="page240"/>
    <w:bookmarkEnd w:id="239"/>
    <w:p>
      <w:pPr>
        <w:ind w:left="-457" w:right="20" w:firstLine="457"/>
        <w:spacing w:after="0" w:line="284" w:lineRule="auto"/>
        <w:tabs>
          <w:tab w:leader="none" w:pos="168"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Corporation’s Responsibilities and Expenses Payable by the Corporation</w:t>
      </w:r>
      <w:r>
        <w:rPr>
          <w:rFonts w:ascii="Arial" w:cs="Arial" w:eastAsia="Arial" w:hAnsi="Arial"/>
          <w:sz w:val="16"/>
          <w:szCs w:val="16"/>
          <w:color w:val="auto"/>
        </w:rPr>
        <w:t>. 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Corporation. The Corporation will bear all other costs and expenses of its operations and transactions, including (without limitation)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interest payable on debt, if any, incurred to finance the Corporation’s investments and expenses related to unsuccessful portfolio acquisition efforts; offerings of the Corporation’s common stock and other securities; investment advisory and management fees; administration fees payable under the Administration Agreement (the “Administration Agreement”) between the Corporation and PennantPark Investment Advisers, LLC (the “Administrator”), the Corporation’s administrator;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costs associated with individual or group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the Administration Agreement between the Corporation and the Administrator based upon the Corporation’s allocable portion of the Administrator’s overhead in performing its obligations under the Administration Agreement, including rent and the allocable portion of the cost of the Corporation’s chief compliance officer and chief financial officer and their respective staffs.</w:t>
      </w:r>
    </w:p>
    <w:p>
      <w:pPr>
        <w:spacing w:after="0" w:line="127" w:lineRule="exact"/>
        <w:rPr>
          <w:rFonts w:ascii="Arial" w:cs="Arial" w:eastAsia="Arial" w:hAnsi="Arial"/>
          <w:sz w:val="16"/>
          <w:szCs w:val="16"/>
          <w:color w:val="auto"/>
        </w:rPr>
      </w:pPr>
    </w:p>
    <w:p>
      <w:pPr>
        <w:ind w:left="-457" w:firstLine="457"/>
        <w:spacing w:after="0" w:line="254" w:lineRule="auto"/>
        <w:tabs>
          <w:tab w:leader="none" w:pos="168"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Compensation of the Adviser</w:t>
      </w:r>
      <w:r>
        <w:rPr>
          <w:rFonts w:ascii="Arial" w:cs="Arial" w:eastAsia="Arial" w:hAnsi="Arial"/>
          <w:sz w:val="18"/>
          <w:szCs w:val="18"/>
          <w:color w:val="auto"/>
        </w:rPr>
        <w:t>. The Corporation agrees to pay, and the Adviser agrees to accept, as compensation for the services provided by the Adviser hereunder, a base management fee (“Base Management Fee”) and an incentive fee (“Incentive Fee”) as hereinafter set forth. The Corporation shall make any payments due hereunder to the Adviser or to the Adviser’s designee as the Adviser may otherwise direct. To the extent permitted by applicable law, the Adviser may elect, or adopt a deferred compensation plan pursuant to which it may elect, to defer all or a portion of its fees hereunder for a specified period of time.</w:t>
      </w:r>
    </w:p>
    <w:p>
      <w:pPr>
        <w:spacing w:after="0" w:line="133" w:lineRule="exact"/>
        <w:rPr>
          <w:rFonts w:ascii="Arial" w:cs="Arial" w:eastAsia="Arial" w:hAnsi="Arial"/>
          <w:sz w:val="18"/>
          <w:szCs w:val="18"/>
          <w:color w:val="auto"/>
        </w:rPr>
      </w:pPr>
    </w:p>
    <w:p>
      <w:pPr>
        <w:ind w:left="5123" w:hanging="102"/>
        <w:spacing w:after="0"/>
        <w:tabs>
          <w:tab w:leader="none" w:pos="5123" w:val="left"/>
        </w:tabs>
        <w:numPr>
          <w:ilvl w:val="1"/>
          <w:numId w:val="23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763"/>
          </w:cols>
          <w:pgMar w:left="777" w:top="280" w:right="359" w:bottom="1440" w:gutter="0" w:footer="0" w:header="0"/>
        </w:sectPr>
      </w:pPr>
    </w:p>
    <w:bookmarkStart w:id="240" w:name="page241"/>
    <w:bookmarkEnd w:id="240"/>
    <w:p>
      <w:pPr>
        <w:ind w:left="-453" w:right="100" w:firstLine="457"/>
        <w:spacing w:after="0" w:line="290" w:lineRule="auto"/>
        <w:tabs>
          <w:tab w:leader="none" w:pos="234" w:val="left"/>
        </w:tabs>
        <w:numPr>
          <w:ilvl w:val="0"/>
          <w:numId w:val="2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Base Management Fee shall be calculated at an annual rate of 1.00% of the Corporation’s gross assets (net of U.S. Treasury Bills, temporary draws under any credit facility and/or repurchase agreements or other balance sheet transactions undertaken at the end of a fiscal quarter for purposes of preserving investment flexibility for the next quarter). For services rendered under this Agreement, the Base Management Fee will be payable quarterly in arrears. For the first calendar quarter of the Corporation’s operations, the Base Management Fee will be calculated based on the initial value of the Corporation’s gross assets. Subsequently, the Base Management Fee will be calculated based on the average value of the Corporation’s gross assets at the end of the two most recently completed calendar quarters, and appropriately adjusted for any share issuances or repurchases during the current calendar quarter. Base Management Fees for any partial month or quarter will be appropriately pro rated.</w:t>
      </w:r>
    </w:p>
    <w:p>
      <w:pPr>
        <w:spacing w:after="0" w:line="117" w:lineRule="exact"/>
        <w:rPr>
          <w:rFonts w:ascii="Arial" w:cs="Arial" w:eastAsia="Arial" w:hAnsi="Arial"/>
          <w:sz w:val="16"/>
          <w:szCs w:val="16"/>
          <w:color w:val="auto"/>
        </w:rPr>
      </w:pPr>
    </w:p>
    <w:p>
      <w:pPr>
        <w:ind w:left="247" w:hanging="243"/>
        <w:spacing w:after="0"/>
        <w:tabs>
          <w:tab w:leader="none" w:pos="24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Incentive Fee shall consist of two parts, as follows:</w:t>
      </w:r>
    </w:p>
    <w:p>
      <w:pPr>
        <w:spacing w:after="0" w:line="90" w:lineRule="exact"/>
        <w:rPr>
          <w:rFonts w:ascii="Arial" w:cs="Arial" w:eastAsia="Arial" w:hAnsi="Arial"/>
          <w:sz w:val="18"/>
          <w:szCs w:val="18"/>
          <w:color w:val="auto"/>
        </w:rPr>
      </w:pPr>
    </w:p>
    <w:p>
      <w:pPr>
        <w:ind w:left="447" w:hanging="447"/>
        <w:spacing w:after="0" w:line="285" w:lineRule="auto"/>
        <w:tabs>
          <w:tab w:leader="none" w:pos="44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One part will be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and fees for providing significant managerial assistance or other fees that the Corporation receives from portfolio companies) accrued by the Corporation during the calendar quarter, minus the Corporation’s operating expenses for the quarter (including the Base Management Fee, expenses payable under the Corporation’s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the Corporation has not yet received in cash. Pre-Incentive Fee net investment income does not include any realized capital gains, realized capital losses or unrealized capital appreciation or depreciation. Pre-Incentive Fee net investment income, expressed as a rate of return on the value of the Corporation’s net assets at the end of the immediately preceding calendar quarter, will be compared to a “hurdle rate” of 1.75% per quarter (7.00% annualized). The Corporation’s net investment income used to calculate this part of the Incentive Fee is also included in the amount of its gross assets used to calculate the 1.00% Base Management Fee. The Corporation will pay the Adviser an Incentive Fee with respect to the Corporation’s pre-Incentive Fee net investment income in each calendar quarter as follows: (1) no Incentive Fee in any calendar quarter in which the Corporation’s pre-Incentive Fee net investment income does not exceed the hurdle rate of</w:t>
      </w:r>
    </w:p>
    <w:p>
      <w:pPr>
        <w:spacing w:after="0" w:line="111" w:lineRule="exact"/>
        <w:rPr>
          <w:rFonts w:ascii="Arial" w:cs="Arial" w:eastAsia="Arial" w:hAnsi="Arial"/>
          <w:sz w:val="16"/>
          <w:szCs w:val="16"/>
          <w:color w:val="auto"/>
        </w:rPr>
      </w:pPr>
    </w:p>
    <w:p>
      <w:pPr>
        <w:ind w:left="5127" w:hanging="102"/>
        <w:spacing w:after="0"/>
        <w:tabs>
          <w:tab w:leader="none" w:pos="5127" w:val="left"/>
        </w:tabs>
        <w:numPr>
          <w:ilvl w:val="2"/>
          <w:numId w:val="23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727"/>
          </w:cols>
          <w:pgMar w:left="773" w:top="280" w:right="399" w:bottom="1440" w:gutter="0" w:footer="0" w:header="0"/>
        </w:sectPr>
      </w:pPr>
    </w:p>
    <w:bookmarkStart w:id="241" w:name="page242"/>
    <w:bookmarkEnd w:id="241"/>
    <w:p>
      <w:pPr>
        <w:ind w:left="447"/>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1.75%; (2) 50% of the Corporation’s pre-Incentive Fee net investment income with respect to that portion of such pre-Incentive Fee net investment income, if any, that exceeds the hurdle rate but is less than 2.9167% in any calendar quarter (11.67% annualized); this portion of the pre-Incentive Fee net investment income (which exceeds the hurdle but is less than 2.9167%) is referred to herein as the “catch-up.” The “catch-up” is meant to provide the Adviser with approximately 20% of the Corporation’s pre-Incentive Fee net investment income as if a hurdle did not apply if this net investment income exceeds 2.9167% in any calendar quarter; and (3) 20% of the amount of the Corporation’s pre-Incentive Fee net investment income, if any, that exceeds 2.9167% in any calendar quarter (11.67% annualized) payable to the Adviser (once the hurdle is reached and the catch-up is achieved, 20% of all pre-Incentive Fee investment income thereafter is allocated to the Adviser). These calculations will be appropriately pro rated for any period of less than three months and adjusted for any share issuances or repurchases during the relevant quarter.</w:t>
      </w:r>
    </w:p>
    <w:p>
      <w:pPr>
        <w:spacing w:after="0" w:line="27" w:lineRule="exact"/>
        <w:rPr>
          <w:sz w:val="20"/>
          <w:szCs w:val="20"/>
          <w:color w:val="auto"/>
        </w:rPr>
      </w:pPr>
    </w:p>
    <w:p>
      <w:pPr>
        <w:ind w:left="447" w:hanging="447"/>
        <w:spacing w:after="0" w:line="288" w:lineRule="auto"/>
        <w:tabs>
          <w:tab w:leader="none" w:pos="44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second part of the Incentive Fee (the “</w:t>
      </w:r>
      <w:r>
        <w:rPr>
          <w:rFonts w:ascii="Arial" w:cs="Arial" w:eastAsia="Arial" w:hAnsi="Arial"/>
          <w:sz w:val="16"/>
          <w:szCs w:val="16"/>
          <w:b w:val="1"/>
          <w:bCs w:val="1"/>
          <w:i w:val="1"/>
          <w:iCs w:val="1"/>
          <w:color w:val="auto"/>
        </w:rPr>
        <w:t>Capital Gains Fee</w:t>
      </w:r>
      <w:r>
        <w:rPr>
          <w:rFonts w:ascii="Arial" w:cs="Arial" w:eastAsia="Arial" w:hAnsi="Arial"/>
          <w:sz w:val="16"/>
          <w:szCs w:val="16"/>
          <w:color w:val="auto"/>
        </w:rPr>
        <w:t>”) will be determined and payable in arrears as of the end of each calendar year (or upon termination of this Agreement as set forth below), commencing with December 31, 2011, and will equal 20.0% of the Corporation’s realized capital gains, if any, on a cumulative basis from inception through the end of each calendar year, computed net of all realized capital losses and net unrealized capital depreciation on a cumulative basis, less the aggregate amount of any previously paid capital gain Incentive Fees, with respect to each of the investments in the Corporation’s portfolio; provided that the Incentive Fee determined as of December 31, 2011 will be calculated for a period of shorter than twelve calendar months to take into account any realized capital gains computed net of all realized capital losses and unrealized capital depreciation from inception. In the event that this Agreement shall terminate as of a date that is not a calendar year end, the termination date shall be treated as though it were a calendar year end for purposes of calculating and paying a Capital Gains Fee.</w:t>
      </w:r>
    </w:p>
    <w:p>
      <w:pPr>
        <w:spacing w:after="0" w:line="124" w:lineRule="exact"/>
        <w:rPr>
          <w:sz w:val="20"/>
          <w:szCs w:val="20"/>
          <w:color w:val="auto"/>
        </w:rPr>
      </w:pPr>
    </w:p>
    <w:p>
      <w:pPr>
        <w:ind w:left="-453" w:right="340" w:firstLine="457"/>
        <w:spacing w:after="0" w:line="331" w:lineRule="auto"/>
        <w:tabs>
          <w:tab w:leader="none" w:pos="171"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Covenants of the Adviser</w:t>
      </w:r>
      <w:r>
        <w:rPr>
          <w:rFonts w:ascii="Arial" w:cs="Arial" w:eastAsia="Arial" w:hAnsi="Arial"/>
          <w:sz w:val="16"/>
          <w:szCs w:val="16"/>
          <w:color w:val="auto"/>
        </w:rPr>
        <w:t>. The Adviser covenants that it is registered as an investment adviser under the Advisers Act. The Adviser agrees that its activities will at all times be in compliance in all material respects with all applicable federal and state laws governing its operations and investments.</w:t>
      </w:r>
    </w:p>
    <w:p>
      <w:pPr>
        <w:spacing w:after="0" w:line="86" w:lineRule="exact"/>
        <w:rPr>
          <w:rFonts w:ascii="Arial" w:cs="Arial" w:eastAsia="Arial" w:hAnsi="Arial"/>
          <w:sz w:val="16"/>
          <w:szCs w:val="16"/>
          <w:color w:val="auto"/>
        </w:rPr>
      </w:pPr>
    </w:p>
    <w:p>
      <w:pPr>
        <w:ind w:left="-453" w:right="40" w:firstLine="457"/>
        <w:spacing w:after="0" w:line="259" w:lineRule="auto"/>
        <w:tabs>
          <w:tab w:leader="none" w:pos="171"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Excess Brokerage Commissions</w:t>
      </w:r>
      <w:r>
        <w:rPr>
          <w:rFonts w:ascii="Arial" w:cs="Arial" w:eastAsia="Arial" w:hAnsi="Arial"/>
          <w:sz w:val="18"/>
          <w:szCs w:val="18"/>
          <w:color w:val="auto"/>
        </w:rPr>
        <w:t>. The Adviser is hereby authorized, to the fullest extent now or hereafter permitted by law, to cause the Corporation to pay a member of a national securities exchange, broker or dealer an amount of commission for effecting a securities transaction in excess of the amount of commission another member of such exchange, broker or</w:t>
      </w:r>
    </w:p>
    <w:p>
      <w:pPr>
        <w:spacing w:after="0" w:line="126" w:lineRule="exact"/>
        <w:rPr>
          <w:rFonts w:ascii="Arial" w:cs="Arial" w:eastAsia="Arial" w:hAnsi="Arial"/>
          <w:sz w:val="18"/>
          <w:szCs w:val="18"/>
          <w:color w:val="auto"/>
        </w:rPr>
      </w:pPr>
    </w:p>
    <w:p>
      <w:pPr>
        <w:ind w:left="5127" w:hanging="102"/>
        <w:spacing w:after="0"/>
        <w:tabs>
          <w:tab w:leader="none" w:pos="5127" w:val="left"/>
        </w:tabs>
        <w:numPr>
          <w:ilvl w:val="1"/>
          <w:numId w:val="239"/>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767"/>
          </w:cols>
          <w:pgMar w:left="773" w:top="280" w:right="359" w:bottom="1440" w:gutter="0" w:footer="0" w:header="0"/>
        </w:sectPr>
      </w:pPr>
    </w:p>
    <w:bookmarkStart w:id="242" w:name="page243"/>
    <w:bookmarkEnd w:id="242"/>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Corporation’s portfolio, and constitutes the best net results for the Corporation.</w:t>
      </w:r>
    </w:p>
    <w:p>
      <w:pPr>
        <w:spacing w:after="0" w:line="147" w:lineRule="exact"/>
        <w:rPr>
          <w:sz w:val="20"/>
          <w:szCs w:val="20"/>
          <w:color w:val="auto"/>
        </w:rPr>
      </w:pPr>
    </w:p>
    <w:p>
      <w:pPr>
        <w:ind w:firstLine="457"/>
        <w:spacing w:after="0" w:line="286" w:lineRule="auto"/>
        <w:tabs>
          <w:tab w:leader="none" w:pos="625"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Limitations on the Employment of the Adviser</w:t>
      </w:r>
      <w:r>
        <w:rPr>
          <w:rFonts w:ascii="Arial" w:cs="Arial" w:eastAsia="Arial" w:hAnsi="Arial"/>
          <w:sz w:val="16"/>
          <w:szCs w:val="16"/>
          <w:color w:val="auto"/>
        </w:rPr>
        <w:t>. The services of the Adviser to the Corporation are not exclusive, and the Adviser may engage in any other business or render similar or different services to others including, without limitation, the direct or indirect sponsorship or management of other investment based accounts or commingled pools of capital, however structured, having investment objectives similar to those of the Corporation, so long as its services to the Corporation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Corporation’s portfolio companies, subject to applicable law). So long as this Agreement or any extension, renewal or amendment remains in effect, the Adviser shall be the only investment adviser for the Corporation, subject to the Adviser’s right to enter into sub-advisory agreements. The Adviser assumes no responsibility under this Agreement other than to render the services called for hereunder. It is understood that directors, officers, employees and stockholders of the Corporation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Corporation as stockholders or otherwise.</w:t>
      </w:r>
    </w:p>
    <w:p>
      <w:pPr>
        <w:spacing w:after="0" w:line="123" w:lineRule="exact"/>
        <w:rPr>
          <w:rFonts w:ascii="Arial" w:cs="Arial" w:eastAsia="Arial" w:hAnsi="Arial"/>
          <w:sz w:val="16"/>
          <w:szCs w:val="16"/>
          <w:color w:val="auto"/>
        </w:rPr>
      </w:pPr>
    </w:p>
    <w:p>
      <w:pPr>
        <w:ind w:right="100" w:firstLine="457"/>
        <w:spacing w:after="0" w:line="254" w:lineRule="auto"/>
        <w:tabs>
          <w:tab w:leader="none" w:pos="625"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Responsibility of Dual Directors, Officers and/or Employees</w:t>
      </w:r>
      <w:r>
        <w:rPr>
          <w:rFonts w:ascii="Arial" w:cs="Arial" w:eastAsia="Arial" w:hAnsi="Arial"/>
          <w:sz w:val="18"/>
          <w:szCs w:val="18"/>
          <w:color w:val="auto"/>
        </w:rPr>
        <w:t>. If any person who is a manager, partner, officer or employee of the Adviser or the Administrator is or becomes a director, officer and/or employee of the Corporation and acts as such in any business of the Corporation, then such manager, partner, officer and/or employee of the Adviser or the Administrator shall be deemed to be acting in such capacity solely for the Corporation, and not as a manager, partner, officer or employee of the Adviser or the Administrator or under the control or direction of the Adviser or the Administrator, even if paid by the Adviser or the Administrator.</w:t>
      </w:r>
    </w:p>
    <w:p>
      <w:pPr>
        <w:spacing w:after="0" w:line="146" w:lineRule="exact"/>
        <w:rPr>
          <w:rFonts w:ascii="Arial" w:cs="Arial" w:eastAsia="Arial" w:hAnsi="Arial"/>
          <w:sz w:val="18"/>
          <w:szCs w:val="18"/>
          <w:color w:val="auto"/>
        </w:rPr>
      </w:pPr>
    </w:p>
    <w:p>
      <w:pPr>
        <w:ind w:right="80" w:firstLine="457"/>
        <w:spacing w:after="0" w:line="306" w:lineRule="auto"/>
        <w:tabs>
          <w:tab w:leader="none" w:pos="625"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Limitation of Liability of the Adviser; Indemnification</w:t>
      </w:r>
      <w:r>
        <w:rPr>
          <w:rFonts w:ascii="Arial" w:cs="Arial" w:eastAsia="Arial" w:hAnsi="Arial"/>
          <w:sz w:val="16"/>
          <w:szCs w:val="16"/>
          <w:color w:val="auto"/>
        </w:rPr>
        <w:t>. The Adviser (and its officers, managers, partners, agents, employees, controlling persons, members and any other person or entity affiliated with the Adviser, including without limitation its general partner and the Administrator) shall not be liable to the Corporation for any action taken or omitted to be taken by the Adviser in connection with the performance of any of its duties or obligations under</w:t>
      </w:r>
    </w:p>
    <w:p>
      <w:pPr>
        <w:spacing w:after="0" w:line="92" w:lineRule="exact"/>
        <w:rPr>
          <w:rFonts w:ascii="Arial" w:cs="Arial" w:eastAsia="Arial" w:hAnsi="Arial"/>
          <w:sz w:val="16"/>
          <w:szCs w:val="16"/>
          <w:color w:val="auto"/>
        </w:rPr>
      </w:pPr>
    </w:p>
    <w:p>
      <w:pPr>
        <w:ind w:left="5580" w:hanging="102"/>
        <w:spacing w:after="0"/>
        <w:tabs>
          <w:tab w:leader="none" w:pos="55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220"/>
          </w:cols>
          <w:pgMar w:left="320" w:top="280" w:right="359" w:bottom="1440" w:gutter="0" w:footer="0" w:header="0"/>
        </w:sectPr>
      </w:pPr>
    </w:p>
    <w:bookmarkStart w:id="243" w:name="page244"/>
    <w:bookmarkEnd w:id="24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Agreement or otherwise as an investment adviser of the Corporation, except to the extent specified in Section 36(b) of the 1940 Act concerning loss resulting from a breach of fiduciary duty (as the same is finally determined by judicial proceedings) with respect to the receipt of compensation for services, and the Corporation shall indemnify, defend and protect 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Adviser’s duties or obligations under this Agreement or otherwise as an investment adviser of the Corporation. Notwithstanding the preceding sentence of this Paragraph 8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(as the same shall be determined in accordance with the 1940 Act and any interpretations or guidance by the Securities and Exchange Commission or its staff thereunder).</w:t>
      </w:r>
    </w:p>
    <w:p>
      <w:pPr>
        <w:spacing w:after="0" w:line="130" w:lineRule="exact"/>
        <w:rPr>
          <w:sz w:val="20"/>
          <w:szCs w:val="20"/>
          <w:color w:val="auto"/>
        </w:rPr>
      </w:pPr>
    </w:p>
    <w:p>
      <w:pPr>
        <w:ind w:right="40" w:firstLine="457"/>
        <w:spacing w:after="0" w:line="286" w:lineRule="auto"/>
        <w:tabs>
          <w:tab w:leader="none" w:pos="625"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Effectiveness, Duration and Termination of Agreement</w:t>
      </w:r>
      <w:r>
        <w:rPr>
          <w:rFonts w:ascii="Arial" w:cs="Arial" w:eastAsia="Arial" w:hAnsi="Arial"/>
          <w:sz w:val="16"/>
          <w:szCs w:val="16"/>
          <w:color w:val="auto"/>
        </w:rPr>
        <w:t>. This Agreement shall become effective as of the first date above written. This Agreement shall remain in effect for two years, and thereafter shall continue automatically for successive annual periods, provided that such continuance is specifically approved at least annually by (a) the vote of the Corporation’s Board of Directors, or by the vote of a majority of the outstanding voting securities of the Corporation and (b) the vote of a majority of the Corporation’s directors who are not parties to this Agreement or “interested persons” (as such term is defined in Section 2(a)(19) of the 1940 Act) of any such party, in accordance with the requirements of the 1940 Act. This Agreement may be terminated at any time, without the payment of any penalty, upon 60 days’ written notice, by the vote of a majority of the outstanding voting securities of the Corporation, or by the vote of the Corporation’s Directors or by the Adviser. This Agreement will automatically terminate in the event of its “assignment” (as such term is defined for purposes of Section 15(a)(4) of the 1940 Act). The provisions of Paragraph 8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8 shall continue in force and effect and apply to the Adviser and its representatives as and to the extent applicable.</w:t>
      </w:r>
    </w:p>
    <w:p>
      <w:pPr>
        <w:spacing w:after="0" w:line="126" w:lineRule="exact"/>
        <w:rPr>
          <w:rFonts w:ascii="Arial" w:cs="Arial" w:eastAsia="Arial" w:hAnsi="Arial"/>
          <w:sz w:val="16"/>
          <w:szCs w:val="16"/>
          <w:color w:val="auto"/>
        </w:rPr>
      </w:pPr>
    </w:p>
    <w:p>
      <w:pPr>
        <w:ind w:right="440" w:firstLine="457"/>
        <w:spacing w:after="0" w:line="268" w:lineRule="auto"/>
        <w:tabs>
          <w:tab w:leader="none" w:pos="71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under this Agreement shall be given in writing, addressed and delivered or mailed, postage prepaid, to the other party at its principal office.</w:t>
      </w:r>
    </w:p>
    <w:p>
      <w:pPr>
        <w:spacing w:after="0" w:line="118" w:lineRule="exact"/>
        <w:rPr>
          <w:rFonts w:ascii="Arial" w:cs="Arial" w:eastAsia="Arial" w:hAnsi="Arial"/>
          <w:sz w:val="18"/>
          <w:szCs w:val="18"/>
          <w:color w:val="auto"/>
        </w:rPr>
      </w:pPr>
    </w:p>
    <w:p>
      <w:pPr>
        <w:ind w:left="5580" w:hanging="102"/>
        <w:spacing w:after="0"/>
        <w:tabs>
          <w:tab w:leader="none" w:pos="558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220"/>
          </w:cols>
          <w:pgMar w:left="320" w:top="280" w:right="359" w:bottom="1440" w:gutter="0" w:footer="0" w:header="0"/>
        </w:sectPr>
      </w:pPr>
    </w:p>
    <w:bookmarkStart w:id="244" w:name="page245"/>
    <w:bookmarkEnd w:id="244"/>
    <w:p>
      <w:pPr>
        <w:ind w:left="-80" w:right="380" w:firstLine="457"/>
        <w:spacing w:after="0" w:line="331" w:lineRule="auto"/>
        <w:tabs>
          <w:tab w:leader="none" w:pos="626"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Amendments</w:t>
      </w:r>
      <w:r>
        <w:rPr>
          <w:rFonts w:ascii="Arial" w:cs="Arial" w:eastAsia="Arial" w:hAnsi="Arial"/>
          <w:sz w:val="16"/>
          <w:szCs w:val="16"/>
          <w:color w:val="auto"/>
        </w:rPr>
        <w:t>. This Agreement may be amended by mutual consent, but the consent of the Corporation must be obtained in conformity with the requirements of the 1940 Act.</w:t>
      </w:r>
    </w:p>
    <w:p>
      <w:pPr>
        <w:spacing w:after="0" w:line="86" w:lineRule="exact"/>
        <w:rPr>
          <w:rFonts w:ascii="Arial" w:cs="Arial" w:eastAsia="Arial" w:hAnsi="Arial"/>
          <w:sz w:val="16"/>
          <w:szCs w:val="16"/>
          <w:color w:val="auto"/>
        </w:rPr>
      </w:pPr>
    </w:p>
    <w:p>
      <w:pPr>
        <w:ind w:left="-80" w:firstLine="457"/>
        <w:spacing w:after="0" w:line="256" w:lineRule="auto"/>
        <w:tabs>
          <w:tab w:leader="none" w:pos="632"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This Agreement contains the entire agreement of the parties and supersedes all prior agreements, understandings and arrangements with respect to the subject matter hereof. This Agreement shall be construed in accordance with the laws of the State of New York and the applicable provisions of the 1940 Act. To the extent the applicable laws of the State of New York, or any of the provisions herein, conflict with the provisions of the 1940 Act, the latter shall control.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80"/>
          </w:cols>
          <w:pgMar w:left="400" w:top="280" w:right="41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duly executed on the date above written.</w:t>
      </w:r>
    </w:p>
    <w:p>
      <w:pPr>
        <w:spacing w:after="0" w:line="206"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auto"/>
        </w:rPr>
        <w:t>PENNANTPARK FLOATING RATE CAPITAL LTD.</w:t>
      </w:r>
    </w:p>
    <w:p>
      <w:pPr>
        <w:spacing w:after="0" w:line="25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10795</wp:posOffset>
            </wp:positionV>
            <wp:extent cx="26746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Chief Executive Officer and Chairman of the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Board of Directors</w:t>
      </w:r>
    </w:p>
    <w:p>
      <w:pPr>
        <w:spacing w:after="0" w:line="21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3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10795</wp:posOffset>
            </wp:positionV>
            <wp:extent cx="2674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Member</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360"/>
          </w:cols>
          <w:pgMar w:left="780" w:top="280" w:right="75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441"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Floating Rate Capital Ltd., certify that:</w:t>
      </w:r>
    </w:p>
    <w:p>
      <w:pPr>
        <w:spacing w:after="0" w:line="1" w:lineRule="exact"/>
        <w:rPr>
          <w:sz w:val="20"/>
          <w:szCs w:val="20"/>
          <w:color w:val="auto"/>
        </w:rPr>
      </w:pPr>
    </w:p>
    <w:p>
      <w:pPr>
        <w:ind w:left="640" w:hanging="183"/>
        <w:spacing w:after="0"/>
        <w:tabs>
          <w:tab w:leader="none" w:pos="6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2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ind w:right="100" w:firstLine="457"/>
        <w:spacing w:after="0" w:line="259" w:lineRule="auto"/>
        <w:tabs>
          <w:tab w:leader="none" w:pos="62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9" w:lineRule="exact"/>
        <w:rPr>
          <w:rFonts w:ascii="Arial" w:cs="Arial" w:eastAsia="Arial" w:hAnsi="Arial"/>
          <w:sz w:val="18"/>
          <w:szCs w:val="18"/>
          <w:color w:val="auto"/>
        </w:rPr>
      </w:pPr>
    </w:p>
    <w:p>
      <w:pPr>
        <w:ind w:right="120" w:firstLine="906"/>
        <w:spacing w:after="0" w:line="259" w:lineRule="auto"/>
        <w:tabs>
          <w:tab w:leader="none" w:pos="1079"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60" w:firstLine="906"/>
        <w:spacing w:after="0" w:line="331" w:lineRule="auto"/>
        <w:tabs>
          <w:tab w:leader="none" w:pos="1079" w:val="left"/>
        </w:tabs>
        <w:numPr>
          <w:ilvl w:val="1"/>
          <w:numId w:val="24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60" w:firstLine="906"/>
        <w:spacing w:after="0" w:line="331" w:lineRule="auto"/>
        <w:tabs>
          <w:tab w:leader="none" w:pos="1088" w:val="left"/>
        </w:tabs>
        <w:numPr>
          <w:ilvl w:val="1"/>
          <w:numId w:val="24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6"/>
          <w:szCs w:val="16"/>
          <w:color w:val="auto"/>
        </w:rPr>
      </w:pPr>
    </w:p>
    <w:p>
      <w:pPr>
        <w:ind w:right="300" w:firstLine="457"/>
        <w:spacing w:after="0" w:line="331" w:lineRule="auto"/>
        <w:tabs>
          <w:tab w:leader="none" w:pos="62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441"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Floating Rate Capital Ltd., certify that:</w:t>
      </w:r>
    </w:p>
    <w:p>
      <w:pPr>
        <w:spacing w:after="0" w:line="1" w:lineRule="exact"/>
        <w:rPr>
          <w:sz w:val="20"/>
          <w:szCs w:val="20"/>
          <w:color w:val="auto"/>
        </w:rPr>
      </w:pPr>
    </w:p>
    <w:p>
      <w:pPr>
        <w:ind w:left="640" w:hanging="183"/>
        <w:spacing w:after="0"/>
        <w:tabs>
          <w:tab w:leader="none" w:pos="6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2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ind w:right="400" w:firstLine="457"/>
        <w:spacing w:after="0" w:line="259" w:lineRule="auto"/>
        <w:tabs>
          <w:tab w:leader="none" w:pos="62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internal control over financial reporting (as defined in Exchange Act Rules 13a-15(f) and 15d-15(f)) for the company and have:</w:t>
      </w:r>
    </w:p>
    <w:p>
      <w:pPr>
        <w:spacing w:after="0" w:line="139" w:lineRule="exact"/>
        <w:rPr>
          <w:rFonts w:ascii="Arial" w:cs="Arial" w:eastAsia="Arial" w:hAnsi="Arial"/>
          <w:sz w:val="18"/>
          <w:szCs w:val="18"/>
          <w:color w:val="auto"/>
        </w:rPr>
      </w:pPr>
    </w:p>
    <w:p>
      <w:pPr>
        <w:ind w:right="120" w:firstLine="906"/>
        <w:spacing w:after="0" w:line="259" w:lineRule="auto"/>
        <w:tabs>
          <w:tab w:leader="none" w:pos="1079"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60" w:firstLine="906"/>
        <w:spacing w:after="0" w:line="331" w:lineRule="auto"/>
        <w:tabs>
          <w:tab w:leader="none" w:pos="1079" w:val="left"/>
        </w:tabs>
        <w:numPr>
          <w:ilvl w:val="1"/>
          <w:numId w:val="24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60" w:firstLine="906"/>
        <w:spacing w:after="0" w:line="331" w:lineRule="auto"/>
        <w:tabs>
          <w:tab w:leader="none" w:pos="108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6"/>
          <w:szCs w:val="16"/>
          <w:color w:val="auto"/>
        </w:rPr>
      </w:pPr>
    </w:p>
    <w:p>
      <w:pPr>
        <w:ind w:right="300" w:firstLine="457"/>
        <w:spacing w:after="0" w:line="331" w:lineRule="auto"/>
        <w:tabs>
          <w:tab w:leader="none" w:pos="62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this Report on Form 10-Q for the three and nine months ended June 30, 2012 (the “Report”) of PennantPark Floating Rate Capital Ltd.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9, 2012</w:t>
      </w:r>
    </w:p>
    <w:p>
      <w:pPr>
        <w:sectPr>
          <w:pgSz w:w="11900" w:h="16838" w:orient="portrait"/>
          <w:cols w:equalWidth="0" w:num="1">
            <w:col w:w="11240"/>
          </w:cols>
          <w:pgMar w:left="320" w:top="125"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In connection with this Report on Form 10-Q for the three and nine months ended June 30, 2012 (the “Report”) of PennantPark Floating Rate Capital Ltd.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9, 2012</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97E3E4"/>
    <w:multiLevelType w:val="hybridMultilevel"/>
    <w:lvl w:ilvl="0">
      <w:lvlJc w:val="left"/>
      <w:lvlText w:val="☒"/>
      <w:numFmt w:val="bullet"/>
      <w:start w:val="1"/>
    </w:lvl>
  </w:abstractNum>
  <w:abstractNum w:abstractNumId="1">
    <w:nsid w:val="53B0A9E"/>
    <w:multiLevelType w:val="hybridMultilevel"/>
    <w:lvl w:ilvl="0">
      <w:lvlJc w:val="left"/>
      <w:lvlText w:val="☐"/>
      <w:numFmt w:val="bullet"/>
      <w:start w:val="1"/>
    </w:lvl>
  </w:abstractNum>
  <w:abstractNum w:abstractNumId="2">
    <w:nsid w:val="34FD6B4F"/>
    <w:multiLevelType w:val="hybridMultilevel"/>
    <w:lvl w:ilvl="0">
      <w:lvlJc w:val="left"/>
      <w:lvlText w:val="(%1)"/>
      <w:numFmt w:val="decimal"/>
      <w:start w:val="1"/>
    </w:lvl>
  </w:abstractNum>
  <w:abstractNum w:abstractNumId="3">
    <w:nsid w:val="5915FF32"/>
    <w:multiLevelType w:val="hybridMultilevel"/>
    <w:lvl w:ilvl="0">
      <w:lvlJc w:val="left"/>
      <w:lvlText w:val="(%1)"/>
      <w:numFmt w:val="decimal"/>
      <w:start w:val="1"/>
    </w:lvl>
  </w:abstractNum>
  <w:abstractNum w:abstractNumId="4">
    <w:nsid w:val="56438D15"/>
    <w:multiLevelType w:val="hybridMultilevel"/>
    <w:lvl w:ilvl="0">
      <w:lvlJc w:val="left"/>
      <w:lvlText w:val="(%1)"/>
      <w:numFmt w:val="decimal"/>
      <w:start w:val="1"/>
    </w:lvl>
  </w:abstractNum>
  <w:abstractNum w:abstractNumId="5">
    <w:nsid w:val="519E3149"/>
    <w:multiLevelType w:val="hybridMultilevel"/>
    <w:lvl w:ilvl="0">
      <w:lvlJc w:val="left"/>
      <w:lvlText w:val="(%1)"/>
      <w:numFmt w:val="decimal"/>
      <w:start w:val="4"/>
    </w:lvl>
    <w:lvl w:ilvl="1">
      <w:lvlJc w:val="left"/>
      <w:lvlText w:val="(%2)"/>
      <w:numFmt w:val="lowerLetter"/>
      <w:start w:val="2"/>
    </w:lvl>
  </w:abstractNum>
  <w:abstractNum w:abstractNumId="6">
    <w:nsid w:val="2C6E4AFD"/>
    <w:multiLevelType w:val="hybridMultilevel"/>
    <w:lvl w:ilvl="0">
      <w:lvlJc w:val="left"/>
      <w:lvlText w:val="*"/>
      <w:numFmt w:val="bullet"/>
      <w:start w:val="1"/>
    </w:lvl>
  </w:abstractNum>
  <w:abstractNum w:abstractNumId="7">
    <w:nsid w:val="17A1B582"/>
    <w:multiLevelType w:val="hybridMultilevel"/>
    <w:lvl w:ilvl="0">
      <w:lvlJc w:val="left"/>
      <w:lvlText w:val="(%1)"/>
      <w:numFmt w:val="decimal"/>
      <w:start w:val="1"/>
    </w:lvl>
  </w:abstractNum>
  <w:abstractNum w:abstractNumId="8">
    <w:nsid w:val="4DF72E4E"/>
    <w:multiLevelType w:val="hybridMultilevel"/>
    <w:lvl w:ilvl="0">
      <w:lvlJc w:val="left"/>
      <w:lvlText w:val="(%1)"/>
      <w:numFmt w:val="decimal"/>
      <w:start w:val="2"/>
    </w:lvl>
  </w:abstractNum>
  <w:abstractNum w:abstractNumId="9">
    <w:nsid w:val="5046B5A9"/>
    <w:multiLevelType w:val="hybridMultilevel"/>
    <w:lvl w:ilvl="0">
      <w:lvlJc w:val="left"/>
      <w:lvlText w:val="•"/>
      <w:numFmt w:val="bullet"/>
      <w:start w:val="1"/>
    </w:lvl>
  </w:abstractNum>
  <w:abstractNum w:abstractNumId="10">
    <w:nsid w:val="5D888A08"/>
    <w:multiLevelType w:val="hybridMultilevel"/>
    <w:lvl w:ilvl="0">
      <w:lvlJc w:val="left"/>
      <w:lvlText w:val="•"/>
      <w:numFmt w:val="bullet"/>
      <w:start w:val="1"/>
    </w:lvl>
  </w:abstractNum>
  <w:abstractNum w:abstractNumId="11">
    <w:nsid w:val="2A082C70"/>
    <w:multiLevelType w:val="hybridMultilevel"/>
    <w:lvl w:ilvl="0">
      <w:lvlJc w:val="left"/>
      <w:lvlText w:val="•"/>
      <w:numFmt w:val="bullet"/>
      <w:start w:val="1"/>
    </w:lvl>
  </w:abstractNum>
  <w:abstractNum w:abstractNumId="12">
    <w:nsid w:val="5EC6AFD4"/>
    <w:multiLevelType w:val="hybridMultilevel"/>
    <w:lvl w:ilvl="0">
      <w:lvlJc w:val="left"/>
      <w:lvlText w:val="(%1)"/>
      <w:numFmt w:val="decimal"/>
      <w:start w:val="1"/>
    </w:lvl>
  </w:abstractNum>
  <w:abstractNum w:abstractNumId="13">
    <w:nsid w:val="19E21BB2"/>
    <w:multiLevelType w:val="hybridMultilevel"/>
    <w:lvl w:ilvl="0">
      <w:lvlJc w:val="left"/>
      <w:lvlText w:val="(%1)"/>
      <w:numFmt w:val="decimal"/>
      <w:start w:val="2"/>
    </w:lvl>
  </w:abstractNum>
  <w:abstractNum w:abstractNumId="14">
    <w:nsid w:val="75E0858A"/>
    <w:multiLevelType w:val="hybridMultilevel"/>
    <w:lvl w:ilvl="0">
      <w:lvlJc w:val="left"/>
      <w:lvlText w:val="(%1)"/>
      <w:numFmt w:val="decimal"/>
      <w:start w:val="2"/>
    </w:lvl>
  </w:abstractNum>
  <w:abstractNum w:abstractNumId="15">
    <w:nsid w:val="57A61A29"/>
    <w:multiLevelType w:val="hybridMultilevel"/>
    <w:lvl w:ilvl="0">
      <w:lvlJc w:val="left"/>
      <w:lvlText w:val="%1"/>
      <w:numFmt w:val="decimal"/>
      <w:start w:val="11"/>
    </w:lvl>
  </w:abstractNum>
  <w:abstractNum w:abstractNumId="16">
    <w:nsid w:val="5399C654"/>
    <w:multiLevelType w:val="hybridMultilevel"/>
    <w:lvl w:ilvl="0">
      <w:lvlJc w:val="left"/>
      <w:lvlText w:val="(%1)"/>
      <w:numFmt w:val="lowerRoman"/>
      <w:start w:val="1"/>
    </w:lvl>
  </w:abstractNum>
  <w:abstractNum w:abstractNumId="17">
    <w:nsid w:val="20EE1348"/>
    <w:multiLevelType w:val="hybridMultilevel"/>
    <w:lvl w:ilvl="0">
      <w:lvlJc w:val="left"/>
      <w:lvlText w:val="(%1)"/>
      <w:numFmt w:val="lowerLetter"/>
      <w:start w:val="1"/>
    </w:lvl>
  </w:abstractNum>
  <w:abstractNum w:abstractNumId="18">
    <w:nsid w:val="4427069A"/>
    <w:multiLevelType w:val="hybridMultilevel"/>
    <w:lvl w:ilvl="0">
      <w:lvlJc w:val="left"/>
      <w:lvlText w:val="(%1)"/>
      <w:numFmt w:val="lowerLetter"/>
      <w:start w:val="4"/>
    </w:lvl>
    <w:lvl w:ilvl="1">
      <w:lvlJc w:val="left"/>
      <w:lvlText w:val="(%2)"/>
      <w:numFmt w:val="lowerRoman"/>
      <w:start w:val="1"/>
    </w:lvl>
  </w:abstractNum>
  <w:abstractNum w:abstractNumId="19">
    <w:nsid w:val="B37E80A"/>
    <w:multiLevelType w:val="hybridMultilevel"/>
    <w:lvl w:ilvl="0">
      <w:lvlJc w:val="left"/>
      <w:lvlText w:val="(%1)"/>
      <w:numFmt w:val="lowerLetter"/>
      <w:start w:val="1"/>
    </w:lvl>
  </w:abstractNum>
  <w:abstractNum w:abstractNumId="20">
    <w:nsid w:val="2157F6BC"/>
    <w:multiLevelType w:val="hybridMultilevel"/>
    <w:lvl w:ilvl="0">
      <w:lvlJc w:val="left"/>
      <w:lvlText w:val="(%1)"/>
      <w:numFmt w:val="lowerLetter"/>
      <w:start w:val="1"/>
    </w:lvl>
  </w:abstractNum>
  <w:abstractNum w:abstractNumId="21">
    <w:nsid w:val="704E1DD5"/>
    <w:multiLevelType w:val="hybridMultilevel"/>
    <w:lvl w:ilvl="0">
      <w:lvlJc w:val="left"/>
      <w:lvlText w:val="(%1)"/>
      <w:numFmt w:val="lowerLetter"/>
      <w:start w:val="2"/>
    </w:lvl>
  </w:abstractNum>
  <w:abstractNum w:abstractNumId="22">
    <w:nsid w:val="57D2F10E"/>
    <w:multiLevelType w:val="hybridMultilevel"/>
    <w:lvl w:ilvl="0">
      <w:lvlJc w:val="left"/>
      <w:lvlText w:val="(%1)"/>
      <w:numFmt w:val="lowerLetter"/>
      <w:start w:val="2"/>
    </w:lvl>
  </w:abstractNum>
  <w:abstractNum w:abstractNumId="23">
    <w:nsid w:val="BFFAE18"/>
    <w:multiLevelType w:val="hybridMultilevel"/>
    <w:lvl w:ilvl="0">
      <w:lvlJc w:val="left"/>
      <w:lvlText w:val="(%1)"/>
      <w:numFmt w:val="lowerLetter"/>
      <w:start w:val="1"/>
    </w:lvl>
  </w:abstractNum>
  <w:abstractNum w:abstractNumId="24">
    <w:nsid w:val="E3E47A8"/>
    <w:multiLevelType w:val="hybridMultilevel"/>
    <w:lvl w:ilvl="0">
      <w:lvlJc w:val="left"/>
      <w:lvlText w:val="%1"/>
      <w:numFmt w:val="lowerLetter"/>
      <w:start w:val="1"/>
    </w:lvl>
    <w:lvl w:ilvl="1">
      <w:lvlJc w:val="left"/>
      <w:lvlText w:val="(%2)"/>
      <w:numFmt w:val="lowerLetter"/>
      <w:start w:val="1"/>
    </w:lvl>
  </w:abstractNum>
  <w:abstractNum w:abstractNumId="25">
    <w:nsid w:val="2E48F044"/>
    <w:multiLevelType w:val="hybridMultilevel"/>
    <w:lvl w:ilvl="0">
      <w:lvlJc w:val="left"/>
      <w:lvlText w:val="(%1)"/>
      <w:numFmt w:val="lowerLetter"/>
      <w:start w:val="35"/>
    </w:lvl>
    <w:lvl w:ilvl="1">
      <w:lvlJc w:val="left"/>
      <w:lvlText w:val="%2"/>
      <w:numFmt w:val="lowerLetter"/>
      <w:start w:val="1"/>
    </w:lvl>
  </w:abstractNum>
  <w:abstractNum w:abstractNumId="26">
    <w:nsid w:val="49D0FEAC"/>
    <w:multiLevelType w:val="hybridMultilevel"/>
    <w:lvl w:ilvl="0">
      <w:lvlJc w:val="left"/>
      <w:lvlText w:val="(%1)"/>
      <w:numFmt w:val="lowerLetter"/>
      <w:start w:val="5"/>
    </w:lvl>
  </w:abstractNum>
  <w:abstractNum w:abstractNumId="27">
    <w:nsid w:val="4BEE5A5B"/>
    <w:multiLevelType w:val="hybridMultilevel"/>
    <w:lvl w:ilvl="0">
      <w:lvlJc w:val="left"/>
      <w:lvlText w:val="(%1)"/>
      <w:numFmt w:val="lowerLetter"/>
      <w:start w:val="7"/>
    </w:lvl>
  </w:abstractNum>
  <w:abstractNum w:abstractNumId="28">
    <w:nsid w:val="5551B9F3"/>
    <w:multiLevelType w:val="hybridMultilevel"/>
    <w:lvl w:ilvl="0">
      <w:lvlJc w:val="left"/>
      <w:lvlText w:val="(%1)"/>
      <w:numFmt w:val="lowerLetter"/>
      <w:start w:val="20"/>
    </w:lvl>
  </w:abstractNum>
  <w:abstractNum w:abstractNumId="29">
    <w:nsid w:val="24F6AB8E"/>
    <w:multiLevelType w:val="hybridMultilevel"/>
    <w:lvl w:ilvl="0">
      <w:lvlJc w:val="left"/>
      <w:lvlText w:val="(%1)"/>
      <w:numFmt w:val="lowerRoman"/>
      <w:start w:val="1"/>
    </w:lvl>
  </w:abstractNum>
  <w:abstractNum w:abstractNumId="30">
    <w:nsid w:val="634C574C"/>
    <w:multiLevelType w:val="hybridMultilevel"/>
    <w:lvl w:ilvl="0">
      <w:lvlJc w:val="left"/>
      <w:lvlText w:val="(%1)"/>
      <w:numFmt w:val="lowerLetter"/>
      <w:start w:val="1"/>
    </w:lvl>
  </w:abstractNum>
  <w:abstractNum w:abstractNumId="31">
    <w:nsid w:val="24E99DD7"/>
    <w:multiLevelType w:val="hybridMultilevel"/>
    <w:lvl w:ilvl="0">
      <w:lvlJc w:val="left"/>
      <w:lvlText w:val="(%1)"/>
      <w:numFmt w:val="lowerLetter"/>
      <w:start w:val="1"/>
    </w:lvl>
  </w:abstractNum>
  <w:abstractNum w:abstractNumId="32">
    <w:nsid w:val="2A31B62D"/>
    <w:multiLevelType w:val="hybridMultilevel"/>
    <w:lvl w:ilvl="0">
      <w:lvlJc w:val="left"/>
      <w:lvlText w:val="(%1)"/>
      <w:numFmt w:val="lowerLetter"/>
      <w:start w:val="10"/>
    </w:lvl>
  </w:abstractNum>
  <w:abstractNum w:abstractNumId="33">
    <w:nsid w:val="1849C29B"/>
    <w:multiLevelType w:val="hybridMultilevel"/>
    <w:lvl w:ilvl="0">
      <w:lvlJc w:val="left"/>
      <w:lvlText w:val="(%1)"/>
      <w:numFmt w:val="lowerLetter"/>
      <w:start w:val="19"/>
    </w:lvl>
  </w:abstractNum>
  <w:abstractNum w:abstractNumId="34">
    <w:nsid w:val="7DFF9D09"/>
    <w:multiLevelType w:val="hybridMultilevel"/>
    <w:lvl w:ilvl="0">
      <w:lvlJc w:val="left"/>
      <w:lvlText w:val="(%1)"/>
      <w:numFmt w:val="lowerRoman"/>
      <w:start w:val="1"/>
    </w:lvl>
  </w:abstractNum>
  <w:abstractNum w:abstractNumId="35">
    <w:nsid w:val="754342"/>
    <w:multiLevelType w:val="hybridMultilevel"/>
    <w:lvl w:ilvl="0">
      <w:lvlJc w:val="left"/>
      <w:lvlText w:val="(%1)"/>
      <w:numFmt w:val="lowerRoman"/>
      <w:start w:val="2"/>
    </w:lvl>
  </w:abstractNum>
  <w:abstractNum w:abstractNumId="36">
    <w:nsid w:val="69E7F3E5"/>
    <w:multiLevelType w:val="hybridMultilevel"/>
    <w:lvl w:ilvl="0">
      <w:lvlJc w:val="left"/>
      <w:lvlText w:val="(%1)"/>
      <w:numFmt w:val="lowerLetter"/>
      <w:start w:val="1"/>
    </w:lvl>
  </w:abstractNum>
  <w:abstractNum w:abstractNumId="37">
    <w:nsid w:val="2A6DE806"/>
    <w:multiLevelType w:val="hybridMultilevel"/>
    <w:lvl w:ilvl="0">
      <w:lvlJc w:val="left"/>
      <w:lvlText w:val="(%1)"/>
      <w:numFmt w:val="lowerLetter"/>
      <w:start w:val="1"/>
    </w:lvl>
  </w:abstractNum>
  <w:abstractNum w:abstractNumId="38">
    <w:nsid w:val="1816F8C4"/>
    <w:multiLevelType w:val="hybridMultilevel"/>
    <w:lvl w:ilvl="0">
      <w:lvlJc w:val="left"/>
      <w:lvlText w:val="(%1)"/>
      <w:numFmt w:val="lowerLetter"/>
      <w:start w:val="1"/>
    </w:lvl>
    <w:lvl w:ilvl="1">
      <w:lvlJc w:val="left"/>
      <w:lvlText w:val="(%2)"/>
      <w:numFmt w:val="lowerRoman"/>
      <w:start w:val="1"/>
    </w:lvl>
  </w:abstractNum>
  <w:abstractNum w:abstractNumId="39">
    <w:nsid w:val="37DF2233"/>
    <w:multiLevelType w:val="hybridMultilevel"/>
    <w:lvl w:ilvl="0">
      <w:lvlJc w:val="left"/>
      <w:lvlText w:val="%1"/>
      <w:numFmt w:val="lowerLetter"/>
      <w:start w:val="1"/>
    </w:lvl>
    <w:lvl w:ilvl="1">
      <w:lvlJc w:val="left"/>
      <w:lvlText w:val="(%2)"/>
      <w:numFmt w:val="lowerLetter"/>
      <w:start w:val="35"/>
    </w:lvl>
  </w:abstractNum>
  <w:abstractNum w:abstractNumId="40">
    <w:nsid w:val="7AB49DAF"/>
    <w:multiLevelType w:val="hybridMultilevel"/>
    <w:lvl w:ilvl="0">
      <w:lvlJc w:val="left"/>
      <w:lvlText w:val="(%1)"/>
      <w:numFmt w:val="lowerLetter"/>
      <w:start w:val="4"/>
    </w:lvl>
    <w:lvl w:ilvl="1">
      <w:lvlJc w:val="left"/>
      <w:lvlText w:val="(%2)"/>
      <w:numFmt w:val="lowerLetter"/>
      <w:start w:val="9"/>
    </w:lvl>
  </w:abstractNum>
  <w:abstractNum w:abstractNumId="41">
    <w:nsid w:val="759F82CD"/>
    <w:multiLevelType w:val="hybridMultilevel"/>
    <w:lvl w:ilvl="0">
      <w:lvlJc w:val="left"/>
      <w:lvlText w:val="%1"/>
      <w:numFmt w:val="lowerLetter"/>
      <w:start w:val="1"/>
    </w:lvl>
    <w:lvl w:ilvl="1">
      <w:lvlJc w:val="left"/>
      <w:lvlText w:val="(%2)"/>
      <w:numFmt w:val="lowerLetter"/>
      <w:start w:val="35"/>
    </w:lvl>
  </w:abstractNum>
  <w:abstractNum w:abstractNumId="42">
    <w:nsid w:val="61E74EA3"/>
    <w:multiLevelType w:val="hybridMultilevel"/>
    <w:lvl w:ilvl="0">
      <w:lvlJc w:val="left"/>
      <w:lvlText w:val="(%1)"/>
      <w:numFmt w:val="lowerLetter"/>
      <w:start w:val="5"/>
    </w:lvl>
    <w:lvl w:ilvl="1">
      <w:lvlJc w:val="left"/>
      <w:lvlText w:val="(%2)"/>
      <w:numFmt w:val="lowerLetter"/>
      <w:start w:val="9"/>
    </w:lvl>
  </w:abstractNum>
  <w:abstractNum w:abstractNumId="43">
    <w:nsid w:val="597B4D84"/>
    <w:multiLevelType w:val="hybridMultilevel"/>
    <w:lvl w:ilvl="0">
      <w:lvlJc w:val="left"/>
      <w:lvlText w:val="%1"/>
      <w:numFmt w:val="lowerLetter"/>
      <w:start w:val="1"/>
    </w:lvl>
    <w:lvl w:ilvl="1">
      <w:lvlJc w:val="left"/>
      <w:lvlText w:val="(%2)"/>
      <w:numFmt w:val="lowerRoman"/>
      <w:start w:val="2"/>
    </w:lvl>
  </w:abstractNum>
  <w:abstractNum w:abstractNumId="44">
    <w:nsid w:val="F819E7F"/>
    <w:multiLevelType w:val="hybridMultilevel"/>
    <w:lvl w:ilvl="0">
      <w:lvlJc w:val="left"/>
      <w:lvlText w:val="(%1)"/>
      <w:numFmt w:val="lowerLetter"/>
      <w:start w:val="6"/>
    </w:lvl>
    <w:lvl w:ilvl="1">
      <w:lvlJc w:val="left"/>
      <w:lvlText w:val="(%2)"/>
      <w:numFmt w:val="lowerRoman"/>
      <w:start w:val="1"/>
    </w:lvl>
  </w:abstractNum>
  <w:abstractNum w:abstractNumId="45">
    <w:nsid w:val="57C7D42D"/>
    <w:multiLevelType w:val="hybridMultilevel"/>
    <w:lvl w:ilvl="0">
      <w:lvlJc w:val="left"/>
      <w:lvlText w:val="(%1)"/>
      <w:numFmt w:val="lowerLetter"/>
      <w:start w:val="1"/>
    </w:lvl>
  </w:abstractNum>
  <w:abstractNum w:abstractNumId="46">
    <w:nsid w:val="312167A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7">
    <w:nsid w:val="631B64D4"/>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48">
    <w:nsid w:val="78B5E776"/>
    <w:multiLevelType w:val="hybridMultilevel"/>
    <w:lvl w:ilvl="0">
      <w:lvlJc w:val="left"/>
      <w:lvlText w:val="(%1)"/>
      <w:numFmt w:val="lowerRoman"/>
      <w:start w:val="1"/>
    </w:lvl>
  </w:abstractNum>
  <w:abstractNum w:abstractNumId="49">
    <w:nsid w:val="75486E47"/>
    <w:multiLevelType w:val="hybridMultilevel"/>
    <w:lvl w:ilvl="0">
      <w:lvlJc w:val="left"/>
      <w:lvlText w:val="(%1)"/>
      <w:numFmt w:val="lowerRoman"/>
      <w:start w:val="4"/>
    </w:lvl>
  </w:abstractNum>
  <w:abstractNum w:abstractNumId="50">
    <w:nsid w:val="6E534CDE"/>
    <w:multiLevelType w:val="hybridMultilevel"/>
    <w:lvl w:ilvl="0">
      <w:lvlJc w:val="left"/>
      <w:lvlText w:val="(%1)"/>
      <w:numFmt w:val="lowerLetter"/>
      <w:start w:val="2"/>
    </w:lvl>
    <w:lvl w:ilvl="1">
      <w:lvlJc w:val="left"/>
      <w:lvlText w:val="(%2)"/>
      <w:numFmt w:val="lowerRoman"/>
      <w:start w:val="1"/>
    </w:lvl>
  </w:abstractNum>
  <w:abstractNum w:abstractNumId="51">
    <w:nsid w:val="1A0DDE32"/>
    <w:multiLevelType w:val="hybridMultilevel"/>
    <w:lvl w:ilvl="0">
      <w:lvlJc w:val="left"/>
      <w:lvlText w:val="(%1)"/>
      <w:numFmt w:val="lowerLetter"/>
      <w:start w:val="1"/>
    </w:lvl>
  </w:abstractNum>
  <w:abstractNum w:abstractNumId="52">
    <w:nsid w:val="65968C1C"/>
    <w:multiLevelType w:val="hybridMultilevel"/>
    <w:lvl w:ilvl="0">
      <w:lvlJc w:val="left"/>
      <w:lvlText w:val="P"/>
      <w:numFmt w:val="bullet"/>
      <w:start w:val="1"/>
    </w:lvl>
  </w:abstractNum>
  <w:abstractNum w:abstractNumId="53">
    <w:nsid w:val="46263DEC"/>
    <w:multiLevelType w:val="hybridMultilevel"/>
    <w:lvl w:ilvl="0">
      <w:lvlJc w:val="left"/>
      <w:lvlText w:val="D"/>
      <w:numFmt w:val="bullet"/>
      <w:start w:val="1"/>
    </w:lvl>
  </w:abstractNum>
  <w:abstractNum w:abstractNumId="54">
    <w:nsid w:val="260D8C4A"/>
    <w:multiLevelType w:val="hybridMultilevel"/>
    <w:lvl w:ilvl="0">
      <w:lvlJc w:val="left"/>
      <w:lvlText w:val="(%1)"/>
      <w:numFmt w:val="lowerLetter"/>
      <w:start w:val="1"/>
    </w:lvl>
  </w:abstractNum>
  <w:abstractNum w:abstractNumId="55">
    <w:nsid w:val="73D4D3C4"/>
    <w:multiLevelType w:val="hybridMultilevel"/>
    <w:lvl w:ilvl="0">
      <w:lvlJc w:val="left"/>
      <w:lvlText w:val="(%1)"/>
      <w:numFmt w:val="lowerLetter"/>
      <w:start w:val="1"/>
    </w:lvl>
  </w:abstractNum>
  <w:abstractNum w:abstractNumId="56">
    <w:nsid w:val="746F2E30"/>
    <w:multiLevelType w:val="hybridMultilevel"/>
    <w:lvl w:ilvl="0">
      <w:lvlJc w:val="left"/>
      <w:lvlText w:val="(%1)"/>
      <w:numFmt w:val="decimal"/>
      <w:start w:val="1"/>
    </w:lvl>
  </w:abstractNum>
  <w:abstractNum w:abstractNumId="57">
    <w:nsid w:val="6FDE8AF6"/>
    <w:multiLevelType w:val="hybridMultilevel"/>
    <w:lvl w:ilvl="0">
      <w:lvlJc w:val="left"/>
      <w:lvlText w:val="(%1)"/>
      <w:numFmt w:val="lowerLetter"/>
      <w:start w:val="1"/>
    </w:lvl>
  </w:abstractNum>
  <w:abstractNum w:abstractNumId="58">
    <w:nsid w:val="3FC32E20"/>
    <w:multiLevelType w:val="hybridMultilevel"/>
    <w:lvl w:ilvl="0">
      <w:lvlJc w:val="left"/>
      <w:lvlText w:val="(%1)"/>
      <w:numFmt w:val="lowerRoman"/>
      <w:start w:val="1"/>
    </w:lvl>
  </w:abstractNum>
  <w:abstractNum w:abstractNumId="59">
    <w:nsid w:val="49C0E823"/>
    <w:multiLevelType w:val="hybridMultilevel"/>
    <w:lvl w:ilvl="0">
      <w:lvlJc w:val="left"/>
      <w:lvlText w:val="(%1)"/>
      <w:numFmt w:val="lowerLetter"/>
      <w:start w:val="1"/>
    </w:lvl>
    <w:lvl w:ilvl="1">
      <w:lvlJc w:val="left"/>
      <w:lvlText w:val="(%2)"/>
      <w:numFmt w:val="lowerRoman"/>
      <w:start w:val="1"/>
    </w:lvl>
  </w:abstractNum>
  <w:abstractNum w:abstractNumId="60">
    <w:nsid w:val="14D53685"/>
    <w:multiLevelType w:val="hybridMultilevel"/>
    <w:lvl w:ilvl="0">
      <w:lvlJc w:val="left"/>
      <w:lvlText w:val="(%1)"/>
      <w:numFmt w:val="lowerLetter"/>
      <w:start w:val="1"/>
    </w:lvl>
  </w:abstractNum>
  <w:abstractNum w:abstractNumId="61">
    <w:nsid w:val="230F856C"/>
    <w:multiLevelType w:val="hybridMultilevel"/>
    <w:lvl w:ilvl="0">
      <w:lvlJc w:val="left"/>
      <w:lvlText w:val="(%1)"/>
      <w:numFmt w:val="lowerLetter"/>
      <w:start w:val="1"/>
    </w:lvl>
    <w:lvl w:ilvl="1">
      <w:lvlJc w:val="left"/>
      <w:lvlText w:val="(%2)"/>
      <w:numFmt w:val="lowerRoman"/>
      <w:start w:val="1"/>
    </w:lvl>
  </w:abstractNum>
  <w:abstractNum w:abstractNumId="62">
    <w:nsid w:val="6EAA85FB"/>
    <w:multiLevelType w:val="hybridMultilevel"/>
    <w:lvl w:ilvl="0">
      <w:lvlJc w:val="left"/>
      <w:lvlText w:val="(%1)"/>
      <w:numFmt w:val="lowerLetter"/>
      <w:start w:val="1"/>
    </w:lvl>
  </w:abstractNum>
  <w:abstractNum w:abstractNumId="63">
    <w:nsid w:val="3F06ECB2"/>
    <w:multiLevelType w:val="hybridMultilevel"/>
    <w:lvl w:ilvl="0">
      <w:lvlJc w:val="left"/>
      <w:lvlText w:val="(%1)"/>
      <w:numFmt w:val="lowerLetter"/>
      <w:start w:val="3"/>
    </w:lvl>
  </w:abstractNum>
  <w:abstractNum w:abstractNumId="64">
    <w:nsid w:val="3B594807"/>
    <w:multiLevelType w:val="hybridMultilevel"/>
    <w:lvl w:ilvl="0">
      <w:lvlJc w:val="left"/>
      <w:lvlText w:val="(%1)"/>
      <w:numFmt w:val="lowerLetter"/>
      <w:start w:val="1"/>
    </w:lvl>
  </w:abstractNum>
  <w:abstractNum w:abstractNumId="65">
    <w:nsid w:val="6CAA2304"/>
    <w:multiLevelType w:val="hybridMultilevel"/>
    <w:lvl w:ilvl="0">
      <w:lvlJc w:val="left"/>
      <w:lvlText w:val="(%1)"/>
      <w:numFmt w:val="lowerLetter"/>
      <w:start w:val="2"/>
    </w:lvl>
  </w:abstractNum>
  <w:abstractNum w:abstractNumId="66">
    <w:nsid w:val="3F7C2FF4"/>
    <w:multiLevelType w:val="hybridMultilevel"/>
    <w:lvl w:ilvl="0">
      <w:lvlJc w:val="left"/>
      <w:lvlText w:val="(%1)"/>
      <w:numFmt w:val="lowerLetter"/>
      <w:start w:val="1"/>
    </w:lvl>
  </w:abstractNum>
  <w:abstractNum w:abstractNumId="67">
    <w:nsid w:val="25413BEC"/>
    <w:multiLevelType w:val="hybridMultilevel"/>
    <w:lvl w:ilvl="0">
      <w:lvlJc w:val="left"/>
      <w:lvlText w:val="%1"/>
      <w:numFmt w:val="decimal"/>
      <w:start w:val="1"/>
    </w:lvl>
    <w:lvl w:ilvl="1">
      <w:lvlJc w:val="left"/>
      <w:lvlText w:val="(%2)"/>
      <w:numFmt w:val="lowerLetter"/>
      <w:start w:val="1"/>
    </w:lvl>
  </w:abstractNum>
  <w:abstractNum w:abstractNumId="68">
    <w:nsid w:val="17180B0B"/>
    <w:multiLevelType w:val="hybridMultilevel"/>
    <w:lvl w:ilvl="0">
      <w:lvlJc w:val="left"/>
      <w:lvlText w:val="(%1)"/>
      <w:numFmt w:val="decimal"/>
      <w:start w:val="1"/>
    </w:lvl>
    <w:lvl w:ilvl="1">
      <w:lvlJc w:val="left"/>
      <w:lvlText w:val="(%2)"/>
      <w:numFmt w:val="lowerLetter"/>
      <w:start w:val="2"/>
    </w:lvl>
  </w:abstractNum>
  <w:abstractNum w:abstractNumId="69">
    <w:nsid w:val="579328B9"/>
    <w:multiLevelType w:val="hybridMultilevel"/>
    <w:lvl w:ilvl="0">
      <w:lvlJc w:val="left"/>
      <w:lvlText w:val="(%1)"/>
      <w:numFmt w:val="lowerLetter"/>
      <w:start w:val="1"/>
    </w:lvl>
  </w:abstractNum>
  <w:abstractNum w:abstractNumId="70">
    <w:nsid w:val="5D205E20"/>
    <w:multiLevelType w:val="hybridMultilevel"/>
    <w:lvl w:ilvl="0">
      <w:lvlJc w:val="left"/>
      <w:lvlText w:val="(%1)"/>
      <w:numFmt w:val="lowerLetter"/>
      <w:start w:val="1"/>
    </w:lvl>
  </w:abstractNum>
  <w:abstractNum w:abstractNumId="71">
    <w:nsid w:val="11CCA8BA"/>
    <w:multiLevelType w:val="hybridMultilevel"/>
    <w:lvl w:ilvl="0">
      <w:lvlJc w:val="left"/>
      <w:lvlText w:val="(%1)"/>
      <w:numFmt w:val="lowerRoman"/>
      <w:start w:val="1"/>
    </w:lvl>
  </w:abstractNum>
  <w:abstractNum w:abstractNumId="72">
    <w:nsid w:val="4D32AB86"/>
    <w:multiLevelType w:val="hybridMultilevel"/>
    <w:lvl w:ilvl="0">
      <w:lvlJc w:val="left"/>
      <w:lvlText w:val="(%1)"/>
      <w:numFmt w:val="lowerRoman"/>
      <w:start w:val="4"/>
    </w:lvl>
  </w:abstractNum>
  <w:abstractNum w:abstractNumId="73">
    <w:nsid w:val="3F07ACC3"/>
    <w:multiLevelType w:val="hybridMultilevel"/>
    <w:lvl w:ilvl="0">
      <w:lvlJc w:val="left"/>
      <w:lvlText w:val="%1"/>
      <w:numFmt w:val="lowerLetter"/>
      <w:start w:val="1"/>
    </w:lvl>
    <w:lvl w:ilvl="1">
      <w:lvlJc w:val="left"/>
      <w:lvlText w:val="(%2)"/>
      <w:numFmt w:val="lowerLetter"/>
      <w:start w:val="1"/>
    </w:lvl>
  </w:abstractNum>
  <w:abstractNum w:abstractNumId="74">
    <w:nsid w:val="6B47F63E"/>
    <w:multiLevelType w:val="hybridMultilevel"/>
    <w:lvl w:ilvl="0">
      <w:lvlJc w:val="left"/>
      <w:lvlText w:val="(%1)"/>
      <w:numFmt w:val="lowerLetter"/>
      <w:start w:val="9"/>
    </w:lvl>
    <w:lvl w:ilvl="1">
      <w:lvlJc w:val="left"/>
      <w:lvlText w:val="(%2)"/>
      <w:numFmt w:val="lowerLetter"/>
      <w:start w:val="3"/>
    </w:lvl>
  </w:abstractNum>
  <w:abstractNum w:abstractNumId="75">
    <w:nsid w:val="5CB44A05"/>
    <w:multiLevelType w:val="hybridMultilevel"/>
    <w:lvl w:ilvl="0">
      <w:lvlJc w:val="left"/>
      <w:lvlText w:val="(%1)"/>
      <w:numFmt w:val="lowerLetter"/>
      <w:start w:val="5"/>
    </w:lvl>
  </w:abstractNum>
  <w:abstractNum w:abstractNumId="76">
    <w:nsid w:val="16CF80F1"/>
    <w:multiLevelType w:val="hybridMultilevel"/>
    <w:lvl w:ilvl="0">
      <w:lvlJc w:val="left"/>
      <w:lvlText w:val="(%1)"/>
      <w:numFmt w:val="lowerLetter"/>
      <w:start w:val="13"/>
    </w:lvl>
  </w:abstractNum>
  <w:abstractNum w:abstractNumId="77">
    <w:nsid w:val="1C695DEC"/>
    <w:multiLevelType w:val="hybridMultilevel"/>
    <w:lvl w:ilvl="0">
      <w:lvlJc w:val="left"/>
      <w:lvlText w:val="(%1)"/>
      <w:numFmt w:val="lowerLetter"/>
      <w:start w:val="2"/>
    </w:lvl>
  </w:abstractNum>
  <w:abstractNum w:abstractNumId="78">
    <w:nsid w:val="3FCFAED9"/>
    <w:multiLevelType w:val="hybridMultilevel"/>
    <w:lvl w:ilvl="0">
      <w:lvlJc w:val="left"/>
      <w:lvlText w:val="%1"/>
      <w:numFmt w:val="lowerLetter"/>
      <w:start w:val="1"/>
    </w:lvl>
    <w:lvl w:ilvl="1">
      <w:lvlJc w:val="left"/>
      <w:lvlText w:val="(%2)"/>
      <w:numFmt w:val="lowerLetter"/>
      <w:start w:val="1"/>
    </w:lvl>
  </w:abstractNum>
  <w:abstractNum w:abstractNumId="79">
    <w:nsid w:val="F856867"/>
    <w:multiLevelType w:val="hybridMultilevel"/>
    <w:lvl w:ilvl="0">
      <w:lvlJc w:val="left"/>
      <w:lvlText w:val="(%1)"/>
      <w:numFmt w:val="lowerLetter"/>
      <w:start w:val="35"/>
    </w:lvl>
    <w:lvl w:ilvl="1">
      <w:lvlJc w:val="left"/>
      <w:lvlText w:val="(%2)"/>
      <w:numFmt w:val="lowerLetter"/>
      <w:start w:val="4"/>
    </w:lvl>
  </w:abstractNum>
  <w:abstractNum w:abstractNumId="80">
    <w:nsid w:val="11B1CC33"/>
    <w:multiLevelType w:val="hybridMultilevel"/>
    <w:lvl w:ilvl="0">
      <w:lvlJc w:val="left"/>
      <w:lvlText w:val="(%1)"/>
      <w:numFmt w:val="lowerLetter"/>
      <w:start w:val="6"/>
    </w:lvl>
  </w:abstractNum>
  <w:abstractNum w:abstractNumId="81">
    <w:nsid w:val="2E22FBB7"/>
    <w:multiLevelType w:val="hybridMultilevel"/>
    <w:lvl w:ilvl="0">
      <w:lvlJc w:val="left"/>
      <w:lvlText w:val="(%1)"/>
      <w:numFmt w:val="lowerLetter"/>
      <w:start w:val="2"/>
    </w:lvl>
  </w:abstractNum>
  <w:abstractNum w:abstractNumId="82">
    <w:nsid w:val="29934699"/>
    <w:multiLevelType w:val="hybridMultilevel"/>
    <w:lvl w:ilvl="0">
      <w:lvlJc w:val="left"/>
      <w:lvlText w:val="(%1)"/>
      <w:numFmt w:val="lowerLetter"/>
      <w:start w:val="2"/>
    </w:lvl>
  </w:abstractNum>
  <w:abstractNum w:abstractNumId="83">
    <w:nsid w:val="77485850"/>
    <w:multiLevelType w:val="hybridMultilevel"/>
    <w:lvl w:ilvl="0">
      <w:lvlJc w:val="left"/>
      <w:lvlText w:val="(%1)"/>
      <w:numFmt w:val="lowerLetter"/>
      <w:start w:val="35"/>
    </w:lvl>
    <w:lvl w:ilvl="1">
      <w:lvlJc w:val="left"/>
      <w:lvlText w:val="(%2)"/>
      <w:numFmt w:val="lowerRoman"/>
    </w:lvl>
    <w:lvl w:ilvl="2">
      <w:lvlJc w:val="left"/>
      <w:lvlText w:val="(%3)"/>
      <w:numFmt w:val="lowerLetter"/>
      <w:start w:val="2"/>
    </w:lvl>
  </w:abstractNum>
  <w:abstractNum w:abstractNumId="84">
    <w:nsid w:val="744939A3"/>
    <w:multiLevelType w:val="hybridMultilevel"/>
    <w:lvl w:ilvl="0">
      <w:lvlJc w:val="left"/>
      <w:lvlText w:val="%1"/>
      <w:numFmt w:val="lowerLetter"/>
      <w:start w:val="1"/>
    </w:lvl>
    <w:lvl w:ilvl="1">
      <w:lvlJc w:val="left"/>
      <w:lvlText w:val="(%2)"/>
      <w:numFmt w:val="lowerLetter"/>
      <w:start w:val="3"/>
    </w:lvl>
  </w:abstractNum>
  <w:abstractNum w:abstractNumId="85">
    <w:nsid w:val="4FA0D2E3"/>
    <w:multiLevelType w:val="hybridMultilevel"/>
    <w:lvl w:ilvl="0">
      <w:lvlJc w:val="left"/>
      <w:lvlText w:val="(%1)"/>
      <w:numFmt w:val="lowerLetter"/>
      <w:start w:val="2"/>
    </w:lvl>
    <w:lvl w:ilvl="1">
      <w:lvlJc w:val="left"/>
      <w:lvlText w:val="%2"/>
      <w:numFmt w:val="lowerLetter"/>
      <w:start w:val="1"/>
    </w:lvl>
  </w:abstractNum>
  <w:abstractNum w:abstractNumId="86">
    <w:nsid w:val="6B1D2C14"/>
    <w:multiLevelType w:val="hybridMultilevel"/>
    <w:lvl w:ilvl="0">
      <w:lvlJc w:val="left"/>
      <w:lvlText w:val="(%1)"/>
      <w:numFmt w:val="lowerLetter"/>
      <w:start w:val="2"/>
    </w:lvl>
  </w:abstractNum>
  <w:abstractNum w:abstractNumId="87">
    <w:nsid w:val="68B867D3"/>
    <w:multiLevelType w:val="hybridMultilevel"/>
    <w:lvl w:ilvl="0">
      <w:lvlJc w:val="left"/>
      <w:lvlText w:val="(%1)"/>
      <w:numFmt w:val="lowerLetter"/>
      <w:start w:val="2"/>
    </w:lvl>
  </w:abstractNum>
  <w:abstractNum w:abstractNumId="88">
    <w:nsid w:val="3F7F5DD9"/>
    <w:multiLevelType w:val="hybridMultilevel"/>
    <w:lvl w:ilvl="0">
      <w:lvlJc w:val="left"/>
      <w:lvlText w:val="(%1)"/>
      <w:numFmt w:val="lowerLetter"/>
      <w:start w:val="3"/>
    </w:lvl>
    <w:lvl w:ilvl="1">
      <w:lvlJc w:val="left"/>
      <w:lvlText w:val="(%2)"/>
      <w:numFmt w:val="lowerLetter"/>
      <w:start w:val="1"/>
    </w:lvl>
  </w:abstractNum>
  <w:abstractNum w:abstractNumId="89">
    <w:nsid w:val="2AE05A34"/>
    <w:multiLevelType w:val="hybridMultilevel"/>
    <w:lvl w:ilvl="0">
      <w:lvlJc w:val="left"/>
      <w:lvlText w:val="(%1)"/>
      <w:numFmt w:val="lowerLetter"/>
      <w:start w:val="1"/>
    </w:lvl>
  </w:abstractNum>
  <w:abstractNum w:abstractNumId="90">
    <w:nsid w:val="32794FF7"/>
    <w:multiLevelType w:val="hybridMultilevel"/>
    <w:lvl w:ilvl="0">
      <w:lvlJc w:val="left"/>
      <w:lvlText w:val="(%1)"/>
      <w:numFmt w:val="lowerLetter"/>
      <w:start w:val="1"/>
    </w:lvl>
  </w:abstractNum>
  <w:abstractNum w:abstractNumId="91">
    <w:nsid w:val="5454945E"/>
    <w:multiLevelType w:val="hybridMultilevel"/>
    <w:lvl w:ilvl="0">
      <w:lvlJc w:val="left"/>
      <w:lvlText w:val="%1"/>
      <w:numFmt w:val="lowerLetter"/>
      <w:start w:val="1"/>
    </w:lvl>
    <w:lvl w:ilvl="1">
      <w:lvlJc w:val="left"/>
      <w:lvlText w:val="(%2)"/>
      <w:numFmt w:val="lowerLetter"/>
      <w:start w:val="5"/>
    </w:lvl>
  </w:abstractNum>
  <w:abstractNum w:abstractNumId="92">
    <w:nsid w:val="4DEFDFA0"/>
    <w:multiLevelType w:val="hybridMultilevel"/>
    <w:lvl w:ilvl="0">
      <w:lvlJc w:val="left"/>
      <w:lvlText w:val="(%1)"/>
      <w:numFmt w:val="lowerLetter"/>
      <w:start w:val="25"/>
    </w:lvl>
    <w:lvl w:ilvl="1">
      <w:lvlJc w:val="left"/>
      <w:lvlText w:val="(%2)"/>
      <w:numFmt w:val="lowerLetter"/>
      <w:start w:val="7"/>
    </w:lvl>
  </w:abstractNum>
  <w:abstractNum w:abstractNumId="93">
    <w:nsid w:val="2123D5F2"/>
    <w:multiLevelType w:val="hybridMultilevel"/>
    <w:lvl w:ilvl="0">
      <w:lvlJc w:val="left"/>
      <w:lvlText w:val="(%1)"/>
      <w:numFmt w:val="lowerLetter"/>
      <w:start w:val="8"/>
    </w:lvl>
  </w:abstractNum>
  <w:abstractNum w:abstractNumId="94">
    <w:nsid w:val="135B8110"/>
    <w:multiLevelType w:val="hybridMultilevel"/>
    <w:lvl w:ilvl="0">
      <w:lvlJc w:val="left"/>
      <w:lvlText w:val="(%1)"/>
      <w:numFmt w:val="lowerLetter"/>
      <w:start w:val="16"/>
    </w:lvl>
    <w:lvl w:ilvl="1">
      <w:lvlJc w:val="left"/>
      <w:lvlText w:val="(%2)"/>
      <w:numFmt w:val="lowerRoman"/>
      <w:start w:val="7"/>
    </w:lvl>
    <w:lvl w:ilvl="2">
      <w:lvlJc w:val="left"/>
      <w:lvlText w:val="(%3)"/>
      <w:numFmt w:val="lowerRoman"/>
      <w:start w:val="1"/>
    </w:lvl>
  </w:abstractNum>
  <w:abstractNum w:abstractNumId="95">
    <w:nsid w:val="94927A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96">
    <w:nsid w:val="DCDF8F6"/>
    <w:multiLevelType w:val="hybridMultilevel"/>
    <w:lvl w:ilvl="0">
      <w:lvlJc w:val="left"/>
      <w:lvlText w:val="(%1)"/>
      <w:numFmt w:val="lowerRoman"/>
      <w:start w:val="8"/>
    </w:lvl>
  </w:abstractNum>
  <w:abstractNum w:abstractNumId="97">
    <w:nsid w:val="52D7B105"/>
    <w:multiLevelType w:val="hybridMultilevel"/>
    <w:lvl w:ilvl="0">
      <w:lvlJc w:val="left"/>
      <w:lvlText w:val="%1"/>
      <w:numFmt w:val="upperLetter"/>
      <w:start w:val="1"/>
    </w:lvl>
    <w:lvl w:ilvl="1">
      <w:lvlJc w:val="left"/>
      <w:lvlText w:val="(%2)"/>
      <w:numFmt w:val="lowerLetter"/>
      <w:start w:val="1"/>
    </w:lvl>
  </w:abstractNum>
  <w:abstractNum w:abstractNumId="98">
    <w:nsid w:val="2E8A6394"/>
    <w:multiLevelType w:val="hybridMultilevel"/>
    <w:lvl w:ilvl="0">
      <w:lvlJc w:val="left"/>
      <w:lvlText w:val="(%1)"/>
      <w:numFmt w:val="upperLetter"/>
      <w:start w:val="1"/>
    </w:lvl>
    <w:lvl w:ilvl="1">
      <w:lvlJc w:val="left"/>
      <w:lvlText w:val="%2"/>
      <w:numFmt w:val="lowerLetter"/>
      <w:start w:val="1"/>
    </w:lvl>
  </w:abstractNum>
  <w:abstractNum w:abstractNumId="99">
    <w:nsid w:val="24E60401"/>
    <w:multiLevelType w:val="hybridMultilevel"/>
    <w:lvl w:ilvl="0">
      <w:lvlJc w:val="left"/>
      <w:lvlText w:val="%1"/>
      <w:numFmt w:val="lowerLetter"/>
      <w:start w:val="1"/>
    </w:lvl>
    <w:lvl w:ilvl="1">
      <w:lvlJc w:val="left"/>
      <w:lvlText w:val="(%2)"/>
      <w:numFmt w:val="lowerLetter"/>
      <w:start w:val="5"/>
    </w:lvl>
  </w:abstractNum>
  <w:abstractNum w:abstractNumId="100">
    <w:nsid w:val="2A6AD9BE"/>
    <w:multiLevelType w:val="hybridMultilevel"/>
    <w:lvl w:ilvl="0">
      <w:lvlJc w:val="left"/>
      <w:lvlText w:val="(%1)"/>
      <w:numFmt w:val="lowerLetter"/>
      <w:start w:val="26"/>
    </w:lvl>
    <w:lvl w:ilvl="1">
      <w:lvlJc w:val="left"/>
      <w:lvlText w:val="(%2)"/>
      <w:numFmt w:val="lowerLetter"/>
      <w:start w:val="7"/>
    </w:lvl>
  </w:abstractNum>
  <w:abstractNum w:abstractNumId="101">
    <w:nsid w:val="BAAC1B4"/>
    <w:multiLevelType w:val="hybridMultilevel"/>
    <w:lvl w:ilvl="0">
      <w:lvlJc w:val="left"/>
      <w:lvlText w:val="(%1)"/>
      <w:numFmt w:val="lowerLetter"/>
      <w:start w:val="8"/>
    </w:lvl>
  </w:abstractNum>
  <w:abstractNum w:abstractNumId="102">
    <w:nsid w:val="36B2ACBC"/>
    <w:multiLevelType w:val="hybridMultilevel"/>
    <w:lvl w:ilvl="0">
      <w:lvlJc w:val="left"/>
      <w:lvlText w:val="%1"/>
      <w:numFmt w:val="lowerRoman"/>
      <w:start w:val="1"/>
    </w:lvl>
    <w:lvl w:ilvl="1">
      <w:lvlJc w:val="left"/>
      <w:lvlText w:val="(%2)"/>
      <w:numFmt w:val="lowerLetter"/>
      <w:start w:val="1"/>
    </w:lvl>
  </w:abstractNum>
  <w:abstractNum w:abstractNumId="103">
    <w:nsid w:val="779D8544"/>
    <w:multiLevelType w:val="hybridMultilevel"/>
    <w:lvl w:ilvl="0">
      <w:lvlJc w:val="left"/>
      <w:lvlText w:val="(%1)"/>
      <w:numFmt w:val="lowerRoman"/>
      <w:start w:val="4"/>
    </w:lvl>
    <w:lvl w:ilvl="1">
      <w:lvlJc w:val="left"/>
      <w:lvlText w:val="%2"/>
      <w:numFmt w:val="lowerLetter"/>
      <w:start w:val="1"/>
    </w:lvl>
  </w:abstractNum>
  <w:abstractNum w:abstractNumId="104">
    <w:nsid w:val="4AB26E78"/>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105">
    <w:nsid w:val="21FAA2FA"/>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5"/>
    </w:lvl>
  </w:abstractNum>
  <w:abstractNum w:abstractNumId="106">
    <w:nsid w:val="5451CF49"/>
    <w:multiLevelType w:val="hybridMultilevel"/>
    <w:lvl w:ilvl="0">
      <w:lvlJc w:val="left"/>
      <w:lvlText w:val="(%1)"/>
      <w:numFmt w:val="lowerLetter"/>
      <w:start w:val="4"/>
    </w:lvl>
    <w:lvl w:ilvl="1">
      <w:lvlJc w:val="left"/>
      <w:lvlText w:val="(%2)"/>
      <w:numFmt w:val="lowerRoman"/>
      <w:start w:val="1"/>
    </w:lvl>
  </w:abstractNum>
  <w:abstractNum w:abstractNumId="107">
    <w:nsid w:val="6181EF69"/>
    <w:multiLevelType w:val="hybridMultilevel"/>
    <w:lvl w:ilvl="0">
      <w:lvlJc w:val="left"/>
      <w:lvlText w:val="%1"/>
      <w:numFmt w:val="lowerLetter"/>
      <w:start w:val="1"/>
    </w:lvl>
    <w:lvl w:ilvl="1">
      <w:lvlJc w:val="left"/>
      <w:lvlText w:val="(%2)"/>
      <w:numFmt w:val="lowerRoman"/>
      <w:start w:val="4"/>
    </w:lvl>
  </w:abstractNum>
  <w:abstractNum w:abstractNumId="108">
    <w:nsid w:val="3E6400E6"/>
    <w:multiLevelType w:val="hybridMultilevel"/>
    <w:lvl w:ilvl="0">
      <w:lvlJc w:val="left"/>
      <w:lvlText w:val="(%1)"/>
      <w:numFmt w:val="lowerLetter"/>
      <w:start w:val="5"/>
    </w:lvl>
    <w:lvl w:ilvl="1">
      <w:lvlJc w:val="left"/>
      <w:lvlText w:val="(%2)"/>
      <w:numFmt w:val="lowerRoman"/>
      <w:start w:val="1"/>
    </w:lvl>
  </w:abstractNum>
  <w:abstractNum w:abstractNumId="109">
    <w:nsid w:val="14217E23"/>
    <w:multiLevelType w:val="hybridMultilevel"/>
    <w:lvl w:ilvl="0">
      <w:lvlJc w:val="left"/>
      <w:lvlText w:val="(%1)"/>
      <w:numFmt w:val="lowerRoman"/>
      <w:start w:val="3"/>
    </w:lvl>
  </w:abstractNum>
  <w:abstractNum w:abstractNumId="110">
    <w:nsid w:val="710757D0"/>
    <w:multiLevelType w:val="hybridMultilevel"/>
    <w:lvl w:ilvl="0">
      <w:lvlJc w:val="left"/>
      <w:lvlText w:val="%1"/>
      <w:numFmt w:val="lowerLetter"/>
      <w:start w:val="1"/>
    </w:lvl>
    <w:lvl w:ilvl="1">
      <w:lvlJc w:val="left"/>
      <w:lvlText w:val="(%2)"/>
      <w:numFmt w:val="lowerLetter"/>
      <w:start w:val="7"/>
    </w:lvl>
  </w:abstractNum>
  <w:abstractNum w:abstractNumId="111">
    <w:nsid w:val="5015CD1A"/>
    <w:multiLevelType w:val="hybridMultilevel"/>
    <w:lvl w:ilvl="0">
      <w:lvlJc w:val="left"/>
      <w:lvlText w:val="(%1)"/>
      <w:numFmt w:val="lowerLetter"/>
      <w:start w:val="5"/>
    </w:lvl>
    <w:lvl w:ilvl="1">
      <w:lvlJc w:val="left"/>
      <w:lvlText w:val="(%2)"/>
      <w:numFmt w:val="lowerLetter"/>
      <w:start w:val="8"/>
    </w:lvl>
  </w:abstractNum>
  <w:abstractNum w:abstractNumId="112">
    <w:nsid w:val="424479DA"/>
    <w:multiLevelType w:val="hybridMultilevel"/>
    <w:lvl w:ilvl="0">
      <w:lvlJc w:val="left"/>
      <w:lvlText w:val="(%1)"/>
      <w:numFmt w:val="lowerLetter"/>
      <w:start w:val="11"/>
    </w:lvl>
  </w:abstractNum>
  <w:abstractNum w:abstractNumId="113">
    <w:nsid w:val="1A9A9E69"/>
    <w:multiLevelType w:val="hybridMultilevel"/>
    <w:lvl w:ilvl="0">
      <w:lvlJc w:val="left"/>
      <w:lvlText w:val="(%1)"/>
      <w:numFmt w:val="lowerLetter"/>
      <w:start w:val="1"/>
    </w:lvl>
  </w:abstractNum>
  <w:abstractNum w:abstractNumId="114">
    <w:nsid w:val="475E256A"/>
    <w:multiLevelType w:val="hybridMultilevel"/>
    <w:lvl w:ilvl="0">
      <w:lvlJc w:val="left"/>
      <w:lvlText w:val="(%1)"/>
      <w:numFmt w:val="lowerLetter"/>
      <w:start w:val="2"/>
    </w:lvl>
  </w:abstractNum>
  <w:abstractNum w:abstractNumId="115">
    <w:nsid w:val="368DB37E"/>
    <w:multiLevelType w:val="hybridMultilevel"/>
    <w:lvl w:ilvl="0">
      <w:lvlJc w:val="left"/>
      <w:lvlText w:val="(%1)"/>
      <w:numFmt w:val="lowerLetter"/>
      <w:start w:val="9"/>
    </w:lvl>
  </w:abstractNum>
  <w:abstractNum w:abstractNumId="116">
    <w:nsid w:val="6A3B714C"/>
    <w:multiLevelType w:val="hybridMultilevel"/>
    <w:lvl w:ilvl="0">
      <w:lvlJc w:val="left"/>
      <w:lvlText w:val="(%1)"/>
      <w:numFmt w:val="lowerLetter"/>
      <w:start w:val="18"/>
    </w:lvl>
  </w:abstractNum>
  <w:abstractNum w:abstractNumId="117">
    <w:nsid w:val="327B517E"/>
    <w:multiLevelType w:val="hybridMultilevel"/>
    <w:lvl w:ilvl="0">
      <w:lvlJc w:val="left"/>
      <w:lvlText w:val="%1"/>
      <w:numFmt w:val="lowerRoman"/>
      <w:start w:val="1"/>
    </w:lvl>
    <w:lvl w:ilvl="1">
      <w:lvlJc w:val="left"/>
      <w:lvlText w:val="(%2)"/>
      <w:numFmt w:val="lowerLetter"/>
      <w:start w:val="1"/>
    </w:lvl>
  </w:abstractNum>
  <w:abstractNum w:abstractNumId="118">
    <w:nsid w:val="1F461B51"/>
    <w:multiLevelType w:val="hybridMultilevel"/>
    <w:lvl w:ilvl="0">
      <w:lvlJc w:val="left"/>
      <w:lvlText w:val="(%1)"/>
      <w:numFmt w:val="lowerRoman"/>
      <w:start w:val="4"/>
    </w:lvl>
    <w:lvl w:ilvl="1">
      <w:lvlJc w:val="left"/>
      <w:lvlText w:val="(%2)"/>
      <w:numFmt w:val="lowerLetter"/>
      <w:start w:val="2"/>
    </w:lvl>
  </w:abstractNum>
  <w:abstractNum w:abstractNumId="119">
    <w:nsid w:val="29BACF25"/>
    <w:multiLevelType w:val="hybridMultilevel"/>
    <w:lvl w:ilvl="0">
      <w:lvlJc w:val="left"/>
      <w:lvlText w:val="(%1)"/>
      <w:numFmt w:val="lowerRoman"/>
      <w:start w:val="2"/>
    </w:lvl>
  </w:abstractNum>
  <w:abstractNum w:abstractNumId="120">
    <w:nsid w:val="5D5BABB3"/>
    <w:multiLevelType w:val="hybridMultilevel"/>
    <w:lvl w:ilvl="0">
      <w:lvlJc w:val="left"/>
      <w:lvlText w:val="(%1)"/>
      <w:numFmt w:val="lowerLetter"/>
      <w:start w:val="3"/>
    </w:lvl>
  </w:abstractNum>
  <w:abstractNum w:abstractNumId="121">
    <w:nsid w:val="51BF6B48"/>
    <w:multiLevelType w:val="hybridMultilevel"/>
    <w:lvl w:ilvl="0">
      <w:lvlJc w:val="left"/>
      <w:lvlText w:val="(%1)"/>
      <w:numFmt w:val="lowerLetter"/>
      <w:start w:val="4"/>
    </w:lvl>
  </w:abstractNum>
  <w:abstractNum w:abstractNumId="122">
    <w:nsid w:val="7E0F6384"/>
    <w:multiLevelType w:val="hybridMultilevel"/>
    <w:lvl w:ilvl="0">
      <w:lvlJc w:val="left"/>
      <w:lvlText w:val="(%1)"/>
      <w:numFmt w:val="lowerLetter"/>
      <w:start w:val="1"/>
    </w:lvl>
  </w:abstractNum>
  <w:abstractNum w:abstractNumId="123">
    <w:nsid w:val="2B4B8B53"/>
    <w:multiLevelType w:val="hybridMultilevel"/>
    <w:lvl w:ilvl="0">
      <w:lvlJc w:val="left"/>
      <w:lvlText w:val="(%1)"/>
      <w:numFmt w:val="decimal"/>
      <w:start w:val="1"/>
    </w:lvl>
  </w:abstractNum>
  <w:abstractNum w:abstractNumId="124">
    <w:nsid w:val="72E3413A"/>
    <w:multiLevelType w:val="hybridMultilevel"/>
    <w:lvl w:ilvl="0">
      <w:lvlJc w:val="left"/>
      <w:lvlText w:val="(%1)"/>
      <w:numFmt w:val="decimal"/>
      <w:start w:val="4"/>
    </w:lvl>
  </w:abstractNum>
  <w:abstractNum w:abstractNumId="125">
    <w:nsid w:val="116AE494"/>
    <w:multiLevelType w:val="hybridMultilevel"/>
    <w:lvl w:ilvl="0">
      <w:lvlJc w:val="left"/>
      <w:lvlText w:val="(%1)"/>
      <w:numFmt w:val="decimal"/>
      <w:start w:val="15"/>
    </w:lvl>
  </w:abstractNum>
  <w:abstractNum w:abstractNumId="126">
    <w:nsid w:val="3494B2FB"/>
    <w:multiLevelType w:val="hybridMultilevel"/>
    <w:lvl w:ilvl="0">
      <w:lvlJc w:val="left"/>
      <w:lvlText w:val="(%1)"/>
      <w:numFmt w:val="lowerLetter"/>
      <w:start w:val="1"/>
    </w:lvl>
  </w:abstractNum>
  <w:abstractNum w:abstractNumId="127">
    <w:nsid w:val="B13A31"/>
    <w:multiLevelType w:val="hybridMultilevel"/>
    <w:lvl w:ilvl="0">
      <w:lvlJc w:val="left"/>
      <w:lvlText w:val="(%1)"/>
      <w:numFmt w:val="lowerLetter"/>
      <w:start w:val="4"/>
    </w:lvl>
  </w:abstractNum>
  <w:abstractNum w:abstractNumId="128">
    <w:nsid w:val="64429599"/>
    <w:multiLevelType w:val="hybridMultilevel"/>
    <w:lvl w:ilvl="0">
      <w:lvlJc w:val="left"/>
      <w:lvlText w:val="(%1)"/>
      <w:numFmt w:val="lowerLetter"/>
      <w:start w:val="10"/>
    </w:lvl>
  </w:abstractNum>
  <w:abstractNum w:abstractNumId="129">
    <w:nsid w:val="631F1690"/>
    <w:multiLevelType w:val="hybridMultilevel"/>
    <w:lvl w:ilvl="0">
      <w:lvlJc w:val="left"/>
      <w:lvlText w:val="(%1)"/>
      <w:numFmt w:val="lowerLetter"/>
      <w:start w:val="12"/>
    </w:lvl>
  </w:abstractNum>
  <w:abstractNum w:abstractNumId="130">
    <w:nsid w:val="25973E32"/>
    <w:multiLevelType w:val="hybridMultilevel"/>
    <w:lvl w:ilvl="0">
      <w:lvlJc w:val="left"/>
      <w:lvlText w:val="(%1)"/>
      <w:numFmt w:val="lowerRoman"/>
      <w:start w:val="10"/>
    </w:lvl>
  </w:abstractNum>
  <w:abstractNum w:abstractNumId="131">
    <w:nsid w:val="EAD6F57"/>
    <w:multiLevelType w:val="hybridMultilevel"/>
    <w:lvl w:ilvl="0">
      <w:lvlJc w:val="left"/>
      <w:lvlText w:val="(%1)"/>
      <w:numFmt w:val="lowerLetter"/>
      <w:start w:val="1"/>
    </w:lvl>
  </w:abstractNum>
  <w:abstractNum w:abstractNumId="132">
    <w:nsid w:val="6EC9D844"/>
    <w:multiLevelType w:val="hybridMultilevel"/>
    <w:lvl w:ilvl="0">
      <w:lvlJc w:val="left"/>
      <w:lvlText w:val="(%1)"/>
      <w:numFmt w:val="lowerLetter"/>
      <w:start w:val="8"/>
    </w:lvl>
  </w:abstractNum>
  <w:abstractNum w:abstractNumId="133">
    <w:nsid w:val="5C49EAEE"/>
    <w:multiLevelType w:val="hybridMultilevel"/>
    <w:lvl w:ilvl="0">
      <w:lvlJc w:val="left"/>
      <w:lvlText w:val="(%1)"/>
      <w:numFmt w:val="lowerLetter"/>
      <w:start w:val="12"/>
    </w:lvl>
  </w:abstractNum>
  <w:abstractNum w:abstractNumId="134">
    <w:nsid w:val="64AF49B"/>
    <w:multiLevelType w:val="hybridMultilevel"/>
    <w:lvl w:ilvl="0">
      <w:lvlJc w:val="left"/>
      <w:lvlText w:val="(%1)"/>
      <w:numFmt w:val="lowerRoman"/>
      <w:start w:val="1"/>
    </w:lvl>
  </w:abstractNum>
  <w:abstractNum w:abstractNumId="135">
    <w:nsid w:val="397C46BC"/>
    <w:multiLevelType w:val="hybridMultilevel"/>
    <w:lvl w:ilvl="0">
      <w:lvlJc w:val="left"/>
      <w:lvlText w:val="%1"/>
      <w:numFmt w:val="lowerLetter"/>
      <w:start w:val="1"/>
    </w:lvl>
    <w:lvl w:ilvl="1">
      <w:lvlJc w:val="left"/>
      <w:lvlText w:val="(%2)"/>
      <w:numFmt w:val="lowerRoman"/>
      <w:start w:val="6"/>
    </w:lvl>
  </w:abstractNum>
  <w:abstractNum w:abstractNumId="136">
    <w:nsid w:val="7E448DE9"/>
    <w:multiLevelType w:val="hybridMultilevel"/>
    <w:lvl w:ilvl="0">
      <w:lvlJc w:val="left"/>
      <w:lvlText w:val="(%1)"/>
      <w:numFmt w:val="lowerLetter"/>
      <w:start w:val="2"/>
    </w:lvl>
    <w:lvl w:ilvl="1">
      <w:lvlJc w:val="left"/>
      <w:lvlText w:val="%2"/>
      <w:numFmt w:val="lowerRoman"/>
      <w:start w:val="1"/>
    </w:lvl>
  </w:abstractNum>
  <w:abstractNum w:abstractNumId="137">
    <w:nsid w:val="5A9CC3E5"/>
    <w:multiLevelType w:val="hybridMultilevel"/>
    <w:lvl w:ilvl="0">
      <w:lvlJc w:val="left"/>
      <w:lvlText w:val="(%1)"/>
      <w:numFmt w:val="lowerLetter"/>
      <w:start w:val="2"/>
    </w:lvl>
  </w:abstractNum>
  <w:abstractNum w:abstractNumId="138">
    <w:nsid w:val="1AFE3625"/>
    <w:multiLevelType w:val="hybridMultilevel"/>
    <w:lvl w:ilvl="0">
      <w:lvlJc w:val="left"/>
      <w:lvlText w:val="(%1)"/>
      <w:numFmt w:val="lowerLetter"/>
      <w:start w:val="2"/>
    </w:lvl>
  </w:abstractNum>
  <w:abstractNum w:abstractNumId="139">
    <w:nsid w:val="3CA88ECF"/>
    <w:multiLevelType w:val="hybridMultilevel"/>
    <w:lvl w:ilvl="0">
      <w:lvlJc w:val="left"/>
      <w:lvlText w:val="(%1)"/>
      <w:numFmt w:val="lowerRoman"/>
      <w:start w:val="1"/>
    </w:lvl>
  </w:abstractNum>
  <w:abstractNum w:abstractNumId="140">
    <w:nsid w:val="6EBE4208"/>
    <w:multiLevelType w:val="hybridMultilevel"/>
    <w:lvl w:ilvl="0">
      <w:lvlJc w:val="left"/>
      <w:lvlText w:val="(%1)"/>
      <w:numFmt w:val="lowerLetter"/>
      <w:start w:val="2"/>
    </w:lvl>
  </w:abstractNum>
  <w:abstractNum w:abstractNumId="141">
    <w:nsid w:val="C058DF5"/>
    <w:multiLevelType w:val="hybridMultilevel"/>
    <w:lvl w:ilvl="0">
      <w:lvlJc w:val="left"/>
      <w:lvlText w:val="(%1)"/>
      <w:numFmt w:val="lowerLetter"/>
      <w:start w:val="2"/>
    </w:lvl>
  </w:abstractNum>
  <w:abstractNum w:abstractNumId="142">
    <w:nsid w:val="CBE5BE9"/>
    <w:multiLevelType w:val="hybridMultilevel"/>
    <w:lvl w:ilvl="0">
      <w:lvlJc w:val="left"/>
      <w:lvlText w:val="(%1)"/>
      <w:numFmt w:val="lowerLetter"/>
      <w:start w:val="9"/>
    </w:lvl>
    <w:lvl w:ilvl="1">
      <w:lvlJc w:val="left"/>
      <w:lvlText w:val="(%2)"/>
      <w:numFmt w:val="lowerLetter"/>
      <w:start w:val="2"/>
    </w:lvl>
  </w:abstractNum>
  <w:abstractNum w:abstractNumId="143">
    <w:nsid w:val="3102BBE2"/>
    <w:multiLevelType w:val="hybridMultilevel"/>
    <w:lvl w:ilvl="0">
      <w:lvlJc w:val="left"/>
      <w:lvlText w:val="(%1)"/>
      <w:numFmt w:val="lowerLetter"/>
      <w:start w:val="2"/>
    </w:lvl>
  </w:abstractNum>
  <w:abstractNum w:abstractNumId="144">
    <w:nsid w:val="26A02C5E"/>
    <w:multiLevelType w:val="hybridMultilevel"/>
    <w:lvl w:ilvl="0">
      <w:lvlJc w:val="left"/>
      <w:lvlText w:val="(%1)"/>
      <w:numFmt w:val="lowerLetter"/>
      <w:start w:val="3"/>
    </w:lvl>
  </w:abstractNum>
  <w:abstractNum w:abstractNumId="145">
    <w:nsid w:val="541C8153"/>
    <w:multiLevelType w:val="hybridMultilevel"/>
    <w:lvl w:ilvl="0">
      <w:lvlJc w:val="left"/>
      <w:lvlText w:val="(%1)"/>
      <w:numFmt w:val="lowerLetter"/>
      <w:start w:val="2"/>
    </w:lvl>
  </w:abstractNum>
  <w:abstractNum w:abstractNumId="146">
    <w:nsid w:val="67906F60"/>
    <w:multiLevelType w:val="hybridMultilevel"/>
    <w:lvl w:ilvl="0">
      <w:lvlJc w:val="left"/>
      <w:lvlText w:val="%1"/>
      <w:numFmt w:val="lowerLetter"/>
      <w:start w:val="1"/>
    </w:lvl>
    <w:lvl w:ilvl="1">
      <w:lvlJc w:val="left"/>
      <w:lvlText w:val="(%2)"/>
      <w:numFmt w:val="lowerLetter"/>
      <w:start w:val="2"/>
    </w:lvl>
  </w:abstractNum>
  <w:abstractNum w:abstractNumId="147">
    <w:nsid w:val="10DB9DAA"/>
    <w:multiLevelType w:val="hybridMultilevel"/>
    <w:lvl w:ilvl="0">
      <w:lvlJc w:val="left"/>
      <w:lvlText w:val="(%1)"/>
      <w:numFmt w:val="lowerLetter"/>
      <w:start w:val="35"/>
    </w:lvl>
    <w:lvl w:ilvl="1">
      <w:lvlJc w:val="left"/>
      <w:lvlText w:val="%2"/>
      <w:numFmt w:val="lowerLetter"/>
      <w:start w:val="1"/>
    </w:lvl>
  </w:abstractNum>
  <w:abstractNum w:abstractNumId="148">
    <w:nsid w:val="697D2D2"/>
    <w:multiLevelType w:val="hybridMultilevel"/>
    <w:lvl w:ilvl="0">
      <w:lvlJc w:val="left"/>
      <w:lvlText w:val="(%1)"/>
      <w:numFmt w:val="lowerRoman"/>
      <w:start w:val="1"/>
    </w:lvl>
  </w:abstractNum>
  <w:abstractNum w:abstractNumId="149">
    <w:nsid w:val="6D68AB2"/>
    <w:multiLevelType w:val="hybridMultilevel"/>
    <w:lvl w:ilvl="0">
      <w:lvlJc w:val="left"/>
      <w:lvlText w:val="(%1)"/>
      <w:numFmt w:val="upperLetter"/>
      <w:start w:val="2"/>
    </w:lvl>
  </w:abstractNum>
  <w:abstractNum w:abstractNumId="150">
    <w:nsid w:val="3A966CD0"/>
    <w:multiLevelType w:val="hybridMultilevel"/>
    <w:lvl w:ilvl="0">
      <w:lvlJc w:val="left"/>
      <w:lvlText w:val="(%1)"/>
      <w:numFmt w:val="upperLetter"/>
      <w:start w:val="7"/>
    </w:lvl>
  </w:abstractNum>
  <w:abstractNum w:abstractNumId="151">
    <w:nsid w:val="63F37E85"/>
    <w:multiLevelType w:val="hybridMultilevel"/>
    <w:lvl w:ilvl="0">
      <w:lvlJc w:val="left"/>
      <w:lvlText w:val="%1"/>
      <w:numFmt w:val="lowerRoman"/>
      <w:start w:val="1"/>
    </w:lvl>
    <w:lvl w:ilvl="1">
      <w:lvlJc w:val="left"/>
      <w:lvlText w:val="(%2)"/>
      <w:numFmt w:val="upperLetter"/>
      <w:start w:val="10"/>
    </w:lvl>
  </w:abstractNum>
  <w:abstractNum w:abstractNumId="152">
    <w:nsid w:val="5895F5FA"/>
    <w:multiLevelType w:val="hybridMultilevel"/>
    <w:lvl w:ilvl="0">
      <w:lvlJc w:val="left"/>
      <w:lvlText w:val="(%1)"/>
      <w:numFmt w:val="lowerRoman"/>
      <w:start w:val="2"/>
    </w:lvl>
    <w:lvl w:ilvl="1">
      <w:lvlJc w:val="left"/>
      <w:lvlText w:val="(%2)"/>
      <w:numFmt w:val="upperLetter"/>
      <w:start w:val="1"/>
    </w:lvl>
  </w:abstractNum>
  <w:abstractNum w:abstractNumId="153">
    <w:nsid w:val="38A5D054"/>
    <w:multiLevelType w:val="hybridMultilevel"/>
    <w:lvl w:ilvl="0">
      <w:lvlJc w:val="left"/>
      <w:lvlText w:val="%1"/>
      <w:numFmt w:val="lowerLetter"/>
      <w:start w:val="1"/>
    </w:lvl>
    <w:lvl w:ilvl="1">
      <w:lvlJc w:val="left"/>
      <w:lvlText w:val="(%2)"/>
      <w:numFmt w:val="upperLetter"/>
      <w:start w:val="4"/>
    </w:lvl>
  </w:abstractNum>
  <w:abstractNum w:abstractNumId="154">
    <w:nsid w:val="F3F09D8"/>
    <w:multiLevelType w:val="hybridMultilevel"/>
    <w:lvl w:ilvl="0">
      <w:lvlJc w:val="left"/>
      <w:lvlText w:val="(%1)"/>
      <w:numFmt w:val="lowerLetter"/>
      <w:start w:val="2"/>
    </w:lvl>
    <w:lvl w:ilvl="1">
      <w:lvlJc w:val="left"/>
      <w:lvlText w:val="%2"/>
      <w:numFmt w:val="upperLetter"/>
      <w:start w:val="1"/>
    </w:lvl>
  </w:abstractNum>
  <w:abstractNum w:abstractNumId="155">
    <w:nsid w:val="4B793735"/>
    <w:multiLevelType w:val="hybridMultilevel"/>
    <w:lvl w:ilvl="0">
      <w:lvlJc w:val="left"/>
      <w:lvlText w:val="(%1)"/>
      <w:numFmt w:val="lowerRoman"/>
      <w:start w:val="1"/>
    </w:lvl>
  </w:abstractNum>
  <w:abstractNum w:abstractNumId="156">
    <w:nsid w:val="4A10B4E8"/>
    <w:multiLevelType w:val="hybridMultilevel"/>
    <w:lvl w:ilvl="0">
      <w:lvlJc w:val="left"/>
      <w:lvlText w:val="(%1)"/>
      <w:numFmt w:val="lowerLetter"/>
      <w:start w:val="2"/>
    </w:lvl>
  </w:abstractNum>
  <w:abstractNum w:abstractNumId="157">
    <w:nsid w:val="43D3BCD4"/>
    <w:multiLevelType w:val="hybridMultilevel"/>
    <w:lvl w:ilvl="0">
      <w:lvlJc w:val="left"/>
      <w:lvlText w:val="%1"/>
      <w:numFmt w:val="lowerLetter"/>
      <w:start w:val="1"/>
    </w:lvl>
    <w:lvl w:ilvl="1">
      <w:lvlJc w:val="left"/>
      <w:lvlText w:val="(%2)"/>
      <w:numFmt w:val="lowerRoman"/>
      <w:start w:val="1"/>
    </w:lvl>
  </w:abstractNum>
  <w:abstractNum w:abstractNumId="158">
    <w:nsid w:val="4C2A7166"/>
    <w:multiLevelType w:val="hybridMultilevel"/>
    <w:lvl w:ilvl="0">
      <w:lvlJc w:val="left"/>
      <w:lvlText w:val="(%1)"/>
      <w:numFmt w:val="lowerLetter"/>
      <w:start w:val="2"/>
    </w:lvl>
    <w:lvl w:ilvl="1">
      <w:lvlJc w:val="left"/>
      <w:lvlText w:val="%2"/>
      <w:numFmt w:val="lowerRoman"/>
      <w:start w:val="1"/>
    </w:lvl>
  </w:abstractNum>
  <w:abstractNum w:abstractNumId="159">
    <w:nsid w:val="2E534A82"/>
    <w:multiLevelType w:val="hybridMultilevel"/>
    <w:lvl w:ilvl="0">
      <w:lvlJc w:val="left"/>
      <w:lvlText w:val="(%1)"/>
      <w:numFmt w:val="lowerLetter"/>
      <w:start w:val="2"/>
    </w:lvl>
    <w:lvl w:ilvl="1">
      <w:lvlJc w:val="left"/>
      <w:lvlText w:val="(%2)"/>
      <w:numFmt w:val="lowerRoman"/>
      <w:start w:val="1"/>
    </w:lvl>
  </w:abstractNum>
  <w:abstractNum w:abstractNumId="160">
    <w:nsid w:val="26F2D364"/>
    <w:multiLevelType w:val="hybridMultilevel"/>
    <w:lvl w:ilvl="0">
      <w:lvlJc w:val="left"/>
      <w:lvlText w:val="(%1)"/>
      <w:numFmt w:val="lowerRoman"/>
      <w:start w:val="8"/>
    </w:lvl>
  </w:abstractNum>
  <w:abstractNum w:abstractNumId="161">
    <w:nsid w:val="71C1AF98"/>
    <w:multiLevelType w:val="hybridMultilevel"/>
    <w:lvl w:ilvl="0">
      <w:lvlJc w:val="left"/>
      <w:lvlText w:val="(%1)"/>
      <w:numFmt w:val="lowerLetter"/>
      <w:start w:val="2"/>
    </w:lvl>
  </w:abstractNum>
  <w:abstractNum w:abstractNumId="162">
    <w:nsid w:val="3D00B9D9"/>
    <w:multiLevelType w:val="hybridMultilevel"/>
    <w:lvl w:ilvl="0">
      <w:lvlJc w:val="left"/>
      <w:lvlText w:val="%1"/>
      <w:numFmt w:val="lowerLetter"/>
      <w:start w:val="1"/>
    </w:lvl>
    <w:lvl w:ilvl="1">
      <w:lvlJc w:val="left"/>
      <w:lvlText w:val="(%2)"/>
      <w:numFmt w:val="lowerLetter"/>
      <w:start w:val="2"/>
    </w:lvl>
  </w:abstractNum>
  <w:abstractNum w:abstractNumId="163">
    <w:nsid w:val="15BCABA8"/>
    <w:multiLevelType w:val="hybridMultilevel"/>
    <w:lvl w:ilvl="0">
      <w:lvlJc w:val="left"/>
      <w:lvlText w:val="(%1)"/>
      <w:numFmt w:val="lowerLetter"/>
      <w:start w:val="61"/>
    </w:lvl>
    <w:lvl w:ilvl="1">
      <w:lvlJc w:val="left"/>
      <w:lvlText w:val="%2"/>
      <w:numFmt w:val="lowerLetter"/>
      <w:start w:val="1"/>
    </w:lvl>
  </w:abstractNum>
  <w:abstractNum w:abstractNumId="164">
    <w:nsid w:val="4E0B9A87"/>
    <w:multiLevelType w:val="hybridMultilevel"/>
    <w:lvl w:ilvl="0">
      <w:lvlJc w:val="left"/>
      <w:lvlText w:val="(%1)"/>
      <w:numFmt w:val="lowerRoman"/>
      <w:start w:val="1"/>
    </w:lvl>
  </w:abstractNum>
  <w:abstractNum w:abstractNumId="165">
    <w:nsid w:val="434BAE75"/>
    <w:multiLevelType w:val="hybridMultilevel"/>
    <w:lvl w:ilvl="0">
      <w:lvlJc w:val="left"/>
      <w:lvlText w:val="(%1)"/>
      <w:numFmt w:val="lowerRoman"/>
      <w:start w:val="3"/>
    </w:lvl>
  </w:abstractNum>
  <w:abstractNum w:abstractNumId="166">
    <w:nsid w:val="4F38F265"/>
    <w:multiLevelType w:val="hybridMultilevel"/>
    <w:lvl w:ilvl="0">
      <w:lvlJc w:val="left"/>
      <w:lvlText w:val="(%1)"/>
      <w:numFmt w:val="lowerRoman"/>
      <w:start w:val="14"/>
    </w:lvl>
  </w:abstractNum>
  <w:abstractNum w:abstractNumId="167">
    <w:nsid w:val="4C502870"/>
    <w:multiLevelType w:val="hybridMultilevel"/>
    <w:lvl w:ilvl="0">
      <w:lvlJc w:val="left"/>
      <w:lvlText w:val="(%1)"/>
      <w:numFmt w:val="lowerLetter"/>
      <w:start w:val="2"/>
    </w:lvl>
  </w:abstractNum>
  <w:abstractNum w:abstractNumId="168">
    <w:nsid w:val="1DE8725A"/>
    <w:multiLevelType w:val="hybridMultilevel"/>
    <w:lvl w:ilvl="0">
      <w:lvlJc w:val="left"/>
      <w:lvlText w:val="(%1)"/>
      <w:numFmt w:val="lowerLetter"/>
      <w:start w:val="1"/>
    </w:lvl>
  </w:abstractNum>
  <w:abstractNum w:abstractNumId="169">
    <w:nsid w:val="6A37288A"/>
    <w:multiLevelType w:val="hybridMultilevel"/>
    <w:lvl w:ilvl="0">
      <w:lvlJc w:val="left"/>
      <w:lvlText w:val="(%1)"/>
      <w:numFmt w:val="lowerLetter"/>
      <w:start w:val="2"/>
    </w:lvl>
  </w:abstractNum>
  <w:abstractNum w:abstractNumId="170">
    <w:nsid w:val="8F8B73F"/>
    <w:multiLevelType w:val="hybridMultilevel"/>
    <w:lvl w:ilvl="0">
      <w:lvlJc w:val="left"/>
      <w:lvlText w:val="(%1)"/>
      <w:numFmt w:val="lowerLetter"/>
      <w:start w:val="2"/>
    </w:lvl>
  </w:abstractNum>
  <w:abstractNum w:abstractNumId="171">
    <w:nsid w:val="CA6B462"/>
    <w:multiLevelType w:val="hybridMultilevel"/>
    <w:lvl w:ilvl="0">
      <w:lvlJc w:val="left"/>
      <w:lvlText w:val="(%1)"/>
      <w:numFmt w:val="lowerLetter"/>
      <w:start w:val="3"/>
    </w:lvl>
  </w:abstractNum>
  <w:abstractNum w:abstractNumId="172">
    <w:nsid w:val="763CB680"/>
    <w:multiLevelType w:val="hybridMultilevel"/>
    <w:lvl w:ilvl="0">
      <w:lvlJc w:val="left"/>
      <w:lvlText w:val="(%1)"/>
      <w:numFmt w:val="lowerLetter"/>
      <w:start w:val="7"/>
    </w:lvl>
  </w:abstractNum>
  <w:abstractNum w:abstractNumId="173">
    <w:nsid w:val="15B71329"/>
    <w:multiLevelType w:val="hybridMultilevel"/>
    <w:lvl w:ilvl="0">
      <w:lvlJc w:val="left"/>
      <w:lvlText w:val="(%1)"/>
      <w:numFmt w:val="lowerRoman"/>
      <w:start w:val="2"/>
    </w:lvl>
  </w:abstractNum>
  <w:abstractNum w:abstractNumId="174">
    <w:nsid w:val="3DA97044"/>
    <w:multiLevelType w:val="hybridMultilevel"/>
    <w:lvl w:ilvl="0">
      <w:lvlJc w:val="left"/>
      <w:lvlText w:val="(%1)"/>
      <w:numFmt w:val="lowerLetter"/>
      <w:start w:val="2"/>
    </w:lvl>
  </w:abstractNum>
  <w:abstractNum w:abstractNumId="175">
    <w:nsid w:val="1CDCE2DE"/>
    <w:multiLevelType w:val="hybridMultilevel"/>
    <w:lvl w:ilvl="0">
      <w:lvlJc w:val="left"/>
      <w:lvlText w:val="(%1)"/>
      <w:numFmt w:val="lowerLetter"/>
      <w:start w:val="4"/>
    </w:lvl>
  </w:abstractNum>
  <w:abstractNum w:abstractNumId="176">
    <w:nsid w:val="69D3947C"/>
    <w:multiLevelType w:val="hybridMultilevel"/>
    <w:lvl w:ilvl="0">
      <w:lvlJc w:val="left"/>
      <w:lvlText w:val="(%1)"/>
      <w:numFmt w:val="lowerLetter"/>
      <w:start w:val="2"/>
    </w:lvl>
  </w:abstractNum>
  <w:abstractNum w:abstractNumId="177">
    <w:nsid w:val="2539DFA5"/>
    <w:multiLevelType w:val="hybridMultilevel"/>
    <w:lvl w:ilvl="0">
      <w:lvlJc w:val="left"/>
      <w:lvlText w:val="(%1)"/>
      <w:numFmt w:val="lowerLetter"/>
      <w:start w:val="2"/>
    </w:lvl>
  </w:abstractNum>
  <w:abstractNum w:abstractNumId="178">
    <w:nsid w:val="2DB88089"/>
    <w:multiLevelType w:val="hybridMultilevel"/>
    <w:lvl w:ilvl="0">
      <w:lvlJc w:val="left"/>
      <w:lvlText w:val="(%1)"/>
      <w:numFmt w:val="lowerLetter"/>
      <w:start w:val="2"/>
    </w:lvl>
  </w:abstractNum>
  <w:abstractNum w:abstractNumId="179">
    <w:nsid w:val="706B674E"/>
    <w:multiLevelType w:val="hybridMultilevel"/>
    <w:lvl w:ilvl="0">
      <w:lvlJc w:val="left"/>
      <w:lvlText w:val="(%1)"/>
      <w:numFmt w:val="lowerLetter"/>
      <w:start w:val="1"/>
    </w:lvl>
  </w:abstractNum>
  <w:abstractNum w:abstractNumId="180">
    <w:nsid w:val="2C106A57"/>
    <w:multiLevelType w:val="hybridMultilevel"/>
    <w:lvl w:ilvl="0">
      <w:lvlJc w:val="left"/>
      <w:lvlText w:val="(%1)"/>
      <w:numFmt w:val="lowerLetter"/>
      <w:start w:val="3"/>
    </w:lvl>
  </w:abstractNum>
  <w:abstractNum w:abstractNumId="181">
    <w:nsid w:val="684EED59"/>
    <w:multiLevelType w:val="hybridMultilevel"/>
    <w:lvl w:ilvl="0">
      <w:lvlJc w:val="left"/>
      <w:lvlText w:val="(%1)"/>
      <w:numFmt w:val="lowerLetter"/>
      <w:start w:val="1"/>
    </w:lvl>
  </w:abstractNum>
  <w:abstractNum w:abstractNumId="182">
    <w:nsid w:val="545EE5D3"/>
    <w:multiLevelType w:val="hybridMultilevel"/>
    <w:lvl w:ilvl="0">
      <w:lvlJc w:val="left"/>
      <w:lvlText w:val="(%1)"/>
      <w:numFmt w:val="lowerLetter"/>
      <w:start w:val="2"/>
    </w:lvl>
  </w:abstractNum>
  <w:abstractNum w:abstractNumId="183">
    <w:nsid w:val="4A66051"/>
    <w:multiLevelType w:val="hybridMultilevel"/>
    <w:lvl w:ilvl="0">
      <w:lvlJc w:val="left"/>
      <w:lvlText w:val="(%1)"/>
      <w:numFmt w:val="lowerLetter"/>
      <w:start w:val="1"/>
    </w:lvl>
    <w:lvl w:ilvl="1">
      <w:lvlJc w:val="left"/>
      <w:lvlText w:val="(%2)"/>
      <w:numFmt w:val="lowerLetter"/>
      <w:start w:val="9"/>
    </w:lvl>
  </w:abstractNum>
  <w:abstractNum w:abstractNumId="184">
    <w:nsid w:val="20F4BDAD"/>
    <w:multiLevelType w:val="hybridMultilevel"/>
    <w:lvl w:ilvl="0">
      <w:lvlJc w:val="left"/>
      <w:lvlText w:val="(%1)"/>
      <w:numFmt w:val="lowerRoman"/>
      <w:start w:val="2"/>
    </w:lvl>
  </w:abstractNum>
  <w:abstractNum w:abstractNumId="185">
    <w:nsid w:val="639DEFAC"/>
    <w:multiLevelType w:val="hybridMultilevel"/>
    <w:lvl w:ilvl="0">
      <w:lvlJc w:val="left"/>
      <w:lvlText w:val="%1"/>
      <w:numFmt w:val="lowerRoman"/>
      <w:start w:val="1"/>
    </w:lvl>
    <w:lvl w:ilvl="1">
      <w:lvlJc w:val="left"/>
      <w:lvlText w:val="(%2)"/>
      <w:numFmt w:val="lowerRoman"/>
      <w:start w:val="7"/>
    </w:lvl>
  </w:abstractNum>
  <w:abstractNum w:abstractNumId="186">
    <w:nsid w:val="501F9786"/>
    <w:multiLevelType w:val="hybridMultilevel"/>
    <w:lvl w:ilvl="0">
      <w:lvlJc w:val="left"/>
      <w:lvlText w:val="(%1)"/>
      <w:numFmt w:val="lowerRoman"/>
      <w:start w:val="2"/>
    </w:lvl>
    <w:lvl w:ilvl="1">
      <w:lvlJc w:val="left"/>
      <w:lvlText w:val="(%2)"/>
      <w:numFmt w:val="lowerRoman"/>
      <w:start w:val="8"/>
    </w:lvl>
  </w:abstractNum>
  <w:abstractNum w:abstractNumId="187">
    <w:nsid w:val="6B057295"/>
    <w:multiLevelType w:val="hybridMultilevel"/>
    <w:lvl w:ilvl="0">
      <w:lvlJc w:val="left"/>
      <w:lvlText w:val="(%1)"/>
      <w:numFmt w:val="lowerLetter"/>
      <w:start w:val="1"/>
    </w:lvl>
  </w:abstractNum>
  <w:abstractNum w:abstractNumId="188">
    <w:nsid w:val="2771AC80"/>
    <w:multiLevelType w:val="hybridMultilevel"/>
    <w:lvl w:ilvl="0">
      <w:lvlJc w:val="left"/>
      <w:lvlText w:val="(%1)"/>
      <w:numFmt w:val="lowerLetter"/>
      <w:start w:val="5"/>
    </w:lvl>
  </w:abstractNum>
  <w:abstractNum w:abstractNumId="189">
    <w:nsid w:val="1C4A08EC"/>
    <w:multiLevelType w:val="hybridMultilevel"/>
    <w:lvl w:ilvl="0">
      <w:lvlJc w:val="left"/>
      <w:lvlText w:val="(%1)"/>
      <w:numFmt w:val="decimal"/>
      <w:start w:val="90"/>
    </w:lvl>
  </w:abstractNum>
  <w:abstractNum w:abstractNumId="190">
    <w:nsid w:val="1958BD17"/>
    <w:multiLevelType w:val="hybridMultilevel"/>
    <w:lvl w:ilvl="0">
      <w:lvlJc w:val="left"/>
      <w:lvlText w:val="%1"/>
      <w:numFmt w:val="lowerLetter"/>
      <w:start w:val="1"/>
    </w:lvl>
    <w:lvl w:ilvl="1">
      <w:lvlJc w:val="left"/>
      <w:lvlText w:val="(%2)"/>
      <w:numFmt w:val="lowerLetter"/>
      <w:start w:val="1"/>
    </w:lvl>
  </w:abstractNum>
  <w:abstractNum w:abstractNumId="191">
    <w:nsid w:val="4E647FE4"/>
    <w:multiLevelType w:val="hybridMultilevel"/>
    <w:lvl w:ilvl="0">
      <w:lvlJc w:val="left"/>
      <w:lvlText w:val="(%1)"/>
      <w:numFmt w:val="lowerLetter"/>
      <w:start w:val="9"/>
    </w:lvl>
    <w:lvl w:ilvl="1">
      <w:lvlJc w:val="left"/>
      <w:lvlText w:val="(%2)"/>
      <w:numFmt w:val="lowerLetter"/>
      <w:start w:val="2"/>
    </w:lvl>
  </w:abstractNum>
  <w:abstractNum w:abstractNumId="192">
    <w:nsid w:val="E0BB885"/>
    <w:multiLevelType w:val="hybridMultilevel"/>
    <w:lvl w:ilvl="0">
      <w:lvlJc w:val="left"/>
      <w:lvlText w:val="(%1)"/>
      <w:numFmt w:val="lowerLetter"/>
      <w:start w:val="1"/>
    </w:lvl>
  </w:abstractNum>
  <w:abstractNum w:abstractNumId="193">
    <w:nsid w:val="565976F1"/>
    <w:multiLevelType w:val="hybridMultilevel"/>
    <w:lvl w:ilvl="0">
      <w:lvlJc w:val="left"/>
      <w:lvlText w:val="(%1)"/>
      <w:numFmt w:val="lowerLetter"/>
      <w:start w:val="1"/>
    </w:lvl>
  </w:abstractNum>
  <w:abstractNum w:abstractNumId="194">
    <w:nsid w:val="64212B8C"/>
    <w:multiLevelType w:val="hybridMultilevel"/>
    <w:lvl w:ilvl="0">
      <w:lvlJc w:val="left"/>
      <w:lvlText w:val="(%1)"/>
      <w:numFmt w:val="lowerLetter"/>
      <w:start w:val="4"/>
    </w:lvl>
  </w:abstractNum>
  <w:abstractNum w:abstractNumId="195">
    <w:nsid w:val="5C17530C"/>
    <w:multiLevelType w:val="hybridMultilevel"/>
    <w:lvl w:ilvl="0">
      <w:lvlJc w:val="left"/>
      <w:lvlText w:val="(%1)"/>
      <w:numFmt w:val="lowerLetter"/>
      <w:start w:val="1"/>
    </w:lvl>
    <w:lvl w:ilvl="1">
      <w:lvlJc w:val="left"/>
      <w:lvlText w:val="(%2)"/>
      <w:numFmt w:val="lowerRoman"/>
      <w:start w:val="1"/>
    </w:lvl>
  </w:abstractNum>
  <w:abstractNum w:abstractNumId="196">
    <w:nsid w:val="19A52566"/>
    <w:multiLevelType w:val="hybridMultilevel"/>
    <w:lvl w:ilvl="0">
      <w:lvlJc w:val="left"/>
      <w:lvlText w:val="(%1)"/>
      <w:numFmt w:val="lowerRoman"/>
      <w:start w:val="2"/>
    </w:lvl>
  </w:abstractNum>
  <w:abstractNum w:abstractNumId="197">
    <w:nsid w:val="335A1DF1"/>
    <w:multiLevelType w:val="hybridMultilevel"/>
    <w:lvl w:ilvl="0">
      <w:lvlJc w:val="left"/>
      <w:lvlText w:val="(%1)"/>
      <w:numFmt w:val="lowerLetter"/>
      <w:start w:val="2"/>
    </w:lvl>
    <w:lvl w:ilvl="1">
      <w:lvlJc w:val="left"/>
      <w:lvlText w:val="(%2)"/>
      <w:numFmt w:val="lowerRoman"/>
      <w:start w:val="1"/>
    </w:lvl>
  </w:abstractNum>
  <w:abstractNum w:abstractNumId="198">
    <w:nsid w:val="28677B7C"/>
    <w:multiLevelType w:val="hybridMultilevel"/>
    <w:lvl w:ilvl="0">
      <w:lvlJc w:val="left"/>
      <w:lvlText w:val="(%1)"/>
      <w:numFmt w:val="lowerLetter"/>
      <w:start w:val="2"/>
    </w:lvl>
  </w:abstractNum>
  <w:abstractNum w:abstractNumId="199">
    <w:nsid w:val="378D97C0"/>
    <w:multiLevelType w:val="hybridMultilevel"/>
    <w:lvl w:ilvl="0">
      <w:lvlJc w:val="left"/>
      <w:lvlText w:val="(%1)"/>
      <w:numFmt w:val="lowerLetter"/>
      <w:start w:val="4"/>
    </w:lvl>
  </w:abstractNum>
  <w:abstractNum w:abstractNumId="200">
    <w:nsid w:val="1D91467C"/>
    <w:multiLevelType w:val="hybridMultilevel"/>
    <w:lvl w:ilvl="0">
      <w:lvlJc w:val="left"/>
      <w:lvlText w:val="(%1)"/>
      <w:numFmt w:val="lowerLetter"/>
      <w:start w:val="8"/>
    </w:lvl>
  </w:abstractNum>
  <w:abstractNum w:abstractNumId="201">
    <w:nsid w:val="316032BB"/>
    <w:multiLevelType w:val="hybridMultilevel"/>
    <w:lvl w:ilvl="0">
      <w:lvlJc w:val="left"/>
      <w:lvlText w:val="(%1)"/>
      <w:numFmt w:val="lowerLetter"/>
      <w:start w:val="2"/>
    </w:lvl>
  </w:abstractNum>
  <w:abstractNum w:abstractNumId="202">
    <w:nsid w:val="44344C22"/>
    <w:multiLevelType w:val="hybridMultilevel"/>
    <w:lvl w:ilvl="0">
      <w:lvlJc w:val="left"/>
      <w:lvlText w:val="(%1)"/>
      <w:numFmt w:val="lowerRoman"/>
      <w:start w:val="1"/>
    </w:lvl>
  </w:abstractNum>
  <w:abstractNum w:abstractNumId="203">
    <w:nsid w:val="13CDFCFC"/>
    <w:multiLevelType w:val="hybridMultilevel"/>
    <w:lvl w:ilvl="0">
      <w:lvlJc w:val="left"/>
      <w:lvlText w:val="(%1)"/>
      <w:numFmt w:val="lowerRoman"/>
      <w:start w:val="2"/>
    </w:lvl>
  </w:abstractNum>
  <w:abstractNum w:abstractNumId="204">
    <w:nsid w:val="471745E4"/>
    <w:multiLevelType w:val="hybridMultilevel"/>
    <w:lvl w:ilvl="0">
      <w:lvlJc w:val="left"/>
      <w:lvlText w:val="(%1)"/>
      <w:numFmt w:val="lowerLetter"/>
      <w:start w:val="2"/>
    </w:lvl>
  </w:abstractNum>
  <w:abstractNum w:abstractNumId="205">
    <w:nsid w:val="1DDBC66"/>
    <w:multiLevelType w:val="hybridMultilevel"/>
    <w:lvl w:ilvl="0">
      <w:lvlJc w:val="left"/>
      <w:lvlText w:val="(%1)"/>
      <w:numFmt w:val="lowerRoman"/>
      <w:start w:val="2"/>
    </w:lvl>
  </w:abstractNum>
  <w:abstractNum w:abstractNumId="206">
    <w:nsid w:val="30AADFDA"/>
    <w:multiLevelType w:val="hybridMultilevel"/>
    <w:lvl w:ilvl="0">
      <w:lvlJc w:val="left"/>
      <w:lvlText w:val="(%1)"/>
      <w:numFmt w:val="lowerLetter"/>
      <w:start w:val="4"/>
    </w:lvl>
  </w:abstractNum>
  <w:abstractNum w:abstractNumId="207">
    <w:nsid w:val="30EADA61"/>
    <w:multiLevelType w:val="hybridMultilevel"/>
    <w:lvl w:ilvl="0">
      <w:lvlJc w:val="left"/>
      <w:lvlText w:val="(%1)"/>
      <w:numFmt w:val="lowerLetter"/>
      <w:start w:val="2"/>
    </w:lvl>
  </w:abstractNum>
  <w:abstractNum w:abstractNumId="208">
    <w:nsid w:val="27179C0B"/>
    <w:multiLevelType w:val="hybridMultilevel"/>
    <w:lvl w:ilvl="0">
      <w:lvlJc w:val="left"/>
      <w:lvlText w:val="(%1)"/>
      <w:numFmt w:val="lowerLetter"/>
      <w:start w:val="1"/>
    </w:lvl>
  </w:abstractNum>
  <w:abstractNum w:abstractNumId="209">
    <w:nsid w:val="5E636063"/>
    <w:multiLevelType w:val="hybridMultilevel"/>
    <w:lvl w:ilvl="0">
      <w:lvlJc w:val="left"/>
      <w:lvlText w:val="(%1)"/>
      <w:numFmt w:val="lowerLetter"/>
      <w:start w:val="2"/>
    </w:lvl>
  </w:abstractNum>
  <w:abstractNum w:abstractNumId="210">
    <w:nsid w:val="215641AF"/>
    <w:multiLevelType w:val="hybridMultilevel"/>
    <w:lvl w:ilvl="0">
      <w:lvlJc w:val="left"/>
      <w:lvlText w:val="(%1)"/>
      <w:numFmt w:val="lowerLetter"/>
      <w:start w:val="1"/>
    </w:lvl>
  </w:abstractNum>
  <w:abstractNum w:abstractNumId="211">
    <w:nsid w:val="53280662"/>
    <w:multiLevelType w:val="hybridMultilevel"/>
    <w:lvl w:ilvl="0">
      <w:lvlJc w:val="left"/>
      <w:lvlText w:val="(%1)"/>
      <w:numFmt w:val="lowerLetter"/>
      <w:start w:val="6"/>
    </w:lvl>
  </w:abstractNum>
  <w:abstractNum w:abstractNumId="212">
    <w:nsid w:val="46B24DBC"/>
    <w:multiLevelType w:val="hybridMultilevel"/>
    <w:lvl w:ilvl="0">
      <w:lvlJc w:val="left"/>
      <w:lvlText w:val="(%1)"/>
      <w:numFmt w:val="upperLetter"/>
      <w:start w:val="3"/>
    </w:lvl>
  </w:abstractNum>
  <w:abstractNum w:abstractNumId="213">
    <w:nsid w:val="75B52783"/>
    <w:multiLevelType w:val="hybridMultilevel"/>
    <w:lvl w:ilvl="0">
      <w:lvlJc w:val="left"/>
      <w:lvlText w:val="%1."/>
      <w:numFmt w:val="decimal"/>
      <w:start w:val="2"/>
    </w:lvl>
  </w:abstractNum>
  <w:abstractNum w:abstractNumId="214">
    <w:nsid w:val="57CE66B4"/>
    <w:multiLevelType w:val="hybridMultilevel"/>
    <w:lvl w:ilvl="0">
      <w:lvlJc w:val="left"/>
      <w:lvlText w:val="%1."/>
      <w:numFmt w:val="decimal"/>
      <w:start w:val="3"/>
    </w:lvl>
    <w:lvl w:ilvl="1">
      <w:lvlJc w:val="left"/>
      <w:lvlText w:val="(%2)"/>
      <w:numFmt w:val="decimal"/>
      <w:start w:val="1"/>
    </w:lvl>
  </w:abstractNum>
  <w:abstractNum w:abstractNumId="215">
    <w:nsid w:val="67A70B69"/>
    <w:multiLevelType w:val="hybridMultilevel"/>
    <w:lvl w:ilvl="0">
      <w:lvlJc w:val="left"/>
      <w:lvlText w:val="(%1)"/>
      <w:numFmt w:val="lowerLetter"/>
      <w:start w:val="2"/>
    </w:lvl>
    <w:lvl w:ilvl="1">
      <w:lvlJc w:val="left"/>
      <w:lvlText w:val="(%2)"/>
      <w:numFmt w:val="lowerLetter"/>
      <w:start w:val="24"/>
    </w:lvl>
  </w:abstractNum>
  <w:abstractNum w:abstractNumId="216">
    <w:nsid w:val="5953172F"/>
    <w:multiLevelType w:val="hybridMultilevel"/>
    <w:lvl w:ilvl="0">
      <w:lvlJc w:val="left"/>
      <w:lvlText w:val="%1."/>
      <w:numFmt w:val="decimal"/>
      <w:start w:val="2"/>
    </w:lvl>
  </w:abstractNum>
  <w:abstractNum w:abstractNumId="217">
    <w:nsid w:val="27EDFE3A"/>
    <w:multiLevelType w:val="hybridMultilevel"/>
    <w:lvl w:ilvl="0">
      <w:lvlJc w:val="left"/>
      <w:lvlText w:val="%1."/>
      <w:numFmt w:val="decimal"/>
      <w:start w:val="1"/>
    </w:lvl>
  </w:abstractNum>
  <w:abstractNum w:abstractNumId="218">
    <w:nsid w:val="52AC7DFF"/>
    <w:multiLevelType w:val="hybridMultilevel"/>
    <w:lvl w:ilvl="0">
      <w:lvlJc w:val="left"/>
      <w:lvlText w:val="%1"/>
      <w:numFmt w:val="lowerRoman"/>
      <w:start w:val="1"/>
    </w:lvl>
    <w:lvl w:ilvl="1">
      <w:lvlJc w:val="left"/>
      <w:lvlText w:val="%2."/>
      <w:numFmt w:val="decimal"/>
      <w:start w:val="3"/>
    </w:lvl>
    <w:lvl w:ilvl="2">
      <w:lvlJc w:val="left"/>
      <w:lvlText w:val="☐"/>
      <w:numFmt w:val="bullet"/>
      <w:start w:val="1"/>
    </w:lvl>
  </w:abstractNum>
  <w:abstractNum w:abstractNumId="219">
    <w:nsid w:val="C4C3AF"/>
    <w:multiLevelType w:val="hybridMultilevel"/>
    <w:lvl w:ilvl="0">
      <w:lvlJc w:val="left"/>
      <w:lvlText w:val="(%1)"/>
      <w:numFmt w:val="lowerRoman"/>
      <w:start w:val="4"/>
    </w:lvl>
    <w:lvl w:ilvl="1">
      <w:lvlJc w:val="left"/>
      <w:lvlText w:val="%2."/>
      <w:numFmt w:val="decimal"/>
      <w:start w:val="4"/>
    </w:lvl>
    <w:lvl w:ilvl="2">
      <w:lvlJc w:val="left"/>
      <w:lvlText w:val="☐"/>
      <w:numFmt w:val="bullet"/>
      <w:start w:val="1"/>
    </w:lvl>
  </w:abstractNum>
  <w:abstractNum w:abstractNumId="220">
    <w:nsid w:val="44380727"/>
    <w:multiLevelType w:val="hybridMultilevel"/>
    <w:lvl w:ilvl="0">
      <w:lvlJc w:val="left"/>
      <w:lvlText w:val="%1."/>
      <w:numFmt w:val="decimal"/>
      <w:start w:val="8"/>
    </w:lvl>
  </w:abstractNum>
  <w:abstractNum w:abstractNumId="221">
    <w:nsid w:val="6C053B16"/>
    <w:multiLevelType w:val="hybridMultilevel"/>
    <w:lvl w:ilvl="0">
      <w:lvlJc w:val="left"/>
      <w:lvlText w:val="1"/>
      <w:numFmt w:val="bullet"/>
      <w:start w:val="1"/>
    </w:lvl>
  </w:abstractNum>
  <w:abstractNum w:abstractNumId="222">
    <w:nsid w:val="4F294393"/>
    <w:multiLevelType w:val="hybridMultilevel"/>
    <w:lvl w:ilvl="0">
      <w:lvlJc w:val="left"/>
      <w:lvlText w:val="%1."/>
      <w:numFmt w:val="decimal"/>
      <w:start w:val="1"/>
    </w:lvl>
  </w:abstractNum>
  <w:abstractNum w:abstractNumId="223">
    <w:nsid w:val="5243BFAC"/>
    <w:multiLevelType w:val="hybridMultilevel"/>
    <w:lvl w:ilvl="0">
      <w:lvlJc w:val="left"/>
      <w:lvlText w:val="%1"/>
      <w:numFmt w:val="lowerRoman"/>
      <w:start w:val="1"/>
    </w:lvl>
    <w:lvl w:ilvl="1">
      <w:lvlJc w:val="left"/>
      <w:lvlText w:val="%2."/>
      <w:numFmt w:val="decimal"/>
      <w:start w:val="2"/>
    </w:lvl>
  </w:abstractNum>
  <w:abstractNum w:abstractNumId="224">
    <w:nsid w:val="425EB207"/>
    <w:multiLevelType w:val="hybridMultilevel"/>
    <w:lvl w:ilvl="0">
      <w:lvlJc w:val="left"/>
      <w:lvlText w:val="(%1)"/>
      <w:numFmt w:val="lowerRoman"/>
      <w:start w:val="1"/>
    </w:lvl>
    <w:lvl w:ilvl="1">
      <w:lvlJc w:val="left"/>
      <w:lvlText w:val="%2."/>
      <w:numFmt w:val="decimal"/>
      <w:start w:val="3"/>
    </w:lvl>
  </w:abstractNum>
  <w:abstractNum w:abstractNumId="225">
    <w:nsid w:val="334A6F1F"/>
    <w:multiLevelType w:val="hybridMultilevel"/>
    <w:lvl w:ilvl="0">
      <w:lvlJc w:val="left"/>
      <w:lvlText w:val="*"/>
      <w:numFmt w:val="bullet"/>
      <w:start w:val="1"/>
    </w:lvl>
  </w:abstractNum>
  <w:abstractNum w:abstractNumId="226">
    <w:nsid w:val="2E5B12B8"/>
    <w:multiLevelType w:val="hybridMultilevel"/>
    <w:lvl w:ilvl="0">
      <w:lvlJc w:val="left"/>
      <w:lvlText w:val=","/>
      <w:numFmt w:val="bullet"/>
      <w:start w:val="1"/>
    </w:lvl>
  </w:abstractNum>
  <w:abstractNum w:abstractNumId="227">
    <w:nsid w:val="5C03D76D"/>
    <w:multiLevelType w:val="hybridMultilevel"/>
    <w:lvl w:ilvl="0">
      <w:lvlJc w:val="left"/>
      <w:lvlText w:val="☐"/>
      <w:numFmt w:val="bullet"/>
      <w:start w:val="1"/>
    </w:lvl>
  </w:abstractNum>
  <w:abstractNum w:abstractNumId="228">
    <w:nsid w:val="66A48D11"/>
    <w:multiLevelType w:val="hybridMultilevel"/>
    <w:lvl w:ilvl="0">
      <w:lvlJc w:val="left"/>
      <w:lvlText w:val="☐"/>
      <w:numFmt w:val="bullet"/>
      <w:start w:val="1"/>
    </w:lvl>
  </w:abstractNum>
  <w:abstractNum w:abstractNumId="229">
    <w:nsid w:val="56C28E34"/>
    <w:multiLevelType w:val="hybridMultilevel"/>
    <w:lvl w:ilvl="0">
      <w:lvlJc w:val="left"/>
      <w:lvlText w:val="%1."/>
      <w:numFmt w:val="decimal"/>
      <w:start w:val="2"/>
    </w:lvl>
  </w:abstractNum>
  <w:abstractNum w:abstractNumId="230">
    <w:nsid w:val="13916F2D"/>
    <w:multiLevelType w:val="hybridMultilevel"/>
    <w:lvl w:ilvl="0">
      <w:lvlJc w:val="left"/>
      <w:lvlText w:val="%1."/>
      <w:numFmt w:val="decimal"/>
      <w:start w:val="1"/>
    </w:lvl>
  </w:abstractNum>
  <w:abstractNum w:abstractNumId="231">
    <w:nsid w:val="435D38D"/>
    <w:multiLevelType w:val="hybridMultilevel"/>
    <w:lvl w:ilvl="0">
      <w:lvlJc w:val="left"/>
      <w:lvlText w:val="%1."/>
      <w:numFmt w:val="decimal"/>
      <w:start w:val="1"/>
    </w:lvl>
  </w:abstractNum>
  <w:abstractNum w:abstractNumId="232">
    <w:nsid w:val="822C0EF"/>
    <w:multiLevelType w:val="hybridMultilevel"/>
    <w:lvl w:ilvl="0">
      <w:lvlJc w:val="left"/>
      <w:lvlText w:val="(%1)"/>
      <w:numFmt w:val="lowerLetter"/>
      <w:start w:val="1"/>
    </w:lvl>
  </w:abstractNum>
  <w:abstractNum w:abstractNumId="233">
    <w:nsid w:val="57C5BB4F"/>
    <w:multiLevelType w:val="hybridMultilevel"/>
    <w:lvl w:ilvl="0">
      <w:lvlJc w:val="left"/>
      <w:lvlText w:val="(%1)"/>
      <w:numFmt w:val="lowerLetter"/>
      <w:start w:val="2"/>
    </w:lvl>
    <w:lvl w:ilvl="1">
      <w:lvlJc w:val="left"/>
      <w:lvlText w:val="-"/>
      <w:numFmt w:val="bullet"/>
      <w:start w:val="1"/>
    </w:lvl>
  </w:abstractNum>
  <w:abstractNum w:abstractNumId="234">
    <w:nsid w:val="1803D089"/>
    <w:multiLevelType w:val="hybridMultilevel"/>
    <w:lvl w:ilvl="0">
      <w:lvlJc w:val="left"/>
      <w:lvlText w:val="%1."/>
      <w:numFmt w:val="decimal"/>
      <w:start w:val="2"/>
    </w:lvl>
    <w:lvl w:ilvl="1">
      <w:lvlJc w:val="left"/>
      <w:lvlText w:val="-"/>
      <w:numFmt w:val="bullet"/>
      <w:start w:val="1"/>
    </w:lvl>
  </w:abstractNum>
  <w:abstractNum w:abstractNumId="235">
    <w:nsid w:val="4F3A06D4"/>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36">
    <w:nsid w:val="59A377B6"/>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237">
    <w:nsid w:val="48AEB063"/>
    <w:multiLevelType w:val="hybridMultilevel"/>
    <w:lvl w:ilvl="0">
      <w:lvlJc w:val="left"/>
      <w:lvlText w:val="(%1)"/>
      <w:numFmt w:val="lowerRoman"/>
      <w:start w:val="2"/>
    </w:lvl>
  </w:abstractNum>
  <w:abstractNum w:abstractNumId="238">
    <w:nsid w:val="24E135"/>
    <w:multiLevelType w:val="hybridMultilevel"/>
    <w:lvl w:ilvl="0">
      <w:lvlJc w:val="left"/>
      <w:lvlText w:val="%1."/>
      <w:numFmt w:val="decimal"/>
      <w:start w:val="4"/>
    </w:lvl>
    <w:lvl w:ilvl="1">
      <w:lvlJc w:val="left"/>
      <w:lvlText w:val="-"/>
      <w:numFmt w:val="bullet"/>
      <w:start w:val="1"/>
    </w:lvl>
  </w:abstractNum>
  <w:abstractNum w:abstractNumId="239">
    <w:nsid w:val="BB13C1"/>
    <w:multiLevelType w:val="hybridMultilevel"/>
    <w:lvl w:ilvl="0">
      <w:lvlJc w:val="left"/>
      <w:lvlText w:val="%1."/>
      <w:numFmt w:val="decimal"/>
      <w:start w:val="6"/>
    </w:lvl>
    <w:lvl w:ilvl="1">
      <w:lvlJc w:val="left"/>
      <w:lvlText w:val="-"/>
      <w:numFmt w:val="bullet"/>
      <w:start w:val="1"/>
    </w:lvl>
  </w:abstractNum>
  <w:abstractNum w:abstractNumId="240">
    <w:nsid w:val="271210C7"/>
    <w:multiLevelType w:val="hybridMultilevel"/>
    <w:lvl w:ilvl="0">
      <w:lvlJc w:val="left"/>
      <w:lvlText w:val="%1."/>
      <w:numFmt w:val="decimal"/>
      <w:start w:val="9"/>
    </w:lvl>
    <w:lvl w:ilvl="1">
      <w:lvlJc w:val="left"/>
      <w:lvlText w:val="-"/>
      <w:numFmt w:val="bullet"/>
      <w:start w:val="1"/>
    </w:lvl>
  </w:abstractNum>
  <w:abstractNum w:abstractNumId="241">
    <w:nsid w:val="217B22E4"/>
    <w:multiLevelType w:val="hybridMultilevel"/>
    <w:lvl w:ilvl="0">
      <w:lvlJc w:val="left"/>
      <w:lvlText w:val="%1."/>
      <w:numFmt w:val="decimal"/>
      <w:start w:val="11"/>
    </w:lvl>
  </w:abstractNum>
  <w:abstractNum w:abstractNumId="242">
    <w:nsid w:val="53E31A24"/>
    <w:multiLevelType w:val="hybridMultilevel"/>
    <w:lvl w:ilvl="0">
      <w:lvlJc w:val="left"/>
      <w:lvlText w:val="%1."/>
      <w:numFmt w:val="decimal"/>
      <w:start w:val="1"/>
    </w:lvl>
    <w:lvl w:ilvl="1">
      <w:lvlJc w:val="left"/>
      <w:lvlText w:val="%2)"/>
      <w:numFmt w:val="lowerLetter"/>
      <w:start w:val="1"/>
    </w:lvl>
  </w:abstractNum>
  <w:abstractNum w:abstractNumId="243">
    <w:nsid w:val="6DC45E83"/>
    <w:multiLevelType w:val="hybridMultilevel"/>
    <w:lvl w:ilvl="0">
      <w:lvlJc w:val="left"/>
      <w:lvlText w:val="%1."/>
      <w:numFmt w:val="decimal"/>
      <w:start w:val="1"/>
    </w:lvl>
    <w:lvl w:ilvl="1">
      <w:lvlJc w:val="left"/>
      <w:lvlText w:val="%2)"/>
      <w:numFmt w:val="lowerLetter"/>
      <w:start w:val="1"/>
    </w:lvl>
  </w:abstractNum>
  <w:abstractNum w:abstractNumId="244">
    <w:nsid w:val="17304A67"/>
    <w:multiLevelType w:val="hybridMultilevel"/>
    <w:lvl w:ilvl="0">
      <w:lvlJc w:val="left"/>
      <w:lvlText w:val="(%1)"/>
      <w:numFmt w:val="decimal"/>
      <w:start w:val="1"/>
    </w:lvl>
  </w:abstractNum>
  <w:abstractNum w:abstractNumId="245">
    <w:nsid w:val="2BB180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2020-05-05T12:06:29Z</dcterms:created>
  <dcterms:modified xsi:type="dcterms:W3CDTF">2020-05-05T12:06:29Z</dcterms:modified>
</cp:coreProperties>
</file>