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if no longer subject to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26670</wp:posOffset>
            </wp:positionH>
            <wp:positionV relativeFrom="paragraph">
              <wp:posOffset>-2540</wp:posOffset>
            </wp:positionV>
            <wp:extent cx="145415" cy="1968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415" cy="19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jc w:val="both"/>
        <w:ind w:left="360" w:right="360" w:hanging="271"/>
        <w:spacing w:after="0" w:line="189" w:lineRule="auto"/>
        <w:tabs>
          <w:tab w:leader="none" w:pos="3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26"/>
          <w:szCs w:val="26"/>
          <w:color w:val="0000FF"/>
          <w:highlight w:val="white"/>
          <w:vertAlign w:val="subscript"/>
        </w:rPr>
      </w:pPr>
      <w:r>
        <w:rPr>
          <w:rFonts w:ascii="Arial" w:cs="Arial" w:eastAsia="Arial" w:hAnsi="Arial"/>
          <w:sz w:val="10"/>
          <w:szCs w:val="10"/>
          <w:color w:val="auto"/>
        </w:rPr>
        <w:t xml:space="preserve">Section 16. Form 4 or Form 5 obligations may continue. </w:t>
      </w:r>
      <w:r>
        <w:rPr>
          <w:rFonts w:ascii="Arial" w:cs="Arial" w:eastAsia="Arial" w:hAnsi="Arial"/>
          <w:sz w:val="10"/>
          <w:szCs w:val="10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0"/>
          <w:szCs w:val="10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22225</wp:posOffset>
            </wp:positionV>
            <wp:extent cx="7272020" cy="54965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4965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40" w:space="280"/>
            <w:col w:w="8800"/>
          </w:cols>
          <w:pgMar w:left="240" w:top="220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2"/>
                <w:szCs w:val="22"/>
                <w:color w:val="0000EE"/>
                <w:w w:val="97"/>
              </w:rPr>
            </w:pPr>
            <w:hyperlink r:id="rId12">
              <w:r>
                <w:rPr>
                  <w:rFonts w:ascii="Times New Roman" w:cs="Times New Roman" w:eastAsia="Times New Roman" w:hAnsi="Times New Roman"/>
                  <w:sz w:val="22"/>
                  <w:szCs w:val="22"/>
                  <w:color w:val="0000EE"/>
                  <w:w w:val="97"/>
                </w:rPr>
                <w:t>PENN ARTHUR H</w:t>
              </w:r>
            </w:hyperlink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PennantPark Floating Rate Capital Ltd.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0000EE"/>
              <w:bottom w:val="single" w:sz="8" w:color="0000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 xml:space="preserve">PFLT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90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80" w:type="dxa"/>
            <w:vAlign w:val="bottom"/>
            <w:vMerge w:val="restart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tbl>
      <w:tblPr>
        <w:tblLayout w:type="fixed"/>
        <w:tblInd w:w="1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5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590 MADISON AVENUE</w:t>
            </w:r>
          </w:p>
        </w:tc>
        <w:tc>
          <w:tcPr>
            <w:tcW w:w="3940" w:type="dxa"/>
            <w:vAlign w:val="bottom"/>
          </w:tcPr>
          <w:p>
            <w:pPr>
              <w:ind w:left="10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40" w:type="dxa"/>
            <w:vAlign w:val="bottom"/>
            <w:vMerge w:val="restart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9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15TH FLOOR</w:t>
            </w:r>
          </w:p>
        </w:tc>
        <w:tc>
          <w:tcPr>
            <w:tcW w:w="39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9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4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50" w:lineRule="auto"/>
        <w:tabs>
          <w:tab w:leader="none" w:pos="153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5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X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2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Chairman and CEO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/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 Investment Adviser</w:t>
      </w:r>
    </w:p>
    <w:p>
      <w:pPr>
        <w:spacing w:after="0" w:line="41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0" w:right="239" w:bottom="1440" w:gutter="0" w:footer="0" w:header="0"/>
          <w:type w:val="continuous"/>
        </w:sectPr>
      </w:pPr>
    </w:p>
    <w:p>
      <w:pPr>
        <w:spacing w:after="0" w:line="203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NEW YORK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NY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10022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25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88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spacing w:after="0" w:line="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4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0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2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4"/>
          </w:tcPr>
          <w:p>
            <w:pPr>
              <w:ind w:left="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Pennant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02/13/2018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0000FF"/>
              </w:rPr>
              <w:t>P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8,000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12.8064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167,209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Park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Investment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Advisers,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</w:rPr>
              <w:t>LLC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00" w:type="dxa"/>
            <w:vAlign w:val="bottom"/>
            <w:gridSpan w:val="9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008000"/>
        </w:rPr>
        <w:t>1. Mr. Penn is the Managing Member of PennantPark Investment Advisers, LLC and may therefore be deemed to own beneficially all sharesheld by the PennantPark Investment Advisers, LLC.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6"/>
              </w:rPr>
              <w:t>/s/ Arthur H. Penn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0000FF"/>
                <w:w w:val="95"/>
              </w:rPr>
              <w:t>02/14/2018</w:t>
            </w:r>
          </w:p>
        </w:tc>
      </w:tr>
      <w:tr>
        <w:trPr>
          <w:trHeight w:val="20"/>
        </w:trPr>
        <w:tc>
          <w:tcPr>
            <w:tcW w:w="1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2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0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5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4937" TargetMode="External"/><Relationship Id="rId13" Type="http://schemas.openxmlformats.org/officeDocument/2006/relationships/hyperlink" Target="http://www.sec.gov/cgi-bin/browse-edgar?action=getcompany&amp;CIK=000150461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2019-12-23T15:53:53Z</dcterms:created>
  <dcterms:modified xsi:type="dcterms:W3CDTF">2019-12-23T15:53:53Z</dcterms:modified>
</cp:coreProperties>
</file>