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 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3)*</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PENNANTPARK FLOATING RATE CAPITAL LTD.</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Common Stock, par value $0.001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70806A106</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December 31, 2013</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520" w:hanging="4"/>
        <w:spacing w:after="0" w:line="224" w:lineRule="exact"/>
        <w:tabs>
          <w:tab w:leader="none" w:pos="867"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860" w:hanging="204"/>
        <w:spacing w:after="0"/>
        <w:tabs>
          <w:tab w:leader="none" w:pos="8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rFonts w:ascii="MS PGothic" w:cs="MS PGothic" w:eastAsia="MS PGothic" w:hAnsi="MS PGothic"/>
          <w:sz w:val="18"/>
          <w:szCs w:val="18"/>
          <w:color w:val="auto"/>
        </w:rPr>
      </w:pPr>
    </w:p>
    <w:p>
      <w:pPr>
        <w:ind w:right="20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2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8"/>
                <w:szCs w:val="18"/>
                <w:color w:val="auto"/>
              </w:rPr>
              <w:t>JACK SILVER</w:t>
            </w: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tcBorders>
            <w:gridSpan w:val="2"/>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2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6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560" w:type="dxa"/>
            <w:vAlign w:val="bottom"/>
          </w:tcPr>
          <w:p>
            <w:pPr>
              <w:spacing w:after="0"/>
              <w:rPr>
                <w:sz w:val="4"/>
                <w:szCs w:val="4"/>
                <w:color w:val="auto"/>
              </w:rPr>
            </w:pPr>
          </w:p>
        </w:tc>
        <w:tc>
          <w:tcPr>
            <w:tcW w:w="19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6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56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2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w w:val="99"/>
              </w:rPr>
              <w:t>SEC USE ONLY</w:t>
            </w:r>
          </w:p>
        </w:tc>
        <w:tc>
          <w:tcPr>
            <w:tcW w:w="640" w:type="dxa"/>
            <w:vAlign w:val="bottom"/>
            <w:tcBorders>
              <w:right w:val="single" w:sz="8" w:color="BFBFBF"/>
            </w:tcBorders>
            <w:shd w:val="clear" w:color="auto" w:fill="BFBFBF"/>
          </w:tcPr>
          <w:p>
            <w:pPr>
              <w:spacing w:after="0"/>
              <w:rPr>
                <w:sz w:val="19"/>
                <w:szCs w:val="19"/>
                <w:color w:val="auto"/>
              </w:rPr>
            </w:pPr>
          </w:p>
        </w:tc>
        <w:tc>
          <w:tcPr>
            <w:tcW w:w="6560" w:type="dxa"/>
            <w:vAlign w:val="bottom"/>
            <w:shd w:val="clear" w:color="auto" w:fill="BFBFBF"/>
          </w:tcPr>
          <w:p>
            <w:pPr>
              <w:spacing w:after="0"/>
              <w:rPr>
                <w:sz w:val="19"/>
                <w:szCs w:val="19"/>
                <w:color w:val="auto"/>
              </w:rPr>
            </w:pPr>
          </w:p>
        </w:tc>
        <w:tc>
          <w:tcPr>
            <w:tcW w:w="196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560" w:type="dxa"/>
            <w:vAlign w:val="bottom"/>
            <w:shd w:val="clear" w:color="auto" w:fill="BFBFBF"/>
          </w:tcPr>
          <w:p>
            <w:pPr>
              <w:spacing w:after="0"/>
              <w:rPr>
                <w:sz w:val="24"/>
                <w:szCs w:val="24"/>
                <w:color w:val="auto"/>
              </w:rPr>
            </w:pPr>
          </w:p>
        </w:tc>
        <w:tc>
          <w:tcPr>
            <w:tcW w:w="19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560" w:type="dxa"/>
            <w:vAlign w:val="bottom"/>
            <w:tcBorders>
              <w:bottom w:val="single" w:sz="8" w:color="auto"/>
            </w:tcBorders>
            <w:shd w:val="clear" w:color="auto" w:fill="BFBFBF"/>
          </w:tcPr>
          <w:p>
            <w:pPr>
              <w:spacing w:after="0"/>
              <w:rPr>
                <w:sz w:val="11"/>
                <w:szCs w:val="11"/>
                <w:color w:val="auto"/>
              </w:rPr>
            </w:pPr>
          </w:p>
        </w:tc>
        <w:tc>
          <w:tcPr>
            <w:tcW w:w="19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2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gridSpan w:val="3"/>
          </w:tcPr>
          <w:p>
            <w:pPr>
              <w:ind w:left="400"/>
              <w:spacing w:after="0"/>
              <w:rPr>
                <w:sz w:val="20"/>
                <w:szCs w:val="20"/>
                <w:color w:val="auto"/>
              </w:rPr>
            </w:pPr>
            <w:r>
              <w:rPr>
                <w:rFonts w:ascii="Arial" w:cs="Arial" w:eastAsia="Arial" w:hAnsi="Arial"/>
                <w:sz w:val="18"/>
                <w:szCs w:val="18"/>
                <w:color w:val="auto"/>
              </w:rPr>
              <w:t>UNITED STATES</w:t>
            </w:r>
          </w:p>
        </w:tc>
        <w:tc>
          <w:tcPr>
            <w:tcW w:w="65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5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746,891</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5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530"/>
              <w:spacing w:after="0" w:line="195" w:lineRule="exact"/>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56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746,891</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56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56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746,891</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2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6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2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2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IN</w:t>
            </w: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8"/>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2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620" w:type="dxa"/>
            <w:vAlign w:val="bottom"/>
            <w:gridSpan w:val="4"/>
            <w:vMerge w:val="restart"/>
          </w:tcPr>
          <w:p>
            <w:pPr>
              <w:ind w:left="80"/>
              <w:spacing w:after="0"/>
              <w:rPr>
                <w:sz w:val="20"/>
                <w:szCs w:val="20"/>
                <w:color w:val="auto"/>
              </w:rPr>
            </w:pPr>
            <w:r>
              <w:rPr>
                <w:rFonts w:ascii="Arial" w:cs="Arial" w:eastAsia="Arial" w:hAnsi="Arial"/>
                <w:sz w:val="18"/>
                <w:szCs w:val="18"/>
                <w:color w:val="auto"/>
              </w:rPr>
              <w:t>SHERLEIGH ASSOCIATES INC. PROFIT SHARING PLAN</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8620" w:type="dxa"/>
            <w:vAlign w:val="bottom"/>
            <w:tcBorders>
              <w:bottom w:val="single" w:sz="8" w:color="auto"/>
            </w:tcBorders>
            <w:gridSpan w:val="4"/>
            <w:vMerge w:val="continue"/>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2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6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560" w:type="dxa"/>
            <w:vAlign w:val="bottom"/>
          </w:tcPr>
          <w:p>
            <w:pPr>
              <w:spacing w:after="0"/>
              <w:rPr>
                <w:sz w:val="4"/>
                <w:szCs w:val="4"/>
                <w:color w:val="auto"/>
              </w:rPr>
            </w:pPr>
          </w:p>
        </w:tc>
        <w:tc>
          <w:tcPr>
            <w:tcW w:w="19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6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56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2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w w:val="99"/>
              </w:rPr>
              <w:t>SEC USE ONLY</w:t>
            </w:r>
          </w:p>
        </w:tc>
        <w:tc>
          <w:tcPr>
            <w:tcW w:w="640" w:type="dxa"/>
            <w:vAlign w:val="bottom"/>
            <w:tcBorders>
              <w:right w:val="single" w:sz="8" w:color="BFBFBF"/>
            </w:tcBorders>
            <w:shd w:val="clear" w:color="auto" w:fill="BFBFBF"/>
          </w:tcPr>
          <w:p>
            <w:pPr>
              <w:spacing w:after="0"/>
              <w:rPr>
                <w:sz w:val="19"/>
                <w:szCs w:val="19"/>
                <w:color w:val="auto"/>
              </w:rPr>
            </w:pPr>
          </w:p>
        </w:tc>
        <w:tc>
          <w:tcPr>
            <w:tcW w:w="6560" w:type="dxa"/>
            <w:vAlign w:val="bottom"/>
            <w:shd w:val="clear" w:color="auto" w:fill="BFBFBF"/>
          </w:tcPr>
          <w:p>
            <w:pPr>
              <w:spacing w:after="0"/>
              <w:rPr>
                <w:sz w:val="19"/>
                <w:szCs w:val="19"/>
                <w:color w:val="auto"/>
              </w:rPr>
            </w:pPr>
          </w:p>
        </w:tc>
        <w:tc>
          <w:tcPr>
            <w:tcW w:w="196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560" w:type="dxa"/>
            <w:vAlign w:val="bottom"/>
            <w:shd w:val="clear" w:color="auto" w:fill="BFBFBF"/>
          </w:tcPr>
          <w:p>
            <w:pPr>
              <w:spacing w:after="0"/>
              <w:rPr>
                <w:sz w:val="24"/>
                <w:szCs w:val="24"/>
                <w:color w:val="auto"/>
              </w:rPr>
            </w:pPr>
          </w:p>
        </w:tc>
        <w:tc>
          <w:tcPr>
            <w:tcW w:w="19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560" w:type="dxa"/>
            <w:vAlign w:val="bottom"/>
            <w:tcBorders>
              <w:bottom w:val="single" w:sz="8" w:color="auto"/>
            </w:tcBorders>
            <w:shd w:val="clear" w:color="auto" w:fill="BFBFBF"/>
          </w:tcPr>
          <w:p>
            <w:pPr>
              <w:spacing w:after="0"/>
              <w:rPr>
                <w:sz w:val="11"/>
                <w:szCs w:val="11"/>
                <w:color w:val="auto"/>
              </w:rPr>
            </w:pPr>
          </w:p>
        </w:tc>
        <w:tc>
          <w:tcPr>
            <w:tcW w:w="19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2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gridSpan w:val="3"/>
          </w:tcPr>
          <w:p>
            <w:pPr>
              <w:ind w:left="400"/>
              <w:spacing w:after="0"/>
              <w:rPr>
                <w:sz w:val="20"/>
                <w:szCs w:val="20"/>
                <w:color w:val="auto"/>
              </w:rPr>
            </w:pPr>
            <w:r>
              <w:rPr>
                <w:rFonts w:ascii="Arial" w:cs="Arial" w:eastAsia="Arial" w:hAnsi="Arial"/>
                <w:sz w:val="18"/>
                <w:szCs w:val="18"/>
                <w:color w:val="auto"/>
              </w:rPr>
              <w:t>UNITED STATES</w:t>
            </w:r>
          </w:p>
        </w:tc>
        <w:tc>
          <w:tcPr>
            <w:tcW w:w="65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5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470,702</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5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530"/>
              <w:spacing w:after="0" w:line="195" w:lineRule="exact"/>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56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470,702</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56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56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470,702</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2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6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2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2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EP</w:t>
            </w: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8"/>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w:t>
            </w:r>
          </w:p>
        </w:tc>
        <w:tc>
          <w:tcPr>
            <w:tcW w:w="220" w:type="dxa"/>
            <w:vAlign w:val="bottom"/>
            <w:tcBorders>
              <w:top w:val="single" w:sz="8" w:color="auto"/>
              <w:right w:val="single" w:sz="8" w:color="auto"/>
            </w:tcBorders>
          </w:tcPr>
          <w:p>
            <w:pPr>
              <w:spacing w:after="0"/>
              <w:rPr>
                <w:sz w:val="21"/>
                <w:szCs w:val="21"/>
                <w:color w:val="auto"/>
              </w:rPr>
            </w:pPr>
          </w:p>
        </w:tc>
        <w:tc>
          <w:tcPr>
            <w:tcW w:w="862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9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620" w:type="dxa"/>
            <w:vAlign w:val="bottom"/>
            <w:gridSpan w:val="4"/>
            <w:vMerge w:val="restart"/>
          </w:tcPr>
          <w:p>
            <w:pPr>
              <w:ind w:left="80"/>
              <w:spacing w:after="0"/>
              <w:rPr>
                <w:sz w:val="20"/>
                <w:szCs w:val="20"/>
                <w:color w:val="auto"/>
              </w:rPr>
            </w:pPr>
            <w:r>
              <w:rPr>
                <w:rFonts w:ascii="Arial" w:cs="Arial" w:eastAsia="Arial" w:hAnsi="Arial"/>
                <w:sz w:val="18"/>
                <w:szCs w:val="18"/>
                <w:color w:val="auto"/>
              </w:rPr>
              <w:t>SILVER INVESTMENT PARTNERS LP</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8620" w:type="dxa"/>
            <w:vAlign w:val="bottom"/>
            <w:tcBorders>
              <w:bottom w:val="single" w:sz="8" w:color="auto"/>
            </w:tcBorders>
            <w:gridSpan w:val="4"/>
            <w:vMerge w:val="continue"/>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2</w:t>
            </w:r>
          </w:p>
        </w:tc>
        <w:tc>
          <w:tcPr>
            <w:tcW w:w="220" w:type="dxa"/>
            <w:vAlign w:val="bottom"/>
            <w:tcBorders>
              <w:right w:val="single" w:sz="8" w:color="auto"/>
            </w:tcBorders>
          </w:tcPr>
          <w:p>
            <w:pPr>
              <w:spacing w:after="0"/>
              <w:rPr>
                <w:sz w:val="19"/>
                <w:szCs w:val="19"/>
                <w:color w:val="auto"/>
              </w:rPr>
            </w:pPr>
          </w:p>
        </w:tc>
        <w:tc>
          <w:tcPr>
            <w:tcW w:w="862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96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620" w:type="dxa"/>
            <w:vAlign w:val="bottom"/>
            <w:tcBorders>
              <w:left w:val="single" w:sz="8" w:color="auto"/>
            </w:tcBorders>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560" w:type="dxa"/>
            <w:vAlign w:val="bottom"/>
          </w:tcPr>
          <w:p>
            <w:pPr>
              <w:spacing w:after="0"/>
              <w:rPr>
                <w:sz w:val="4"/>
                <w:szCs w:val="4"/>
                <w:color w:val="auto"/>
              </w:rPr>
            </w:pPr>
          </w:p>
        </w:tc>
        <w:tc>
          <w:tcPr>
            <w:tcW w:w="19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6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56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3</w:t>
            </w:r>
          </w:p>
        </w:tc>
        <w:tc>
          <w:tcPr>
            <w:tcW w:w="220" w:type="dxa"/>
            <w:vAlign w:val="bottom"/>
            <w:tcBorders>
              <w:right w:val="single" w:sz="8" w:color="auto"/>
            </w:tcBorders>
          </w:tcPr>
          <w:p>
            <w:pPr>
              <w:spacing w:after="0"/>
              <w:rPr>
                <w:sz w:val="19"/>
                <w:szCs w:val="19"/>
                <w:color w:val="auto"/>
              </w:rPr>
            </w:pPr>
          </w:p>
        </w:tc>
        <w:tc>
          <w:tcPr>
            <w:tcW w:w="1420" w:type="dxa"/>
            <w:vAlign w:val="bottom"/>
            <w:gridSpan w:val="2"/>
            <w:shd w:val="clear" w:color="auto" w:fill="BFBFBF"/>
          </w:tcPr>
          <w:p>
            <w:pPr>
              <w:ind w:left="80"/>
              <w:spacing w:after="0"/>
              <w:rPr>
                <w:sz w:val="20"/>
                <w:szCs w:val="20"/>
                <w:color w:val="auto"/>
              </w:rPr>
            </w:pPr>
            <w:r>
              <w:rPr>
                <w:rFonts w:ascii="Arial" w:cs="Arial" w:eastAsia="Arial" w:hAnsi="Arial"/>
                <w:sz w:val="18"/>
                <w:szCs w:val="18"/>
                <w:color w:val="auto"/>
                <w:w w:val="99"/>
              </w:rPr>
              <w:t>SEC USE ONLY</w:t>
            </w:r>
          </w:p>
        </w:tc>
        <w:tc>
          <w:tcPr>
            <w:tcW w:w="640" w:type="dxa"/>
            <w:vAlign w:val="bottom"/>
            <w:tcBorders>
              <w:right w:val="single" w:sz="8" w:color="BFBFBF"/>
            </w:tcBorders>
            <w:shd w:val="clear" w:color="auto" w:fill="BFBFBF"/>
          </w:tcPr>
          <w:p>
            <w:pPr>
              <w:spacing w:after="0"/>
              <w:rPr>
                <w:sz w:val="19"/>
                <w:szCs w:val="19"/>
                <w:color w:val="auto"/>
              </w:rPr>
            </w:pPr>
          </w:p>
        </w:tc>
        <w:tc>
          <w:tcPr>
            <w:tcW w:w="6560" w:type="dxa"/>
            <w:vAlign w:val="bottom"/>
            <w:shd w:val="clear" w:color="auto" w:fill="BFBFBF"/>
          </w:tcPr>
          <w:p>
            <w:pPr>
              <w:spacing w:after="0"/>
              <w:rPr>
                <w:sz w:val="19"/>
                <w:szCs w:val="19"/>
                <w:color w:val="auto"/>
              </w:rPr>
            </w:pPr>
          </w:p>
        </w:tc>
        <w:tc>
          <w:tcPr>
            <w:tcW w:w="196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560" w:type="dxa"/>
            <w:vAlign w:val="bottom"/>
            <w:shd w:val="clear" w:color="auto" w:fill="BFBFBF"/>
          </w:tcPr>
          <w:p>
            <w:pPr>
              <w:spacing w:after="0"/>
              <w:rPr>
                <w:sz w:val="24"/>
                <w:szCs w:val="24"/>
                <w:color w:val="auto"/>
              </w:rPr>
            </w:pPr>
          </w:p>
        </w:tc>
        <w:tc>
          <w:tcPr>
            <w:tcW w:w="19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560" w:type="dxa"/>
            <w:vAlign w:val="bottom"/>
            <w:tcBorders>
              <w:bottom w:val="single" w:sz="8" w:color="auto"/>
            </w:tcBorders>
            <w:shd w:val="clear" w:color="auto" w:fill="BFBFBF"/>
          </w:tcPr>
          <w:p>
            <w:pPr>
              <w:spacing w:after="0"/>
              <w:rPr>
                <w:sz w:val="11"/>
                <w:szCs w:val="11"/>
                <w:color w:val="auto"/>
              </w:rPr>
            </w:pPr>
          </w:p>
        </w:tc>
        <w:tc>
          <w:tcPr>
            <w:tcW w:w="19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4</w:t>
            </w:r>
          </w:p>
        </w:tc>
        <w:tc>
          <w:tcPr>
            <w:tcW w:w="220" w:type="dxa"/>
            <w:vAlign w:val="bottom"/>
            <w:tcBorders>
              <w:right w:val="single" w:sz="8" w:color="auto"/>
            </w:tcBorders>
          </w:tcPr>
          <w:p>
            <w:pPr>
              <w:spacing w:after="0"/>
              <w:rPr>
                <w:sz w:val="16"/>
                <w:szCs w:val="16"/>
                <w:color w:val="auto"/>
              </w:rPr>
            </w:pPr>
          </w:p>
        </w:tc>
        <w:tc>
          <w:tcPr>
            <w:tcW w:w="862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CITIZENSHIP OR PLACE OF ORGANIZATION</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60" w:type="dxa"/>
            <w:vAlign w:val="bottom"/>
            <w:gridSpan w:val="3"/>
          </w:tcPr>
          <w:p>
            <w:pPr>
              <w:ind w:left="400"/>
              <w:spacing w:after="0"/>
              <w:rPr>
                <w:sz w:val="20"/>
                <w:szCs w:val="20"/>
                <w:color w:val="auto"/>
              </w:rPr>
            </w:pPr>
            <w:r>
              <w:rPr>
                <w:rFonts w:ascii="Arial" w:cs="Arial" w:eastAsia="Arial" w:hAnsi="Arial"/>
                <w:sz w:val="18"/>
                <w:szCs w:val="18"/>
                <w:color w:val="auto"/>
              </w:rPr>
              <w:t>UNITED STATES</w:t>
            </w:r>
          </w:p>
        </w:tc>
        <w:tc>
          <w:tcPr>
            <w:tcW w:w="65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5</w:t>
            </w:r>
          </w:p>
        </w:tc>
        <w:tc>
          <w:tcPr>
            <w:tcW w:w="65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146,189</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6</w:t>
            </w:r>
          </w:p>
        </w:tc>
        <w:tc>
          <w:tcPr>
            <w:tcW w:w="65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EACH</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530"/>
              <w:spacing w:after="0" w:line="195" w:lineRule="exact"/>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7</w:t>
            </w:r>
          </w:p>
        </w:tc>
        <w:tc>
          <w:tcPr>
            <w:tcW w:w="6560" w:type="dxa"/>
            <w:vAlign w:val="bottom"/>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WITH</w:t>
            </w: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146,189</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color w:val="auto"/>
              </w:rPr>
              <w:t>8</w:t>
            </w:r>
          </w:p>
        </w:tc>
        <w:tc>
          <w:tcPr>
            <w:tcW w:w="656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9</w:t>
            </w:r>
          </w:p>
        </w:tc>
        <w:tc>
          <w:tcPr>
            <w:tcW w:w="220" w:type="dxa"/>
            <w:vAlign w:val="bottom"/>
            <w:tcBorders>
              <w:right w:val="single" w:sz="8" w:color="auto"/>
            </w:tcBorders>
          </w:tcPr>
          <w:p>
            <w:pPr>
              <w:spacing w:after="0"/>
              <w:rPr>
                <w:sz w:val="16"/>
                <w:szCs w:val="16"/>
                <w:color w:val="auto"/>
              </w:rPr>
            </w:pPr>
          </w:p>
        </w:tc>
        <w:tc>
          <w:tcPr>
            <w:tcW w:w="20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8"/>
              </w:rPr>
              <w:t>AGGREGATE AMOUNT</w:t>
            </w:r>
          </w:p>
        </w:tc>
        <w:tc>
          <w:tcPr>
            <w:tcW w:w="656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146,189</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10</w:t>
            </w:r>
          </w:p>
        </w:tc>
        <w:tc>
          <w:tcPr>
            <w:tcW w:w="220" w:type="dxa"/>
            <w:vAlign w:val="bottom"/>
            <w:tcBorders>
              <w:right w:val="single" w:sz="8" w:color="auto"/>
            </w:tcBorders>
          </w:tcPr>
          <w:p>
            <w:pPr>
              <w:spacing w:after="0"/>
              <w:rPr>
                <w:sz w:val="19"/>
                <w:szCs w:val="19"/>
                <w:color w:val="auto"/>
              </w:rPr>
            </w:pPr>
          </w:p>
        </w:tc>
        <w:tc>
          <w:tcPr>
            <w:tcW w:w="862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6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62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 w:type="dxa"/>
            <w:vAlign w:val="bottom"/>
            <w:tcBorders>
              <w:left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11</w:t>
            </w:r>
          </w:p>
        </w:tc>
        <w:tc>
          <w:tcPr>
            <w:tcW w:w="220" w:type="dxa"/>
            <w:vAlign w:val="bottom"/>
            <w:tcBorders>
              <w:right w:val="single" w:sz="8" w:color="auto"/>
            </w:tcBorders>
          </w:tcPr>
          <w:p>
            <w:pPr>
              <w:spacing w:after="0"/>
              <w:rPr>
                <w:sz w:val="16"/>
                <w:szCs w:val="16"/>
                <w:color w:val="auto"/>
              </w:rPr>
            </w:pPr>
          </w:p>
        </w:tc>
        <w:tc>
          <w:tcPr>
            <w:tcW w:w="862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vMerge w:val="restart"/>
          </w:tcPr>
          <w:p>
            <w:pPr>
              <w:jc w:val="center"/>
              <w:ind w:left="82"/>
              <w:spacing w:after="0"/>
              <w:rPr>
                <w:sz w:val="20"/>
                <w:szCs w:val="20"/>
                <w:color w:val="auto"/>
              </w:rPr>
            </w:pPr>
            <w:r>
              <w:rPr>
                <w:rFonts w:ascii="Arial" w:cs="Arial" w:eastAsia="Arial" w:hAnsi="Arial"/>
                <w:sz w:val="32"/>
                <w:szCs w:val="32"/>
                <w:color w:val="auto"/>
                <w:w w:val="89"/>
              </w:rPr>
              <w:t>12</w:t>
            </w:r>
          </w:p>
        </w:tc>
        <w:tc>
          <w:tcPr>
            <w:tcW w:w="220" w:type="dxa"/>
            <w:vAlign w:val="bottom"/>
            <w:tcBorders>
              <w:right w:val="single" w:sz="8" w:color="auto"/>
            </w:tcBorders>
          </w:tcPr>
          <w:p>
            <w:pPr>
              <w:spacing w:after="0"/>
              <w:rPr>
                <w:sz w:val="16"/>
                <w:szCs w:val="16"/>
                <w:color w:val="auto"/>
              </w:rPr>
            </w:pPr>
          </w:p>
        </w:tc>
        <w:tc>
          <w:tcPr>
            <w:tcW w:w="862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TYPE OF REPORTING PERSON</w:t>
            </w: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2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42"/>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Name of Issuer: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jc w:val="center"/>
        <w:ind w:right="5839"/>
        <w:spacing w:after="0"/>
        <w:rPr>
          <w:sz w:val="20"/>
          <w:szCs w:val="20"/>
          <w:color w:val="auto"/>
        </w:rPr>
      </w:pPr>
      <w:r>
        <w:rPr>
          <w:rFonts w:ascii="Arial" w:cs="Arial" w:eastAsia="Arial" w:hAnsi="Arial"/>
          <w:sz w:val="18"/>
          <w:szCs w:val="18"/>
          <w:color w:val="auto"/>
        </w:rPr>
        <w:t>(b) Address of Issuer’s Principal Executive Offices:</w:t>
      </w:r>
    </w:p>
    <w:p>
      <w:pPr>
        <w:spacing w:after="0" w:line="15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980"/>
        <w:spacing w:after="0"/>
        <w:rPr>
          <w:sz w:val="20"/>
          <w:szCs w:val="20"/>
          <w:color w:val="auto"/>
        </w:rPr>
      </w:pPr>
      <w:r>
        <w:rPr>
          <w:rFonts w:ascii="Arial" w:cs="Arial" w:eastAsia="Arial" w:hAnsi="Arial"/>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Name of Person Filing: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Jack Silver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Sherleigh Associates Inc. Profit Sharing Plan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Silver Investment Partners LP</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 Address of Principal Business Office or, if none, Residence: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80 Columbus Circle PH76A</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10023</w:t>
      </w:r>
    </w:p>
    <w:p>
      <w:pPr>
        <w:spacing w:after="0" w:line="211" w:lineRule="exact"/>
        <w:rPr>
          <w:sz w:val="20"/>
          <w:szCs w:val="20"/>
          <w:color w:val="auto"/>
        </w:rPr>
      </w:pPr>
    </w:p>
    <w:p>
      <w:pPr>
        <w:ind w:left="980" w:right="8279" w:hanging="648"/>
        <w:spacing w:after="0" w:line="563" w:lineRule="auto"/>
        <w:tabs>
          <w:tab w:leader="none" w:pos="577" w:val="left"/>
        </w:tabs>
        <w:numPr>
          <w:ilvl w:val="0"/>
          <w:numId w:val="2"/>
        </w:numPr>
        <w:rPr>
          <w:rFonts w:ascii="Arial" w:cs="Arial" w:eastAsia="Arial" w:hAnsi="Arial"/>
          <w:sz w:val="16"/>
          <w:szCs w:val="16"/>
          <w:color w:val="auto"/>
        </w:rPr>
      </w:pPr>
      <w:r>
        <w:rPr>
          <w:rFonts w:ascii="Arial" w:cs="Arial" w:eastAsia="Arial" w:hAnsi="Arial"/>
          <w:sz w:val="16"/>
          <w:szCs w:val="16"/>
          <w:color w:val="auto"/>
        </w:rPr>
        <w:t>Citizenship: United States</w:t>
      </w:r>
    </w:p>
    <w:p>
      <w:pPr>
        <w:spacing w:after="0" w:line="1" w:lineRule="exact"/>
        <w:rPr>
          <w:rFonts w:ascii="Arial" w:cs="Arial" w:eastAsia="Arial" w:hAnsi="Arial"/>
          <w:sz w:val="16"/>
          <w:szCs w:val="16"/>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jc w:val="right"/>
        <w:ind w:left="980" w:right="8379" w:hanging="648"/>
        <w:spacing w:after="0" w:line="624" w:lineRule="auto"/>
        <w:tabs>
          <w:tab w:leader="none" w:pos="577"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CUSIP Number: 70806A106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97" w:lineRule="exact"/>
        <w:rPr>
          <w:sz w:val="20"/>
          <w:szCs w:val="20"/>
          <w:color w:val="auto"/>
        </w:rPr>
      </w:pPr>
    </w:p>
    <w:p>
      <w:pPr>
        <w:ind w:left="280" w:hanging="272"/>
        <w:spacing w:after="0" w:line="207" w:lineRule="exact"/>
        <w:tabs>
          <w:tab w:leader="none" w:pos="2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Broker or Dealer registered under Section 15 of the Act</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Bank as defined in section 3(a)(6) of the Act</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Insurance Company as defined in section 3(a)(19) of the Act</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Investment Adviser in accordance with Rule 13d-1(b)(1)(ii)(E)</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Employee Benefit Plan or Endowment Fund in accordance with Rule 13d-1(b)(1)(ii)(F)</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Parent Holding Company or Control Person, in accordance with Rule 13d-1(b)(1)(ii)(G)</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80" w:hanging="272"/>
        <w:spacing w:after="0" w:line="196" w:lineRule="exact"/>
        <w:tabs>
          <w:tab w:leader="none" w:pos="280" w:val="left"/>
        </w:tabs>
        <w:numPr>
          <w:ilvl w:val="0"/>
          <w:numId w:val="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A church plan that is excluded from the definition of an investment company under section 3(c)(14) of the Investment Company Act of 1940</w:t>
      </w:r>
    </w:p>
    <w:p>
      <w:pPr>
        <w:spacing w:after="0" w:line="236" w:lineRule="exact"/>
        <w:rPr>
          <w:rFonts w:ascii="Arial" w:cs="Arial" w:eastAsia="Arial" w:hAnsi="Arial"/>
          <w:sz w:val="17"/>
          <w:szCs w:val="17"/>
          <w:color w:val="auto"/>
        </w:rPr>
      </w:pPr>
    </w:p>
    <w:p>
      <w:pPr>
        <w:ind w:left="280" w:hanging="272"/>
        <w:spacing w:after="0" w:line="207" w:lineRule="exact"/>
        <w:tabs>
          <w:tab w:leader="none" w:pos="2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non-U.S. institution in accordance with Rule 13d-1(b)(1)(ii)(J)</w:t>
      </w:r>
    </w:p>
    <w:p>
      <w:pPr>
        <w:spacing w:after="0" w:line="225" w:lineRule="exact"/>
        <w:rPr>
          <w:sz w:val="20"/>
          <w:szCs w:val="20"/>
          <w:color w:val="auto"/>
        </w:rPr>
      </w:pPr>
    </w:p>
    <w:p>
      <w:pPr>
        <w:ind w:left="60"/>
        <w:spacing w:after="0" w:line="207" w:lineRule="exact"/>
        <w:rPr>
          <w:sz w:val="20"/>
          <w:szCs w:val="20"/>
          <w:color w:val="auto"/>
        </w:rPr>
      </w:pPr>
      <w:r>
        <w:rPr>
          <w:rFonts w:ascii="Arial" w:cs="Arial" w:eastAsia="Arial" w:hAnsi="Arial"/>
          <w:sz w:val="18"/>
          <w:szCs w:val="18"/>
          <w:color w:val="auto"/>
        </w:rPr>
        <w:t>(k)</w:t>
      </w:r>
      <w:r>
        <w:rPr>
          <w:rFonts w:ascii="MS PGothic" w:cs="MS PGothic" w:eastAsia="MS PGothic" w:hAnsi="MS PGothic"/>
          <w:sz w:val="18"/>
          <w:szCs w:val="18"/>
          <w:color w:val="auto"/>
        </w:rPr>
        <w:t>☐</w:t>
      </w:r>
      <w:r>
        <w:rPr>
          <w:rFonts w:ascii="Arial" w:cs="Arial" w:eastAsia="Arial" w:hAnsi="Arial"/>
          <w:sz w:val="18"/>
          <w:szCs w:val="18"/>
          <w:color w:val="auto"/>
        </w:rPr>
        <w:t>Group, in accordance with Rule 13d-1(b)(1)(ii)(K)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(c)</w:t>
      </w:r>
    </w:p>
    <w:p>
      <w:pPr>
        <w:spacing w:after="0" w:line="225"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As of December 31, 2013, the reporting persons beneficially owned 746,891 shares of common stock of PennantPark Floating Rate Capital Ltd (the “Common Stock”) representing 5.0% of the outstanding common stock, based on 14,898,056 shares of common stock outstanding as reported in the issuer’s annual report on Form 10-K for the year ended September 30, 2013. Such shares of common stock include 470,702 shares held by Sherleigh Associates Profit Sharing Plan, a trust of which Jack Silver is the trustee, 146,189 shares held by Silver Investment Partners LP, a limited partnership of which Jack Silver is a general partner, and 130,000 shares held by Jack Silver.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Silver has the sole voting and dispositive power with respect to all 746,891 shares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purposes or effect, other than activities solely in connection with a nomination under Rule 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February 11, 2014</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481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Jack Silver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4817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Jack Silver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4817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Sherleigh Associates Inc. Profit Sharing Plan</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Jack Silver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Jack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Silver Investment Partners LP</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Jack Silver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Jack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Title: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20"/>
      </w:cols>
      <w:pgMar w:left="240" w:top="23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2019-12-08T00:00:58Z</dcterms:created>
  <dcterms:modified xsi:type="dcterms:W3CDTF">2019-12-08T00:00:58Z</dcterms:modified>
</cp:coreProperties>
</file>