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8,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August 8, 2018, PennantPark Floating Rate Capital Ltd. issued a press release announcing its financial results for the third fiscal quarter ended June 30, 2018. A copy of the press release is furnished as Exhibit 99.1 to this report pursuant to Item 2.02 on Form 8-K and Regulation FD.</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August 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060" w:type="dxa"/>
            <w:vAlign w:val="bottom"/>
            <w:gridSpan w:val="3"/>
          </w:tcPr>
          <w:p>
            <w:pPr>
              <w:ind w:left="19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8, 2018</w:t>
            </w:r>
          </w:p>
        </w:tc>
        <w:tc>
          <w:tcPr>
            <w:tcW w:w="5060" w:type="dxa"/>
            <w:vAlign w:val="bottom"/>
            <w:gridSpan w:val="3"/>
          </w:tcPr>
          <w:p>
            <w:pPr>
              <w:ind w:left="1960"/>
              <w:spacing w:after="0"/>
              <w:rPr>
                <w:sz w:val="20"/>
                <w:szCs w:val="20"/>
                <w:color w:val="auto"/>
              </w:rPr>
            </w:pPr>
            <w:r>
              <w:rPr>
                <w:rFonts w:ascii="Arial" w:cs="Arial" w:eastAsia="Arial" w:hAnsi="Arial"/>
                <w:sz w:val="18"/>
                <w:szCs w:val="18"/>
                <w:color w:val="auto"/>
              </w:rPr>
              <w:t>By: /s/ Aviv Efrat</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June 30, 2018</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NEW YORK, Aug. 08, 2018 (GLOBE NEWSWIRE) -- PennantPark Floating Rate Capital Ltd. (NASDAQ: PFLT) (TASE: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PFLT) announced today financial results for the third fiscal quarter ended June 30, 2018.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420" w:type="dxa"/>
            <w:vAlign w:val="bottom"/>
          </w:tcPr>
          <w:p>
            <w:pPr>
              <w:spacing w:after="0"/>
              <w:rPr>
                <w:sz w:val="20"/>
                <w:szCs w:val="20"/>
                <w:color w:val="auto"/>
              </w:rPr>
            </w:pPr>
            <w:r>
              <w:rPr>
                <w:rFonts w:ascii="Arial" w:cs="Arial" w:eastAsia="Arial" w:hAnsi="Arial"/>
                <w:sz w:val="22"/>
                <w:szCs w:val="22"/>
                <w:b w:val="1"/>
                <w:bCs w:val="1"/>
                <w:color w:val="auto"/>
              </w:rPr>
              <w:t>HIGHLIGHTS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1"/>
        </w:trPr>
        <w:tc>
          <w:tcPr>
            <w:tcW w:w="4420" w:type="dxa"/>
            <w:vAlign w:val="bottom"/>
          </w:tcPr>
          <w:p>
            <w:pPr>
              <w:ind w:left="20"/>
              <w:spacing w:after="0"/>
              <w:rPr>
                <w:sz w:val="20"/>
                <w:szCs w:val="20"/>
                <w:color w:val="auto"/>
              </w:rPr>
            </w:pPr>
            <w:r>
              <w:rPr>
                <w:rFonts w:ascii="Arial" w:cs="Arial" w:eastAsia="Arial" w:hAnsi="Arial"/>
                <w:sz w:val="22"/>
                <w:szCs w:val="22"/>
                <w:color w:val="auto"/>
              </w:rPr>
              <w:t>Quarter ended June 30, 2018</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4"/>
        </w:trPr>
        <w:tc>
          <w:tcPr>
            <w:tcW w:w="4420" w:type="dxa"/>
            <w:vAlign w:val="bottom"/>
          </w:tcPr>
          <w:p>
            <w:pPr>
              <w:ind w:left="20"/>
              <w:spacing w:after="0"/>
              <w:rPr>
                <w:sz w:val="20"/>
                <w:szCs w:val="20"/>
                <w:color w:val="auto"/>
              </w:rPr>
            </w:pPr>
            <w:r>
              <w:rPr>
                <w:rFonts w:ascii="Arial" w:cs="Arial" w:eastAsia="Arial" w:hAnsi="Arial"/>
                <w:sz w:val="22"/>
                <w:szCs w:val="22"/>
                <w:color w:val="auto"/>
              </w:rPr>
              <w:t>($ in millions, except per share amounts)</w:t>
            </w: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540"/>
        </w:trPr>
        <w:tc>
          <w:tcPr>
            <w:tcW w:w="4420" w:type="dxa"/>
            <w:vAlign w:val="bottom"/>
          </w:tcPr>
          <w:p>
            <w:pPr>
              <w:ind w:left="20"/>
              <w:spacing w:after="0"/>
              <w:rPr>
                <w:sz w:val="20"/>
                <w:szCs w:val="20"/>
                <w:color w:val="auto"/>
              </w:rPr>
            </w:pPr>
            <w:r>
              <w:rPr>
                <w:rFonts w:ascii="Arial" w:cs="Arial" w:eastAsia="Arial" w:hAnsi="Arial"/>
                <w:sz w:val="22"/>
                <w:szCs w:val="22"/>
                <w:color w:val="auto"/>
              </w:rPr>
              <w:t>Assets and Liabilities: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0"/>
        </w:trPr>
        <w:tc>
          <w:tcPr>
            <w:tcW w:w="4420" w:type="dxa"/>
            <w:vAlign w:val="bottom"/>
          </w:tcPr>
          <w:p>
            <w:pPr>
              <w:ind w:left="12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4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72"/>
              <w:spacing w:after="0"/>
              <w:rPr>
                <w:sz w:val="20"/>
                <w:szCs w:val="20"/>
                <w:color w:val="auto"/>
              </w:rPr>
            </w:pPr>
            <w:r>
              <w:rPr>
                <w:rFonts w:ascii="Arial" w:cs="Arial" w:eastAsia="Arial" w:hAnsi="Arial"/>
                <w:sz w:val="22"/>
                <w:szCs w:val="22"/>
                <w:color w:val="auto"/>
                <w:w w:val="90"/>
              </w:rPr>
              <w:t>907.2</w:t>
            </w:r>
          </w:p>
        </w:tc>
      </w:tr>
      <w:tr>
        <w:trPr>
          <w:trHeight w:val="270"/>
        </w:trPr>
        <w:tc>
          <w:tcPr>
            <w:tcW w:w="4420" w:type="dxa"/>
            <w:vAlign w:val="bottom"/>
          </w:tcPr>
          <w:p>
            <w:pPr>
              <w:ind w:left="120"/>
              <w:spacing w:after="0"/>
              <w:rPr>
                <w:sz w:val="20"/>
                <w:szCs w:val="20"/>
                <w:color w:val="auto"/>
              </w:rPr>
            </w:pPr>
            <w:r>
              <w:rPr>
                <w:rFonts w:ascii="Arial" w:cs="Arial" w:eastAsia="Arial" w:hAnsi="Arial"/>
                <w:sz w:val="22"/>
                <w:szCs w:val="22"/>
                <w:color w:val="auto"/>
              </w:rPr>
              <w:t>PSSL investment portfolio</w:t>
            </w:r>
          </w:p>
        </w:tc>
        <w:tc>
          <w:tcPr>
            <w:tcW w:w="4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72"/>
              <w:spacing w:after="0"/>
              <w:rPr>
                <w:sz w:val="20"/>
                <w:szCs w:val="20"/>
                <w:color w:val="auto"/>
              </w:rPr>
            </w:pPr>
            <w:r>
              <w:rPr>
                <w:rFonts w:ascii="Arial" w:cs="Arial" w:eastAsia="Arial" w:hAnsi="Arial"/>
                <w:sz w:val="22"/>
                <w:szCs w:val="22"/>
                <w:color w:val="auto"/>
                <w:w w:val="90"/>
              </w:rPr>
              <w:t>346.9</w:t>
            </w:r>
          </w:p>
        </w:tc>
      </w:tr>
      <w:tr>
        <w:trPr>
          <w:trHeight w:val="270"/>
        </w:trPr>
        <w:tc>
          <w:tcPr>
            <w:tcW w:w="4420" w:type="dxa"/>
            <w:vAlign w:val="bottom"/>
          </w:tcPr>
          <w:p>
            <w:pPr>
              <w:ind w:left="120"/>
              <w:spacing w:after="0"/>
              <w:rPr>
                <w:sz w:val="20"/>
                <w:szCs w:val="20"/>
                <w:color w:val="auto"/>
              </w:rPr>
            </w:pPr>
            <w:r>
              <w:rPr>
                <w:rFonts w:ascii="Arial" w:cs="Arial" w:eastAsia="Arial" w:hAnsi="Arial"/>
                <w:sz w:val="22"/>
                <w:szCs w:val="22"/>
                <w:color w:val="auto"/>
              </w:rPr>
              <w:t>Net assets</w:t>
            </w:r>
          </w:p>
        </w:tc>
        <w:tc>
          <w:tcPr>
            <w:tcW w:w="4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72"/>
              <w:spacing w:after="0"/>
              <w:rPr>
                <w:sz w:val="20"/>
                <w:szCs w:val="20"/>
                <w:color w:val="auto"/>
              </w:rPr>
            </w:pPr>
            <w:r>
              <w:rPr>
                <w:rFonts w:ascii="Arial" w:cs="Arial" w:eastAsia="Arial" w:hAnsi="Arial"/>
                <w:sz w:val="22"/>
                <w:szCs w:val="22"/>
                <w:color w:val="auto"/>
                <w:w w:val="90"/>
              </w:rPr>
              <w:t>535.9</w:t>
            </w:r>
          </w:p>
        </w:tc>
      </w:tr>
      <w:tr>
        <w:trPr>
          <w:trHeight w:val="274"/>
        </w:trPr>
        <w:tc>
          <w:tcPr>
            <w:tcW w:w="4420" w:type="dxa"/>
            <w:vAlign w:val="bottom"/>
          </w:tcPr>
          <w:p>
            <w:pPr>
              <w:ind w:left="120"/>
              <w:spacing w:after="0"/>
              <w:rPr>
                <w:sz w:val="20"/>
                <w:szCs w:val="20"/>
                <w:color w:val="auto"/>
              </w:rPr>
            </w:pPr>
            <w:r>
              <w:rPr>
                <w:rFonts w:ascii="Arial" w:cs="Arial" w:eastAsia="Arial" w:hAnsi="Arial"/>
                <w:sz w:val="22"/>
                <w:szCs w:val="22"/>
                <w:color w:val="auto"/>
              </w:rPr>
              <w:t>Net asset value per share</w:t>
            </w:r>
          </w:p>
        </w:tc>
        <w:tc>
          <w:tcPr>
            <w:tcW w:w="4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72"/>
              <w:spacing w:after="0"/>
              <w:rPr>
                <w:sz w:val="20"/>
                <w:szCs w:val="20"/>
                <w:color w:val="auto"/>
              </w:rPr>
            </w:pPr>
            <w:r>
              <w:rPr>
                <w:rFonts w:ascii="Arial" w:cs="Arial" w:eastAsia="Arial" w:hAnsi="Arial"/>
                <w:sz w:val="22"/>
                <w:szCs w:val="22"/>
                <w:color w:val="auto"/>
                <w:w w:val="90"/>
              </w:rPr>
              <w:t>13.82</w:t>
            </w:r>
          </w:p>
        </w:tc>
      </w:tr>
      <w:tr>
        <w:trPr>
          <w:trHeight w:val="536"/>
        </w:trPr>
        <w:tc>
          <w:tcPr>
            <w:tcW w:w="4420" w:type="dxa"/>
            <w:vAlign w:val="bottom"/>
          </w:tcPr>
          <w:p>
            <w:pPr>
              <w:ind w:left="120"/>
              <w:spacing w:after="0"/>
              <w:rPr>
                <w:sz w:val="20"/>
                <w:szCs w:val="20"/>
                <w:color w:val="auto"/>
              </w:rPr>
            </w:pPr>
            <w:r>
              <w:rPr>
                <w:rFonts w:ascii="Arial" w:cs="Arial" w:eastAsia="Arial" w:hAnsi="Arial"/>
                <w:sz w:val="22"/>
                <w:szCs w:val="22"/>
                <w:color w:val="auto"/>
              </w:rPr>
              <w:t>Credit Facility</w:t>
            </w:r>
          </w:p>
        </w:tc>
        <w:tc>
          <w:tcPr>
            <w:tcW w:w="4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72"/>
              <w:spacing w:after="0"/>
              <w:rPr>
                <w:sz w:val="20"/>
                <w:szCs w:val="20"/>
                <w:color w:val="auto"/>
              </w:rPr>
            </w:pPr>
            <w:r>
              <w:rPr>
                <w:rFonts w:ascii="Arial" w:cs="Arial" w:eastAsia="Arial" w:hAnsi="Arial"/>
                <w:sz w:val="22"/>
                <w:szCs w:val="22"/>
                <w:color w:val="auto"/>
                <w:w w:val="90"/>
              </w:rPr>
              <w:t>255.9</w:t>
            </w:r>
          </w:p>
        </w:tc>
      </w:tr>
      <w:tr>
        <w:trPr>
          <w:trHeight w:val="274"/>
        </w:trPr>
        <w:tc>
          <w:tcPr>
            <w:tcW w:w="4420" w:type="dxa"/>
            <w:vAlign w:val="bottom"/>
          </w:tcPr>
          <w:p>
            <w:pPr>
              <w:ind w:left="120"/>
              <w:spacing w:after="0"/>
              <w:rPr>
                <w:sz w:val="20"/>
                <w:szCs w:val="20"/>
                <w:color w:val="auto"/>
              </w:rPr>
            </w:pPr>
            <w:r>
              <w:rPr>
                <w:rFonts w:ascii="Arial" w:cs="Arial" w:eastAsia="Arial" w:hAnsi="Arial"/>
                <w:sz w:val="22"/>
                <w:szCs w:val="22"/>
                <w:color w:val="auto"/>
              </w:rPr>
              <w:t>2023 Notes</w:t>
            </w:r>
          </w:p>
        </w:tc>
        <w:tc>
          <w:tcPr>
            <w:tcW w:w="4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72"/>
              <w:spacing w:after="0"/>
              <w:rPr>
                <w:sz w:val="20"/>
                <w:szCs w:val="20"/>
                <w:color w:val="auto"/>
              </w:rPr>
            </w:pPr>
            <w:r>
              <w:rPr>
                <w:rFonts w:ascii="Arial" w:cs="Arial" w:eastAsia="Arial" w:hAnsi="Arial"/>
                <w:sz w:val="22"/>
                <w:szCs w:val="22"/>
                <w:color w:val="auto"/>
                <w:w w:val="90"/>
              </w:rPr>
              <w:t>134.9</w:t>
            </w:r>
          </w:p>
        </w:tc>
      </w:tr>
      <w:tr>
        <w:trPr>
          <w:trHeight w:val="540"/>
        </w:trPr>
        <w:tc>
          <w:tcPr>
            <w:tcW w:w="4420" w:type="dxa"/>
            <w:vAlign w:val="bottom"/>
          </w:tcPr>
          <w:p>
            <w:pPr>
              <w:ind w:left="120"/>
              <w:spacing w:after="0"/>
              <w:rPr>
                <w:sz w:val="20"/>
                <w:szCs w:val="20"/>
                <w:color w:val="auto"/>
              </w:rPr>
            </w:pPr>
            <w:r>
              <w:rPr>
                <w:rFonts w:ascii="Arial" w:cs="Arial" w:eastAsia="Arial" w:hAnsi="Arial"/>
                <w:sz w:val="22"/>
                <w:szCs w:val="22"/>
                <w:color w:val="auto"/>
              </w:rPr>
              <w:t>Yield on debt investments at quarter-end</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536"/>
        </w:trPr>
        <w:tc>
          <w:tcPr>
            <w:tcW w:w="4420" w:type="dxa"/>
            <w:vAlign w:val="bottom"/>
          </w:tcPr>
          <w:p>
            <w:pPr>
              <w:ind w:left="20"/>
              <w:spacing w:after="0"/>
              <w:rPr>
                <w:sz w:val="20"/>
                <w:szCs w:val="20"/>
                <w:color w:val="auto"/>
              </w:rPr>
            </w:pPr>
            <w:r>
              <w:rPr>
                <w:rFonts w:ascii="Arial" w:cs="Arial" w:eastAsia="Arial" w:hAnsi="Arial"/>
                <w:sz w:val="22"/>
                <w:szCs w:val="22"/>
                <w:color w:val="auto"/>
              </w:rPr>
              <w:t>Operating Results: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442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4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72"/>
              <w:spacing w:after="0"/>
              <w:rPr>
                <w:sz w:val="20"/>
                <w:szCs w:val="20"/>
                <w:color w:val="auto"/>
              </w:rPr>
            </w:pPr>
            <w:r>
              <w:rPr>
                <w:rFonts w:ascii="Arial" w:cs="Arial" w:eastAsia="Arial" w:hAnsi="Arial"/>
                <w:sz w:val="22"/>
                <w:szCs w:val="22"/>
                <w:color w:val="auto"/>
              </w:rPr>
              <w:t>11.8</w:t>
            </w:r>
          </w:p>
        </w:tc>
      </w:tr>
      <w:tr>
        <w:trPr>
          <w:trHeight w:val="270"/>
        </w:trPr>
        <w:tc>
          <w:tcPr>
            <w:tcW w:w="4420" w:type="dxa"/>
            <w:vAlign w:val="bottom"/>
          </w:tcPr>
          <w:p>
            <w:pPr>
              <w:ind w:left="120"/>
              <w:spacing w:after="0"/>
              <w:rPr>
                <w:sz w:val="20"/>
                <w:szCs w:val="20"/>
                <w:color w:val="auto"/>
              </w:rPr>
            </w:pPr>
            <w:r>
              <w:rPr>
                <w:rFonts w:ascii="Arial" w:cs="Arial" w:eastAsia="Arial" w:hAnsi="Arial"/>
                <w:sz w:val="22"/>
                <w:szCs w:val="22"/>
                <w:color w:val="auto"/>
              </w:rPr>
              <w:t>GAAP net investment income per share</w:t>
            </w:r>
          </w:p>
        </w:tc>
        <w:tc>
          <w:tcPr>
            <w:tcW w:w="4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72"/>
              <w:spacing w:after="0"/>
              <w:rPr>
                <w:sz w:val="20"/>
                <w:szCs w:val="20"/>
                <w:color w:val="auto"/>
              </w:rPr>
            </w:pPr>
            <w:r>
              <w:rPr>
                <w:rFonts w:ascii="Arial" w:cs="Arial" w:eastAsia="Arial" w:hAnsi="Arial"/>
                <w:sz w:val="22"/>
                <w:szCs w:val="22"/>
                <w:color w:val="auto"/>
              </w:rPr>
              <w:t>0.31</w:t>
            </w:r>
          </w:p>
        </w:tc>
      </w:tr>
      <w:tr>
        <w:trPr>
          <w:trHeight w:val="243"/>
        </w:trPr>
        <w:tc>
          <w:tcPr>
            <w:tcW w:w="4420" w:type="dxa"/>
            <w:vAlign w:val="bottom"/>
          </w:tcPr>
          <w:p>
            <w:pPr>
              <w:ind w:left="120"/>
              <w:spacing w:after="0" w:line="243" w:lineRule="exact"/>
              <w:rPr>
                <w:sz w:val="20"/>
                <w:szCs w:val="20"/>
                <w:color w:val="auto"/>
              </w:rPr>
            </w:pPr>
            <w:r>
              <w:rPr>
                <w:rFonts w:ascii="Arial" w:cs="Arial" w:eastAsia="Arial" w:hAnsi="Arial"/>
                <w:sz w:val="22"/>
                <w:szCs w:val="22"/>
                <w:color w:val="auto"/>
              </w:rPr>
              <w:t>Capital gain incentive fee accrued but not</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4"/>
        </w:trPr>
        <w:tc>
          <w:tcPr>
            <w:tcW w:w="4420" w:type="dxa"/>
            <w:vAlign w:val="bottom"/>
          </w:tcPr>
          <w:p>
            <w:pPr>
              <w:ind w:left="20"/>
              <w:spacing w:after="0"/>
              <w:rPr>
                <w:sz w:val="20"/>
                <w:szCs w:val="20"/>
                <w:color w:val="auto"/>
              </w:rPr>
            </w:pPr>
            <w:r>
              <w:rPr>
                <w:rFonts w:ascii="Arial" w:cs="Arial" w:eastAsia="Arial" w:hAnsi="Arial"/>
                <w:sz w:val="22"/>
                <w:szCs w:val="22"/>
                <w:color w:val="auto"/>
              </w:rPr>
              <w:t>payable per share</w:t>
            </w:r>
          </w:p>
        </w:tc>
        <w:tc>
          <w:tcPr>
            <w:tcW w:w="4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(0.03)</w:t>
            </w:r>
          </w:p>
        </w:tc>
      </w:tr>
      <w:tr>
        <w:trPr>
          <w:trHeight w:val="320"/>
        </w:trPr>
        <w:tc>
          <w:tcPr>
            <w:tcW w:w="4420" w:type="dxa"/>
            <w:vAlign w:val="bottom"/>
          </w:tcPr>
          <w:p>
            <w:pPr>
              <w:ind w:left="120"/>
              <w:spacing w:after="0" w:line="319" w:lineRule="exact"/>
              <w:rPr>
                <w:sz w:val="20"/>
                <w:szCs w:val="20"/>
                <w:color w:val="auto"/>
              </w:rPr>
            </w:pPr>
            <w:r>
              <w:rPr>
                <w:rFonts w:ascii="Arial" w:cs="Arial" w:eastAsia="Arial" w:hAnsi="Arial"/>
                <w:sz w:val="22"/>
                <w:szCs w:val="22"/>
                <w:color w:val="auto"/>
              </w:rPr>
              <w:t xml:space="preserve">Core net investment income per share </w:t>
            </w:r>
            <w:r>
              <w:rPr>
                <w:rFonts w:ascii="Arial" w:cs="Arial" w:eastAsia="Arial" w:hAnsi="Arial"/>
                <w:sz w:val="35"/>
                <w:szCs w:val="35"/>
                <w:color w:val="auto"/>
                <w:vertAlign w:val="superscript"/>
              </w:rPr>
              <w:t>(2)</w:t>
            </w:r>
          </w:p>
        </w:tc>
        <w:tc>
          <w:tcPr>
            <w:tcW w:w="4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72"/>
              <w:spacing w:after="0"/>
              <w:rPr>
                <w:sz w:val="20"/>
                <w:szCs w:val="20"/>
                <w:color w:val="auto"/>
              </w:rPr>
            </w:pPr>
            <w:r>
              <w:rPr>
                <w:rFonts w:ascii="Arial" w:cs="Arial" w:eastAsia="Arial" w:hAnsi="Arial"/>
                <w:sz w:val="22"/>
                <w:szCs w:val="22"/>
                <w:color w:val="auto"/>
              </w:rPr>
              <w:t>0.28</w:t>
            </w:r>
          </w:p>
        </w:tc>
      </w:tr>
      <w:tr>
        <w:trPr>
          <w:trHeight w:val="274"/>
        </w:trPr>
        <w:tc>
          <w:tcPr>
            <w:tcW w:w="442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4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72"/>
              <w:spacing w:after="0"/>
              <w:rPr>
                <w:sz w:val="20"/>
                <w:szCs w:val="20"/>
                <w:color w:val="auto"/>
              </w:rPr>
            </w:pPr>
            <w:r>
              <w:rPr>
                <w:rFonts w:ascii="Arial" w:cs="Arial" w:eastAsia="Arial" w:hAnsi="Arial"/>
                <w:sz w:val="22"/>
                <w:szCs w:val="22"/>
                <w:color w:val="auto"/>
                <w:w w:val="90"/>
              </w:rPr>
              <w:t>0.285</w:t>
            </w:r>
          </w:p>
        </w:tc>
      </w:tr>
      <w:tr>
        <w:trPr>
          <w:trHeight w:val="536"/>
        </w:trPr>
        <w:tc>
          <w:tcPr>
            <w:tcW w:w="4420" w:type="dxa"/>
            <w:vAlign w:val="bottom"/>
          </w:tcPr>
          <w:p>
            <w:pPr>
              <w:ind w:left="20"/>
              <w:spacing w:after="0"/>
              <w:rPr>
                <w:sz w:val="20"/>
                <w:szCs w:val="20"/>
                <w:color w:val="auto"/>
              </w:rPr>
            </w:pPr>
            <w:r>
              <w:rPr>
                <w:rFonts w:ascii="Arial" w:cs="Arial" w:eastAsia="Arial" w:hAnsi="Arial"/>
                <w:sz w:val="22"/>
                <w:szCs w:val="22"/>
                <w:color w:val="auto"/>
              </w:rPr>
              <w:t>Portfolio Activity:</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442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4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72"/>
              <w:spacing w:after="0"/>
              <w:rPr>
                <w:sz w:val="20"/>
                <w:szCs w:val="20"/>
                <w:color w:val="auto"/>
              </w:rPr>
            </w:pPr>
            <w:r>
              <w:rPr>
                <w:rFonts w:ascii="Arial" w:cs="Arial" w:eastAsia="Arial" w:hAnsi="Arial"/>
                <w:sz w:val="22"/>
                <w:szCs w:val="22"/>
                <w:color w:val="auto"/>
                <w:w w:val="90"/>
              </w:rPr>
              <w:t>165.3</w:t>
            </w:r>
          </w:p>
        </w:tc>
      </w:tr>
      <w:tr>
        <w:trPr>
          <w:trHeight w:val="274"/>
        </w:trPr>
        <w:tc>
          <w:tcPr>
            <w:tcW w:w="442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48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ind w:right="72"/>
              <w:spacing w:after="0"/>
              <w:rPr>
                <w:sz w:val="20"/>
                <w:szCs w:val="20"/>
                <w:color w:val="auto"/>
              </w:rPr>
            </w:pPr>
            <w:r>
              <w:rPr>
                <w:rFonts w:ascii="Arial" w:cs="Arial" w:eastAsia="Arial" w:hAnsi="Arial"/>
                <w:sz w:val="22"/>
                <w:szCs w:val="22"/>
                <w:color w:val="auto"/>
              </w:rPr>
              <w:t>87.9</w:t>
            </w:r>
          </w:p>
        </w:tc>
      </w:tr>
      <w:tr>
        <w:trPr>
          <w:trHeight w:val="536"/>
        </w:trPr>
        <w:tc>
          <w:tcPr>
            <w:tcW w:w="4420" w:type="dxa"/>
            <w:vAlign w:val="bottom"/>
          </w:tcPr>
          <w:p>
            <w:pPr>
              <w:ind w:left="120"/>
              <w:spacing w:after="0"/>
              <w:rPr>
                <w:sz w:val="20"/>
                <w:szCs w:val="20"/>
                <w:color w:val="auto"/>
              </w:rPr>
            </w:pPr>
            <w:r>
              <w:rPr>
                <w:rFonts w:ascii="Arial" w:cs="Arial" w:eastAsia="Arial" w:hAnsi="Arial"/>
                <w:sz w:val="22"/>
                <w:szCs w:val="22"/>
                <w:color w:val="auto"/>
                <w:w w:val="98"/>
              </w:rPr>
              <w:t>Number of new portfolio companies invested</w:t>
            </w:r>
          </w:p>
        </w:tc>
        <w:tc>
          <w:tcPr>
            <w:tcW w:w="48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Arial" w:cs="Arial" w:eastAsia="Arial" w:hAnsi="Arial"/>
                <w:sz w:val="22"/>
                <w:szCs w:val="22"/>
                <w:color w:val="auto"/>
              </w:rPr>
              <w:t>5</w:t>
            </w:r>
          </w:p>
        </w:tc>
      </w:tr>
      <w:tr>
        <w:trPr>
          <w:trHeight w:val="243"/>
        </w:trPr>
        <w:tc>
          <w:tcPr>
            <w:tcW w:w="4420" w:type="dxa"/>
            <w:vAlign w:val="bottom"/>
          </w:tcPr>
          <w:p>
            <w:pPr>
              <w:ind w:left="120"/>
              <w:spacing w:after="0" w:line="243" w:lineRule="exact"/>
              <w:rPr>
                <w:sz w:val="20"/>
                <w:szCs w:val="20"/>
                <w:color w:val="auto"/>
              </w:rPr>
            </w:pPr>
            <w:r>
              <w:rPr>
                <w:rFonts w:ascii="Arial" w:cs="Arial" w:eastAsia="Arial" w:hAnsi="Arial"/>
                <w:sz w:val="22"/>
                <w:szCs w:val="22"/>
                <w:color w:val="auto"/>
              </w:rPr>
              <w:t>Number of existing portfolio companies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0"/>
        </w:trPr>
        <w:tc>
          <w:tcPr>
            <w:tcW w:w="4420" w:type="dxa"/>
            <w:vAlign w:val="bottom"/>
          </w:tcPr>
          <w:p>
            <w:pPr>
              <w:ind w:left="20"/>
              <w:spacing w:after="0"/>
              <w:rPr>
                <w:sz w:val="20"/>
                <w:szCs w:val="20"/>
                <w:color w:val="auto"/>
              </w:rPr>
            </w:pPr>
            <w:r>
              <w:rPr>
                <w:rFonts w:ascii="Arial" w:cs="Arial" w:eastAsia="Arial" w:hAnsi="Arial"/>
                <w:sz w:val="22"/>
                <w:szCs w:val="22"/>
                <w:color w:val="auto"/>
              </w:rPr>
              <w:t>invested</w:t>
            </w:r>
          </w:p>
        </w:tc>
        <w:tc>
          <w:tcPr>
            <w:tcW w:w="48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22"/>
                <w:szCs w:val="22"/>
                <w:color w:val="auto"/>
              </w:rPr>
              <w:t>23</w:t>
            </w:r>
          </w:p>
        </w:tc>
      </w:tr>
      <w:tr>
        <w:trPr>
          <w:trHeight w:val="274"/>
        </w:trPr>
        <w:tc>
          <w:tcPr>
            <w:tcW w:w="4420" w:type="dxa"/>
            <w:vAlign w:val="bottom"/>
          </w:tcPr>
          <w:p>
            <w:pPr>
              <w:ind w:left="120"/>
              <w:spacing w:after="0"/>
              <w:rPr>
                <w:sz w:val="20"/>
                <w:szCs w:val="20"/>
                <w:color w:val="auto"/>
              </w:rPr>
            </w:pPr>
            <w:r>
              <w:rPr>
                <w:rFonts w:ascii="Arial" w:cs="Arial" w:eastAsia="Arial" w:hAnsi="Arial"/>
                <w:sz w:val="22"/>
                <w:szCs w:val="22"/>
                <w:color w:val="auto"/>
              </w:rPr>
              <w:t>Number of ending portfolio companies</w:t>
            </w:r>
          </w:p>
        </w:tc>
        <w:tc>
          <w:tcPr>
            <w:tcW w:w="48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22"/>
                <w:szCs w:val="22"/>
                <w:color w:val="auto"/>
              </w:rPr>
              <w:t>83</w:t>
            </w:r>
          </w:p>
        </w:tc>
      </w:tr>
    </w:tbl>
    <w:p>
      <w:pPr>
        <w:spacing w:after="0" w:line="252" w:lineRule="exact"/>
        <w:rPr>
          <w:sz w:val="20"/>
          <w:szCs w:val="20"/>
          <w:color w:val="auto"/>
        </w:rPr>
      </w:pPr>
    </w:p>
    <w:p>
      <w:pPr>
        <w:ind w:right="400" w:firstLine="8"/>
        <w:spacing w:after="0" w:line="215" w:lineRule="auto"/>
        <w:tabs>
          <w:tab w:leader="none" w:pos="264" w:val="left"/>
        </w:tabs>
        <w:numPr>
          <w:ilvl w:val="0"/>
          <w:numId w:val="2"/>
        </w:numPr>
        <w:rPr>
          <w:rFonts w:ascii="Arial" w:cs="Arial" w:eastAsia="Arial" w:hAnsi="Arial"/>
          <w:sz w:val="31"/>
          <w:szCs w:val="31"/>
          <w:color w:val="auto"/>
          <w:vertAlign w:val="superscript"/>
        </w:rPr>
      </w:pPr>
      <w:r>
        <w:rPr>
          <w:rFonts w:ascii="Arial" w:cs="Arial" w:eastAsia="Arial" w:hAnsi="Arial"/>
          <w:sz w:val="19"/>
          <w:szCs w:val="19"/>
          <w:color w:val="auto"/>
        </w:rPr>
        <w:t>Includes investments in PennantPark Senior Secured Loan Fund I LLC, or PSSL, an unconsolidated joint venture, totaling $119.6 million, at fair value.</w:t>
      </w:r>
    </w:p>
    <w:p>
      <w:pPr>
        <w:spacing w:after="0" w:line="24" w:lineRule="exact"/>
        <w:rPr>
          <w:rFonts w:ascii="Arial" w:cs="Arial" w:eastAsia="Arial" w:hAnsi="Arial"/>
          <w:sz w:val="31"/>
          <w:szCs w:val="31"/>
          <w:color w:val="auto"/>
          <w:vertAlign w:val="superscript"/>
        </w:rPr>
      </w:pPr>
    </w:p>
    <w:p>
      <w:pPr>
        <w:ind w:right="60" w:firstLine="8"/>
        <w:spacing w:after="0" w:line="243" w:lineRule="auto"/>
        <w:tabs>
          <w:tab w:leader="none" w:pos="264" w:val="left"/>
        </w:tabs>
        <w:numPr>
          <w:ilvl w:val="0"/>
          <w:numId w:val="2"/>
        </w:numPr>
        <w:rPr>
          <w:rFonts w:ascii="Arial" w:cs="Arial" w:eastAsia="Arial" w:hAnsi="Arial"/>
          <w:sz w:val="31"/>
          <w:szCs w:val="31"/>
          <w:color w:val="auto"/>
          <w:vertAlign w:val="superscript"/>
        </w:rPr>
      </w:pPr>
      <w:r>
        <w:rPr>
          <w:rFonts w:ascii="Arial" w:cs="Arial" w:eastAsia="Arial" w:hAnsi="Arial"/>
          <w:sz w:val="19"/>
          <w:szCs w:val="19"/>
          <w:color w:val="auto"/>
        </w:rPr>
        <w:t>Core net investment income is a non-GAAP financial measure. The Company believes that core net investment income provides useful information to investors and management because it reflects the Company’s financial performance excluding the charges related to incentive fee on net unrealized gains accrued under GAAP but not payable unless such net unrealized gains are realized. The presentation of this additional information is not meant to be considered in isolation or as a substitute for financial results prepared in accordance with GAAP.</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11:00 A.M. ET ON AUGUST 9, 2018</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PennantPark Floating Rate Capital Ltd. (“we,” “our,” “us” or “Company”) will host a conference call at 11:00 a.m. (Eastern Time) on Thursday, August 9, 2018 to discuss its financial results. All interested parties are welcome to participate. You can access the conference call by dialing toll-free (888) 204-4368 approximately 5-10 minutes prior to the call. International callers should dial (323) 994-2082. All callers should reference PennantPark Floating Rate Capital Ltd. An archived replay of the call will be available through August 23, 2018 by calling toll-free (888) 203-1112. International callers please dial (719) 457-0820. For all phone replays, please reference conference ID #1205691.</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“Due to the activity level year to date as well as this quarter, the increase in LIBOR and the growth of PSSL, we are pleased that our current run rate net investment income covers our dividend,” said Arthur H. Penn, Chairman and CEO. “Our earnings stream</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line="251" w:lineRule="auto"/>
        <w:rPr>
          <w:sz w:val="20"/>
          <w:szCs w:val="20"/>
          <w:color w:val="auto"/>
        </w:rPr>
      </w:pPr>
      <w:r>
        <w:rPr>
          <w:rFonts w:ascii="Arial" w:cs="Arial" w:eastAsia="Arial" w:hAnsi="Arial"/>
          <w:sz w:val="22"/>
          <w:szCs w:val="22"/>
          <w:color w:val="auto"/>
        </w:rPr>
        <w:t>should have a nice tailwind based on a continuation of these factors. Adding people to our platform has resulted in a significantly enhanced deal flow which puts us in a position to be both more active and selective.”</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of June 30, 2018, our portfolio totaled $907.2 million and consisted of $820.0 million of first lien secured debt (of which $82.7 million was invested in PSSL), $35.2 million of second lien secured debt and $52.0 million of subordinated debt, preferred and common equity (of which $36.9 million was invested in PSSL). Our debt portfolio consisted of 100% variable-rate investments. As of June 30, 2018, we had no portfolio companies on non-accrual. Overall, the portfolio had net unrealized appreciation of $1.8 million. Our overall portfolio consisted of 83 companies with an average investment size of $10.9 million, had a weighted average yield on debt investments of 8.7%, and was invested 90% in first lien secured debt (of which 9% was invested in PSSL), 4% in second lien secured debt and 6% in subordinated debt, preferred and common equity (of which 4% was invested in PSSL). As of June 30, 2018, all of the investments held by PSSL were first lien secured debt.</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of September 30, 2017, our portfolio totaled $710.5 million and consisted of $609.7 million of first lien secured debt, $37.8 million of second lien secured debt, $37.5 million of subordinated debt (of which $30.1 million was invested in PSSL) and $25.5 million of preferred and common equity (of which $13.4 million was invested in PSSL). Our debt portfolio consisted of 99% variable-rate investments and 1% fixed-rate investments. As of September 30, 2017, we had one portfolio company on non-accrual, representing 0.4% and 0.2% of our overall portfolio on a cost and fair value basis, respectively. Overall, the portfolio had net unrealized appreciation of $2.0 million. Our overall portfolio consisted of 82 companies with an average investment size of $8.7 million, had a weighted average yield on debt investments of 8.0%, and was invested 86% in first lien secured debt, 5% in second lien secured debt, 5% in subordinated debt (of which 4% was invested in PSSL) and 4% in preferred and common equity (of which 2% was invested in PSSL). As of September 30, 2017, all of the investments held by PSSL were first lien secured debt.</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2018, we invested $165.3 million in five new and 23 existing portfolio companies with a weighted average yield on debt investments of 8.2%. Sales and repayments of investments for the three months ended June 30, 2018 totaled $87.9 million. For the nine months ended June 30, 2018, we invested $480.6 million in 22 new and 51 existing portfolio companies with a weighted average yield on debt investments of 8.0%. Sales and repayments of investments for the nine months ended June 30, 2018 totaled $283.6 million.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2017, we invested $136.7 million in four new and 14 existing portfolio companies with a weighted average yield on debt investments of 8.3%. Sales and repayments of investments for the three months ended June 30, 2017 totaled $172.9 million. For the nine months ended June 30, 2017, we invested $407.8 million in 25 new and 37 existing portfolio companies with a weighted average yield on debt investments of 7.8%. Sales and repayments of investments for the nine months ended June 30, 2017 totaled $314.8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June 30, 2018, PSSL’s portfolio totaled $346.9 million, consisted of 38 companies with an average investment size of $9.1 million and had a weighted average yield on debt investments of 7.7%. As of September 30, 2017, PSSL’s portfolio totaled $100.0 million, consisted of 18 companies with an average investment size of $5.6 million and had a weighted average yield on debt investments of 7.2%.</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months ended June 30, 2018, PSSL invested $142.7 million (of which $27.1 million was purchased from the Company) in 10 new and three existing portfolio companies with a weighted average yield on debt investments of 7.4%. PSSL’s sales and repayments of investments for the three months ended June 30, 2018 totaled $16.1 million. For the nine months ended June 30, 2018, PSSL invested $270.4 million in 23 new and six existing portfolio companies with a weighted average yield on debt investments of 7.4%. PSSL’s sales and repayments of investments for the nine months ended June 30, 2018 totaled $23.8 million.</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For the period May 4, 2017 (inception) through June 30, 2017, PSSL invested $71.0 million (of which $71.0 million was purchased from the Company) in 14 new portfolio companies with a weighted average yield on debt investments of 7.4%. PSSL’s sales and repayments of investments for the period May 4, 2017 (inception) through June 30, 2017 totaled $0.3 million.</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2018 and 2017.</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Investment income for the three and nine months ended June 30, 2018 was $19.5 million and $50.9 million, respectively, and was attributable to $19.2 million and $46.0 million from first lien secured debt and $0.3 million and $4.9 million from second lien secured debt, subordinated debt and preferred and common equity, respectively. This compares to investment income for the three and nine months ended June 30, 2017, which was $15.2 million and $41.0 million, respectively, and was attributable to $13.9 million and $37.1 million from first lien senior debt and $1.3 million and $3.9 million from second lien secured debt and subordinated debt, respectively. The increase in investment income compared to the same periods in the prior year was primarily due to the growth of our portfolio.</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ectPr>
          <w:pgSz w:w="11900" w:h="16838" w:orient="portrait"/>
          <w:cols w:equalWidth="0" w:num="1">
            <w:col w:w="11240"/>
          </w:cols>
          <w:pgMar w:left="320" w:top="118" w:right="339" w:bottom="221" w:gutter="0" w:footer="0" w:header="0"/>
        </w:sectPr>
      </w:pPr>
    </w:p>
    <w:bookmarkStart w:id="5" w:name="page6"/>
    <w:bookmarkEnd w:id="5"/>
    <w:p>
      <w:pPr>
        <w:spacing w:after="0" w:line="32"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Expenses for the three and nine months ended June 30, 2018 totaled $7.7 million and $31.6 million, respectively. Base management fee for the same periods totaled $2.2 million and $5.9 million, incentive fee totaled $0.3 million (including $(1.0) million on unrealized gains accrued but not payable) and $0.9 million (including $(0.1) million on realized gains and $(0.6) million on unrealized gains accrued but not payable), debt related interest and expenses totaled $3.9 million and $20.8 million (including $10.9 million in amendment costs on our Credit Facility and debt issuance costs on the 3.83% Series A notes due 2023, or the 2023 Notes), general and administrative expenses totaled $1.1 million and $3.4 million and provision for taxes totaled $0.2 million and $0.6 million, respectively. This compares to expenses for the three and nine months ended June 30, 2017, which totaled $7.0 million and $18.0 million, respectively. Base management fee for the same periods totaled $1.8 million and $5.1 million, incentive fee totaled $1.4 million (including $0.2 million on realized gains and $0.4 million on unrealized gains accrued but not payable) and $3.4 million (including $0.2 million on realized gains and $0.9 million on unrealized gains accrued but not payable), Credit Facility expenses totaled $2.5 million and $6.3 million, general and administrative expenses totaled $1.2 million and $3.0 million and provision for taxes totaled $0.1 million and $0.2 million, respectively. The increase in expenses compared to the same periods in the prior year was primarily due to the expenses incurred in connection with the Credit Facility amendment and debt issuance costs on the 2023 Notes in the current period, which were partially offset by a reduction in incentive fees.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Net investment income totaled $11.8 million and $19.3 million, or $0.31 and $0.51 per share, for the three and nine months ended June 30, 2018, respectively. Core net investment income, a non-GAAP financial measure that excludes capital gain incentive fee accruals not payable, Credit Facility amendment costs and debt issuance costs on the 2023 Notes, totaled $10.8 million and $29.5 million, or $0.28 and $0.77 per share, for the three and nine months ended June 30, 2018, respectively. Net investment income totaled $8.2 million and $23.0 million, or $0.25 and $0.78 per share, for the three and nine months ended June 30, 2017, respectively. The increase in net investment income for the three months ended June 30, 2018 compared to the same period in the prior year was primarily due to the growth of our portfolio. The decrease in net investment income for the nine months ended June 30, 2018 compared to the same period in the prior year was primarily due to the expenses incurred in connection with the Credit Facility amendment and debt issuance costs on the 2023 Notes in the current period.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nine months ended June 30, 2018 totaled $87.9 million and $283.6 million, respectively, and net realized losses totaled $1.8 million and $3.1 million, respectively. Sales and repayments of investments for the three and nine months ended June 30, 2017 totaled $172.9 million and $314.8 million, respectively, and net realized gains totaled $2.5 million and $5.0 million, respectively. The change in realized gains/losses was primarily due to changes in the market conditions of our investments and the values at which they were realized.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the three and nine months ended June 30, 2018, we reported net change in unrealized depreciation on investments of $3.2 million and $0.2 million, respectively. For the three and nine months ended June 30, 2017, we reported net change in unrealized appreciation on investments of $0.6 million and $0.4 million, respectively. As of June 30, 2018 and September 30, 2017, our net unrealized appreciation on investments totaled $1.8 million and $2.0 million, respectively. The net change in unrealized appreciation/depreciation on our investments compared to the same periods in the prior year was primarily due to changes in the capital market conditions, the financial performance of certain portfolio companies and the reversal of unrealized appreciation/depreciation on investments that were realized.</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the three and nine months ended June 30, 2018, our Credit Facility and the 2023 Notes had a net change in unrealized (appreciation) depreciation of $(1.9) million and $6.5 million, respectively. For the three and nine months ended June 30, 2017, our Credit Facility had a net change in unrealized appreciation of $1.9 million and $3.0 million, respectively. As of June 30, 2018 and September 30, 2017, our net unrealized depreciation (appreciation) on the Credit Facility and the 2023 Notes totaled $3.5 million and $(3.1) million, respectively. The net change in unrealized depreciation compared to the same periods in the prior year was primarily due to changes in the capital markets.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Net change in net assets resulting from operations totaled $5.0 million and $22.5 million, or $0.13 and $0.59 per share, respectively, for the three and nine months ended June 30, 2018. This compares to a net change in net assets resulting from operations of $9.3 million and $25.5 million, or $0.29 and $0.86 per share, respectively, for the three and nine months ended June 30, 2017. The decrease in the net change in net assets from operations for the three months ended June 30, 2018 compared to the same period in the prior year was primarily due to changes in portfolio investment valuations during the reporting period. The decrease in net assets from operations for the nine months ended June 30, 2018 compared to the same period in the prior year was primarily due to the expenses incurred in connection with the Credit Facility amendment and debt issuance costs on the 2023 Notes in the current period.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w:t>
      </w:r>
    </w:p>
    <w:p>
      <w:pPr>
        <w:sectPr>
          <w:pgSz w:w="11900" w:h="16871" w:orient="portrait"/>
          <w:cols w:equalWidth="0" w:num="1">
            <w:col w:w="11240"/>
          </w:cols>
          <w:pgMar w:left="320" w:top="118" w:right="339" w:bottom="0" w:gutter="0" w:footer="0" w:header="0"/>
        </w:sectPr>
      </w:pPr>
    </w:p>
    <w:bookmarkStart w:id="6" w:name="page7"/>
    <w:bookmarkEnd w:id="6"/>
    <w:p>
      <w:pPr>
        <w:spacing w:after="0" w:line="7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continue to use, our debt capital, proceeds from the rotation of our portfolio and proceeds from public and private offerings of securities to finance our investment objectives.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annualized weighted average cost of debt for the nine months ended June 30, 2018 and 2017, inclusive of the fee on the undrawn commitment of 0.375% on the Credit Facility, amendment costs and debt issuance costs, was 7.26% and 3.02%, respectively (excluding amendment and debt issuance costs, amounts are 3.99% and 2.98%, respectively).</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June 30, 2018 and September 30, 2017, we had $255.7 million and $253.8 million of outstanding borrowings under the Credit Facility, respectively. The Credit Facility had a weighted average interest rate of 4.01% and 3.18%, exclusive of the fee on undrawn commitments as of June 30, 2018 and September 30, 2017, respectively. As of June 30, 2018 and September 30, 2017, we had $149.3 million and $121.2 million of unused borrowing capacity under our Credit Facility, respectively, subject to the regulatory restrictions.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June 30, 2018 and September 30, 2017, we had cash equivalents of $31.2 million and $18.9 million, at fair value,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used cash of $183.0 million for the nine months ended June 30, 2018, and our financing activities provided cash of $196.6 million for the same period. Our operating activities used cash primarily for our investment activities and our financing activities provided cash primarily from a follow-on equity offering and the issuance of the 2023 Notes.</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used cash of $93.9 million for the nine months ended June 30, 2017, and our financing activities provided cash of $113.8 million for the same period. Our operating activities used cash primarily for our investment activities and our financing activities provided cash primarily from a follow-on equity offering and net borrowings under the Credit Facility.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During the three and nine months ended June 30, 2018, we declared distributions of $0.285 and $0.855 per share, respectively, for total distributions of $11.1 million and $32.5 million, respectively. For the same periods in the prior year, we declared distributions of $0.285 and $0.855 per share, respectively, for total distributions of $7.6 million and $22.9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The Company makes available on its website its report on Form 10-Q filed with the SEC and stockholders may find the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080" w:type="dxa"/>
            <w:vAlign w:val="bottom"/>
          </w:tcPr>
          <w:p>
            <w:pPr>
              <w:spacing w:after="0"/>
              <w:rPr>
                <w:sz w:val="21"/>
                <w:szCs w:val="21"/>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86"/>
              </w:rPr>
              <w:t>June 30,</w:t>
            </w:r>
          </w:p>
        </w:tc>
        <w:tc>
          <w:tcPr>
            <w:tcW w:w="14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22"/>
                <w:szCs w:val="22"/>
                <w:b w:val="1"/>
                <w:bCs w:val="1"/>
                <w:color w:val="auto"/>
                <w:w w:val="86"/>
              </w:rPr>
              <w:t>September 30,</w:t>
            </w:r>
          </w:p>
        </w:tc>
      </w:tr>
      <w:tr>
        <w:trPr>
          <w:trHeight w:val="270"/>
        </w:trPr>
        <w:tc>
          <w:tcPr>
            <w:tcW w:w="808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2018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ind w:right="492"/>
              <w:spacing w:after="0"/>
              <w:rPr>
                <w:sz w:val="20"/>
                <w:szCs w:val="20"/>
                <w:color w:val="auto"/>
              </w:rPr>
            </w:pPr>
            <w:r>
              <w:rPr>
                <w:rFonts w:ascii="Arial" w:cs="Arial" w:eastAsia="Arial" w:hAnsi="Arial"/>
                <w:sz w:val="22"/>
                <w:szCs w:val="22"/>
                <w:b w:val="1"/>
                <w:bCs w:val="1"/>
                <w:color w:val="auto"/>
              </w:rPr>
              <w:t>2017</w:t>
            </w:r>
          </w:p>
        </w:tc>
      </w:tr>
      <w:tr>
        <w:trPr>
          <w:trHeight w:val="280"/>
        </w:trPr>
        <w:tc>
          <w:tcPr>
            <w:tcW w:w="8080" w:type="dxa"/>
            <w:vAlign w:val="bottom"/>
          </w:tcPr>
          <w:p>
            <w:pPr>
              <w:spacing w:after="0"/>
              <w:rPr>
                <w:sz w:val="24"/>
                <w:szCs w:val="2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90"/>
              </w:rPr>
              <w:t>(unaudited)</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9"/>
        </w:trPr>
        <w:tc>
          <w:tcPr>
            <w:tcW w:w="808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2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8080" w:type="dxa"/>
            <w:vAlign w:val="bottom"/>
          </w:tcPr>
          <w:p>
            <w:pPr>
              <w:ind w:left="260"/>
              <w:spacing w:after="0" w:line="243" w:lineRule="exact"/>
              <w:rPr>
                <w:sz w:val="20"/>
                <w:szCs w:val="20"/>
                <w:color w:val="auto"/>
              </w:rPr>
            </w:pPr>
            <w:r>
              <w:rPr>
                <w:rFonts w:ascii="Arial" w:cs="Arial" w:eastAsia="Arial" w:hAnsi="Arial"/>
                <w:sz w:val="22"/>
                <w:szCs w:val="22"/>
                <w:color w:val="auto"/>
                <w:w w:val="96"/>
              </w:rPr>
              <w:t>Non-controlled, non-affiliated investments (cost—$786,884,573 and $665,514,821,</w:t>
            </w: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808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240" w:type="dxa"/>
            <w:vAlign w:val="bottom"/>
          </w:tcPr>
          <w:p>
            <w:pPr>
              <w:jc w:val="right"/>
              <w:spacing w:after="0"/>
              <w:rPr>
                <w:sz w:val="20"/>
                <w:szCs w:val="20"/>
                <w:color w:val="auto"/>
              </w:rPr>
            </w:pPr>
            <w:r>
              <w:rPr>
                <w:rFonts w:ascii="Arial" w:cs="Arial" w:eastAsia="Arial" w:hAnsi="Arial"/>
                <w:sz w:val="22"/>
                <w:szCs w:val="22"/>
                <w:color w:val="auto"/>
                <w:w w:val="85"/>
              </w:rPr>
              <w:t>$ 787,566,315</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Pr>
          <w:p>
            <w:pPr>
              <w:jc w:val="right"/>
              <w:spacing w:after="0"/>
              <w:rPr>
                <w:sz w:val="20"/>
                <w:szCs w:val="20"/>
                <w:color w:val="auto"/>
              </w:rPr>
            </w:pPr>
            <w:r>
              <w:rPr>
                <w:rFonts w:ascii="Arial" w:cs="Arial" w:eastAsia="Arial" w:hAnsi="Arial"/>
                <w:sz w:val="22"/>
                <w:szCs w:val="22"/>
                <w:color w:val="auto"/>
              </w:rPr>
              <w:t>666,973,639</w:t>
            </w:r>
          </w:p>
        </w:tc>
      </w:tr>
      <w:tr>
        <w:trPr>
          <w:trHeight w:val="274"/>
        </w:trPr>
        <w:tc>
          <w:tcPr>
            <w:tcW w:w="8080" w:type="dxa"/>
            <w:vAlign w:val="bottom"/>
          </w:tcPr>
          <w:p>
            <w:pPr>
              <w:ind w:left="260"/>
              <w:spacing w:after="0"/>
              <w:rPr>
                <w:sz w:val="20"/>
                <w:szCs w:val="20"/>
                <w:color w:val="auto"/>
              </w:rPr>
            </w:pPr>
            <w:r>
              <w:rPr>
                <w:rFonts w:ascii="Arial" w:cs="Arial" w:eastAsia="Arial" w:hAnsi="Arial"/>
                <w:sz w:val="22"/>
                <w:szCs w:val="22"/>
                <w:color w:val="auto"/>
                <w:w w:val="93"/>
              </w:rPr>
              <w:t>Controlled, affiliated investments (cost—$118,125,000 and $43,000,000, respectively)</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119,586,472</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43,525,143</w:t>
            </w:r>
          </w:p>
        </w:tc>
      </w:tr>
      <w:tr>
        <w:trPr>
          <w:trHeight w:val="259"/>
        </w:trPr>
        <w:tc>
          <w:tcPr>
            <w:tcW w:w="8080" w:type="dxa"/>
            <w:vAlign w:val="bottom"/>
          </w:tcPr>
          <w:p>
            <w:pPr>
              <w:ind w:left="260"/>
              <w:spacing w:after="0"/>
              <w:rPr>
                <w:sz w:val="20"/>
                <w:szCs w:val="20"/>
                <w:color w:val="auto"/>
              </w:rPr>
            </w:pPr>
            <w:r>
              <w:rPr>
                <w:rFonts w:ascii="Arial" w:cs="Arial" w:eastAsia="Arial" w:hAnsi="Arial"/>
                <w:sz w:val="22"/>
                <w:szCs w:val="22"/>
                <w:color w:val="auto"/>
              </w:rPr>
              <w:t>Total of investments (cost—$905,009,573 and $708,514,821, respectively)</w:t>
            </w:r>
          </w:p>
        </w:tc>
        <w:tc>
          <w:tcPr>
            <w:tcW w:w="1240" w:type="dxa"/>
            <w:vAlign w:val="bottom"/>
          </w:tcPr>
          <w:p>
            <w:pPr>
              <w:jc w:val="right"/>
              <w:spacing w:after="0"/>
              <w:rPr>
                <w:sz w:val="20"/>
                <w:szCs w:val="20"/>
                <w:color w:val="auto"/>
              </w:rPr>
            </w:pPr>
            <w:r>
              <w:rPr>
                <w:rFonts w:ascii="Arial" w:cs="Arial" w:eastAsia="Arial" w:hAnsi="Arial"/>
                <w:sz w:val="22"/>
                <w:szCs w:val="22"/>
                <w:color w:val="auto"/>
                <w:w w:val="98"/>
              </w:rPr>
              <w:t>907,152,787</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710,498,782</w:t>
            </w: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Cash and cash equivalents (cost—$31,303,697 and $18,847,673, respectively)</w:t>
            </w:r>
          </w:p>
        </w:tc>
        <w:tc>
          <w:tcPr>
            <w:tcW w:w="1240" w:type="dxa"/>
            <w:vAlign w:val="bottom"/>
          </w:tcPr>
          <w:p>
            <w:pPr>
              <w:jc w:val="right"/>
              <w:spacing w:after="0"/>
              <w:rPr>
                <w:sz w:val="20"/>
                <w:szCs w:val="20"/>
                <w:color w:val="auto"/>
              </w:rPr>
            </w:pPr>
            <w:r>
              <w:rPr>
                <w:rFonts w:ascii="Arial" w:cs="Arial" w:eastAsia="Arial" w:hAnsi="Arial"/>
                <w:sz w:val="22"/>
                <w:szCs w:val="22"/>
                <w:color w:val="auto"/>
              </w:rPr>
              <w:t>31,178,070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18,910,756</w:t>
            </w: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Interest receivable</w:t>
            </w:r>
          </w:p>
        </w:tc>
        <w:tc>
          <w:tcPr>
            <w:tcW w:w="1240" w:type="dxa"/>
            <w:vAlign w:val="bottom"/>
          </w:tcPr>
          <w:p>
            <w:pPr>
              <w:jc w:val="right"/>
              <w:spacing w:after="0"/>
              <w:rPr>
                <w:sz w:val="20"/>
                <w:szCs w:val="20"/>
                <w:color w:val="auto"/>
              </w:rPr>
            </w:pPr>
            <w:r>
              <w:rPr>
                <w:rFonts w:ascii="Arial" w:cs="Arial" w:eastAsia="Arial" w:hAnsi="Arial"/>
                <w:sz w:val="22"/>
                <w:szCs w:val="22"/>
                <w:color w:val="auto"/>
              </w:rPr>
              <w:t>2,846,350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2,520,506</w:t>
            </w: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42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14,185,850</w:t>
            </w: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704,720</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1,229,505</w:t>
            </w:r>
          </w:p>
        </w:tc>
      </w:tr>
      <w:tr>
        <w:trPr>
          <w:trHeight w:val="267"/>
        </w:trPr>
        <w:tc>
          <w:tcPr>
            <w:tcW w:w="808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8"/>
              </w:rPr>
              <w:t>941,881,927</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747,345,399</w:t>
            </w:r>
          </w:p>
        </w:tc>
      </w:tr>
      <w:tr>
        <w:trPr>
          <w:trHeight w:val="256"/>
        </w:trPr>
        <w:tc>
          <w:tcPr>
            <w:tcW w:w="808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Distributions payable</w:t>
            </w:r>
          </w:p>
        </w:tc>
        <w:tc>
          <w:tcPr>
            <w:tcW w:w="1240" w:type="dxa"/>
            <w:vAlign w:val="bottom"/>
          </w:tcPr>
          <w:p>
            <w:pPr>
              <w:jc w:val="right"/>
              <w:spacing w:after="0"/>
              <w:rPr>
                <w:sz w:val="20"/>
                <w:szCs w:val="20"/>
                <w:color w:val="auto"/>
              </w:rPr>
            </w:pPr>
            <w:r>
              <w:rPr>
                <w:rFonts w:ascii="Arial" w:cs="Arial" w:eastAsia="Arial" w:hAnsi="Arial"/>
                <w:sz w:val="22"/>
                <w:szCs w:val="22"/>
                <w:color w:val="auto"/>
              </w:rPr>
              <w:t>3,683,347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3,085,607</w:t>
            </w: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240" w:type="dxa"/>
            <w:vAlign w:val="bottom"/>
          </w:tcPr>
          <w:p>
            <w:pPr>
              <w:jc w:val="right"/>
              <w:spacing w:after="0"/>
              <w:rPr>
                <w:sz w:val="20"/>
                <w:szCs w:val="20"/>
                <w:color w:val="auto"/>
              </w:rPr>
            </w:pPr>
            <w:r>
              <w:rPr>
                <w:rFonts w:ascii="Arial" w:cs="Arial" w:eastAsia="Arial" w:hAnsi="Arial"/>
                <w:sz w:val="22"/>
                <w:szCs w:val="22"/>
                <w:color w:val="auto"/>
              </w:rPr>
              <w:t>4,430,012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21,730,512</w:t>
            </w: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Credit Facility payable (cost—$255,673,311 and $253,783,301, respectively)</w:t>
            </w:r>
          </w:p>
        </w:tc>
        <w:tc>
          <w:tcPr>
            <w:tcW w:w="1240" w:type="dxa"/>
            <w:vAlign w:val="bottom"/>
          </w:tcPr>
          <w:p>
            <w:pPr>
              <w:jc w:val="right"/>
              <w:spacing w:after="0"/>
              <w:rPr>
                <w:sz w:val="20"/>
                <w:szCs w:val="20"/>
                <w:color w:val="auto"/>
              </w:rPr>
            </w:pPr>
            <w:r>
              <w:rPr>
                <w:rFonts w:ascii="Arial" w:cs="Arial" w:eastAsia="Arial" w:hAnsi="Arial"/>
                <w:sz w:val="22"/>
                <w:szCs w:val="22"/>
                <w:color w:val="auto"/>
                <w:w w:val="98"/>
              </w:rPr>
              <w:t>255,862,159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256,858,457</w:t>
            </w: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2023 Notes payable (cost—$138,579,858 and zero, respectively)</w:t>
            </w:r>
          </w:p>
        </w:tc>
        <w:tc>
          <w:tcPr>
            <w:tcW w:w="1240" w:type="dxa"/>
            <w:vAlign w:val="bottom"/>
          </w:tcPr>
          <w:p>
            <w:pPr>
              <w:jc w:val="right"/>
              <w:spacing w:after="0"/>
              <w:rPr>
                <w:sz w:val="20"/>
                <w:szCs w:val="20"/>
                <w:color w:val="auto"/>
              </w:rPr>
            </w:pPr>
            <w:r>
              <w:rPr>
                <w:rFonts w:ascii="Arial" w:cs="Arial" w:eastAsia="Arial" w:hAnsi="Arial"/>
                <w:sz w:val="22"/>
                <w:szCs w:val="22"/>
                <w:color w:val="auto"/>
                <w:w w:val="98"/>
              </w:rPr>
              <w:t>134,921,350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240" w:type="dxa"/>
            <w:vAlign w:val="bottom"/>
          </w:tcPr>
          <w:p>
            <w:pPr>
              <w:jc w:val="right"/>
              <w:spacing w:after="0"/>
              <w:rPr>
                <w:sz w:val="20"/>
                <w:szCs w:val="20"/>
                <w:color w:val="auto"/>
              </w:rPr>
            </w:pPr>
            <w:r>
              <w:rPr>
                <w:rFonts w:ascii="Arial" w:cs="Arial" w:eastAsia="Arial" w:hAnsi="Arial"/>
                <w:sz w:val="22"/>
                <w:szCs w:val="22"/>
                <w:color w:val="auto"/>
              </w:rPr>
              <w:t>1,152,999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693,787</w:t>
            </w:r>
          </w:p>
        </w:tc>
      </w:tr>
      <w:tr>
        <w:trPr>
          <w:trHeight w:val="270"/>
        </w:trPr>
        <w:tc>
          <w:tcPr>
            <w:tcW w:w="808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240" w:type="dxa"/>
            <w:vAlign w:val="bottom"/>
          </w:tcPr>
          <w:p>
            <w:pPr>
              <w:jc w:val="right"/>
              <w:spacing w:after="0"/>
              <w:rPr>
                <w:sz w:val="20"/>
                <w:szCs w:val="20"/>
                <w:color w:val="auto"/>
              </w:rPr>
            </w:pPr>
            <w:r>
              <w:rPr>
                <w:rFonts w:ascii="Arial" w:cs="Arial" w:eastAsia="Arial" w:hAnsi="Arial"/>
                <w:sz w:val="22"/>
                <w:szCs w:val="22"/>
                <w:color w:val="auto"/>
              </w:rPr>
              <w:t>2,180,258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1,784,806</w:t>
            </w:r>
          </w:p>
        </w:tc>
      </w:tr>
      <w:tr>
        <w:trPr>
          <w:trHeight w:val="274"/>
        </w:trPr>
        <w:tc>
          <w:tcPr>
            <w:tcW w:w="808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240" w:type="dxa"/>
            <w:vAlign w:val="bottom"/>
          </w:tcPr>
          <w:p>
            <w:pPr>
              <w:jc w:val="right"/>
              <w:spacing w:after="0"/>
              <w:rPr>
                <w:sz w:val="20"/>
                <w:szCs w:val="20"/>
                <w:color w:val="auto"/>
              </w:rPr>
            </w:pPr>
            <w:r>
              <w:rPr>
                <w:rFonts w:ascii="Arial" w:cs="Arial" w:eastAsia="Arial" w:hAnsi="Arial"/>
                <w:sz w:val="22"/>
                <w:szCs w:val="22"/>
                <w:color w:val="auto"/>
              </w:rPr>
              <w:t>3,077,059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5,061,217</w:t>
            </w:r>
          </w:p>
        </w:tc>
      </w:tr>
    </w:tbl>
    <w:p>
      <w:pPr>
        <w:sectPr>
          <w:pgSz w:w="11900" w:h="16914" w:orient="portrait"/>
          <w:cols w:equalWidth="0" w:num="1">
            <w:col w:w="11240"/>
          </w:cols>
          <w:pgMar w:left="320" w:top="118" w:right="339" w:bottom="0" w:gutter="0" w:footer="0" w:header="0"/>
        </w:sectPr>
      </w:pPr>
    </w:p>
    <w:bookmarkStart w:id="7" w:name="page8"/>
    <w:bookmarkEnd w:id="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600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87"/>
              </w:rPr>
              <w:t>696,427</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224,739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600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22"/>
                <w:szCs w:val="22"/>
                <w:color w:val="auto"/>
                <w:w w:val="98"/>
              </w:rPr>
              <w:t>406,003,611</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89"/>
              </w:rPr>
              <w:t>289,439,125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0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0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8"/>
          </w:tcPr>
          <w:p>
            <w:pPr>
              <w:spacing w:after="0" w:line="243" w:lineRule="exact"/>
              <w:rPr>
                <w:sz w:val="20"/>
                <w:szCs w:val="20"/>
                <w:color w:val="auto"/>
              </w:rPr>
            </w:pPr>
            <w:r>
              <w:rPr>
                <w:rFonts w:ascii="Arial" w:cs="Arial" w:eastAsia="Arial" w:hAnsi="Arial"/>
                <w:sz w:val="22"/>
                <w:szCs w:val="22"/>
                <w:color w:val="auto"/>
                <w:w w:val="99"/>
              </w:rPr>
              <w:t>Common stock, 38,772,074 and 32,480,074 shares issued and outstanding, respectively</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100"/>
              <w:spacing w:after="0"/>
              <w:rPr>
                <w:sz w:val="20"/>
                <w:szCs w:val="20"/>
                <w:color w:val="auto"/>
              </w:rPr>
            </w:pPr>
            <w:r>
              <w:rPr>
                <w:rFonts w:ascii="Arial" w:cs="Arial" w:eastAsia="Arial" w:hAnsi="Arial"/>
                <w:sz w:val="22"/>
                <w:szCs w:val="22"/>
                <w:color w:val="auto"/>
                <w:w w:val="95"/>
              </w:rPr>
              <w:t>Par value $0.001 per share and 100,000,000 shares authorized</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22"/>
                <w:szCs w:val="22"/>
                <w:color w:val="auto"/>
              </w:rPr>
              <w:t>38,772</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32,480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gridSpan w:val="5"/>
          </w:tcPr>
          <w:p>
            <w:pPr>
              <w:jc w:val="right"/>
              <w:spacing w:after="0"/>
              <w:rPr>
                <w:sz w:val="20"/>
                <w:szCs w:val="20"/>
                <w:color w:val="auto"/>
              </w:rPr>
            </w:pPr>
            <w:r>
              <w:rPr>
                <w:rFonts w:ascii="Arial" w:cs="Arial" w:eastAsia="Arial" w:hAnsi="Arial"/>
                <w:sz w:val="22"/>
                <w:szCs w:val="22"/>
                <w:color w:val="auto"/>
              </w:rPr>
              <w:t>539,462,336</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w w:val="89"/>
              </w:rPr>
              <w:t>451,448,872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22"/>
                <w:szCs w:val="22"/>
                <w:color w:val="auto"/>
                <w:w w:val="97"/>
              </w:rPr>
              <w:t>(Distributions in excess of) undistributed net investment income</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gridSpan w:val="6"/>
          </w:tcPr>
          <w:p>
            <w:pPr>
              <w:jc w:val="right"/>
              <w:spacing w:after="0"/>
              <w:rPr>
                <w:sz w:val="20"/>
                <w:szCs w:val="20"/>
                <w:color w:val="auto"/>
              </w:rPr>
            </w:pPr>
            <w:r>
              <w:rPr>
                <w:rFonts w:ascii="Arial" w:cs="Arial" w:eastAsia="Arial" w:hAnsi="Arial"/>
                <w:sz w:val="22"/>
                <w:szCs w:val="22"/>
                <w:color w:val="auto"/>
              </w:rPr>
              <w:t>(10,065,794)</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3,163,645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22"/>
                <w:szCs w:val="22"/>
                <w:color w:val="auto"/>
              </w:rPr>
              <w:t>Accumulated net realized gain on investments</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gridSpan w:val="5"/>
          </w:tcPr>
          <w:p>
            <w:pPr>
              <w:jc w:val="right"/>
              <w:spacing w:after="0"/>
              <w:rPr>
                <w:sz w:val="20"/>
                <w:szCs w:val="20"/>
                <w:color w:val="auto"/>
              </w:rPr>
            </w:pPr>
            <w:r>
              <w:rPr>
                <w:rFonts w:ascii="Arial" w:cs="Arial" w:eastAsia="Arial" w:hAnsi="Arial"/>
                <w:sz w:val="22"/>
                <w:szCs w:val="22"/>
                <w:color w:val="auto"/>
              </w:rPr>
              <w:t>1,175,847</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4,289,389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22"/>
                <w:szCs w:val="22"/>
                <w:color w:val="auto"/>
              </w:rPr>
              <w:t>Net unrealized appreciation on investments</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gridSpan w:val="5"/>
          </w:tcPr>
          <w:p>
            <w:pPr>
              <w:jc w:val="right"/>
              <w:spacing w:after="0"/>
              <w:rPr>
                <w:sz w:val="20"/>
                <w:szCs w:val="20"/>
                <w:color w:val="auto"/>
              </w:rPr>
            </w:pPr>
            <w:r>
              <w:rPr>
                <w:rFonts w:ascii="Arial" w:cs="Arial" w:eastAsia="Arial" w:hAnsi="Arial"/>
                <w:sz w:val="22"/>
                <w:szCs w:val="22"/>
                <w:color w:val="auto"/>
              </w:rPr>
              <w:t>1,797,495</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2,047,044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00" w:type="dxa"/>
            <w:vAlign w:val="bottom"/>
          </w:tcPr>
          <w:p>
            <w:pPr>
              <w:spacing w:after="0"/>
              <w:rPr>
                <w:sz w:val="20"/>
                <w:szCs w:val="20"/>
                <w:color w:val="auto"/>
              </w:rPr>
            </w:pPr>
            <w:r>
              <w:rPr>
                <w:rFonts w:ascii="Arial" w:cs="Arial" w:eastAsia="Arial" w:hAnsi="Arial"/>
                <w:sz w:val="22"/>
                <w:szCs w:val="22"/>
                <w:color w:val="auto"/>
              </w:rPr>
              <w:t>Net unrealized depreciation (appreciation) on debt</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60" w:type="dxa"/>
            <w:vAlign w:val="bottom"/>
            <w:gridSpan w:val="5"/>
          </w:tcPr>
          <w:p>
            <w:pPr>
              <w:jc w:val="right"/>
              <w:spacing w:after="0"/>
              <w:rPr>
                <w:sz w:val="20"/>
                <w:szCs w:val="20"/>
                <w:color w:val="auto"/>
              </w:rPr>
            </w:pPr>
            <w:r>
              <w:rPr>
                <w:rFonts w:ascii="Arial" w:cs="Arial" w:eastAsia="Arial" w:hAnsi="Arial"/>
                <w:sz w:val="22"/>
                <w:szCs w:val="22"/>
                <w:color w:val="auto"/>
              </w:rPr>
              <w:t>3,469,660</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w w:val="94"/>
              </w:rPr>
              <w:t>(3,075,156)</w:t>
            </w:r>
          </w:p>
        </w:tc>
        <w:tc>
          <w:tcPr>
            <w:tcW w:w="0" w:type="dxa"/>
            <w:vAlign w:val="bottom"/>
          </w:tcPr>
          <w:p>
            <w:pPr>
              <w:spacing w:after="0"/>
              <w:rPr>
                <w:sz w:val="1"/>
                <w:szCs w:val="1"/>
                <w:color w:val="auto"/>
              </w:rPr>
            </w:pPr>
          </w:p>
        </w:tc>
      </w:tr>
      <w:tr>
        <w:trPr>
          <w:trHeight w:val="267"/>
        </w:trPr>
        <w:tc>
          <w:tcPr>
            <w:tcW w:w="600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22"/>
                <w:szCs w:val="22"/>
                <w:u w:val="single" w:color="auto"/>
                <w:color w:val="auto"/>
                <w:w w:val="85"/>
              </w:rPr>
              <w:t>$</w:t>
            </w:r>
            <w:r>
              <w:rPr>
                <w:rFonts w:ascii="Arial" w:cs="Arial" w:eastAsia="Arial" w:hAnsi="Arial"/>
                <w:sz w:val="22"/>
                <w:szCs w:val="22"/>
                <w:color w:val="auto"/>
                <w:w w:val="85"/>
              </w:rPr>
              <w:t xml:space="preserve"> 535,878,316</w:t>
            </w:r>
          </w:p>
        </w:tc>
        <w:tc>
          <w:tcPr>
            <w:tcW w:w="18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20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w w:val="89"/>
              </w:rPr>
              <w:t>457,906,274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0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22"/>
                <w:szCs w:val="22"/>
                <w:u w:val="single" w:color="auto"/>
                <w:color w:val="auto"/>
                <w:w w:val="85"/>
              </w:rPr>
              <w:t>$</w:t>
            </w:r>
            <w:r>
              <w:rPr>
                <w:rFonts w:ascii="Arial" w:cs="Arial" w:eastAsia="Arial" w:hAnsi="Arial"/>
                <w:sz w:val="22"/>
                <w:szCs w:val="22"/>
                <w:color w:val="auto"/>
                <w:w w:val="85"/>
              </w:rPr>
              <w:t xml:space="preserve"> 941,881,927</w:t>
            </w:r>
          </w:p>
        </w:tc>
        <w:tc>
          <w:tcPr>
            <w:tcW w:w="180" w:type="dxa"/>
            <w:vAlign w:val="bottom"/>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w w:val="89"/>
              </w:rPr>
              <w:t>747,345,399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00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22"/>
                <w:szCs w:val="22"/>
                <w:color w:val="auto"/>
                <w:w w:val="81"/>
              </w:rPr>
              <w:t>$</w:t>
            </w:r>
          </w:p>
        </w:tc>
        <w:tc>
          <w:tcPr>
            <w:tcW w:w="1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13.82</w:t>
            </w:r>
          </w:p>
        </w:tc>
        <w:tc>
          <w:tcPr>
            <w:tcW w:w="1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2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14.10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1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9320" w:type="dxa"/>
            <w:vAlign w:val="bottom"/>
            <w:gridSpan w:val="10"/>
          </w:tcPr>
          <w:p>
            <w:pPr>
              <w:jc w:val="center"/>
              <w:ind w:left="1772"/>
              <w:spacing w:after="0"/>
              <w:rPr>
                <w:sz w:val="20"/>
                <w:szCs w:val="20"/>
                <w:color w:val="auto"/>
              </w:rPr>
            </w:pPr>
            <w:r>
              <w:rPr>
                <w:rFonts w:ascii="Arial" w:cs="Arial" w:eastAsia="Arial" w:hAnsi="Arial"/>
                <w:sz w:val="22"/>
                <w:szCs w:val="22"/>
                <w:b w:val="1"/>
                <w:bCs w:val="1"/>
                <w:color w:val="auto"/>
                <w:w w:val="98"/>
              </w:rPr>
              <w:t>PENNANTPARK FLOATING RATE CAPITAL LTD. AND SUBSIDIARIES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8"/>
          </w:tcPr>
          <w:p>
            <w:pPr>
              <w:jc w:val="center"/>
              <w:ind w:left="2532"/>
              <w:spacing w:after="0" w:line="243" w:lineRule="exact"/>
              <w:rPr>
                <w:sz w:val="20"/>
                <w:szCs w:val="20"/>
                <w:color w:val="auto"/>
              </w:rPr>
            </w:pPr>
            <w:r>
              <w:rPr>
                <w:rFonts w:ascii="Arial" w:cs="Arial" w:eastAsia="Arial" w:hAnsi="Arial"/>
                <w:sz w:val="22"/>
                <w:szCs w:val="22"/>
                <w:b w:val="1"/>
                <w:bCs w:val="1"/>
                <w:color w:val="auto"/>
                <w:w w:val="97"/>
              </w:rPr>
              <w:t>CONSOLIDATED STATEMENTS OF OPERATIONS</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7340" w:type="dxa"/>
            <w:vAlign w:val="bottom"/>
            <w:gridSpan w:val="4"/>
          </w:tcPr>
          <w:p>
            <w:pPr>
              <w:jc w:val="center"/>
              <w:ind w:left="3752"/>
              <w:spacing w:after="0"/>
              <w:rPr>
                <w:sz w:val="20"/>
                <w:szCs w:val="20"/>
                <w:color w:val="auto"/>
              </w:rPr>
            </w:pPr>
            <w:r>
              <w:rPr>
                <w:rFonts w:ascii="Arial" w:cs="Arial" w:eastAsia="Arial" w:hAnsi="Arial"/>
                <w:sz w:val="22"/>
                <w:szCs w:val="22"/>
                <w:b w:val="1"/>
                <w:bCs w:val="1"/>
                <w:color w:val="auto"/>
                <w:w w:val="91"/>
              </w:rPr>
              <w:t>(Unaudited)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22"/>
                <w:szCs w:val="22"/>
                <w:b w:val="1"/>
                <w:bCs w:val="1"/>
                <w:color w:val="auto"/>
                <w:w w:val="94"/>
              </w:rPr>
              <w:t>Three Months Ended</w:t>
            </w:r>
          </w:p>
        </w:tc>
        <w:tc>
          <w:tcPr>
            <w:tcW w:w="80" w:type="dxa"/>
            <w:vAlign w:val="bottom"/>
          </w:tcPr>
          <w:p>
            <w:pPr>
              <w:spacing w:after="0"/>
              <w:rPr>
                <w:sz w:val="24"/>
                <w:szCs w:val="24"/>
                <w:color w:val="auto"/>
              </w:rPr>
            </w:pPr>
          </w:p>
        </w:tc>
        <w:tc>
          <w:tcPr>
            <w:tcW w:w="2540" w:type="dxa"/>
            <w:vAlign w:val="bottom"/>
            <w:gridSpan w:val="7"/>
          </w:tcPr>
          <w:p>
            <w:pPr>
              <w:jc w:val="right"/>
              <w:ind w:right="400"/>
              <w:spacing w:after="0"/>
              <w:rPr>
                <w:sz w:val="20"/>
                <w:szCs w:val="20"/>
                <w:color w:val="auto"/>
              </w:rPr>
            </w:pPr>
            <w:r>
              <w:rPr>
                <w:rFonts w:ascii="Arial" w:cs="Arial" w:eastAsia="Arial" w:hAnsi="Arial"/>
                <w:sz w:val="22"/>
                <w:szCs w:val="22"/>
                <w:b w:val="1"/>
                <w:bCs w:val="1"/>
                <w:color w:val="auto"/>
              </w:rPr>
              <w:t>Nine Months Ended</w:t>
            </w:r>
          </w:p>
        </w:tc>
        <w:tc>
          <w:tcPr>
            <w:tcW w:w="0" w:type="dxa"/>
            <w:vAlign w:val="bottom"/>
          </w:tcPr>
          <w:p>
            <w:pPr>
              <w:spacing w:after="0"/>
              <w:rPr>
                <w:sz w:val="1"/>
                <w:szCs w:val="1"/>
                <w:color w:val="auto"/>
              </w:rPr>
            </w:pPr>
          </w:p>
        </w:tc>
      </w:tr>
      <w:tr>
        <w:trPr>
          <w:trHeight w:val="280"/>
        </w:trPr>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6"/>
          </w:tcPr>
          <w:p>
            <w:pPr>
              <w:jc w:val="right"/>
              <w:ind w:right="960"/>
              <w:spacing w:after="0"/>
              <w:rPr>
                <w:sz w:val="20"/>
                <w:szCs w:val="20"/>
                <w:color w:val="auto"/>
              </w:rPr>
            </w:pPr>
            <w:r>
              <w:rPr>
                <w:rFonts w:ascii="Arial" w:cs="Arial" w:eastAsia="Arial" w:hAnsi="Arial"/>
                <w:sz w:val="22"/>
                <w:szCs w:val="22"/>
                <w:b w:val="1"/>
                <w:bCs w:val="1"/>
                <w:color w:val="auto"/>
              </w:rPr>
              <w:t>June 30,</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gridSpan w:val="6"/>
          </w:tcPr>
          <w:p>
            <w:pPr>
              <w:jc w:val="right"/>
              <w:ind w:right="940"/>
              <w:spacing w:after="0"/>
              <w:rPr>
                <w:sz w:val="20"/>
                <w:szCs w:val="20"/>
                <w:color w:val="auto"/>
              </w:rPr>
            </w:pPr>
            <w:r>
              <w:rPr>
                <w:rFonts w:ascii="Arial" w:cs="Arial" w:eastAsia="Arial" w:hAnsi="Arial"/>
                <w:sz w:val="22"/>
                <w:szCs w:val="22"/>
                <w:b w:val="1"/>
                <w:bCs w:val="1"/>
                <w:color w:val="auto"/>
              </w:rPr>
              <w:t>June 30,</w:t>
            </w:r>
          </w:p>
        </w:tc>
        <w:tc>
          <w:tcPr>
            <w:tcW w:w="0" w:type="dxa"/>
            <w:vAlign w:val="bottom"/>
          </w:tcPr>
          <w:p>
            <w:pPr>
              <w:spacing w:after="0"/>
              <w:rPr>
                <w:sz w:val="1"/>
                <w:szCs w:val="1"/>
                <w:color w:val="auto"/>
              </w:rPr>
            </w:pPr>
          </w:p>
        </w:tc>
      </w:tr>
      <w:tr>
        <w:trPr>
          <w:trHeight w:val="267"/>
        </w:trPr>
        <w:tc>
          <w:tcPr>
            <w:tcW w:w="60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2018</w:t>
            </w:r>
          </w:p>
        </w:tc>
        <w:tc>
          <w:tcPr>
            <w:tcW w:w="200" w:type="dxa"/>
            <w:vAlign w:val="bottom"/>
            <w:tcBorders>
              <w:top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gridSpan w:val="2"/>
          </w:tcPr>
          <w:p>
            <w:pPr>
              <w:jc w:val="right"/>
              <w:ind w:right="23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b w:val="1"/>
                <w:bCs w:val="1"/>
                <w:color w:val="auto"/>
              </w:rPr>
              <w:t>2018</w:t>
            </w:r>
          </w:p>
        </w:tc>
        <w:tc>
          <w:tcPr>
            <w:tcW w:w="28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spacing w:after="0"/>
              <w:rPr>
                <w:sz w:val="20"/>
                <w:szCs w:val="20"/>
                <w:color w:val="auto"/>
              </w:rPr>
            </w:pPr>
            <w:r>
              <w:rPr>
                <w:rFonts w:ascii="Arial" w:cs="Arial" w:eastAsia="Arial" w:hAnsi="Arial"/>
                <w:sz w:val="22"/>
                <w:szCs w:val="22"/>
                <w:color w:val="auto"/>
                <w:w w:val="87"/>
              </w:rPr>
              <w:t>16,718,163</w:t>
            </w:r>
          </w:p>
        </w:tc>
        <w:tc>
          <w:tcPr>
            <w:tcW w:w="200" w:type="dxa"/>
            <w:vAlign w:val="bottom"/>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Arial" w:cs="Arial" w:eastAsia="Arial" w:hAnsi="Arial"/>
                <w:sz w:val="22"/>
                <w:szCs w:val="22"/>
                <w:color w:val="auto"/>
                <w:w w:val="85"/>
              </w:rPr>
              <w:t>$ 14,695,276</w:t>
            </w:r>
          </w:p>
        </w:tc>
        <w:tc>
          <w:tcPr>
            <w:tcW w:w="120" w:type="dxa"/>
            <w:vAlign w:val="bottom"/>
          </w:tcPr>
          <w:p>
            <w:pPr>
              <w:spacing w:after="0"/>
              <w:rPr>
                <w:sz w:val="23"/>
                <w:szCs w:val="23"/>
                <w:color w:val="auto"/>
              </w:rPr>
            </w:pP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w w:val="91"/>
              </w:rPr>
              <w:t>$ 45,225,422</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w w:val="87"/>
              </w:rPr>
              <w:t>39,564,205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559,708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451,597</w:t>
            </w:r>
          </w:p>
        </w:tc>
        <w:tc>
          <w:tcPr>
            <w:tcW w:w="120" w:type="dxa"/>
            <w:vAlign w:val="bottom"/>
          </w:tcPr>
          <w:p>
            <w:pPr>
              <w:spacing w:after="0"/>
              <w:rPr>
                <w:sz w:val="23"/>
                <w:szCs w:val="23"/>
                <w:color w:val="auto"/>
              </w:rPr>
            </w:pP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1,255,766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1,434,834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1,551,198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43,962</w:t>
            </w:r>
          </w:p>
        </w:tc>
        <w:tc>
          <w:tcPr>
            <w:tcW w:w="120" w:type="dxa"/>
            <w:vAlign w:val="bottom"/>
          </w:tcPr>
          <w:p>
            <w:pPr>
              <w:spacing w:after="0"/>
              <w:rPr>
                <w:sz w:val="23"/>
                <w:szCs w:val="23"/>
                <w:color w:val="auto"/>
              </w:rPr>
            </w:pP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2,985,061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43,962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00" w:type="dxa"/>
            <w:vAlign w:val="bottom"/>
          </w:tcPr>
          <w:p>
            <w:pPr>
              <w:ind w:left="260"/>
              <w:spacing w:after="0"/>
              <w:rPr>
                <w:sz w:val="20"/>
                <w:szCs w:val="20"/>
                <w:color w:val="auto"/>
              </w:rPr>
            </w:pPr>
            <w:r>
              <w:rPr>
                <w:rFonts w:ascii="Arial" w:cs="Arial" w:eastAsia="Arial" w:hAnsi="Arial"/>
                <w:sz w:val="22"/>
                <w:szCs w:val="22"/>
                <w:color w:val="auto"/>
              </w:rPr>
              <w:t>Dividend</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700,000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1,400,000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600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14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7"/>
              </w:rPr>
              <w:t>19,529,069</w:t>
            </w:r>
          </w:p>
        </w:tc>
        <w:tc>
          <w:tcPr>
            <w:tcW w:w="20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w w:val="88"/>
              </w:rPr>
              <w:t>15,190,835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color w:val="auto"/>
                <w:w w:val="99"/>
              </w:rPr>
              <w:t>50,866,249</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7"/>
              </w:rPr>
              <w:t>41,043,001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2,180,258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1,790,695</w:t>
            </w:r>
          </w:p>
        </w:tc>
        <w:tc>
          <w:tcPr>
            <w:tcW w:w="120" w:type="dxa"/>
            <w:vAlign w:val="bottom"/>
          </w:tcPr>
          <w:p>
            <w:pPr>
              <w:spacing w:after="0"/>
              <w:rPr>
                <w:sz w:val="23"/>
                <w:szCs w:val="23"/>
                <w:color w:val="auto"/>
              </w:rPr>
            </w:pP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5,932,024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5,117,839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329,567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1,444,896</w:t>
            </w:r>
          </w:p>
        </w:tc>
        <w:tc>
          <w:tcPr>
            <w:tcW w:w="120" w:type="dxa"/>
            <w:vAlign w:val="bottom"/>
          </w:tcPr>
          <w:p>
            <w:pPr>
              <w:spacing w:after="0"/>
              <w:rPr>
                <w:sz w:val="23"/>
                <w:szCs w:val="23"/>
                <w:color w:val="auto"/>
              </w:rPr>
            </w:pP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852,678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3,367,931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3,862,037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2,398,520</w:t>
            </w:r>
          </w:p>
        </w:tc>
        <w:tc>
          <w:tcPr>
            <w:tcW w:w="120" w:type="dxa"/>
            <w:vAlign w:val="bottom"/>
          </w:tcPr>
          <w:p>
            <w:pPr>
              <w:spacing w:after="0"/>
              <w:rPr>
                <w:sz w:val="23"/>
                <w:szCs w:val="23"/>
                <w:color w:val="auto"/>
              </w:rPr>
            </w:pP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9,957,719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6,197,592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500,000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561,250</w:t>
            </w:r>
          </w:p>
        </w:tc>
        <w:tc>
          <w:tcPr>
            <w:tcW w:w="120" w:type="dxa"/>
            <w:vAlign w:val="bottom"/>
          </w:tcPr>
          <w:p>
            <w:pPr>
              <w:spacing w:after="0"/>
              <w:rPr>
                <w:sz w:val="23"/>
                <w:szCs w:val="23"/>
                <w:color w:val="auto"/>
              </w:rPr>
            </w:pP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1,500,000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1,683,750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0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622,025</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607,499</w:t>
            </w:r>
          </w:p>
        </w:tc>
        <w:tc>
          <w:tcPr>
            <w:tcW w:w="120" w:type="dxa"/>
            <w:vAlign w:val="bottom"/>
          </w:tcPr>
          <w:p>
            <w:pPr>
              <w:spacing w:after="0"/>
              <w:rPr>
                <w:sz w:val="23"/>
                <w:szCs w:val="23"/>
                <w:color w:val="auto"/>
              </w:rPr>
            </w:pP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1,859,526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1,322,499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89"/>
              </w:rPr>
              <w:t>Expenses before amendment costs, debt issuance costs and</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0" w:type="dxa"/>
            <w:vAlign w:val="bottom"/>
          </w:tcPr>
          <w:p>
            <w:pPr>
              <w:ind w:left="260"/>
              <w:spacing w:after="0"/>
              <w:rPr>
                <w:sz w:val="20"/>
                <w:szCs w:val="20"/>
                <w:color w:val="auto"/>
              </w:rPr>
            </w:pPr>
            <w:r>
              <w:rPr>
                <w:rFonts w:ascii="Arial" w:cs="Arial" w:eastAsia="Arial" w:hAnsi="Arial"/>
                <w:sz w:val="22"/>
                <w:szCs w:val="22"/>
                <w:b w:val="1"/>
                <w:bCs w:val="1"/>
                <w:color w:val="auto"/>
              </w:rPr>
              <w:t>provision for taxes</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7,493,887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6,802,860</w:t>
            </w:r>
          </w:p>
        </w:tc>
        <w:tc>
          <w:tcPr>
            <w:tcW w:w="120" w:type="dxa"/>
            <w:vAlign w:val="bottom"/>
          </w:tcPr>
          <w:p>
            <w:pPr>
              <w:spacing w:after="0"/>
              <w:rPr>
                <w:sz w:val="24"/>
                <w:szCs w:val="24"/>
                <w:color w:val="auto"/>
              </w:rPr>
            </w:pP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20,101,947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87"/>
              </w:rPr>
              <w:t>17,689,611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60"/>
              <w:spacing w:after="0"/>
              <w:rPr>
                <w:sz w:val="20"/>
                <w:szCs w:val="20"/>
                <w:color w:val="auto"/>
              </w:rPr>
            </w:pPr>
            <w:r>
              <w:rPr>
                <w:rFonts w:ascii="Arial" w:cs="Arial" w:eastAsia="Arial" w:hAnsi="Arial"/>
                <w:sz w:val="22"/>
                <w:szCs w:val="22"/>
                <w:color w:val="auto"/>
              </w:rPr>
              <w:t>Credit Facility amendment costs and debt issuance costs</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112,736</w:t>
            </w:r>
          </w:p>
        </w:tc>
        <w:tc>
          <w:tcPr>
            <w:tcW w:w="120" w:type="dxa"/>
            <w:vAlign w:val="bottom"/>
          </w:tcPr>
          <w:p>
            <w:pPr>
              <w:spacing w:after="0"/>
              <w:rPr>
                <w:sz w:val="23"/>
                <w:szCs w:val="23"/>
                <w:color w:val="auto"/>
              </w:rPr>
            </w:pP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10,869,098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112,736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0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200,000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90,000</w:t>
            </w:r>
          </w:p>
        </w:tc>
        <w:tc>
          <w:tcPr>
            <w:tcW w:w="120" w:type="dxa"/>
            <w:vAlign w:val="bottom"/>
          </w:tcPr>
          <w:p>
            <w:pPr>
              <w:spacing w:after="0"/>
              <w:rPr>
                <w:sz w:val="23"/>
                <w:szCs w:val="23"/>
                <w:color w:val="auto"/>
              </w:rPr>
            </w:pP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600,000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205,000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600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14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7,693,887</w:t>
            </w:r>
          </w:p>
        </w:tc>
        <w:tc>
          <w:tcPr>
            <w:tcW w:w="200" w:type="dxa"/>
            <w:vAlign w:val="bottom"/>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7,005,596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color w:val="auto"/>
                <w:w w:val="99"/>
              </w:rPr>
              <w:t>31,571,045</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7"/>
              </w:rPr>
              <w:t>18,007,347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0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11,835,182</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8,185,239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99"/>
              </w:rPr>
              <w:t>19,295,204</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23,035,654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0"/>
                <w:szCs w:val="20"/>
                <w:color w:val="auto"/>
              </w:rPr>
            </w:pPr>
            <w:r>
              <w:rPr>
                <w:rFonts w:ascii="Arial" w:cs="Arial" w:eastAsia="Arial" w:hAnsi="Arial"/>
                <w:sz w:val="22"/>
                <w:szCs w:val="22"/>
                <w:b w:val="1"/>
                <w:bCs w:val="1"/>
                <w:color w:val="auto"/>
                <w:w w:val="93"/>
              </w:rPr>
              <w:t>Realized and unrealized (loss) gain on investments and debt:</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22"/>
                <w:szCs w:val="22"/>
                <w:color w:val="auto"/>
              </w:rPr>
              <w:t>Net realized (loss) gain on investments</w:t>
            </w:r>
          </w:p>
        </w:tc>
        <w:tc>
          <w:tcPr>
            <w:tcW w:w="14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22"/>
                <w:szCs w:val="22"/>
                <w:color w:val="auto"/>
                <w:w w:val="94"/>
              </w:rPr>
              <w:t>(1,790,048)</w:t>
            </w: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2,451,169</w:t>
            </w:r>
          </w:p>
        </w:tc>
        <w:tc>
          <w:tcPr>
            <w:tcW w:w="120" w:type="dxa"/>
            <w:vAlign w:val="bottom"/>
          </w:tcPr>
          <w:p>
            <w:pPr>
              <w:spacing w:after="0"/>
              <w:rPr>
                <w:sz w:val="23"/>
                <w:szCs w:val="23"/>
                <w:color w:val="auto"/>
              </w:rPr>
            </w:pPr>
          </w:p>
        </w:tc>
        <w:tc>
          <w:tcPr>
            <w:tcW w:w="1400" w:type="dxa"/>
            <w:vAlign w:val="bottom"/>
            <w:gridSpan w:val="5"/>
          </w:tcPr>
          <w:p>
            <w:pPr>
              <w:jc w:val="right"/>
              <w:ind w:right="100"/>
              <w:spacing w:after="0"/>
              <w:rPr>
                <w:sz w:val="20"/>
                <w:szCs w:val="20"/>
                <w:color w:val="auto"/>
              </w:rPr>
            </w:pPr>
            <w:r>
              <w:rPr>
                <w:rFonts w:ascii="Arial" w:cs="Arial" w:eastAsia="Arial" w:hAnsi="Arial"/>
                <w:sz w:val="22"/>
                <w:szCs w:val="22"/>
                <w:color w:val="auto"/>
              </w:rPr>
              <w:t>(3,113,542)</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4,961,180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22"/>
                <w:szCs w:val="22"/>
                <w:color w:val="auto"/>
              </w:rPr>
              <w:t>Net change in unrealized (depreciation) appreciation on:</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22"/>
                <w:szCs w:val="22"/>
                <w:color w:val="auto"/>
                <w:w w:val="94"/>
              </w:rPr>
              <w:t>(3,370,875)</w:t>
            </w: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625,872</w:t>
            </w:r>
          </w:p>
        </w:tc>
        <w:tc>
          <w:tcPr>
            <w:tcW w:w="120" w:type="dxa"/>
            <w:vAlign w:val="bottom"/>
          </w:tcPr>
          <w:p>
            <w:pPr>
              <w:spacing w:after="0"/>
              <w:rPr>
                <w:sz w:val="23"/>
                <w:szCs w:val="23"/>
                <w:color w:val="auto"/>
              </w:rPr>
            </w:pPr>
          </w:p>
        </w:tc>
        <w:tc>
          <w:tcPr>
            <w:tcW w:w="1400" w:type="dxa"/>
            <w:vAlign w:val="bottom"/>
            <w:gridSpan w:val="5"/>
          </w:tcPr>
          <w:p>
            <w:pPr>
              <w:jc w:val="right"/>
              <w:ind w:right="100"/>
              <w:spacing w:after="0"/>
              <w:rPr>
                <w:sz w:val="20"/>
                <w:szCs w:val="20"/>
                <w:color w:val="auto"/>
              </w:rPr>
            </w:pPr>
            <w:r>
              <w:rPr>
                <w:rFonts w:ascii="Arial" w:cs="Arial" w:eastAsia="Arial" w:hAnsi="Arial"/>
                <w:sz w:val="22"/>
                <w:szCs w:val="22"/>
                <w:color w:val="auto"/>
              </w:rPr>
              <w:t>(1,185,879)</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426,906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60"/>
              <w:spacing w:after="0"/>
              <w:rPr>
                <w:sz w:val="20"/>
                <w:szCs w:val="20"/>
                <w:color w:val="auto"/>
              </w:rPr>
            </w:pPr>
            <w:r>
              <w:rPr>
                <w:rFonts w:ascii="Arial" w:cs="Arial" w:eastAsia="Arial" w:hAnsi="Arial"/>
                <w:sz w:val="22"/>
                <w:szCs w:val="22"/>
                <w:color w:val="auto"/>
              </w:rPr>
              <w:t>Controlled, affiliated investments</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182,630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22,425</w:t>
            </w:r>
          </w:p>
        </w:tc>
        <w:tc>
          <w:tcPr>
            <w:tcW w:w="120" w:type="dxa"/>
            <w:vAlign w:val="bottom"/>
          </w:tcPr>
          <w:p>
            <w:pPr>
              <w:spacing w:after="0"/>
              <w:rPr>
                <w:sz w:val="23"/>
                <w:szCs w:val="23"/>
                <w:color w:val="auto"/>
              </w:rPr>
            </w:pP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936,330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22,425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00" w:type="dxa"/>
            <w:vAlign w:val="bottom"/>
          </w:tcPr>
          <w:p>
            <w:pPr>
              <w:ind w:left="260"/>
              <w:spacing w:after="0"/>
              <w:rPr>
                <w:sz w:val="20"/>
                <w:szCs w:val="20"/>
                <w:color w:val="auto"/>
              </w:rPr>
            </w:pPr>
            <w:r>
              <w:rPr>
                <w:rFonts w:ascii="Arial" w:cs="Arial" w:eastAsia="Arial" w:hAnsi="Arial"/>
                <w:sz w:val="22"/>
                <w:szCs w:val="22"/>
                <w:color w:val="auto"/>
              </w:rPr>
              <w:t>Debt (appreciation) depreciation</w:t>
            </w:r>
          </w:p>
        </w:tc>
        <w:tc>
          <w:tcPr>
            <w:tcW w:w="14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22"/>
                <w:szCs w:val="22"/>
                <w:color w:val="auto"/>
                <w:w w:val="89"/>
              </w:rPr>
              <w:t>(1,888,502 )</w:t>
            </w:r>
          </w:p>
        </w:tc>
        <w:tc>
          <w:tcPr>
            <w:tcW w:w="120" w:type="dxa"/>
            <w:vAlign w:val="bottom"/>
          </w:tcPr>
          <w:p>
            <w:pPr>
              <w:spacing w:after="0"/>
              <w:rPr>
                <w:sz w:val="23"/>
                <w:szCs w:val="23"/>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22"/>
                <w:szCs w:val="22"/>
                <w:color w:val="auto"/>
                <w:w w:val="91"/>
              </w:rPr>
              <w:t>(1,942,856 )</w:t>
            </w: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6,544,816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w w:val="89"/>
              </w:rPr>
              <w:t>(2,972,262 )</w:t>
            </w:r>
          </w:p>
        </w:tc>
        <w:tc>
          <w:tcPr>
            <w:tcW w:w="0" w:type="dxa"/>
            <w:vAlign w:val="bottom"/>
          </w:tcPr>
          <w:p>
            <w:pPr>
              <w:spacing w:after="0"/>
              <w:rPr>
                <w:sz w:val="1"/>
                <w:szCs w:val="1"/>
                <w:color w:val="auto"/>
              </w:rPr>
            </w:pPr>
          </w:p>
        </w:tc>
      </w:tr>
      <w:tr>
        <w:trPr>
          <w:trHeight w:val="213"/>
        </w:trPr>
        <w:tc>
          <w:tcPr>
            <w:tcW w:w="600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8"/>
              </w:rPr>
              <w:t>Net change in unrealized (depreciation) appreciation on</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6000" w:type="dxa"/>
            <w:vAlign w:val="bottom"/>
          </w:tcPr>
          <w:p>
            <w:pPr>
              <w:ind w:left="260"/>
              <w:spacing w:after="0"/>
              <w:rPr>
                <w:sz w:val="20"/>
                <w:szCs w:val="20"/>
                <w:color w:val="auto"/>
              </w:rPr>
            </w:pPr>
            <w:r>
              <w:rPr>
                <w:rFonts w:ascii="Arial" w:cs="Arial" w:eastAsia="Arial" w:hAnsi="Arial"/>
                <w:sz w:val="22"/>
                <w:szCs w:val="22"/>
                <w:b w:val="1"/>
                <w:bCs w:val="1"/>
                <w:color w:val="auto"/>
              </w:rPr>
              <w:t>investments and debt</w:t>
            </w:r>
          </w:p>
        </w:tc>
        <w:tc>
          <w:tcPr>
            <w:tcW w:w="14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22"/>
                <w:szCs w:val="22"/>
                <w:color w:val="auto"/>
                <w:w w:val="94"/>
              </w:rPr>
              <w:t>(5,076,747)</w:t>
            </w:r>
          </w:p>
        </w:tc>
        <w:tc>
          <w:tcPr>
            <w:tcW w:w="120" w:type="dxa"/>
            <w:vAlign w:val="bottom"/>
          </w:tcPr>
          <w:p>
            <w:pPr>
              <w:spacing w:after="0"/>
              <w:rPr>
                <w:sz w:val="24"/>
                <w:szCs w:val="24"/>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22"/>
                <w:szCs w:val="22"/>
                <w:color w:val="auto"/>
                <w:w w:val="91"/>
              </w:rPr>
              <w:t>(1,294,559 )</w:t>
            </w: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6,295,267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w w:val="89"/>
              </w:rPr>
              <w:t>(2,522,931 )</w:t>
            </w:r>
          </w:p>
        </w:tc>
        <w:tc>
          <w:tcPr>
            <w:tcW w:w="0" w:type="dxa"/>
            <w:vAlign w:val="bottom"/>
          </w:tcPr>
          <w:p>
            <w:pPr>
              <w:spacing w:after="0"/>
              <w:rPr>
                <w:sz w:val="1"/>
                <w:szCs w:val="1"/>
                <w:color w:val="auto"/>
              </w:rPr>
            </w:pPr>
          </w:p>
        </w:tc>
      </w:tr>
      <w:tr>
        <w:trPr>
          <w:trHeight w:val="213"/>
        </w:trPr>
        <w:tc>
          <w:tcPr>
            <w:tcW w:w="6000" w:type="dxa"/>
            <w:vAlign w:val="bottom"/>
          </w:tcPr>
          <w:p>
            <w:pPr>
              <w:spacing w:after="0" w:line="212" w:lineRule="exact"/>
              <w:rPr>
                <w:sz w:val="20"/>
                <w:szCs w:val="20"/>
                <w:color w:val="auto"/>
              </w:rPr>
            </w:pPr>
            <w:r>
              <w:rPr>
                <w:rFonts w:ascii="Arial" w:cs="Arial" w:eastAsia="Arial" w:hAnsi="Arial"/>
                <w:sz w:val="22"/>
                <w:szCs w:val="22"/>
                <w:b w:val="1"/>
                <w:bCs w:val="1"/>
                <w:color w:val="auto"/>
                <w:w w:val="94"/>
              </w:rPr>
              <w:t>Net realized and unrealized (loss) gain from investments and</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00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14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22"/>
                <w:szCs w:val="22"/>
                <w:color w:val="auto"/>
                <w:w w:val="94"/>
              </w:rPr>
              <w:t>(6,866,795)</w:t>
            </w:r>
          </w:p>
        </w:tc>
        <w:tc>
          <w:tcPr>
            <w:tcW w:w="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1,156,610</w:t>
            </w:r>
          </w:p>
        </w:tc>
        <w:tc>
          <w:tcPr>
            <w:tcW w:w="120" w:type="dxa"/>
            <w:vAlign w:val="bottom"/>
          </w:tcPr>
          <w:p>
            <w:pPr>
              <w:spacing w:after="0"/>
              <w:rPr>
                <w:sz w:val="24"/>
                <w:szCs w:val="24"/>
                <w:color w:val="auto"/>
              </w:rPr>
            </w:pPr>
          </w:p>
        </w:tc>
        <w:tc>
          <w:tcPr>
            <w:tcW w:w="1200" w:type="dxa"/>
            <w:vAlign w:val="bottom"/>
            <w:gridSpan w:val="4"/>
          </w:tcPr>
          <w:p>
            <w:pPr>
              <w:jc w:val="right"/>
              <w:spacing w:after="0"/>
              <w:rPr>
                <w:sz w:val="20"/>
                <w:szCs w:val="20"/>
                <w:color w:val="auto"/>
              </w:rPr>
            </w:pPr>
            <w:r>
              <w:rPr>
                <w:rFonts w:ascii="Arial" w:cs="Arial" w:eastAsia="Arial" w:hAnsi="Arial"/>
                <w:sz w:val="22"/>
                <w:szCs w:val="22"/>
                <w:color w:val="auto"/>
              </w:rPr>
              <w:t>3,181,725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98"/>
              </w:rPr>
              <w:t>2,438,249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8"/>
              </w:rPr>
              <w:t>4,968,387</w:t>
            </w:r>
          </w:p>
        </w:tc>
        <w:tc>
          <w:tcPr>
            <w:tcW w:w="2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9,341,849</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2"/>
                <w:szCs w:val="22"/>
                <w:u w:val="single" w:color="auto"/>
                <w:color w:val="auto"/>
                <w:w w:val="85"/>
              </w:rPr>
              <w:t>$</w:t>
            </w:r>
            <w:r>
              <w:rPr>
                <w:rFonts w:ascii="Arial" w:cs="Arial" w:eastAsia="Arial" w:hAnsi="Arial"/>
                <w:sz w:val="22"/>
                <w:szCs w:val="22"/>
                <w:color w:val="auto"/>
                <w:w w:val="85"/>
              </w:rPr>
              <w:t xml:space="preserve"> 22,476,929</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7"/>
              </w:rPr>
              <w:t>25,473,903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000" w:type="dxa"/>
            <w:vAlign w:val="bottom"/>
            <w:vMerge w:val="restart"/>
          </w:tcPr>
          <w:p>
            <w:pPr>
              <w:spacing w:after="0" w:line="242" w:lineRule="exact"/>
              <w:rPr>
                <w:sz w:val="20"/>
                <w:szCs w:val="20"/>
                <w:color w:val="auto"/>
              </w:rPr>
            </w:pPr>
            <w:r>
              <w:rPr>
                <w:rFonts w:ascii="Arial" w:cs="Arial" w:eastAsia="Arial" w:hAnsi="Arial"/>
                <w:sz w:val="22"/>
                <w:szCs w:val="22"/>
                <w:color w:val="auto"/>
                <w:w w:val="94"/>
              </w:rPr>
              <w:t>Net increase in net assets resulting from operations per common</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000" w:type="dxa"/>
            <w:vAlign w:val="bottom"/>
            <w:vMerge w:val="continue"/>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0.13</w:t>
            </w:r>
          </w:p>
        </w:tc>
        <w:tc>
          <w:tcPr>
            <w:tcW w:w="2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gridSpan w:val="2"/>
            <w:vMerge w:val="restart"/>
          </w:tcPr>
          <w:p>
            <w:pPr>
              <w:jc w:val="right"/>
              <w:spacing w:after="0"/>
              <w:rPr>
                <w:sz w:val="20"/>
                <w:szCs w:val="20"/>
                <w:color w:val="auto"/>
              </w:rPr>
            </w:pPr>
            <w:r>
              <w:rPr>
                <w:rFonts w:ascii="Arial" w:cs="Arial" w:eastAsia="Arial" w:hAnsi="Arial"/>
                <w:sz w:val="22"/>
                <w:szCs w:val="22"/>
                <w:color w:val="auto"/>
              </w:rPr>
              <w:t>0.29</w:t>
            </w:r>
          </w:p>
        </w:tc>
        <w:tc>
          <w:tcPr>
            <w:tcW w:w="12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660" w:type="dxa"/>
            <w:vAlign w:val="bottom"/>
            <w:vMerge w:val="restart"/>
          </w:tcPr>
          <w:p>
            <w:pPr>
              <w:jc w:val="right"/>
              <w:ind w:right="432"/>
              <w:spacing w:after="0"/>
              <w:rPr>
                <w:sz w:val="20"/>
                <w:szCs w:val="20"/>
                <w:color w:val="auto"/>
              </w:rPr>
            </w:pPr>
            <w:r>
              <w:rPr>
                <w:rFonts w:ascii="Arial" w:cs="Arial" w:eastAsia="Arial" w:hAnsi="Arial"/>
                <w:sz w:val="22"/>
                <w:szCs w:val="22"/>
                <w:color w:val="auto"/>
                <w:w w:val="81"/>
              </w:rPr>
              <w:t>$</w:t>
            </w:r>
          </w:p>
        </w:tc>
        <w:tc>
          <w:tcPr>
            <w:tcW w:w="460" w:type="dxa"/>
            <w:vAlign w:val="bottom"/>
            <w:gridSpan w:val="2"/>
            <w:vMerge w:val="restart"/>
          </w:tcPr>
          <w:p>
            <w:pPr>
              <w:jc w:val="right"/>
              <w:spacing w:after="0"/>
              <w:rPr>
                <w:sz w:val="20"/>
                <w:szCs w:val="20"/>
                <w:color w:val="auto"/>
              </w:rPr>
            </w:pPr>
            <w:r>
              <w:rPr>
                <w:rFonts w:ascii="Arial" w:cs="Arial" w:eastAsia="Arial" w:hAnsi="Arial"/>
                <w:sz w:val="22"/>
                <w:szCs w:val="22"/>
                <w:color w:val="auto"/>
              </w:rPr>
              <w:t>0.59</w:t>
            </w:r>
          </w:p>
        </w:tc>
        <w:tc>
          <w:tcPr>
            <w:tcW w:w="2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0.86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00" w:type="dxa"/>
            <w:vAlign w:val="bottom"/>
          </w:tcPr>
          <w:p>
            <w:pPr>
              <w:spacing w:after="0" w:line="251" w:lineRule="exact"/>
              <w:rPr>
                <w:sz w:val="20"/>
                <w:szCs w:val="20"/>
                <w:color w:val="auto"/>
              </w:rPr>
            </w:pPr>
            <w:r>
              <w:rPr>
                <w:rFonts w:ascii="Arial" w:cs="Arial" w:eastAsia="Arial" w:hAnsi="Arial"/>
                <w:sz w:val="22"/>
                <w:szCs w:val="22"/>
                <w:color w:val="auto"/>
              </w:rPr>
              <w:t>share</w:t>
            </w: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460" w:type="dxa"/>
            <w:vAlign w:val="bottom"/>
            <w:tcBorders>
              <w:bottom w:val="single" w:sz="8" w:color="auto"/>
            </w:tcBorders>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00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0.31</w:t>
            </w:r>
          </w:p>
        </w:tc>
        <w:tc>
          <w:tcPr>
            <w:tcW w:w="2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0.25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22"/>
                <w:szCs w:val="22"/>
                <w:color w:val="auto"/>
                <w:w w:val="81"/>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2"/>
                <w:szCs w:val="22"/>
                <w:color w:val="auto"/>
              </w:rPr>
              <w:t>0.51</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ectPr>
          <w:pgSz w:w="11900" w:h="16838" w:orient="portrait"/>
          <w:cols w:equalWidth="0" w:num="1">
            <w:col w:w="11220"/>
          </w:cols>
          <w:pgMar w:left="320" w:top="132" w:right="359" w:bottom="86" w:gutter="0" w:footer="0" w:header="0"/>
        </w:sectPr>
      </w:pPr>
    </w:p>
    <w:bookmarkStart w:id="8" w:name="page9"/>
    <w:bookmarkEnd w:id="8"/>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Aviv Efrat</w:t>
      </w:r>
    </w:p>
    <w:p>
      <w:pPr>
        <w:spacing w:after="0" w:line="238" w:lineRule="auto"/>
        <w:rPr>
          <w:sz w:val="20"/>
          <w:szCs w:val="20"/>
          <w:color w:val="auto"/>
        </w:rPr>
      </w:pPr>
      <w:r>
        <w:rPr>
          <w:rFonts w:ascii="Arial" w:cs="Arial" w:eastAsia="Arial" w:hAnsi="Arial"/>
          <w:sz w:val="22"/>
          <w:szCs w:val="22"/>
          <w:color w:val="auto"/>
        </w:rPr>
        <w:t>PennantPark Floating Rate Capital Ltd.</w:t>
      </w: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2020-05-05T12:05:05Z</dcterms:created>
  <dcterms:modified xsi:type="dcterms:W3CDTF">2020-05-05T12:05:05Z</dcterms:modified>
</cp:coreProperties>
</file>