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2,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February 2, 2022,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1" w:lineRule="exact"/>
        <w:rPr>
          <w:sz w:val="20"/>
          <w:szCs w:val="20"/>
          <w:color w:val="auto"/>
        </w:rPr>
      </w:pPr>
    </w:p>
    <w:p>
      <w:pPr>
        <w:ind w:left="960"/>
        <w:spacing w:after="0"/>
        <w:tabs>
          <w:tab w:leader="none" w:pos="15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of PennantPark Floating Rate Capital Ltd. Dated February 2,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560" w:type="dxa"/>
            <w:vAlign w:val="bottom"/>
          </w:tcPr>
          <w:p>
            <w:pPr>
              <w:spacing w:after="0"/>
              <w:rPr>
                <w:sz w:val="20"/>
                <w:szCs w:val="20"/>
                <w:color w:val="auto"/>
              </w:rPr>
            </w:pPr>
            <w:r>
              <w:rPr>
                <w:rFonts w:ascii="Arial" w:cs="Arial" w:eastAsia="Arial" w:hAnsi="Arial"/>
                <w:sz w:val="18"/>
                <w:szCs w:val="18"/>
                <w:color w:val="auto"/>
              </w:rPr>
              <w:t>Date: February 2, 2022</w:t>
            </w:r>
          </w:p>
        </w:tc>
        <w:tc>
          <w:tcPr>
            <w:tcW w:w="5000" w:type="dxa"/>
            <w:vAlign w:val="bottom"/>
            <w:gridSpan w:val="3"/>
          </w:tcPr>
          <w:p>
            <w:pPr>
              <w:ind w:left="1900"/>
              <w:spacing w:after="0"/>
              <w:rPr>
                <w:sz w:val="20"/>
                <w:szCs w:val="20"/>
                <w:color w:val="auto"/>
              </w:rPr>
            </w:pPr>
            <w:r>
              <w:rPr>
                <w:rFonts w:ascii="Arial" w:cs="Arial" w:eastAsia="Arial" w:hAnsi="Arial"/>
                <w:sz w:val="18"/>
                <w:szCs w:val="18"/>
                <w:color w:val="auto"/>
              </w:rPr>
              <w:t>By: /s/ Richard Cheung</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MIAMI, Feb. 02, 2022 (GLOBE NEWSWIRE) -- PennantPark Floating Rate Capital Ltd. (the "Company") (NASDAQ: PFLT) (TASE: PFLT) declares its monthly distribution for February 2022 of $0.095 per share, payable on March 1, 2022 to stockholders of record as of February 15,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2022-02-02T15:15:06Z</dcterms:created>
  <dcterms:modified xsi:type="dcterms:W3CDTF">2022-02-02T15:15:06Z</dcterms:modified>
</cp:coreProperties>
</file>