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2"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399"/>
        <w:spacing w:after="0"/>
        <w:rPr>
          <w:sz w:val="20"/>
          <w:szCs w:val="20"/>
          <w:color w:val="auto"/>
        </w:rPr>
      </w:pPr>
      <w:r>
        <w:rPr>
          <w:rFonts w:ascii="Arial" w:cs="Arial" w:eastAsia="Arial" w:hAnsi="Arial"/>
          <w:sz w:val="25"/>
          <w:szCs w:val="25"/>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8, 2011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399"/>
        <w:spacing w:after="0"/>
        <w:rPr>
          <w:sz w:val="20"/>
          <w:szCs w:val="20"/>
          <w:color w:val="auto"/>
        </w:rPr>
      </w:pPr>
      <w:r>
        <w:rPr>
          <w:rFonts w:ascii="Arial" w:cs="Arial" w:eastAsia="Arial" w:hAnsi="Arial"/>
          <w:sz w:val="25"/>
          <w:szCs w:val="25"/>
          <w:b w:val="1"/>
          <w:bCs w:val="1"/>
          <w:color w:val="auto"/>
        </w:rPr>
        <w:t>PennantPark Floating Rate Capital Ltd.</w:t>
      </w:r>
    </w:p>
    <w:p>
      <w:pPr>
        <w:spacing w:after="0" w:line="26" w:lineRule="exact"/>
        <w:rPr>
          <w:sz w:val="24"/>
          <w:szCs w:val="24"/>
          <w:color w:val="auto"/>
        </w:rPr>
      </w:pPr>
    </w:p>
    <w:p>
      <w:pPr>
        <w:jc w:val="center"/>
        <w:ind w:right="-39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0860"/>
          </w:cols>
          <w:pgMar w:left="320" w:top="684" w:right="71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40"/>
        <w:spacing w:after="0"/>
        <w:rPr>
          <w:sz w:val="20"/>
          <w:szCs w:val="20"/>
          <w:color w:val="auto"/>
        </w:rPr>
      </w:pPr>
      <w:r>
        <w:rPr>
          <w:rFonts w:ascii="Arial" w:cs="Arial" w:eastAsia="Arial" w:hAnsi="Arial"/>
          <w:sz w:val="14"/>
          <w:szCs w:val="14"/>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2500"/>
        <w:spacing w:after="0"/>
        <w:rPr>
          <w:sz w:val="20"/>
          <w:szCs w:val="20"/>
          <w:color w:val="auto"/>
        </w:rPr>
      </w:pPr>
      <w:r>
        <w:rPr>
          <w:rFonts w:ascii="Arial" w:cs="Arial" w:eastAsia="Arial" w:hAnsi="Arial"/>
          <w:sz w:val="12"/>
          <w:szCs w:val="12"/>
          <w:b w:val="1"/>
          <w:bCs w:val="1"/>
          <w:color w:val="auto"/>
        </w:rPr>
        <w:t>814-00891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27-3794690</w:t>
      </w:r>
    </w:p>
    <w:p>
      <w:pPr>
        <w:spacing w:after="0" w:line="57" w:lineRule="exact"/>
        <w:rPr>
          <w:sz w:val="24"/>
          <w:szCs w:val="24"/>
          <w:color w:val="auto"/>
        </w:rPr>
      </w:pPr>
    </w:p>
    <w:p>
      <w:pPr>
        <w:sectPr>
          <w:pgSz w:w="11900" w:h="16838" w:orient="portrait"/>
          <w:cols w:equalWidth="0" w:num="3">
            <w:col w:w="4540" w:space="720"/>
            <w:col w:w="3120" w:space="720"/>
            <w:col w:w="1760"/>
          </w:cols>
          <w:pgMar w:left="320" w:top="684" w:right="719" w:bottom="1440" w:gutter="0" w:footer="0" w:header="0"/>
          <w:type w:val="continuous"/>
        </w:sectPr>
      </w:pPr>
    </w:p>
    <w:p>
      <w:pPr>
        <w:ind w:left="1000"/>
        <w:spacing w:after="0"/>
        <w:rPr>
          <w:sz w:val="20"/>
          <w:szCs w:val="20"/>
          <w:color w:val="auto"/>
        </w:rPr>
      </w:pPr>
      <w:r>
        <w:rPr>
          <w:rFonts w:ascii="Arial" w:cs="Arial" w:eastAsia="Arial" w:hAnsi="Arial"/>
          <w:sz w:val="13"/>
          <w:szCs w:val="13"/>
          <w:color w:val="auto"/>
        </w:rPr>
        <w:t>(State or other jurisdiction</w:t>
      </w:r>
    </w:p>
    <w:p>
      <w:pPr>
        <w:sectPr>
          <w:pgSz w:w="11900" w:h="16838" w:orient="portrait"/>
          <w:cols w:equalWidth="0" w:num="1">
            <w:col w:w="10860"/>
          </w:cols>
          <w:pgMar w:left="320" w:top="684" w:right="719" w:bottom="1440" w:gutter="0" w:footer="0" w:header="0"/>
          <w:type w:val="continuous"/>
        </w:sectPr>
      </w:pPr>
    </w:p>
    <w:p>
      <w:pPr>
        <w:spacing w:after="0" w:line="32" w:lineRule="exact"/>
        <w:rPr>
          <w:sz w:val="24"/>
          <w:szCs w:val="24"/>
          <w:color w:val="auto"/>
        </w:rPr>
      </w:pPr>
    </w:p>
    <w:p>
      <w:pPr>
        <w:ind w:left="1280"/>
        <w:spacing w:after="0"/>
        <w:rPr>
          <w:sz w:val="20"/>
          <w:szCs w:val="20"/>
          <w:color w:val="auto"/>
        </w:rPr>
      </w:pPr>
      <w:r>
        <w:rPr>
          <w:rFonts w:ascii="Arial" w:cs="Arial" w:eastAsia="Arial" w:hAnsi="Arial"/>
          <w:sz w:val="13"/>
          <w:szCs w:val="13"/>
          <w:color w:val="auto"/>
        </w:rPr>
        <w:t>of incorporation)</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060" w:space="720"/>
            <w:col w:w="2960" w:space="720"/>
            <w:col w:w="2400"/>
          </w:cols>
          <w:pgMar w:left="320" w:top="684" w:right="719" w:bottom="1440" w:gutter="0" w:footer="0" w:header="0"/>
          <w:type w:val="continuous"/>
        </w:sectPr>
      </w:pPr>
    </w:p>
    <w:p>
      <w:pPr>
        <w:spacing w:after="0" w:line="200" w:lineRule="exact"/>
        <w:rPr>
          <w:sz w:val="24"/>
          <w:szCs w:val="24"/>
          <w:color w:val="auto"/>
        </w:rPr>
      </w:pPr>
    </w:p>
    <w:p>
      <w:pPr>
        <w:spacing w:after="0" w:line="251" w:lineRule="exact"/>
        <w:rPr>
          <w:sz w:val="24"/>
          <w:szCs w:val="24"/>
          <w:color w:val="auto"/>
        </w:rPr>
      </w:pPr>
    </w:p>
    <w:p>
      <w:pPr>
        <w:ind w:left="2180"/>
        <w:spacing w:after="0"/>
        <w:rPr>
          <w:sz w:val="20"/>
          <w:szCs w:val="20"/>
          <w:color w:val="auto"/>
        </w:rPr>
      </w:pPr>
      <w:r>
        <w:rPr>
          <w:rFonts w:ascii="Arial" w:cs="Arial" w:eastAsia="Arial" w:hAnsi="Arial"/>
          <w:sz w:val="13"/>
          <w:szCs w:val="13"/>
          <w:b w:val="1"/>
          <w:bCs w:val="1"/>
          <w:color w:val="auto"/>
        </w:rPr>
        <w:t>590 Madison Avenue, 15th Floor, 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jc w:val="center"/>
        <w:ind w:right="2780"/>
        <w:spacing w:after="0"/>
        <w:rPr>
          <w:sz w:val="20"/>
          <w:szCs w:val="20"/>
          <w:color w:val="auto"/>
        </w:rPr>
      </w:pPr>
      <w:r>
        <w:rPr>
          <w:rFonts w:ascii="Arial" w:cs="Arial" w:eastAsia="Arial" w:hAnsi="Arial"/>
          <w:sz w:val="13"/>
          <w:szCs w:val="13"/>
          <w:b w:val="1"/>
          <w:bCs w:val="1"/>
          <w:color w:val="auto"/>
        </w:rPr>
        <w:t>10,022</w:t>
      </w:r>
    </w:p>
    <w:p>
      <w:pPr>
        <w:spacing w:after="0" w:line="125" w:lineRule="exact"/>
        <w:rPr>
          <w:sz w:val="24"/>
          <w:szCs w:val="24"/>
          <w:color w:val="auto"/>
        </w:rPr>
      </w:pPr>
    </w:p>
    <w:p>
      <w:pPr>
        <w:sectPr>
          <w:pgSz w:w="11900" w:h="16838" w:orient="portrait"/>
          <w:cols w:equalWidth="0" w:num="2">
            <w:col w:w="6960" w:space="720"/>
            <w:col w:w="3180"/>
          </w:cols>
          <w:pgMar w:left="320" w:top="684" w:right="719" w:bottom="1440" w:gutter="0" w:footer="0" w:header="0"/>
          <w:type w:val="continuous"/>
        </w:sectPr>
      </w:pPr>
    </w:p>
    <w:p>
      <w:pPr>
        <w:ind w:left="366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160"/>
        <w:spacing w:after="0"/>
        <w:rPr>
          <w:sz w:val="20"/>
          <w:szCs w:val="20"/>
          <w:color w:val="auto"/>
        </w:rPr>
      </w:pPr>
      <w:r>
        <w:rPr>
          <w:rFonts w:ascii="Arial" w:cs="Arial" w:eastAsia="Arial" w:hAnsi="Arial"/>
          <w:sz w:val="13"/>
          <w:szCs w:val="13"/>
          <w:color w:val="auto"/>
        </w:rPr>
        <w:t>(Zip Code)</w:t>
      </w:r>
    </w:p>
    <w:p>
      <w:pPr>
        <w:spacing w:after="0" w:line="33" w:lineRule="exact"/>
        <w:rPr>
          <w:sz w:val="24"/>
          <w:szCs w:val="24"/>
          <w:color w:val="auto"/>
        </w:rPr>
      </w:pPr>
    </w:p>
    <w:p>
      <w:pPr>
        <w:sectPr>
          <w:pgSz w:w="11900" w:h="16838" w:orient="portrait"/>
          <w:cols w:equalWidth="0" w:num="2">
            <w:col w:w="7340" w:space="720"/>
            <w:col w:w="2800"/>
          </w:cols>
          <w:pgMar w:left="320" w:top="684" w:right="719" w:bottom="1440" w:gutter="0" w:footer="0" w:header="0"/>
          <w:type w:val="continuous"/>
        </w:sectPr>
      </w:pPr>
    </w:p>
    <w:p>
      <w:pPr>
        <w:ind w:left="3680"/>
        <w:spacing w:after="0"/>
        <w:rPr>
          <w:sz w:val="20"/>
          <w:szCs w:val="20"/>
          <w:color w:val="auto"/>
        </w:rPr>
      </w:pPr>
      <w:r>
        <w:rPr>
          <w:rFonts w:ascii="Arial" w:cs="Arial" w:eastAsia="Arial" w:hAnsi="Arial"/>
          <w:sz w:val="12"/>
          <w:szCs w:val="12"/>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212-905-1000</w:t>
      </w:r>
    </w:p>
    <w:p>
      <w:pPr>
        <w:spacing w:after="0" w:line="200" w:lineRule="exact"/>
        <w:rPr>
          <w:sz w:val="24"/>
          <w:szCs w:val="24"/>
          <w:color w:val="auto"/>
        </w:rPr>
      </w:pPr>
    </w:p>
    <w:p>
      <w:pPr>
        <w:sectPr>
          <w:pgSz w:w="11900" w:h="16838" w:orient="portrait"/>
          <w:cols w:equalWidth="0" w:num="2">
            <w:col w:w="6660" w:space="100"/>
            <w:col w:w="4100"/>
          </w:cols>
          <w:pgMar w:left="320" w:top="684" w:right="719" w:bottom="1440" w:gutter="0" w:footer="0" w:header="0"/>
          <w:type w:val="continuous"/>
        </w:sectPr>
      </w:pPr>
    </w:p>
    <w:p>
      <w:pPr>
        <w:spacing w:after="0" w:line="1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Not Applicable</w:t>
      </w:r>
    </w:p>
    <w:p>
      <w:pPr>
        <w:spacing w:after="0" w:line="17" w:lineRule="exact"/>
        <w:rPr>
          <w:sz w:val="24"/>
          <w:szCs w:val="24"/>
          <w:color w:val="auto"/>
        </w:rPr>
      </w:pPr>
    </w:p>
    <w:p>
      <w:pPr>
        <w:jc w:val="center"/>
        <w:ind w:right="-39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367" w:lineRule="exact"/>
        <w:rPr>
          <w:sz w:val="24"/>
          <w:szCs w:val="24"/>
          <w:color w:val="auto"/>
        </w:rPr>
      </w:pPr>
    </w:p>
    <w:p>
      <w:pPr>
        <w:ind w:left="40"/>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1620"/>
        <w:spacing w:after="0"/>
        <w:tabs>
          <w:tab w:leader="none" w:pos="1780" w:val="left"/>
          <w:tab w:leader="none" w:pos="2040" w:val="left"/>
        </w:tabs>
        <w:rPr>
          <w:sz w:val="20"/>
          <w:szCs w:val="20"/>
          <w:color w:val="auto"/>
        </w:rPr>
      </w:pPr>
      <w:r>
        <w:rPr>
          <w:rFonts w:ascii="Arial" w:cs="Arial" w:eastAsia="Arial" w:hAnsi="Arial"/>
          <w:sz w:val="14"/>
          <w:szCs w:val="14"/>
          <w:color w:val="auto"/>
        </w:rPr>
        <w:t>[</w:t>
        <w:tab/>
        <w:t>]</w:t>
      </w:r>
      <w:r>
        <w:rPr>
          <w:sz w:val="20"/>
          <w:szCs w:val="20"/>
          <w:color w:val="auto"/>
        </w:rPr>
        <w:tab/>
      </w:r>
      <w:r>
        <w:rPr>
          <w:rFonts w:ascii="Arial" w:cs="Arial" w:eastAsia="Arial" w:hAnsi="Arial"/>
          <w:sz w:val="13"/>
          <w:szCs w:val="13"/>
          <w:color w:val="auto"/>
        </w:rPr>
        <w:t>Written communications pursuant to Rule 425 under the Securities Act (17 CFR 230.425)</w:t>
      </w:r>
    </w:p>
    <w:p>
      <w:pPr>
        <w:spacing w:after="0" w:line="109" w:lineRule="exact"/>
        <w:rPr>
          <w:sz w:val="24"/>
          <w:szCs w:val="24"/>
          <w:color w:val="auto"/>
        </w:rPr>
      </w:pPr>
    </w:p>
    <w:p>
      <w:pPr>
        <w:ind w:left="1620"/>
        <w:spacing w:after="0"/>
        <w:tabs>
          <w:tab w:leader="none" w:pos="1780" w:val="left"/>
          <w:tab w:leader="none" w:pos="2040" w:val="left"/>
        </w:tabs>
        <w:rPr>
          <w:sz w:val="20"/>
          <w:szCs w:val="20"/>
          <w:color w:val="auto"/>
        </w:rPr>
      </w:pPr>
      <w:r>
        <w:rPr>
          <w:rFonts w:ascii="Arial" w:cs="Arial" w:eastAsia="Arial" w:hAnsi="Arial"/>
          <w:sz w:val="14"/>
          <w:szCs w:val="14"/>
          <w:color w:val="auto"/>
        </w:rPr>
        <w:t>[</w:t>
        <w:tab/>
        <w:t>]</w:t>
      </w:r>
      <w:r>
        <w:rPr>
          <w:sz w:val="20"/>
          <w:szCs w:val="20"/>
          <w:color w:val="auto"/>
        </w:rPr>
        <w:tab/>
      </w:r>
      <w:r>
        <w:rPr>
          <w:rFonts w:ascii="Arial" w:cs="Arial" w:eastAsia="Arial" w:hAnsi="Arial"/>
          <w:sz w:val="13"/>
          <w:szCs w:val="13"/>
          <w:color w:val="auto"/>
        </w:rPr>
        <w:t>Soliciting material pursuant to Rule 14a-12 under the Exchange Act (17 CFR 240.14a-12)</w:t>
      </w:r>
    </w:p>
    <w:p>
      <w:pPr>
        <w:spacing w:after="0" w:line="109" w:lineRule="exact"/>
        <w:rPr>
          <w:sz w:val="24"/>
          <w:szCs w:val="24"/>
          <w:color w:val="auto"/>
        </w:rPr>
      </w:pPr>
    </w:p>
    <w:p>
      <w:pPr>
        <w:ind w:left="1620"/>
        <w:spacing w:after="0"/>
        <w:tabs>
          <w:tab w:leader="none" w:pos="1780" w:val="left"/>
          <w:tab w:leader="none" w:pos="2040" w:val="left"/>
        </w:tabs>
        <w:rPr>
          <w:sz w:val="20"/>
          <w:szCs w:val="20"/>
          <w:color w:val="auto"/>
        </w:rPr>
      </w:pPr>
      <w:r>
        <w:rPr>
          <w:rFonts w:ascii="Arial" w:cs="Arial" w:eastAsia="Arial" w:hAnsi="Arial"/>
          <w:sz w:val="14"/>
          <w:szCs w:val="14"/>
          <w:color w:val="auto"/>
        </w:rPr>
        <w:t>[</w:t>
        <w:tab/>
        <w:t>]</w:t>
      </w:r>
      <w:r>
        <w:rPr>
          <w:sz w:val="20"/>
          <w:szCs w:val="20"/>
          <w:color w:val="auto"/>
        </w:rPr>
        <w:tab/>
      </w:r>
      <w:r>
        <w:rPr>
          <w:rFonts w:ascii="Arial" w:cs="Arial" w:eastAsia="Arial" w:hAnsi="Arial"/>
          <w:sz w:val="13"/>
          <w:szCs w:val="13"/>
          <w:color w:val="auto"/>
        </w:rPr>
        <w:t>Pre-commencement communications pursuant to Rule 14d-2(b) under the Exchange Act (17 CFR 240.14d-2(b))</w:t>
      </w:r>
    </w:p>
    <w:p>
      <w:pPr>
        <w:spacing w:after="0" w:line="109" w:lineRule="exact"/>
        <w:rPr>
          <w:sz w:val="24"/>
          <w:szCs w:val="24"/>
          <w:color w:val="auto"/>
        </w:rPr>
      </w:pPr>
    </w:p>
    <w:p>
      <w:pPr>
        <w:ind w:left="1620"/>
        <w:spacing w:after="0"/>
        <w:tabs>
          <w:tab w:leader="none" w:pos="1780" w:val="left"/>
          <w:tab w:leader="none" w:pos="2040" w:val="left"/>
        </w:tabs>
        <w:rPr>
          <w:sz w:val="20"/>
          <w:szCs w:val="20"/>
          <w:color w:val="auto"/>
        </w:rPr>
      </w:pPr>
      <w:r>
        <w:rPr>
          <w:rFonts w:ascii="Arial" w:cs="Arial" w:eastAsia="Arial" w:hAnsi="Arial"/>
          <w:sz w:val="14"/>
          <w:szCs w:val="14"/>
          <w:color w:val="auto"/>
        </w:rPr>
        <w:t>[</w:t>
        <w:tab/>
        <w:t>]</w:t>
      </w:r>
      <w:r>
        <w:rPr>
          <w:sz w:val="20"/>
          <w:szCs w:val="20"/>
          <w:color w:val="auto"/>
        </w:rPr>
        <w:tab/>
      </w:r>
      <w:r>
        <w:rPr>
          <w:rFonts w:ascii="Arial" w:cs="Arial" w:eastAsia="Arial" w:hAnsi="Arial"/>
          <w:sz w:val="12"/>
          <w:szCs w:val="12"/>
          <w:color w:val="auto"/>
        </w:rPr>
        <w:t>Pre-commencement communications pursuant to Rule 13e-4(c) under the Exchange Act (17 CFR 240.13e-4(c))</w:t>
      </w:r>
    </w:p>
    <w:p>
      <w:pPr>
        <w:sectPr>
          <w:pgSz w:w="11900" w:h="16838" w:orient="portrait"/>
          <w:cols w:equalWidth="0" w:num="1">
            <w:col w:w="10860"/>
          </w:cols>
          <w:pgMar w:left="320" w:top="684" w:right="7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On July 8, 2011, PennantPark Floating Rate Capital Ltd. issued a press release announcing an increase to its monthly distributions. A copy of the press release is furnished as Exhibit 99.1 to this Form 8-K.</w:t>
      </w:r>
    </w:p>
    <w:p>
      <w:pPr>
        <w:sectPr>
          <w:pgSz w:w="11900" w:h="16838" w:orient="portrait"/>
          <w:cols w:equalWidth="0" w:num="1">
            <w:col w:w="10860"/>
          </w:cols>
          <w:pgMar w:left="320" w:top="684" w:right="719" w:bottom="1440" w:gutter="0" w:footer="0" w:header="0"/>
          <w:type w:val="continuous"/>
        </w:sectPr>
      </w:pPr>
    </w:p>
    <w:bookmarkStart w:id="1" w:name="page2"/>
    <w:bookmarkEnd w:id="1"/>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filling under the Securities Exchange Act of 1933, as amended, or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240" w:right="9020" w:hanging="232"/>
        <w:spacing w:after="0" w:line="282" w:lineRule="auto"/>
        <w:tabs>
          <w:tab w:leader="none" w:pos="27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40" w:right="8120" w:hanging="232"/>
        <w:spacing w:after="0" w:line="282" w:lineRule="auto"/>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40" w:right="8500" w:hanging="232"/>
        <w:spacing w:after="0" w:line="282" w:lineRule="auto"/>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99.1  Press Release of PennantPark Floating Rate Capital Ltd. dated July 8,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right="180" w:firstLine="144"/>
        <w:spacing w:after="0" w:line="273"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report to be signed on its behalf by the undersigned hereunto duly authorized.</w:t>
      </w:r>
    </w:p>
    <w:p>
      <w:pPr>
        <w:spacing w:after="0" w:line="124" w:lineRule="exact"/>
        <w:rPr>
          <w:sz w:val="20"/>
          <w:szCs w:val="20"/>
          <w:color w:val="auto"/>
        </w:rPr>
      </w:pPr>
    </w:p>
    <w:p>
      <w:pPr>
        <w:ind w:left="7460"/>
        <w:spacing w:after="0"/>
        <w:rPr>
          <w:sz w:val="20"/>
          <w:szCs w:val="20"/>
          <w:color w:val="auto"/>
        </w:rPr>
      </w:pPr>
      <w:r>
        <w:rPr>
          <w:rFonts w:ascii="Arial" w:cs="Arial" w:eastAsia="Arial" w:hAnsi="Arial"/>
          <w:sz w:val="14"/>
          <w:szCs w:val="14"/>
          <w:color w:val="auto"/>
        </w:rPr>
        <w:t>PennantPark Floating Rate Capital Ltd</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2340" w:type="dxa"/>
        <w:tblCellMar>
          <w:top w:w="0" w:type="dxa"/>
          <w:left w:w="0" w:type="dxa"/>
          <w:bottom w:w="0" w:type="dxa"/>
          <w:right w:w="0" w:type="dxa"/>
        </w:tblCellMar>
      </w:tblPr>
      <w:tr>
        <w:trPr>
          <w:trHeight w:val="182"/>
        </w:trPr>
        <w:tc>
          <w:tcPr>
            <w:tcW w:w="3000" w:type="dxa"/>
            <w:vAlign w:val="bottom"/>
          </w:tcPr>
          <w:p>
            <w:pPr>
              <w:spacing w:after="0"/>
              <w:rPr>
                <w:sz w:val="15"/>
                <w:szCs w:val="15"/>
                <w:color w:val="auto"/>
              </w:rPr>
            </w:pPr>
          </w:p>
        </w:tc>
        <w:tc>
          <w:tcPr>
            <w:tcW w:w="4340" w:type="dxa"/>
            <w:vAlign w:val="bottom"/>
          </w:tcPr>
          <w:p>
            <w:pPr>
              <w:jc w:val="center"/>
              <w:ind w:left="2108"/>
              <w:spacing w:after="0"/>
              <w:rPr>
                <w:sz w:val="20"/>
                <w:szCs w:val="20"/>
                <w:color w:val="auto"/>
              </w:rPr>
            </w:pPr>
            <w:r>
              <w:rPr>
                <w:rFonts w:ascii="Arial" w:cs="Arial" w:eastAsia="Arial" w:hAnsi="Arial"/>
                <w:sz w:val="14"/>
                <w:szCs w:val="14"/>
                <w:color w:val="auto"/>
                <w:w w:val="92"/>
              </w:rPr>
              <w:t>(Registrant)</w:t>
            </w:r>
          </w:p>
        </w:tc>
        <w:tc>
          <w:tcPr>
            <w:tcW w:w="0" w:type="dxa"/>
            <w:vAlign w:val="bottom"/>
          </w:tcPr>
          <w:p>
            <w:pPr>
              <w:spacing w:after="0"/>
              <w:rPr>
                <w:sz w:val="1"/>
                <w:szCs w:val="1"/>
                <w:color w:val="auto"/>
              </w:rPr>
            </w:pPr>
          </w:p>
        </w:tc>
      </w:tr>
      <w:tr>
        <w:trPr>
          <w:trHeight w:val="419"/>
        </w:trPr>
        <w:tc>
          <w:tcPr>
            <w:tcW w:w="3000" w:type="dxa"/>
            <w:vAlign w:val="bottom"/>
            <w:vMerge w:val="restart"/>
          </w:tcPr>
          <w:p>
            <w:pPr>
              <w:jc w:val="center"/>
              <w:ind w:right="2208"/>
              <w:spacing w:after="0"/>
              <w:rPr>
                <w:sz w:val="20"/>
                <w:szCs w:val="20"/>
                <w:color w:val="auto"/>
              </w:rPr>
            </w:pPr>
            <w:r>
              <w:rPr>
                <w:rFonts w:ascii="Arial" w:cs="Arial" w:eastAsia="Arial" w:hAnsi="Arial"/>
                <w:sz w:val="14"/>
                <w:szCs w:val="14"/>
                <w:b w:val="1"/>
                <w:bCs w:val="1"/>
                <w:color w:val="auto"/>
                <w:w w:val="91"/>
              </w:rPr>
              <w:t>July 8, 2011</w:t>
            </w:r>
          </w:p>
        </w:tc>
        <w:tc>
          <w:tcPr>
            <w:tcW w:w="4340" w:type="dxa"/>
            <w:vAlign w:val="bottom"/>
          </w:tcPr>
          <w:p>
            <w:pPr>
              <w:jc w:val="center"/>
              <w:ind w:left="2108"/>
              <w:spacing w:after="0"/>
              <w:rPr>
                <w:sz w:val="20"/>
                <w:szCs w:val="20"/>
                <w:color w:val="auto"/>
              </w:rPr>
            </w:pPr>
            <w:r>
              <w:rPr>
                <w:rFonts w:ascii="Arial" w:cs="Arial" w:eastAsia="Arial" w:hAnsi="Arial"/>
                <w:sz w:val="14"/>
                <w:szCs w:val="14"/>
                <w:b w:val="1"/>
                <w:bCs w:val="1"/>
                <w:color w:val="auto"/>
              </w:rPr>
              <w:t>/s/  AVIV EFRAT</w:t>
            </w:r>
          </w:p>
        </w:tc>
        <w:tc>
          <w:tcPr>
            <w:tcW w:w="0" w:type="dxa"/>
            <w:vAlign w:val="bottom"/>
          </w:tcPr>
          <w:p>
            <w:pPr>
              <w:spacing w:after="0"/>
              <w:rPr>
                <w:sz w:val="1"/>
                <w:szCs w:val="1"/>
                <w:color w:val="auto"/>
              </w:rPr>
            </w:pPr>
          </w:p>
        </w:tc>
      </w:tr>
      <w:tr>
        <w:trPr>
          <w:trHeight w:val="148"/>
        </w:trPr>
        <w:tc>
          <w:tcPr>
            <w:tcW w:w="3000" w:type="dxa"/>
            <w:vAlign w:val="bottom"/>
            <w:vMerge w:val="continue"/>
          </w:tcPr>
          <w:p>
            <w:pPr>
              <w:spacing w:after="0"/>
              <w:rPr>
                <w:sz w:val="12"/>
                <w:szCs w:val="12"/>
                <w:color w:val="auto"/>
              </w:rPr>
            </w:pPr>
          </w:p>
        </w:tc>
        <w:tc>
          <w:tcPr>
            <w:tcW w:w="4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0"/>
        </w:trPr>
        <w:tc>
          <w:tcPr>
            <w:tcW w:w="3000" w:type="dxa"/>
            <w:vAlign w:val="bottom"/>
          </w:tcPr>
          <w:p>
            <w:pPr>
              <w:spacing w:after="0"/>
              <w:rPr>
                <w:sz w:val="24"/>
                <w:szCs w:val="24"/>
                <w:color w:val="auto"/>
              </w:rPr>
            </w:pPr>
          </w:p>
        </w:tc>
        <w:tc>
          <w:tcPr>
            <w:tcW w:w="4340" w:type="dxa"/>
            <w:vAlign w:val="bottom"/>
          </w:tcPr>
          <w:p>
            <w:pPr>
              <w:jc w:val="center"/>
              <w:ind w:left="2108"/>
              <w:spacing w:after="0"/>
              <w:rPr>
                <w:sz w:val="20"/>
                <w:szCs w:val="20"/>
                <w:color w:val="auto"/>
              </w:rPr>
            </w:pPr>
            <w:r>
              <w:rPr>
                <w:rFonts w:ascii="Arial" w:cs="Arial" w:eastAsia="Arial" w:hAnsi="Arial"/>
                <w:sz w:val="14"/>
                <w:szCs w:val="14"/>
                <w:color w:val="auto"/>
              </w:rPr>
              <w:t>Aviv Efrat</w:t>
            </w:r>
          </w:p>
        </w:tc>
        <w:tc>
          <w:tcPr>
            <w:tcW w:w="0" w:type="dxa"/>
            <w:vAlign w:val="bottom"/>
          </w:tcPr>
          <w:p>
            <w:pPr>
              <w:spacing w:after="0"/>
              <w:rPr>
                <w:sz w:val="1"/>
                <w:szCs w:val="1"/>
                <w:color w:val="auto"/>
              </w:rPr>
            </w:pPr>
          </w:p>
        </w:tc>
      </w:tr>
      <w:tr>
        <w:trPr>
          <w:trHeight w:val="182"/>
        </w:trPr>
        <w:tc>
          <w:tcPr>
            <w:tcW w:w="3000" w:type="dxa"/>
            <w:vAlign w:val="bottom"/>
          </w:tcPr>
          <w:p>
            <w:pPr>
              <w:jc w:val="center"/>
              <w:ind w:right="2188"/>
              <w:spacing w:after="0"/>
              <w:rPr>
                <w:sz w:val="20"/>
                <w:szCs w:val="20"/>
                <w:color w:val="auto"/>
              </w:rPr>
            </w:pPr>
            <w:r>
              <w:rPr>
                <w:rFonts w:ascii="Arial" w:cs="Arial" w:eastAsia="Arial" w:hAnsi="Arial"/>
                <w:sz w:val="14"/>
                <w:szCs w:val="14"/>
                <w:color w:val="auto"/>
                <w:w w:val="97"/>
              </w:rPr>
              <w:t>(Date)</w:t>
            </w:r>
          </w:p>
        </w:tc>
        <w:tc>
          <w:tcPr>
            <w:tcW w:w="4340" w:type="dxa"/>
            <w:vAlign w:val="bottom"/>
          </w:tcPr>
          <w:p>
            <w:pPr>
              <w:ind w:left="2260"/>
              <w:spacing w:after="0"/>
              <w:rPr>
                <w:sz w:val="20"/>
                <w:szCs w:val="20"/>
                <w:color w:val="auto"/>
              </w:rPr>
            </w:pPr>
            <w:r>
              <w:rPr>
                <w:rFonts w:ascii="Arial" w:cs="Arial" w:eastAsia="Arial" w:hAnsi="Arial"/>
                <w:sz w:val="14"/>
                <w:szCs w:val="14"/>
                <w:i w:val="1"/>
                <w:iCs w:val="1"/>
                <w:color w:val="auto"/>
                <w:w w:val="95"/>
              </w:rPr>
              <w:t>Chief Financial Officer &amp; Treasurer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840" w:type="dxa"/>
            <w:vAlign w:val="bottom"/>
          </w:tcPr>
          <w:p>
            <w:pPr>
              <w:spacing w:after="0"/>
              <w:rPr>
                <w:sz w:val="14"/>
                <w:szCs w:val="14"/>
                <w:color w:val="auto"/>
              </w:rPr>
            </w:pPr>
          </w:p>
        </w:tc>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r>
      <w:tr>
        <w:trPr>
          <w:trHeight w:val="211"/>
        </w:trPr>
        <w:tc>
          <w:tcPr>
            <w:tcW w:w="1540" w:type="dxa"/>
            <w:vAlign w:val="bottom"/>
            <w:gridSpan w:val="2"/>
          </w:tcPr>
          <w:p>
            <w:pPr>
              <w:jc w:val="right"/>
              <w:ind w:right="820"/>
              <w:spacing w:after="0"/>
              <w:rPr>
                <w:sz w:val="20"/>
                <w:szCs w:val="20"/>
                <w:color w:val="auto"/>
              </w:rPr>
            </w:pPr>
            <w:r>
              <w:rPr>
                <w:rFonts w:ascii="Arial" w:cs="Arial" w:eastAsia="Arial" w:hAnsi="Arial"/>
                <w:sz w:val="14"/>
                <w:szCs w:val="14"/>
                <w:color w:val="auto"/>
              </w:rPr>
              <w:t>99.1</w:t>
            </w:r>
          </w:p>
        </w:tc>
        <w:tc>
          <w:tcPr>
            <w:tcW w:w="4320" w:type="dxa"/>
            <w:vAlign w:val="bottom"/>
            <w:gridSpan w:val="2"/>
          </w:tcPr>
          <w:p>
            <w:pPr>
              <w:spacing w:after="0"/>
              <w:rPr>
                <w:sz w:val="20"/>
                <w:szCs w:val="20"/>
                <w:color w:val="auto"/>
              </w:rPr>
            </w:pPr>
            <w:r>
              <w:rPr>
                <w:rFonts w:ascii="Arial" w:cs="Arial" w:eastAsia="Arial" w:hAnsi="Arial"/>
                <w:sz w:val="14"/>
                <w:szCs w:val="14"/>
                <w:color w:val="auto"/>
                <w:w w:val="91"/>
              </w:rPr>
              <w:t>Press Release of PennantPark Floating Rate Capital Ltd. dated July 8, 2011</w:t>
            </w:r>
          </w:p>
        </w:tc>
      </w:tr>
    </w:tbl>
    <w:p>
      <w:pPr>
        <w:sectPr>
          <w:pgSz w:w="11900" w:h="16838" w:orient="portrait"/>
          <w:cols w:equalWidth="0" w:num="1">
            <w:col w:w="10920"/>
          </w:cols>
          <w:pgMar w:left="320" w:top="800" w:right="659" w:bottom="1440" w:gutter="0" w:footer="0" w:header="0"/>
        </w:sectPr>
      </w:pPr>
    </w:p>
    <w:bookmarkStart w:id="2" w:name="page3"/>
    <w:bookmarkEnd w:id="2"/>
    <w:p>
      <w:pPr>
        <w:ind w:left="10160"/>
        <w:spacing w:after="0"/>
        <w:rPr>
          <w:sz w:val="20"/>
          <w:szCs w:val="20"/>
          <w:color w:val="auto"/>
        </w:rPr>
      </w:pPr>
      <w:r>
        <w:rPr>
          <w:rFonts w:ascii="Arial" w:cs="Arial" w:eastAsia="Arial" w:hAnsi="Arial"/>
          <w:sz w:val="17"/>
          <w:szCs w:val="17"/>
          <w:color w:val="auto"/>
        </w:rPr>
        <w:t>EXHIBIT 99.1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PennantPark Floating Rate Capital Ltd. Announces an Increase to its Monthly Distribution</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YORK, July 8, 2011 (MARKETWIRE) -- PennantPark Floating Rate Capital Ltd. (the "Company") (Nasdaq: PFLT) declares an increase to its monthly distribution for July 2011 to $0.06 per share, payable on August 1, 2011 to stockholders of record as of July 22, 2011. Distributions are paid from taxable earnings and may include a return of capital and/or capital gains. The specific tax characteristics of the distributions will be reported to stockholders on Form 1099 after the end of the calendar year and in its periodic report filed with the SEC.</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ABOUT PENNANTPARK FLOATING RATE CAPITAL LTD.</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press release may contain "forward-looking statements."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CONTACT: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PennantPark Floating Rate Capital Ltd.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Aviv Efrat</w:t>
      </w:r>
    </w:p>
    <w:p>
      <w:pPr>
        <w:spacing w:after="0" w:line="1" w:lineRule="exact"/>
        <w:rPr>
          <w:sz w:val="20"/>
          <w:szCs w:val="20"/>
          <w:color w:val="auto"/>
        </w:rPr>
      </w:pPr>
    </w:p>
    <w:p>
      <w:pPr>
        <w:ind w:right="9900" w:firstLine="8"/>
        <w:spacing w:after="0" w:line="293" w:lineRule="auto"/>
        <w:tabs>
          <w:tab w:leader="none" w:pos="348" w:val="left"/>
        </w:tabs>
        <w:numPr>
          <w:ilvl w:val="0"/>
          <w:numId w:val="2"/>
        </w:numPr>
        <w:rPr>
          <w:rFonts w:ascii="Arial" w:cs="Arial" w:eastAsia="Arial" w:hAnsi="Arial"/>
          <w:sz w:val="13"/>
          <w:szCs w:val="13"/>
          <w:color w:val="auto"/>
        </w:rPr>
      </w:pPr>
      <w:r>
        <w:rPr>
          <w:rFonts w:ascii="Arial" w:cs="Arial" w:eastAsia="Arial" w:hAnsi="Arial"/>
          <w:sz w:val="13"/>
          <w:szCs w:val="13"/>
          <w:color w:val="auto"/>
        </w:rPr>
        <w:t>905-1000 www.pennantpark.com</w:t>
      </w: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2020-05-05T12:10:40Z</dcterms:created>
  <dcterms:modified xsi:type="dcterms:W3CDTF">2020-05-05T12:10:40Z</dcterms:modified>
</cp:coreProperties>
</file>