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32"/>
          <w:szCs w:val="32"/>
          <w:b w:val="1"/>
          <w:bCs w:val="1"/>
          <w:color w:val="auto"/>
        </w:rPr>
        <w:t>FORM 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22"/>
          <w:szCs w:val="22"/>
          <w:b w:val="1"/>
          <w:bCs w:val="1"/>
          <w:color w:val="auto"/>
        </w:rPr>
        <w:t>NOTIFICATION OF REMOVAL FROM LISTING</w:t>
      </w:r>
    </w:p>
    <w:p>
      <w:pPr>
        <w:spacing w:after="0" w:line="8"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22"/>
          <w:szCs w:val="22"/>
          <w:b w:val="1"/>
          <w:bCs w:val="1"/>
          <w:color w:val="auto"/>
        </w:rPr>
        <w:t>AND/OR REGISTRATION UNDER SECTION 12(b)</w:t>
      </w:r>
    </w:p>
    <w:p>
      <w:pPr>
        <w:jc w:val="center"/>
        <w:ind w:right="-16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Commission File Number 001-35127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40"/>
          <w:szCs w:val="40"/>
          <w:b w:val="1"/>
          <w:bCs w:val="1"/>
          <w:color w:val="auto"/>
        </w:rPr>
        <w:t>PENNANTPARK FLOATING RATE CAPITAL LTD.</w:t>
      </w:r>
    </w:p>
    <w:p>
      <w:pPr>
        <w:spacing w:after="0" w:line="46"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43"/>
          <w:szCs w:val="43"/>
          <w:b w:val="1"/>
          <w:bCs w:val="1"/>
          <w:color w:val="auto"/>
        </w:rPr>
        <w:t>The Nasdaq Stock Market LLC</w:t>
      </w: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(Exact name of Issuer as specified in its charter, and name of Exchange where security is listed and/or registered)</w:t>
      </w:r>
    </w:p>
    <w:p>
      <w:pPr>
        <w:spacing w:after="0" w:line="201"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(212) 905-1000</w:t>
      </w:r>
    </w:p>
    <w:p>
      <w:pPr>
        <w:spacing w:after="0" w:line="2"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Issuer’s principal executive offices)</w:t>
      </w:r>
    </w:p>
    <w:p>
      <w:pPr>
        <w:spacing w:after="0" w:line="188"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Please place an X in the box to designate the rule provision relied upon to strike the class of securities from listing and registration:</w:t>
      </w:r>
    </w:p>
    <w:p>
      <w:pPr>
        <w:spacing w:after="0" w:line="252" w:lineRule="exact"/>
        <w:rPr>
          <w:sz w:val="24"/>
          <w:szCs w:val="24"/>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CFR240.12d2-2(a)(1)</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240.12d2-2(a)(2)</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240.12d2-2(a)(3)</w:t>
      </w:r>
    </w:p>
    <w:p>
      <w:pPr>
        <w:spacing w:after="0" w:line="117" w:lineRule="exact"/>
        <w:rPr>
          <w:rFonts w:ascii="MS PGothic" w:cs="MS PGothic" w:eastAsia="MS PGothic" w:hAnsi="MS PGothic"/>
          <w:sz w:val="18"/>
          <w:szCs w:val="18"/>
          <w:color w:val="auto"/>
        </w:rPr>
      </w:pPr>
    </w:p>
    <w:p>
      <w:pPr>
        <w:ind w:left="344" w:hanging="344"/>
        <w:spacing w:after="0"/>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17 CFR 240.12d2-2(a)(4)</w:t>
      </w:r>
    </w:p>
    <w:p>
      <w:pPr>
        <w:spacing w:after="0" w:line="117" w:lineRule="exact"/>
        <w:rPr>
          <w:rFonts w:ascii="MS PGothic" w:cs="MS PGothic" w:eastAsia="MS PGothic" w:hAnsi="MS PGothic"/>
          <w:sz w:val="18"/>
          <w:szCs w:val="18"/>
          <w:color w:val="auto"/>
        </w:rPr>
      </w:pPr>
    </w:p>
    <w:p>
      <w:pPr>
        <w:ind w:left="344" w:right="640" w:hanging="344"/>
        <w:spacing w:after="0" w:line="282" w:lineRule="auto"/>
        <w:tabs>
          <w:tab w:leader="none" w:pos="34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240.12d2-2(b), the Exchange has complied with its rules to strike the class of securities from listing and/or withdraw registration on the Exchange.</w:t>
      </w:r>
    </w:p>
    <w:p>
      <w:pPr>
        <w:spacing w:after="0" w:line="54" w:lineRule="exact"/>
        <w:rPr>
          <w:sz w:val="24"/>
          <w:szCs w:val="24"/>
          <w:color w:val="auto"/>
        </w:rPr>
      </w:pPr>
    </w:p>
    <w:p>
      <w:pPr>
        <w:ind w:left="344" w:right="560" w:hanging="344"/>
        <w:spacing w:after="0" w:line="282" w:lineRule="auto"/>
        <w:tabs>
          <w:tab w:leader="none" w:pos="34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62" w:lineRule="exact"/>
        <w:rPr>
          <w:sz w:val="24"/>
          <w:szCs w:val="24"/>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PennantPark Floating Rate Capital Ltd. certifies that it has reasonable grounds to believe that it meets all of the requirements for filing the Form 25 and has caused this notification to be signed on its behalf by the undersigned duly authorized person.</w:t>
      </w:r>
    </w:p>
    <w:p>
      <w:pPr>
        <w:spacing w:after="0" w:line="199" w:lineRule="exact"/>
        <w:rPr>
          <w:sz w:val="24"/>
          <w:szCs w:val="24"/>
          <w:color w:val="auto"/>
        </w:rPr>
      </w:pPr>
    </w:p>
    <w:p>
      <w:pPr>
        <w:ind w:left="5624"/>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229" w:lineRule="exact"/>
        <w:rPr>
          <w:sz w:val="24"/>
          <w:szCs w:val="24"/>
          <w:color w:val="auto"/>
        </w:rPr>
      </w:pPr>
    </w:p>
    <w:p>
      <w:pPr>
        <w:ind w:left="4"/>
        <w:spacing w:after="0"/>
        <w:tabs>
          <w:tab w:leader="none" w:pos="5604" w:val="left"/>
          <w:tab w:leader="none" w:pos="6044" w:val="left"/>
        </w:tabs>
        <w:rPr>
          <w:sz w:val="20"/>
          <w:szCs w:val="20"/>
          <w:color w:val="auto"/>
        </w:rPr>
      </w:pPr>
      <w:r>
        <w:rPr>
          <w:rFonts w:ascii="Times New Roman" w:cs="Times New Roman" w:eastAsia="Times New Roman" w:hAnsi="Times New Roman"/>
          <w:sz w:val="18"/>
          <w:szCs w:val="18"/>
          <w:color w:val="auto"/>
        </w:rPr>
        <w:t>Date: April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Richard Cheung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4"/>
          <w:szCs w:val="24"/>
          <w:color w:val="auto"/>
        </w:rPr>
      </w:pPr>
    </w:p>
    <w:p>
      <w:pPr>
        <w:ind w:left="6064"/>
        <w:spacing w:after="0"/>
        <w:rPr>
          <w:sz w:val="20"/>
          <w:szCs w:val="20"/>
          <w:color w:val="auto"/>
        </w:rPr>
      </w:pPr>
      <w:r>
        <w:rPr>
          <w:rFonts w:ascii="Times New Roman" w:cs="Times New Roman" w:eastAsia="Times New Roman" w:hAnsi="Times New Roman"/>
          <w:sz w:val="18"/>
          <w:szCs w:val="18"/>
          <w:color w:val="auto"/>
        </w:rPr>
        <w:t>Richard Cheung</w:t>
      </w:r>
    </w:p>
    <w:p>
      <w:pPr>
        <w:spacing w:after="0" w:line="27" w:lineRule="exact"/>
        <w:rPr>
          <w:sz w:val="24"/>
          <w:szCs w:val="24"/>
          <w:color w:val="auto"/>
        </w:rPr>
      </w:pPr>
    </w:p>
    <w:p>
      <w:pPr>
        <w:ind w:left="6064"/>
        <w:spacing w:after="0"/>
        <w:rPr>
          <w:sz w:val="20"/>
          <w:szCs w:val="20"/>
          <w:color w:val="auto"/>
        </w:rPr>
      </w:pPr>
      <w:r>
        <w:rPr>
          <w:rFonts w:ascii="Times New Roman" w:cs="Times New Roman" w:eastAsia="Times New Roman" w:hAnsi="Times New Roman"/>
          <w:sz w:val="18"/>
          <w:szCs w:val="18"/>
          <w:color w:val="auto"/>
        </w:rPr>
        <w:t>Chief Financial Officer &amp; Treasurer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844"/>
      </w:cols>
      <w:pgMar w:left="436" w:top="36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2022-04-13T15:37:41Z</dcterms:created>
  <dcterms:modified xsi:type="dcterms:W3CDTF">2022-04-13T15:37:41Z</dcterms:modified>
</cp:coreProperties>
</file>