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2625.htm"/>
      <w:bookmarkStart w:id="1" w:name="ksf8k_0826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3,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Floating Rate Capital Ltd.</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814-00891</w:t>
            </w:r>
          </w:p>
        </w:tc>
        <w:tc>
          <w:tcPr>
            <w:tcW w:w="2900" w:type="dxa"/>
            <w:tcBorders/>
            <w:vAlign w:val="center"/>
          </w:tcPr>
          <w:p>
            <w:pPr>
              <w:pStyle w:val="TableContents"/>
              <w:bidi w:val="0"/>
              <w:spacing w:before="0" w:after="283"/>
              <w:jc w:val="center"/>
              <w:rPr>
                <w:b/>
                <w:sz w:val="20"/>
              </w:rPr>
            </w:pPr>
            <w:r>
              <w:rPr>
                <w:b/>
                <w:sz w:val="20"/>
              </w:rPr>
              <w:t>27-3794690</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PFLT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t> </w:t>
      </w:r>
    </w:p>
    <w:p>
      <w:pPr>
        <w:pStyle w:val="TextBody"/>
        <w:bidi w:val="0"/>
        <w:jc w:val="left"/>
        <w:rPr>
          <w:sz w:val="20"/>
        </w:rPr>
      </w:pPr>
      <w:r>
        <w:rPr>
          <w:sz w:val="20"/>
        </w:rPr>
        <w:t>On September 3, 2025, PennantPark Floating Rate Capital Ltd. issued a press release announcing its monthly distribution. A copy of the press release is furnished as Exhibit 99.1 to this Form 8-K.</w:t>
      </w:r>
    </w:p>
    <w:p>
      <w:pPr>
        <w:pStyle w:val="TextBody"/>
        <w:bidi w:val="0"/>
        <w:spacing w:before="0" w:after="283"/>
        <w:jc w:val="left"/>
        <w:rPr/>
      </w:pPr>
      <w:r>
        <w:rPr/>
        <w:t> </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sz w:val="20"/>
        </w:rPr>
        <w:t>Forward-Looking Statements</w:t>
      </w:r>
    </w:p>
    <w:p>
      <w:pPr>
        <w:pStyle w:val="TextBody"/>
        <w:bidi w:val="0"/>
        <w:spacing w:before="0" w:after="0"/>
        <w:ind w:left="0" w:right="0" w:hanging="0"/>
        <w:jc w:val="left"/>
        <w:rPr/>
      </w:pPr>
      <w:r>
        <w:rPr>
          <w:rStyle w:val="StrongEmphasis"/>
        </w:rPr>
        <w:t> </w:t>
      </w:r>
    </w:p>
    <w:p>
      <w:pPr>
        <w:pStyle w:val="TextBody"/>
        <w:bidi w:val="0"/>
        <w:spacing w:before="0" w:after="0"/>
        <w:ind w:left="0" w:right="0" w:hanging="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2485" w:type="dxa"/>
        <w:jc w:val="left"/>
        <w:tblInd w:w="0" w:type="dxa"/>
        <w:tblLayout w:type="fixed"/>
        <w:tblCellMar>
          <w:top w:w="0" w:type="dxa"/>
          <w:left w:w="0" w:type="dxa"/>
          <w:bottom w:w="0" w:type="dxa"/>
          <w:right w:w="0" w:type="dxa"/>
        </w:tblCellMar>
      </w:tblPr>
      <w:tblGrid>
        <w:gridCol w:w="305"/>
        <w:gridCol w:w="2180"/>
      </w:tblGrid>
      <w:tr>
        <w:trPr/>
        <w:tc>
          <w:tcPr>
            <w:tcW w:w="305" w:type="dxa"/>
            <w:tcBorders/>
            <w:vAlign w:val="center"/>
          </w:tcPr>
          <w:p>
            <w:pPr>
              <w:pStyle w:val="TableContents"/>
              <w:bidi w:val="0"/>
              <w:spacing w:before="0" w:after="283"/>
              <w:jc w:val="left"/>
              <w:rPr/>
            </w:pPr>
            <w:r>
              <w:rPr>
                <w:rStyle w:val="StrongEmphasis"/>
              </w:rPr>
              <w:t>(a)</w:t>
            </w:r>
          </w:p>
        </w:tc>
        <w:tc>
          <w:tcPr>
            <w:tcW w:w="2180" w:type="dxa"/>
            <w:tcBorders/>
            <w:vAlign w:val="center"/>
          </w:tcPr>
          <w:p>
            <w:pPr>
              <w:pStyle w:val="TableContents"/>
              <w:bidi w:val="0"/>
              <w:spacing w:before="0" w:after="283"/>
              <w:jc w:val="left"/>
              <w:rPr/>
            </w:pPr>
            <w:r>
              <w:rPr>
                <w:rStyle w:val="StrongEmphasis"/>
              </w:rPr>
              <w:t>Financial statements:</w:t>
            </w:r>
          </w:p>
        </w:tc>
      </w:tr>
    </w:tbl>
    <w:p>
      <w:pPr>
        <w:pStyle w:val="TextBody"/>
        <w:bidi w:val="0"/>
        <w:spacing w:before="0" w:after="0"/>
        <w:ind w:left="1010" w:right="0" w:hanging="0"/>
        <w:jc w:val="left"/>
        <w:rPr>
          <w:sz w:val="20"/>
        </w:rPr>
      </w:pPr>
      <w:r>
        <w:rPr>
          <w:sz w:val="20"/>
        </w:rPr>
        <w:t>None</w:t>
      </w:r>
    </w:p>
    <w:tbl>
      <w:tblPr>
        <w:tblW w:w="3670" w:type="dxa"/>
        <w:jc w:val="left"/>
        <w:tblInd w:w="0" w:type="dxa"/>
        <w:tblLayout w:type="fixed"/>
        <w:tblCellMar>
          <w:top w:w="0" w:type="dxa"/>
          <w:left w:w="0" w:type="dxa"/>
          <w:bottom w:w="0" w:type="dxa"/>
          <w:right w:w="0" w:type="dxa"/>
        </w:tblCellMar>
      </w:tblPr>
      <w:tblGrid>
        <w:gridCol w:w="320"/>
        <w:gridCol w:w="3350"/>
      </w:tblGrid>
      <w:tr>
        <w:trPr/>
        <w:tc>
          <w:tcPr>
            <w:tcW w:w="320" w:type="dxa"/>
            <w:tcBorders/>
            <w:vAlign w:val="center"/>
          </w:tcPr>
          <w:p>
            <w:pPr>
              <w:pStyle w:val="TableContents"/>
              <w:bidi w:val="0"/>
              <w:spacing w:before="0" w:after="283"/>
              <w:jc w:val="left"/>
              <w:rPr/>
            </w:pPr>
            <w:r>
              <w:rPr>
                <w:rStyle w:val="StrongEmphasis"/>
              </w:rPr>
              <w:t>(b)</w:t>
            </w:r>
          </w:p>
        </w:tc>
        <w:tc>
          <w:tcPr>
            <w:tcW w:w="3350" w:type="dxa"/>
            <w:tcBorders/>
            <w:vAlign w:val="center"/>
          </w:tcPr>
          <w:p>
            <w:pPr>
              <w:pStyle w:val="TableContents"/>
              <w:bidi w:val="0"/>
              <w:spacing w:before="0" w:after="283"/>
              <w:jc w:val="left"/>
              <w:rPr/>
            </w:pPr>
            <w:r>
              <w:rPr>
                <w:rStyle w:val="StrongEmphasis"/>
              </w:rPr>
              <w:t>Pro forma financial information:</w:t>
            </w:r>
          </w:p>
        </w:tc>
      </w:tr>
    </w:tbl>
    <w:p>
      <w:pPr>
        <w:pStyle w:val="TextBody"/>
        <w:bidi w:val="0"/>
        <w:spacing w:before="0" w:after="0"/>
        <w:ind w:left="1011" w:right="0" w:hanging="0"/>
        <w:jc w:val="left"/>
        <w:rPr>
          <w:sz w:val="20"/>
        </w:rPr>
      </w:pPr>
      <w:r>
        <w:rPr>
          <w:sz w:val="20"/>
        </w:rPr>
        <w:t>None</w:t>
      </w:r>
    </w:p>
    <w:tbl>
      <w:tblPr>
        <w:tblW w:w="3175" w:type="dxa"/>
        <w:jc w:val="left"/>
        <w:tblInd w:w="0" w:type="dxa"/>
        <w:tblLayout w:type="fixed"/>
        <w:tblCellMar>
          <w:top w:w="0" w:type="dxa"/>
          <w:left w:w="0" w:type="dxa"/>
          <w:bottom w:w="0" w:type="dxa"/>
          <w:right w:w="0" w:type="dxa"/>
        </w:tblCellMar>
      </w:tblPr>
      <w:tblGrid>
        <w:gridCol w:w="290"/>
        <w:gridCol w:w="2885"/>
      </w:tblGrid>
      <w:tr>
        <w:trPr/>
        <w:tc>
          <w:tcPr>
            <w:tcW w:w="290" w:type="dxa"/>
            <w:tcBorders/>
            <w:vAlign w:val="center"/>
          </w:tcPr>
          <w:p>
            <w:pPr>
              <w:pStyle w:val="TableContents"/>
              <w:bidi w:val="0"/>
              <w:spacing w:before="0" w:after="283"/>
              <w:jc w:val="left"/>
              <w:rPr/>
            </w:pPr>
            <w:r>
              <w:rPr>
                <w:rStyle w:val="StrongEmphasis"/>
              </w:rPr>
              <w:t>(c)</w:t>
            </w:r>
          </w:p>
        </w:tc>
        <w:tc>
          <w:tcPr>
            <w:tcW w:w="2885" w:type="dxa"/>
            <w:tcBorders/>
            <w:vAlign w:val="center"/>
          </w:tcPr>
          <w:p>
            <w:pPr>
              <w:pStyle w:val="TableContents"/>
              <w:bidi w:val="0"/>
              <w:spacing w:before="0" w:after="283"/>
              <w:jc w:val="left"/>
              <w:rPr/>
            </w:pPr>
            <w:r>
              <w:rPr>
                <w:rStyle w:val="StrongEmphasis"/>
              </w:rPr>
              <w:t>Shell company transactions:</w:t>
            </w:r>
          </w:p>
        </w:tc>
      </w:tr>
    </w:tbl>
    <w:p>
      <w:pPr>
        <w:pStyle w:val="TextBody"/>
        <w:bidi w:val="0"/>
        <w:spacing w:before="0" w:after="0"/>
        <w:ind w:left="1010" w:right="0" w:hanging="0"/>
        <w:jc w:val="left"/>
        <w:rPr>
          <w:sz w:val="20"/>
        </w:rPr>
      </w:pPr>
      <w:r>
        <w:rPr>
          <w:sz w:val="20"/>
        </w:rPr>
        <w:t>None </w:t>
      </w:r>
    </w:p>
    <w:tbl>
      <w:tblPr>
        <w:tblW w:w="8715" w:type="dxa"/>
        <w:jc w:val="left"/>
        <w:tblInd w:w="0" w:type="dxa"/>
        <w:tblLayout w:type="fixed"/>
        <w:tblCellMar>
          <w:top w:w="0" w:type="dxa"/>
          <w:left w:w="0" w:type="dxa"/>
          <w:bottom w:w="0" w:type="dxa"/>
          <w:right w:w="0" w:type="dxa"/>
        </w:tblCellMar>
      </w:tblPr>
      <w:tblGrid>
        <w:gridCol w:w="320"/>
        <w:gridCol w:w="560"/>
        <w:gridCol w:w="7835"/>
      </w:tblGrid>
      <w:tr>
        <w:trPr/>
        <w:tc>
          <w:tcPr>
            <w:tcW w:w="320" w:type="dxa"/>
            <w:tcBorders/>
            <w:vAlign w:val="center"/>
          </w:tcPr>
          <w:p>
            <w:pPr>
              <w:pStyle w:val="TableContents"/>
              <w:bidi w:val="0"/>
              <w:spacing w:before="0" w:after="283"/>
              <w:jc w:val="left"/>
              <w:rPr/>
            </w:pPr>
            <w:r>
              <w:rPr>
                <w:rStyle w:val="StrongEmphasis"/>
              </w:rPr>
              <w:t>(d)</w:t>
            </w:r>
          </w:p>
        </w:tc>
        <w:tc>
          <w:tcPr>
            <w:tcW w:w="8395" w:type="dxa"/>
            <w:gridSpan w:val="2"/>
            <w:tcBorders/>
            <w:vAlign w:val="center"/>
          </w:tcPr>
          <w:p>
            <w:pPr>
              <w:pStyle w:val="TableContents"/>
              <w:bidi w:val="0"/>
              <w:spacing w:before="0" w:after="283"/>
              <w:jc w:val="left"/>
              <w:rPr/>
            </w:pPr>
            <w:r>
              <w:rPr>
                <w:rStyle w:val="StrongEmphasis"/>
              </w:rPr>
              <w:t>Exhibits</w:t>
            </w:r>
          </w:p>
        </w:tc>
      </w:tr>
      <w:tr>
        <w:trPr/>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hyperlink w:anchor="exh_991.htm">
              <w:r>
                <w:rPr>
                  <w:rStyle w:val="InternetLink"/>
                </w:rPr>
                <w:t>99.1</w:t>
              </w:r>
            </w:hyperlink>
          </w:p>
        </w:tc>
        <w:tc>
          <w:tcPr>
            <w:tcW w:w="7835" w:type="dxa"/>
            <w:tcBorders/>
            <w:vAlign w:val="center"/>
          </w:tcPr>
          <w:p>
            <w:pPr>
              <w:pStyle w:val="TableContents"/>
              <w:bidi w:val="0"/>
              <w:spacing w:before="0" w:after="283"/>
              <w:jc w:val="left"/>
              <w:rPr/>
            </w:pPr>
            <w:hyperlink w:anchor="exh_991.htm">
              <w:r>
                <w:rPr>
                  <w:rStyle w:val="InternetLink"/>
                </w:rPr>
                <w:t>Press Release of PennantPark Floating Rate Capital Ltd. Dated September 3, 2025</w:t>
              </w:r>
            </w:hyperlink>
          </w:p>
        </w:tc>
      </w:tr>
      <w:tr>
        <w:trPr/>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xml:space="preserve">  </w:t>
            </w:r>
            <w:r>
              <w:rPr/>
              <w:t>104</w:t>
            </w:r>
          </w:p>
        </w:tc>
        <w:tc>
          <w:tcPr>
            <w:tcW w:w="783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5409" w:type="dxa"/>
        <w:jc w:val="left"/>
        <w:tblInd w:w="0" w:type="dxa"/>
        <w:tblLayout w:type="fixed"/>
        <w:tblCellMar>
          <w:top w:w="0" w:type="dxa"/>
          <w:left w:w="0" w:type="dxa"/>
          <w:bottom w:w="0" w:type="dxa"/>
          <w:right w:w="0" w:type="dxa"/>
        </w:tblCellMar>
      </w:tblPr>
      <w:tblGrid>
        <w:gridCol w:w="2015"/>
        <w:gridCol w:w="383"/>
        <w:gridCol w:w="3011"/>
      </w:tblGrid>
      <w:tr>
        <w:trPr/>
        <w:tc>
          <w:tcPr>
            <w:tcW w:w="2015"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left"/>
              <w:rPr>
                <w:b/>
                <w:sz w:val="20"/>
              </w:rPr>
            </w:pPr>
            <w:r>
              <w:rPr>
                <w:b/>
                <w:sz w:val="20"/>
              </w:rPr>
              <w:t>PennantPark Floating Rate Capital Ltd.</w:t>
            </w:r>
          </w:p>
        </w:tc>
      </w:tr>
      <w:tr>
        <w:trPr/>
        <w:tc>
          <w:tcPr>
            <w:tcW w:w="201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sz w:val="20"/>
              </w:rPr>
            </w:pPr>
            <w:r>
              <w:rPr>
                <w:sz w:val="20"/>
              </w:rPr>
              <w:t>Date: September 3, 2025</w:t>
            </w:r>
          </w:p>
        </w:tc>
        <w:tc>
          <w:tcPr>
            <w:tcW w:w="383" w:type="dxa"/>
            <w:tcBorders/>
            <w:vAlign w:val="center"/>
          </w:tcPr>
          <w:p>
            <w:pPr>
              <w:pStyle w:val="TableContents"/>
              <w:bidi w:val="0"/>
              <w:spacing w:before="0" w:after="283"/>
              <w:jc w:val="left"/>
              <w:rPr>
                <w:sz w:val="20"/>
              </w:rPr>
            </w:pPr>
            <w:r>
              <w:rPr>
                <w:sz w:val="20"/>
              </w:rPr>
              <w:t>By: </w:t>
            </w:r>
          </w:p>
        </w:tc>
        <w:tc>
          <w:tcPr>
            <w:tcW w:w="3011"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201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Richard T. Allorto, Jr.</w:t>
            </w:r>
          </w:p>
        </w:tc>
      </w:tr>
      <w:tr>
        <w:trPr/>
        <w:tc>
          <w:tcPr>
            <w:tcW w:w="201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20"/>
              </w:rPr>
            </w:pPr>
            <w:r>
              <w:rPr>
                <w:sz w:val="20"/>
              </w:rPr>
              <w:t>Chief Financial Officer &amp; Treasurer</w:t>
            </w:r>
          </w:p>
        </w:tc>
      </w:tr>
      <w:tr>
        <w:trPr/>
        <w:tc>
          <w:tcPr>
            <w:tcW w:w="201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301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spacing w:before="0" w:after="283"/>
        <w:jc w:val="left"/>
        <w:rPr/>
      </w:pPr>
      <w:r>
        <w:rPr/>
        <w:drawing>
          <wp:inline distT="0" distB="0" distL="0" distR="0">
            <wp:extent cx="142875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33375"/>
                    </a:xfrm>
                    <a:prstGeom prst="rect">
                      <a:avLst/>
                    </a:prstGeom>
                  </pic:spPr>
                </pic:pic>
              </a:graphicData>
            </a:graphic>
          </wp:inline>
        </w:drawing>
      </w:r>
    </w:p>
    <w:p>
      <w:pPr>
        <w:pStyle w:val="TextBody"/>
        <w:bidi w:val="0"/>
        <w:jc w:val="center"/>
        <w:rPr/>
      </w:pPr>
      <w:r>
        <w:rPr>
          <w:rStyle w:val="StrongEmphasis"/>
        </w:rPr>
        <w:t>PennantPark Floating Rate Capital Ltd. Announces Monthly Distribution of $0.1025 per Share</w:t>
      </w:r>
    </w:p>
    <w:p>
      <w:pPr>
        <w:pStyle w:val="TextBody"/>
        <w:bidi w:val="0"/>
        <w:jc w:val="both"/>
        <w:rPr/>
      </w:pPr>
      <w:r>
        <w:rPr/>
        <w:t>MIAMI, Sept. 03, 2025 (GLOBE NEWSWIRE) -- PennantPark Floating Rate Capital Ltd. (the "Company") (NYSE: PFLT) declares its monthly distribution for September 2025 of $0.1025 per share, payable on October 1, 2025 to stockholders of record as of September 15,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pStyle w:val="TextBody"/>
        <w:bidi w:val="0"/>
        <w:jc w:val="both"/>
        <w:rPr/>
      </w:pPr>
      <w:r>
        <w:rPr/>
        <w:t xml:space="preserve">The specific tax characteristics of this distribution can be found on our website </w:t>
      </w:r>
      <w:r>
        <w:rPr>
          <w:u w:val="single"/>
        </w:rPr>
        <w:t>www.pennantpark.com</w:t>
      </w:r>
      <w:r>
        <w:rPr/>
        <w:t>.</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w:t>
      </w:r>
    </w:p>
    <w:p>
      <w:pPr>
        <w:pStyle w:val="TextBody"/>
        <w:bidi w:val="0"/>
        <w:spacing w:before="0" w:after="283"/>
        <w:jc w:val="left"/>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jc w:val="both"/>
        <w:rPr/>
      </w:pPr>
      <w:r>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pStyle w:val="TextBody"/>
        <w:bidi w:val="0"/>
        <w:spacing w:before="0" w:after="283"/>
        <w:jc w:val="left"/>
        <w:rPr/>
      </w:pPr>
      <w:r>
        <w:rPr/>
        <w:t>CONTACT:</w:t>
        <w:b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1331</Words>
  <Characters>7646</Characters>
  <CharactersWithSpaces>8934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