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As filed with the Securities and Exchange Commission on August 13, 2013.</w:t>
      </w:r>
    </w:p>
    <w:p>
      <w:pPr>
        <w:ind w:left="4540"/>
        <w:spacing w:after="0" w:line="223" w:lineRule="auto"/>
        <w:rPr>
          <w:sz w:val="20"/>
          <w:szCs w:val="20"/>
          <w:color w:val="auto"/>
        </w:rPr>
      </w:pPr>
      <w:r>
        <w:rPr>
          <w:rFonts w:ascii="Arial" w:cs="Arial" w:eastAsia="Arial" w:hAnsi="Arial"/>
          <w:sz w:val="14"/>
          <w:szCs w:val="14"/>
          <w:b w:val="1"/>
          <w:bCs w:val="1"/>
          <w:color w:val="auto"/>
        </w:rPr>
        <w:t>Securities Act Registration No. 333-</w:t>
      </w:r>
    </w:p>
    <w:p>
      <w:pPr>
        <w:ind w:left="4200"/>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ind w:left="5420" w:right="5020" w:hanging="301"/>
        <w:spacing w:after="0" w:line="295" w:lineRule="auto"/>
        <w:tabs>
          <w:tab w:leader="none" w:pos="5363"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Madison Avenue 15th Floor</w:t>
      </w:r>
    </w:p>
    <w:p>
      <w:pPr>
        <w:jc w:val="center"/>
        <w:ind w:right="-99"/>
        <w:spacing w:after="0" w:line="221"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6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80" w:type="dxa"/>
            <w:vAlign w:val="bottom"/>
            <w:tcBorders>
              <w:top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right w:val="single" w:sz="8" w:color="auto"/>
            </w:tcBorders>
          </w:tcPr>
          <w:p>
            <w:pPr>
              <w:ind w:left="80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20" w:type="dxa"/>
            <w:vAlign w:val="bottom"/>
            <w:tcBorders>
              <w:right w:val="single" w:sz="8" w:color="auto"/>
            </w:tcBorders>
          </w:tcPr>
          <w:p>
            <w:pPr>
              <w:jc w:val="right"/>
              <w:ind w:right="292"/>
              <w:spacing w:after="0" w:line="148" w:lineRule="exact"/>
              <w:rPr>
                <w:sz w:val="20"/>
                <w:szCs w:val="20"/>
                <w:color w:val="auto"/>
              </w:rPr>
            </w:pPr>
            <w:r>
              <w:rPr>
                <w:rFonts w:ascii="Arial" w:cs="Arial" w:eastAsia="Arial" w:hAnsi="Arial"/>
                <w:sz w:val="14"/>
                <w:szCs w:val="14"/>
                <w:b w:val="1"/>
                <w:bCs w:val="1"/>
                <w:color w:val="auto"/>
              </w:rPr>
              <w:t>Amount Being</w:t>
            </w:r>
          </w:p>
        </w:tc>
        <w:tc>
          <w:tcPr>
            <w:tcW w:w="192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80" w:type="dxa"/>
            <w:vAlign w:val="bottom"/>
          </w:tcPr>
          <w:p>
            <w:pPr>
              <w:spacing w:after="0"/>
              <w:rPr>
                <w:sz w:val="12"/>
                <w:szCs w:val="12"/>
                <w:color w:val="auto"/>
              </w:rPr>
            </w:pPr>
          </w:p>
        </w:tc>
        <w:tc>
          <w:tcPr>
            <w:tcW w:w="1480" w:type="dxa"/>
            <w:vAlign w:val="bottom"/>
            <w:tcBorders>
              <w:right w:val="single" w:sz="8" w:color="auto"/>
            </w:tcBorders>
          </w:tcPr>
          <w:p>
            <w:pPr>
              <w:jc w:val="center"/>
              <w:ind w:right="214"/>
              <w:spacing w:after="0" w:line="148" w:lineRule="exact"/>
              <w:rPr>
                <w:sz w:val="20"/>
                <w:szCs w:val="20"/>
                <w:color w:val="auto"/>
              </w:rPr>
            </w:pPr>
            <w:r>
              <w:rPr>
                <w:rFonts w:ascii="Arial" w:cs="Arial" w:eastAsia="Arial" w:hAnsi="Arial"/>
                <w:sz w:val="14"/>
                <w:szCs w:val="14"/>
                <w:b w:val="1"/>
                <w:bCs w:val="1"/>
                <w:color w:val="auto"/>
                <w:w w:val="86"/>
              </w:rPr>
              <w:t>Aggregate</w:t>
            </w:r>
          </w:p>
        </w:tc>
        <w:tc>
          <w:tcPr>
            <w:tcW w:w="420" w:type="dxa"/>
            <w:vAlign w:val="bottom"/>
          </w:tcPr>
          <w:p>
            <w:pPr>
              <w:spacing w:after="0"/>
              <w:rPr>
                <w:sz w:val="12"/>
                <w:szCs w:val="12"/>
                <w:color w:val="auto"/>
              </w:rPr>
            </w:pPr>
          </w:p>
        </w:tc>
        <w:tc>
          <w:tcPr>
            <w:tcW w:w="1640" w:type="dxa"/>
            <w:vAlign w:val="bottom"/>
            <w:tcBorders>
              <w:right w:val="single" w:sz="8" w:color="auto"/>
            </w:tcBorders>
          </w:tcPr>
          <w:p>
            <w:pPr>
              <w:jc w:val="center"/>
              <w:ind w:right="35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Registered</w:t>
            </w:r>
          </w:p>
        </w:tc>
        <w:tc>
          <w:tcPr>
            <w:tcW w:w="192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9"/>
              </w:rPr>
              <w:t>Per Unit</w:t>
            </w: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ind w:right="21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37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20" w:type="dxa"/>
            <w:vAlign w:val="bottom"/>
            <w:tcBorders>
              <w:right w:val="single" w:sz="8" w:color="auto"/>
            </w:tcBorders>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spacing w:after="0"/>
              <w:rPr>
                <w:sz w:val="22"/>
                <w:szCs w:val="2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20" w:type="dxa"/>
            <w:vAlign w:val="bottom"/>
            <w:tcBorders>
              <w:right w:val="single" w:sz="8" w:color="auto"/>
            </w:tcBorders>
            <w:vMerge w:val="restart"/>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800,000,000</w:t>
            </w:r>
            <w:r>
              <w:rPr>
                <w:rFonts w:ascii="Arial" w:cs="Arial" w:eastAsia="Arial" w:hAnsi="Arial"/>
                <w:sz w:val="22"/>
                <w:szCs w:val="22"/>
                <w:color w:val="auto"/>
                <w:vertAlign w:val="superscript"/>
              </w:rPr>
              <w:t>(5)</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109,120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86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$800,000,000.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$800,000,000.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w:t>
      </w:r>
    </w:p>
    <w:p>
      <w:pPr>
        <w:spacing w:after="0" w:line="22" w:lineRule="exact"/>
        <w:rPr>
          <w:rFonts w:ascii="Arial" w:cs="Arial" w:eastAsia="Arial" w:hAnsi="Arial"/>
          <w:sz w:val="12"/>
          <w:szCs w:val="12"/>
          <w:color w:val="auto"/>
        </w:rPr>
      </w:pPr>
    </w:p>
    <w:p>
      <w:pPr>
        <w:ind w:left="680"/>
        <w:spacing w:after="0" w:line="271" w:lineRule="auto"/>
        <w:rPr>
          <w:rFonts w:ascii="Arial" w:cs="Arial" w:eastAsia="Arial" w:hAnsi="Arial"/>
          <w:sz w:val="12"/>
          <w:szCs w:val="12"/>
          <w:color w:val="auto"/>
        </w:rPr>
      </w:pPr>
      <w:r>
        <w:rPr>
          <w:rFonts w:ascii="Arial" w:cs="Arial" w:eastAsia="Arial" w:hAnsi="Arial"/>
          <w:sz w:val="12"/>
          <w:szCs w:val="12"/>
          <w:color w:val="auto"/>
        </w:rPr>
        <w:t>$36,556,971 of unsold securities of the registrant that have been previously registered on the Registration Statement on Form N-2 (File No. 333-180084) originally filed by the registrant on March 14, 2012 and most recently declared effective on July 5, 2013 (the “prior registration statement”). A filing fee of $4,189 was paid in connection with such unsold securities and is being offset against the total registration fee pursuant to Rule 457(p), resulting in a payment of $104,931 in connection with the filing of this Registration Statement. Pursuant to Rule 415(a)(6), the offering of the unsold securities registered under the prior registration statement will be deemed terminated as of the effective date of this Registration Statement.</w:t>
      </w:r>
    </w:p>
    <w:p>
      <w:pPr>
        <w:spacing w:after="0" w:line="38"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$800,000,000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39 of this prospectus for more information.</w:t>
      </w:r>
    </w:p>
    <w:p>
      <w:pPr>
        <w:spacing w:after="0" w:line="46"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August 8, 2013 was $14.02 per share, and our net asset value on June 30, 2013 was $13.98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8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1"/>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9">
              <w:r>
                <w:rPr>
                  <w:rFonts w:ascii="Arial" w:cs="Arial" w:eastAsia="Arial" w:hAnsi="Arial"/>
                  <w:sz w:val="14"/>
                  <w:szCs w:val="14"/>
                  <w:color w:val="0000EE"/>
                  <w:w w:val="89"/>
                </w:rPr>
                <w:t>FEES AND EXPENSES</w:t>
              </w:r>
            </w:hyperlink>
          </w:p>
        </w:tc>
        <w:tc>
          <w:tcPr>
            <w:tcW w:w="944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22</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8">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26</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2">
              <w:r>
                <w:rPr>
                  <w:rFonts w:ascii="Arial" w:cs="Arial" w:eastAsia="Arial" w:hAnsi="Arial"/>
                  <w:sz w:val="14"/>
                  <w:szCs w:val="14"/>
                  <w:color w:val="0000EE"/>
                  <w:w w:val="90"/>
                </w:rPr>
                <w:t>SENIOR SECURITIES</w:t>
              </w:r>
            </w:hyperlink>
          </w:p>
        </w:tc>
        <w:tc>
          <w:tcPr>
            <w:tcW w:w="950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PRICE RANGE OF COMMON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3480" w:type="dxa"/>
            <w:vAlign w:val="bottom"/>
            <w:tcBorders>
              <w:top w:val="single" w:sz="8" w:color="0000EE"/>
            </w:tcBorders>
            <w:gridSpan w:val="27"/>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43</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BUSINESS</w:t>
              </w:r>
            </w:hyperlink>
          </w:p>
        </w:tc>
        <w:tc>
          <w:tcPr>
            <w:tcW w:w="9780" w:type="dxa"/>
            <w:vAlign w:val="bottom"/>
            <w:gridSpan w:val="2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1"/>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53</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MANAGEMENT</w:t>
              </w:r>
            </w:hyperlink>
          </w:p>
        </w:tc>
        <w:tc>
          <w:tcPr>
            <w:tcW w:w="9260" w:type="dxa"/>
            <w:vAlign w:val="bottom"/>
            <w:gridSpan w:val="2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70">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67</w:t>
            </w:r>
          </w:p>
        </w:tc>
      </w:tr>
      <w:tr>
        <w:trPr>
          <w:trHeight w:val="196"/>
        </w:trPr>
        <w:tc>
          <w:tcPr>
            <w:tcW w:w="2540" w:type="dxa"/>
            <w:vAlign w:val="bottom"/>
            <w:tcBorders>
              <w:top w:val="single" w:sz="8" w:color="0000EE"/>
              <w:bottom w:val="single" w:sz="8" w:color="0000EE"/>
            </w:tcBorders>
            <w:gridSpan w:val="19"/>
          </w:tcPr>
          <w:p>
            <w:pPr>
              <w:spacing w:after="0"/>
              <w:rPr>
                <w:rFonts w:ascii="Arial" w:cs="Arial" w:eastAsia="Arial" w:hAnsi="Arial"/>
                <w:sz w:val="14"/>
                <w:szCs w:val="14"/>
                <w:color w:val="0000EE"/>
                <w:w w:val="93"/>
              </w:rPr>
            </w:pPr>
            <w:hyperlink w:anchor="page78">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75</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81">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80</w:t>
            </w:r>
          </w:p>
        </w:tc>
      </w:tr>
      <w:tr>
        <w:trPr>
          <w:trHeight w:val="196"/>
        </w:trPr>
        <w:tc>
          <w:tcPr>
            <w:tcW w:w="2680" w:type="dxa"/>
            <w:vAlign w:val="bottom"/>
            <w:tcBorders>
              <w:top w:val="single" w:sz="8" w:color="0000EE"/>
            </w:tcBorders>
            <w:gridSpan w:val="22"/>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81</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82</w:t>
            </w:r>
          </w:p>
        </w:tc>
      </w:tr>
      <w:tr>
        <w:trPr>
          <w:trHeight w:val="196"/>
        </w:trPr>
        <w:tc>
          <w:tcPr>
            <w:tcW w:w="260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1"/>
              </w:rPr>
            </w:pPr>
            <w:hyperlink w:anchor="page88">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93</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98</w:t>
            </w:r>
          </w:p>
        </w:tc>
      </w:tr>
      <w:tr>
        <w:trPr>
          <w:trHeight w:val="196"/>
        </w:trPr>
        <w:tc>
          <w:tcPr>
            <w:tcW w:w="3660" w:type="dxa"/>
            <w:vAlign w:val="bottom"/>
            <w:tcBorders>
              <w:top w:val="single" w:sz="8" w:color="0000EE"/>
            </w:tcBorders>
            <w:gridSpan w:val="29"/>
          </w:tcPr>
          <w:p>
            <w:pPr>
              <w:spacing w:after="0"/>
              <w:rPr>
                <w:rFonts w:ascii="Arial" w:cs="Arial" w:eastAsia="Arial" w:hAnsi="Arial"/>
                <w:sz w:val="14"/>
                <w:szCs w:val="14"/>
                <w:color w:val="0000EE"/>
              </w:rPr>
            </w:pPr>
            <w:hyperlink w:anchor="page107">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102</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8">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4"/>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3600" w:type="dxa"/>
            <w:vAlign w:val="bottom"/>
            <w:tcBorders>
              <w:top w:val="single" w:sz="8" w:color="0000EE"/>
            </w:tcBorders>
            <w:gridSpan w:val="28"/>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5"/>
          </w:tcPr>
          <w:p>
            <w:pPr>
              <w:spacing w:after="0"/>
              <w:rPr>
                <w:rFonts w:ascii="Arial" w:cs="Arial" w:eastAsia="Arial" w:hAnsi="Arial"/>
                <w:sz w:val="14"/>
                <w:szCs w:val="14"/>
                <w:color w:val="0000EE"/>
              </w:rPr>
            </w:pPr>
            <w:hyperlink w:anchor="page155">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5">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1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$800,000,000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20" w:firstLine="443"/>
        <w:spacing w:after="0" w:line="263"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consider.References to our portfolio and investments include investments we make through any consolidated subsidiaries. Some of the statements in this prospectus constitute forward-looking statements, which apply to both us and any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right="14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160" w:firstLine="443"/>
        <w:spacing w:after="0" w:line="288"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$2.7 billion in 270 companies with approximately 120 different financial sponsors through its managed funds.</w:t>
      </w:r>
    </w:p>
    <w:p>
      <w:pPr>
        <w:spacing w:after="0" w:line="123" w:lineRule="exact"/>
        <w:rPr>
          <w:sz w:val="20"/>
          <w:szCs w:val="20"/>
          <w:color w:val="auto"/>
        </w:rPr>
      </w:pPr>
    </w:p>
    <w:p>
      <w:pPr>
        <w:ind w:left="200" w:right="140" w:firstLine="443"/>
        <w:spacing w:after="0" w:line="227"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86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0862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7" w:lineRule="exact"/>
        <w:rPr>
          <w:sz w:val="20"/>
          <w:szCs w:val="20"/>
          <w:color w:val="auto"/>
        </w:rPr>
      </w:pPr>
    </w:p>
    <w:p>
      <w:pPr>
        <w:ind w:left="200" w:right="80" w:firstLine="443"/>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jc w:val="both"/>
        <w:ind w:left="200" w:right="220" w:firstLine="443"/>
        <w:spacing w:after="0" w:line="288" w:lineRule="auto"/>
        <w:rPr>
          <w:sz w:val="20"/>
          <w:szCs w:val="20"/>
          <w:color w:val="auto"/>
        </w:rPr>
      </w:pPr>
      <w:r>
        <w:rPr>
          <w:rFonts w:ascii="Arial" w:cs="Arial" w:eastAsia="Arial" w:hAnsi="Arial"/>
          <w:sz w:val="12"/>
          <w:szCs w:val="12"/>
          <w:color w:val="auto"/>
        </w:rPr>
        <w:t>We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8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20" w:firstLine="443"/>
        <w:spacing w:after="0" w:line="23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June 30, 2013,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left="200" w:right="140" w:firstLine="443"/>
        <w:spacing w:after="0" w:line="239" w:lineRule="auto"/>
        <w:rPr>
          <w:sz w:val="20"/>
          <w:szCs w:val="20"/>
          <w:color w:val="auto"/>
        </w:rPr>
      </w:pPr>
      <w:r>
        <w:rPr>
          <w:rFonts w:ascii="Arial" w:cs="Arial" w:eastAsia="Arial" w:hAnsi="Arial"/>
          <w:sz w:val="14"/>
          <w:szCs w:val="14"/>
          <w:color w:val="auto"/>
        </w:rPr>
        <w:t>In connection with our July 2013 public offering, we issued approximately 4.6 million shares (including underwriters’ overallotment option) of common stock at a public offering price of $14.20 per share, raising approximately $65.1 million in gross proceeds.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120" w:firstLine="443"/>
        <w:spacing w:after="0" w:line="239" w:lineRule="auto"/>
        <w:rPr>
          <w:sz w:val="20"/>
          <w:szCs w:val="20"/>
          <w:color w:val="auto"/>
        </w:rPr>
      </w:pPr>
      <w:r>
        <w:rPr>
          <w:rFonts w:ascii="Arial" w:cs="Arial" w:eastAsia="Arial" w:hAnsi="Arial"/>
          <w:sz w:val="14"/>
          <w:szCs w:val="14"/>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$800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1.56 %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1.19 %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1.36 %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1.25 %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5.36 %</w:t>
      </w:r>
      <w:r>
        <w:rPr>
          <w:rFonts w:ascii="Arial" w:cs="Arial" w:eastAsia="Arial" w:hAnsi="Arial"/>
          <w:sz w:val="17"/>
          <w:szCs w:val="17"/>
          <w:color w:val="auto"/>
          <w:vertAlign w:val="superscript"/>
        </w:rPr>
        <w:t>(8)</w:t>
      </w:r>
    </w:p>
    <w:p>
      <w:pPr>
        <w:spacing w:after="0" w:line="178"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right="20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June 30, 2013, adjusted for the net proceeds of $64.4 million issued in connection with our July 2013 offering (including the underwriters’ over allotment that was exercised).</w:t>
      </w:r>
    </w:p>
    <w:p>
      <w:pPr>
        <w:spacing w:after="0" w:line="57" w:lineRule="exact"/>
        <w:rPr>
          <w:rFonts w:ascii="Arial" w:cs="Arial" w:eastAsia="Arial" w:hAnsi="Arial"/>
          <w:sz w:val="14"/>
          <w:szCs w:val="14"/>
          <w:color w:val="auto"/>
        </w:rPr>
      </w:pPr>
    </w:p>
    <w:p>
      <w:pPr>
        <w:ind w:left="580" w:right="6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June 30,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5"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June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June 30, 2013, our cumulative realized gains exceeded our cumulative unrealized capital gains and losses, thus, we have an accrued payable for capital gains incentive fee of $0.3 million in accordance with U.S. generally accepted accounting principles, or GAAP. Accordingly, presented above, “Incentive fees” include the capital gains incentive fee accrual under GAAP and does not include an accrual for capital gains incentive fee payable under our Investment Management Agreement as of June 30, 2013. As we cannot predict our future net investment income or capital gains, the incentive fee paid in future periods, if any, may be substantially different than the fee accrued as of June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580" w:right="40" w:hanging="572"/>
        <w:spacing w:after="0" w:line="273"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June 30, 2013, we had $85.6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2013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right="120" w:hanging="572"/>
        <w:spacing w:after="0" w:line="27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28 of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52"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0.46%, (2) total net annual expenses of 4.17%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3"/>
              </w:rPr>
              <w:t>1 year</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42"/>
        </w:trPr>
        <w:tc>
          <w:tcPr>
            <w:tcW w:w="7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You would pay the following expenses on a $1,000 common stock investment, assuming a 5% annual return(1)</w:t>
            </w:r>
          </w:p>
        </w:tc>
        <w:tc>
          <w:tcPr>
            <w:tcW w:w="1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w:t>
            </w:r>
          </w:p>
        </w:tc>
        <w:tc>
          <w:tcPr>
            <w:tcW w:w="60" w:type="dxa"/>
            <w:vAlign w:val="bottom"/>
            <w:tcBorders>
              <w:top w:val="single" w:sz="8" w:color="CCEEFF"/>
            </w:tcBorders>
            <w:shd w:val="clear" w:color="auto" w:fill="CCEEFF"/>
          </w:tcPr>
          <w:p>
            <w:pPr>
              <w:spacing w:after="0"/>
              <w:rPr>
                <w:sz w:val="12"/>
                <w:szCs w:val="12"/>
                <w:color w:val="auto"/>
              </w:rPr>
            </w:pPr>
          </w:p>
        </w:tc>
      </w:tr>
      <w:tr>
        <w:trPr>
          <w:trHeight w:val="172"/>
        </w:trPr>
        <w:tc>
          <w:tcPr>
            <w:tcW w:w="7420" w:type="dxa"/>
            <w:vAlign w:val="bottom"/>
          </w:tcPr>
          <w:p>
            <w:pPr>
              <w:spacing w:after="0"/>
              <w:rPr>
                <w:sz w:val="20"/>
                <w:szCs w:val="20"/>
                <w:color w:val="auto"/>
              </w:rPr>
            </w:pPr>
            <w:r>
              <w:rPr>
                <w:rFonts w:ascii="Arial" w:cs="Arial" w:eastAsia="Arial" w:hAnsi="Arial"/>
                <w:sz w:val="14"/>
                <w:szCs w:val="14"/>
                <w:color w:val="auto"/>
              </w:rPr>
              <w:t>You would pay the following expenses on a $1,000 common stock investment, assuming a 5% annual return(2)</w:t>
            </w:r>
          </w:p>
        </w:tc>
        <w:tc>
          <w:tcPr>
            <w:tcW w:w="154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84</w:t>
            </w:r>
          </w:p>
        </w:tc>
        <w:tc>
          <w:tcPr>
            <w:tcW w:w="4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184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283</w:t>
            </w:r>
          </w:p>
        </w:tc>
        <w:tc>
          <w:tcPr>
            <w:tcW w:w="4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529</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Assumes that we will not realize any capital gains computed net of all realized capital losses and unrealized capital appreciation and depreciation.</w:t>
      </w: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Assumes no unrealized capital appreciation or depreciation and 5% annual return resulting entirely from net realized capital gains (and therefore subject to the capital gains incentive fee).</w:t>
      </w:r>
    </w:p>
    <w:p>
      <w:pPr>
        <w:spacing w:after="0" w:line="16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12"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U.S. government spending cuts that took effect March 1, 2013, could have a material adverse effect on our business, financial condition and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6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13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1"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20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69"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69" w:lineRule="exact"/>
        <w:rPr>
          <w:sz w:val="20"/>
          <w:szCs w:val="20"/>
          <w:color w:val="auto"/>
        </w:rPr>
      </w:pPr>
    </w:p>
    <w:p>
      <w:pPr>
        <w:ind w:right="40" w:firstLine="456"/>
        <w:spacing w:after="0" w:line="267"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6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8" w:lineRule="exact"/>
        <w:rPr>
          <w:sz w:val="20"/>
          <w:szCs w:val="20"/>
          <w:color w:val="auto"/>
        </w:rPr>
      </w:pPr>
    </w:p>
    <w:p>
      <w:pPr>
        <w:ind w:right="100"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6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60" w:lineRule="exact"/>
        <w:rPr>
          <w:sz w:val="20"/>
          <w:szCs w:val="20"/>
          <w:color w:val="auto"/>
        </w:rPr>
      </w:pPr>
    </w:p>
    <w:p>
      <w:pPr>
        <w:jc w:val="both"/>
        <w:ind w:left="540" w:right="140" w:hanging="316"/>
        <w:spacing w:after="0" w:line="22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65"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42"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1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Funding I may fail to meet certain asset coverage tests, which would have an adverse effect on the timing of payments to us, or otherwise fail to satisfy various covenants.</w:t>
      </w:r>
    </w:p>
    <w:p>
      <w:pPr>
        <w:spacing w:after="0" w:line="92"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69"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of June 30, 2013, we had outstanding borrowings of $85.6 million under our Credit Facility with an annual interest rate of 2.20% exclusive of the fees on the undrawn commitment of 0.375%. Accordingly, to cover the annual interest on our borrowings outstanding at June 30, 2013, at the then current rate, we would have to receive an annual yield of at least 0.72%.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39"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June 30, 2013 of 33%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2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60" w:type="dxa"/>
            <w:vAlign w:val="bottom"/>
          </w:tcPr>
          <w:p>
            <w:pPr>
              <w:jc w:val="right"/>
              <w:ind w:right="72"/>
              <w:spacing w:after="0"/>
              <w:rPr>
                <w:sz w:val="20"/>
                <w:szCs w:val="20"/>
                <w:color w:val="auto"/>
              </w:rPr>
            </w:pPr>
            <w:r>
              <w:rPr>
                <w:rFonts w:ascii="Arial" w:cs="Arial" w:eastAsia="Arial" w:hAnsi="Arial"/>
                <w:sz w:val="14"/>
                <w:szCs w:val="14"/>
                <w:color w:val="auto"/>
              </w:rPr>
              <w:t>(19.6)%</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(10.4)%</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7.8%</w:t>
            </w:r>
          </w:p>
        </w:tc>
        <w:tc>
          <w:tcPr>
            <w:tcW w:w="520" w:type="dxa"/>
            <w:vAlign w:val="bottom"/>
          </w:tcPr>
          <w:p>
            <w:pPr>
              <w:jc w:val="right"/>
              <w:spacing w:after="0"/>
              <w:rPr>
                <w:sz w:val="20"/>
                <w:szCs w:val="20"/>
                <w:color w:val="auto"/>
              </w:rPr>
            </w:pPr>
            <w:r>
              <w:rPr>
                <w:rFonts w:ascii="Arial" w:cs="Arial" w:eastAsia="Arial" w:hAnsi="Arial"/>
                <w:sz w:val="14"/>
                <w:szCs w:val="14"/>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5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2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58"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net asset value and market value of our common stock may become more volatile.</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 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69"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securities or convertible debt may be volatile.</w:t>
      </w:r>
    </w:p>
    <w:p>
      <w:pPr>
        <w:spacing w:after="0" w:line="69" w:lineRule="exact"/>
        <w:rPr>
          <w:sz w:val="20"/>
          <w:szCs w:val="20"/>
          <w:color w:val="auto"/>
        </w:rPr>
      </w:pPr>
    </w:p>
    <w:p>
      <w:pPr>
        <w:ind w:right="460" w:firstLine="456"/>
        <w:spacing w:after="0" w:line="233" w:lineRule="auto"/>
        <w:rPr>
          <w:sz w:val="20"/>
          <w:szCs w:val="20"/>
          <w:color w:val="auto"/>
        </w:rPr>
      </w:pPr>
      <w:r>
        <w:rPr>
          <w:rFonts w:ascii="Arial" w:cs="Arial" w:eastAsia="Arial" w:hAnsi="Arial"/>
          <w:sz w:val="14"/>
          <w:szCs w:val="14"/>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6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At June 30,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rely in part on our over-the-counter securities, which faced liquidity constraints under recent market conditions, to provide us with additional liquidity.</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8"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7"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2"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6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6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6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69"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$14.14 and $12.67 as of June 30, 2013 and September 30, 2012, respectively. Our NAV was $13.98 and $13.98 as of June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6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dividends in which case they may be required to pay taxes in excess of the cash they receive.</w:t>
      </w:r>
    </w:p>
    <w:p>
      <w:pPr>
        <w:spacing w:after="0" w:line="92"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20"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7"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3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94"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As of June 30, 2013, we had $85.6 million in borrowings outstanding under our $125 million Credit Facility. Borrowings under our Credit Facility bear interest at LIBOR plus 200 basis points per annum during the revolving period, and the rate resets to LIBOR plus 425 basis points per annum for the remaining two years. At June 30, 2013, the interest rate was 2.20%.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nine months ended June 30, 2013, are not necessarily indicative of the results that may be expected for the year ending September 30, 2013. The unaudited selected financial data for the nine months ended June 30, 2013 and 2012, should be read in conjunction with our consolidated financial statements and related notes thereto and “Management’s Discussion and Analysis of Financial Condition and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210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1"/>
              </w:rPr>
              <w:t>$ 12,773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  8,611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12,099</w:t>
            </w:r>
          </w:p>
        </w:tc>
        <w:tc>
          <w:tcPr>
            <w:tcW w:w="660" w:type="dxa"/>
            <w:vAlign w:val="bottom"/>
          </w:tcPr>
          <w:p>
            <w:pPr>
              <w:spacing w:after="0"/>
              <w:rPr>
                <w:sz w:val="12"/>
                <w:szCs w:val="12"/>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after Credit Facility debt issuance and excise taxes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5,831</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3,845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6,942</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4,766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6,310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20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(404)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6,538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8,017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11,961</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13.98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13.94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0.86</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Net realized and unrealized (loss) gain</w:t>
            </w:r>
            <w:r>
              <w:rPr>
                <w:rFonts w:ascii="Arial" w:cs="Arial" w:eastAsia="Arial" w:hAnsi="Arial"/>
                <w:sz w:val="17"/>
                <w:szCs w:val="17"/>
                <w:color w:val="auto"/>
                <w:vertAlign w:val="superscript"/>
              </w:rPr>
              <w:t>(2)</w:t>
            </w:r>
          </w:p>
        </w:tc>
        <w:tc>
          <w:tcPr>
            <w:tcW w:w="120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(0.05)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0.47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0.81</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(2),(3)</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0.76</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 (at period end):</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263,249</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159,613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178,367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121,075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98"/>
              </w:rPr>
              <w:t>250,514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154,979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Credit Facility payable, at fair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85,600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54,128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75,123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30,515</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3,358</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144,093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95,500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95,744</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92,072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12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17.94%</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19.45%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29.43%</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(1)</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78</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6460" w:type="dxa"/>
            <w:vAlign w:val="bottom"/>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(1)</w:t>
            </w:r>
          </w:p>
        </w:tc>
        <w:tc>
          <w:tcPr>
            <w:tcW w:w="1200" w:type="dxa"/>
            <w:vAlign w:val="bottom"/>
            <w:gridSpan w:val="2"/>
          </w:tcPr>
          <w:p>
            <w:pPr>
              <w:jc w:val="right"/>
              <w:ind w:right="512"/>
              <w:spacing w:after="0"/>
              <w:rPr>
                <w:sz w:val="20"/>
                <w:szCs w:val="20"/>
                <w:color w:val="auto"/>
              </w:rPr>
            </w:pPr>
            <w:r>
              <w:rPr>
                <w:rFonts w:ascii="Arial" w:cs="Arial" w:eastAsia="Arial" w:hAnsi="Arial"/>
                <w:sz w:val="14"/>
                <w:szCs w:val="14"/>
                <w:color w:val="auto"/>
              </w:rPr>
              <w:t>8.1%</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34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Unaudited.</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the basic weighted average shares outstanding for the respective periods.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2"/>
                <w:szCs w:val="12"/>
                <w:color w:val="auto"/>
              </w:rPr>
            </w:pPr>
          </w:p>
        </w:tc>
        <w:tc>
          <w:tcPr>
            <w:tcW w:w="108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7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4,670</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3,217</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2,059</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1,567</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14.10</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1,544</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1,846</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(1,459)</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3,944</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0.58</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13.94</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14.12</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12.67</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Q3*</w:t>
            </w:r>
          </w:p>
        </w:tc>
        <w:tc>
          <w:tcPr>
            <w:tcW w:w="2860" w:type="dxa"/>
            <w:vAlign w:val="bottom"/>
          </w:tcPr>
          <w:p>
            <w:pPr>
              <w:spacing w:after="0"/>
              <w:rPr>
                <w:sz w:val="12"/>
                <w:szCs w:val="12"/>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2860" w:type="dxa"/>
            <w:vAlign w:val="bottom"/>
            <w:tcBorders>
              <w:top w:val="single" w:sz="8" w:color="CCEEFF"/>
            </w:tcBorders>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1,203</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tcPr>
          <w:p>
            <w:pPr>
              <w:jc w:val="right"/>
              <w:ind w:right="282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(4,012)</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2860" w:type="dxa"/>
            <w:vAlign w:val="bottom"/>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(2,809)</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tcPr>
          <w:p>
            <w:pPr>
              <w:jc w:val="right"/>
              <w:ind w:right="282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net assets resulting from operations per common share</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(0.41)</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shd w:val="clear" w:color="auto" w:fill="CCEEFF"/>
          </w:tcPr>
          <w:p>
            <w:pPr>
              <w:jc w:val="right"/>
              <w:ind w:right="282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13.44</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2860" w:type="dxa"/>
            <w:vAlign w:val="bottom"/>
          </w:tcPr>
          <w:p>
            <w:pPr>
              <w:spacing w:after="0"/>
              <w:rPr>
                <w:sz w:val="12"/>
                <w:szCs w:val="12"/>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10.55</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28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ind w:right="6940" w:firstLine="8"/>
        <w:spacing w:after="0" w:line="318" w:lineRule="auto"/>
        <w:tabs>
          <w:tab w:leader="none" w:pos="216"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the period March 4, 2011 (commencement of operations) to June 30, 2011. ** Based on the weighted average shares outstanding for the respective periods.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investments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36"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jc w:val="both"/>
        <w:ind w:firstLine="456"/>
        <w:spacing w:after="0" w:line="278" w:lineRule="auto"/>
        <w:rPr>
          <w:sz w:val="20"/>
          <w:szCs w:val="20"/>
          <w:color w:val="auto"/>
        </w:rPr>
      </w:pPr>
      <w:r>
        <w:rPr>
          <w:rFonts w:ascii="Arial" w:cs="Arial" w:eastAsia="Arial" w:hAnsi="Arial"/>
          <w:sz w:val="12"/>
          <w:szCs w:val="12"/>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20" w:hanging="316"/>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60" w:hanging="316"/>
        <w:spacing w:after="0" w:line="233"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“Total Estimated Annual Expenses” be calculated as a percentage of average net assets in the table on page 4 of this prospectus rather than as a percentage of average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table below illustrates our “Total Estimated Annual Expenses” as a percentage of average total assets:</w:t>
      </w:r>
    </w:p>
    <w:p>
      <w:pPr>
        <w:spacing w:after="0" w:line="140" w:lineRule="exact"/>
        <w:rPr>
          <w:sz w:val="20"/>
          <w:szCs w:val="20"/>
          <w:color w:val="auto"/>
        </w:rPr>
      </w:pPr>
    </w:p>
    <w:tbl>
      <w:tblPr>
        <w:tblLayout w:type="fixed"/>
        <w:tblInd w:w="18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400" w:type="dxa"/>
            <w:vAlign w:val="bottom"/>
          </w:tcPr>
          <w:p>
            <w:pPr>
              <w:ind w:left="178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r>
              <w:rPr>
                <w:rFonts w:ascii="Arial" w:cs="Arial" w:eastAsia="Arial" w:hAnsi="Arial"/>
                <w:sz w:val="22"/>
                <w:szCs w:val="22"/>
                <w:b w:val="1"/>
                <w:bCs w:val="1"/>
                <w:color w:val="auto"/>
                <w:w w:val="94"/>
                <w:vertAlign w:val="superscript"/>
              </w:rPr>
              <w:t>(1)</w:t>
            </w:r>
            <w:r>
              <w:rPr>
                <w:rFonts w:ascii="Arial" w:cs="Arial" w:eastAsia="Arial" w:hAnsi="Arial"/>
                <w:sz w:val="14"/>
                <w:szCs w:val="14"/>
                <w:b w:val="1"/>
                <w:bCs w:val="1"/>
                <w:color w:val="auto"/>
                <w:w w:val="94"/>
              </w:rPr>
              <w:t>)</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1180" w:type="dxa"/>
            <w:vAlign w:val="bottom"/>
          </w:tcPr>
          <w:p>
            <w:pPr>
              <w:jc w:val="right"/>
              <w:spacing w:after="0" w:line="149" w:lineRule="exact"/>
              <w:rPr>
                <w:sz w:val="20"/>
                <w:szCs w:val="20"/>
                <w:color w:val="auto"/>
              </w:rPr>
            </w:pPr>
            <w:r>
              <w:rPr>
                <w:rFonts w:ascii="Arial" w:cs="Arial" w:eastAsia="Arial" w:hAnsi="Arial"/>
                <w:sz w:val="11"/>
                <w:szCs w:val="11"/>
                <w:color w:val="auto"/>
              </w:rPr>
              <w:t xml:space="preserve">0.77 % </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borrowed funds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0.87 % </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color w:val="auto"/>
              </w:rPr>
              <w:t xml:space="preserve">0.80 % </w:t>
            </w:r>
            <w:r>
              <w:rPr>
                <w:rFonts w:ascii="Arial" w:cs="Arial" w:eastAsia="Arial" w:hAnsi="Arial"/>
                <w:sz w:val="17"/>
                <w:szCs w:val="17"/>
                <w:color w:val="auto"/>
                <w:vertAlign w:val="superscript"/>
              </w:rPr>
              <w:t>(5)</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estimated annual expenses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3.44 % </w:t>
            </w:r>
            <w:r>
              <w:rPr>
                <w:rFonts w:ascii="Arial" w:cs="Arial" w:eastAsia="Arial" w:hAnsi="Arial"/>
                <w:sz w:val="17"/>
                <w:szCs w:val="17"/>
                <w:color w:val="auto"/>
                <w:vertAlign w:val="superscript"/>
              </w:rPr>
              <w:t>(6)</w:t>
            </w:r>
          </w:p>
        </w:tc>
        <w:tc>
          <w:tcPr>
            <w:tcW w:w="160" w:type="dxa"/>
            <w:vAlign w:val="bottom"/>
            <w:shd w:val="clear" w:color="auto" w:fill="CCEEFF"/>
          </w:tcPr>
          <w:p>
            <w:pPr>
              <w:spacing w:after="0"/>
              <w:rPr>
                <w:sz w:val="12"/>
                <w:szCs w:val="12"/>
                <w:color w:val="auto"/>
              </w:rPr>
            </w:pPr>
          </w:p>
        </w:tc>
      </w:tr>
    </w:tbl>
    <w:p>
      <w:pPr>
        <w:spacing w:after="0" w:line="273" w:lineRule="exact"/>
        <w:rPr>
          <w:sz w:val="20"/>
          <w:szCs w:val="20"/>
          <w:color w:val="auto"/>
        </w:rPr>
      </w:pPr>
    </w:p>
    <w:p>
      <w:pPr>
        <w:ind w:left="340" w:right="160" w:hanging="332"/>
        <w:spacing w:after="0" w:line="23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Gross assets attributable to common shares equals average gross assets as of June 30, 2013, adjusted for the net proceeds of $64.4 million issued in connection with our July 2013 offering (including the underwriters’ over allotment that was exercised).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5"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June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June 30, 2013, our cumulative realized gains exceeded our cumulative unrealized capital gains and losses, thus, we have an accrued payable for capital gains incentive fee of $0.3 million in accordance with U.S. generally accepted accounting principles, or GAAP. Accordingly, presented above, “Incentive fees” include the capital gains incentive fee accrual under GAAP and does not include an accrual for capital gains incentive fee payable under our Investment Management Agreement as of June 30, 2013. As we cannot predict our future net investment income or capital gains, the incentive fee paid in future periods, if any, may be substantially different than the fee accrued as of June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340" w:right="80" w:hanging="332"/>
        <w:spacing w:after="0" w:line="273"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As of June 30, 2013, we had $85.6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 w:hanging="332"/>
        <w:spacing w:after="0" w:line="288"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2013.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June 30, 2013 as-adjusted for the net proceeds in connection with our July 2013 offering as more fully described in note 1 above.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60" w:hanging="334"/>
        <w:spacing w:after="0" w:line="239"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80" w:hanging="334"/>
        <w:spacing w:after="0" w:line="288" w:lineRule="auto"/>
        <w:tabs>
          <w:tab w:leader="none" w:pos="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20" w:hanging="334"/>
        <w:spacing w:after="0" w:line="239"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60" w:hanging="334"/>
        <w:spacing w:after="0" w:line="239"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less than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4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June 30, 2013, our portfolio totaled $250.5 million and consisted of $228.5 million of senior secured loans, $13.2 million of second lien secured debt and $8.8 million of subordinated debt, preferred and common equity investments. Our debt portfolio consisted of 91% variable-rate investments (including 88% with a LIBOR or prime floor) and 9% fixed-rate investments. Overall, the portfolio had unrealized depreciation of $3.0 million. Our overall portfolio consisted of 78 companies with an average investment size of $3.2 million, had a weighted average yield on debt investments of 8.1%, and was invested 91% in senior secured loans, 5% in second lien secured debt and 4% in subordinated debt, preferred and common equity investments.</w:t>
      </w:r>
    </w:p>
    <w:p>
      <w:pPr>
        <w:spacing w:after="0" w:line="117"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7"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11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2"/>
          <w:szCs w:val="12"/>
          <w:color w:val="auto"/>
        </w:rPr>
        <w:t>For the three months ended June 30, 2012, we invested $27.7 million in 11 new and two existing portfolio companies with a weighted average yield on debt investments of 9.3%. Sales and repayments of investments for the three months ended June 30, 2012 totaled $15.4 million. For the nine months ended June 30, 2012, we invested $99.9 million in 36 new and four existing portfolio companies with a weighted average yield on debt investments of 9.2%. Sales and repayments of investments for the nine months ended June 30, 2012 totaled $57.0 million.</w:t>
      </w:r>
    </w:p>
    <w:p>
      <w:pPr>
        <w:spacing w:after="0" w:line="111"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2013 and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Investment income for the three and nine months ended June 30, 2013 was $4.7 million and $12.8 million, respectively, and was attributable to $3.9 million and $10.8 million from senior secured loans, $0.5 million and $1.0 million from second lien secured debt investments and $0.3 million and $1.0 million from subordinated debt investments, respectively. This compares to investment income for the three and nine months ended June 30, 2012, which was $3.2 million and $8.6 million, respectively, and was attributable to $2.7 million and $7.0 million from senior secured loans, $0.2 million and $0.8 million from second lien secured debt investments and $0.3 million and $0.5 million from subordinated debt investments, respectively. The increase in investment income compared with the same periods in the prior year is primarily the result of deploying our proceeds from our March 2013 equity offering.</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Expenses for the three and nine months ended June 30, 2013 totaled $1.5 million and $5.8 million, respectively. Base management fee for the same periods totaled $0.5 million and $1.5 million, incentive fee totaled less than $0.1 million and $1.0 million, Credit Facility expenses totaled $0.4 million and $1.8 million (including $0.5 million of Credit Facility amendment expenses), general and administrative expenses totaled $0.5 million and $1.4 million and excise taxes were $0.1 million, respectively. This compares to expenses for the three and nine months ended June 30, 2012, which totaled $1.4 million and $3.8 million, respectively. Base management fee for the same periods in the prior year totaled $0.4 million and $1.1 million, incentive fee totaled $(0.1) million and $0.1 million, Credit Facility expenses totaled $0.7 million and $1.3 million (including $0.3 million of non-recurring expenses) and general and administrative expenses totaled $0.4 million and $1.4 million, respectively. The increase in management fee, incentive fee and Credit Facility expenses was due to the growth of our portfolio and expanding our borrowing capacity under our Credit Facility.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Net investment income totaled $3.2 million and $7.0 million, or $0.31 and $0.86 per share, for the three and nine months ended June 30, 2013, respectively. Net investment income totaled $1.8 million and $4.8 million, or $0.27 and $0.70 per share, for the three and nine months ended June 30, 2012, respectively. The increase in net investment income was due to a larger portfolio and higher yielding assets offset by higher Credit Facility expenses and management and incentive fees.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2013 totaled $46.4 million and $120.7 million and realized gains totaled $1.7 million and $3.2 million, respectively. Sales and repayments of investments for the three and nine months ended June 30, 2012 totaled $15.4 million and $57.0 million and realized gains totaled $0.2 million and $0.6 million, respectively. The increase in realized gains was driven by a higher volume of sales and early repayments than the comparable periods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For the three and nine months ended June 30, 2013, we reported unrealized depreciation on investments of $3.3 million and $3.2 million, respectively. For the three and nine months ended June 30, 2012, we reported unrealized (depreciation) appreciation on investments of $(1.7) million and $2.4 million, respectively. As of June 30, 2013 and September 30, 2012, net unrealized (depreciation) appreciation on investments totaled $(3.0) million and $0.3 million, respectively. The decrease in unrealized appreciation for current periods compared to prior periods was the result of the reversal of unrealized gains upon exiting our investments and changes in market values.</w:t>
      </w:r>
    </w:p>
    <w:p>
      <w:pPr>
        <w:spacing w:after="0" w:line="139" w:lineRule="exact"/>
        <w:rPr>
          <w:sz w:val="20"/>
          <w:szCs w:val="20"/>
          <w:color w:val="auto"/>
        </w:rPr>
      </w:pPr>
    </w:p>
    <w:p>
      <w:pPr>
        <w:ind w:right="300" w:firstLine="456"/>
        <w:spacing w:after="0" w:line="230" w:lineRule="auto"/>
        <w:rPr>
          <w:sz w:val="20"/>
          <w:szCs w:val="20"/>
          <w:color w:val="auto"/>
        </w:rPr>
      </w:pPr>
      <w:r>
        <w:rPr>
          <w:rFonts w:ascii="Arial" w:cs="Arial" w:eastAsia="Arial" w:hAnsi="Arial"/>
          <w:sz w:val="14"/>
          <w:szCs w:val="14"/>
          <w:color w:val="auto"/>
        </w:rPr>
        <w:t>For the three and nine months ended June 30, 2013, our long-term Credit Facility had a change in unrealized appreciation of zero and $0.4 million, respectively. For the three and nine months ended June 30, 2012, our long-term Credit Facility had a change in unrealized depreciation of less than $0.1 million and $0.3 million, respectively. As of June 30,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$1.6 million and $6.5 million, or $0.15 and $0.81 per share, respectively, for the three and nine months ended June 30, 2013. This compares to a net increase in net assets resulting from operations which totaled $0.4 million and $8.0 million, or $0.06 and $1.17 per share, respectively, for the three and nine months ended June 30, 2012. The decrease in net assets resulting from operations compared to last year was due to changes in the market values of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right="1540" w:firstLine="456"/>
        <w:spacing w:after="0" w:line="342" w:lineRule="auto"/>
        <w:rPr>
          <w:sz w:val="20"/>
          <w:szCs w:val="20"/>
          <w:color w:val="auto"/>
        </w:rPr>
      </w:pPr>
      <w:r>
        <w:rPr>
          <w:rFonts w:ascii="Arial" w:cs="Arial" w:eastAsia="Arial" w:hAnsi="Arial"/>
          <w:sz w:val="14"/>
          <w:szCs w:val="14"/>
          <w:color w:val="auto"/>
        </w:rPr>
        <w:t xml:space="preserve">Set forth below are the results of operations for the year ended September 30, 2012 and the period from March 4, 2011 (commencement of operations) to September 30, 2011. </w:t>
      </w:r>
      <w:r>
        <w:rPr>
          <w:rFonts w:ascii="Arial" w:cs="Arial" w:eastAsia="Arial" w:hAnsi="Arial"/>
          <w:sz w:val="14"/>
          <w:szCs w:val="14"/>
          <w:b w:val="1"/>
          <w:bCs w:val="1"/>
          <w:i w:val="1"/>
          <w:iCs w:val="1"/>
          <w:color w:val="auto"/>
        </w:rPr>
        <w:t>Investment Income</w:t>
      </w:r>
    </w:p>
    <w:p>
      <w:pPr>
        <w:ind w:right="100" w:firstLine="456"/>
        <w:spacing w:after="0" w:line="230" w:lineRule="auto"/>
        <w:rPr>
          <w:sz w:val="20"/>
          <w:szCs w:val="20"/>
          <w:color w:val="auto"/>
        </w:rPr>
      </w:pPr>
      <w:r>
        <w:rPr>
          <w:rFonts w:ascii="Arial" w:cs="Arial" w:eastAsia="Arial" w:hAnsi="Arial"/>
          <w:sz w:val="14"/>
          <w:szCs w:val="14"/>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jc w:val="both"/>
        <w:ind w:right="140" w:firstLine="456"/>
        <w:spacing w:after="0" w:line="230" w:lineRule="auto"/>
        <w:rPr>
          <w:sz w:val="20"/>
          <w:szCs w:val="20"/>
          <w:color w:val="auto"/>
        </w:rPr>
      </w:pPr>
      <w:r>
        <w:rPr>
          <w:rFonts w:ascii="Arial" w:cs="Arial" w:eastAsia="Arial" w:hAnsi="Arial"/>
          <w:sz w:val="14"/>
          <w:szCs w:val="14"/>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58" w:lineRule="exact"/>
        <w:rPr>
          <w:sz w:val="20"/>
          <w:szCs w:val="20"/>
          <w:color w:val="auto"/>
        </w:rPr>
      </w:pPr>
    </w:p>
    <w:p>
      <w:pPr>
        <w:jc w:val="both"/>
        <w:ind w:right="240" w:firstLine="45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3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or Decrease in Net Assets Resulting from Operations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9"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Funding I’s Credit Facility with the Lender, is $125 million, subject to satisfaction of certain conditions and the regulatory restrictions that the 1940 Act imposes on us as a BDC, has an interest rate spread above LIBOR of 200 basis points, a maturity date of May 2018 and a revolving period ending in May 2016. As of June 30, 2013 and September 30, 2012 and 2011, Funding I had $85.6 million, $75.5 million and $24.7 million of outstanding borrowings under the Credit Facility, respectively, and carried an interest rate of 2.20%, 2.47% and 2.53%, respectively, excluding the 0.375%, 0.375% and 0.500% undrawn commitment fee, respectively.</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June 30, 2013, we were in compliance with the covenants relating to our Credit Facility.</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4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 In March 2013, we completed a follow-on public offering, including the underwriters’ exercise of the overallotment option,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2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At June 30, 2013 and September 30, 2012 and 2011, we had cash equivalents of $6.9 million, $3.8 million and $7.0 million, respectively, available for investing and general corporate purposes. We believe our liquidity and capital resources are sufficient to take advantage of market opportunities.</w:t>
      </w:r>
    </w:p>
    <w:p>
      <w:pPr>
        <w:spacing w:after="0" w:line="139"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94"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Our operating activities used cash of $28.9 million for the nine months ended June 30, 2012, and our financing activities provided cash of $25.2 million for the same period. Our operating activities used cash primarily for our investment activity that was financed by net draws under the Credit Facility.</w:t>
      </w:r>
    </w:p>
    <w:p>
      <w:pPr>
        <w:spacing w:after="0" w:line="13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summary of our significant contractual payment obligations as of June 30, 2013, including borrowings under our Credit Facility and other contractual obligations,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252"/>
              <w:spacing w:after="0"/>
              <w:rPr>
                <w:sz w:val="20"/>
                <w:szCs w:val="20"/>
                <w:color w:val="auto"/>
              </w:rPr>
            </w:pPr>
            <w:r>
              <w:rPr>
                <w:rFonts w:ascii="Arial" w:cs="Arial" w:eastAsia="Arial" w:hAnsi="Arial"/>
                <w:sz w:val="14"/>
                <w:szCs w:val="14"/>
                <w:b w:val="1"/>
                <w:bCs w:val="1"/>
                <w:color w:val="auto"/>
                <w:w w:val="86"/>
              </w:rPr>
              <w:t>Payments due by period (in millions)</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Less than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spacing w:after="0"/>
              <w:rPr>
                <w:sz w:val="11"/>
                <w:szCs w:val="11"/>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85.6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jc w:val="both"/>
        <w:ind w:right="80" w:firstLine="456"/>
        <w:spacing w:after="0" w:line="278" w:lineRule="auto"/>
        <w:rPr>
          <w:sz w:val="20"/>
          <w:szCs w:val="20"/>
          <w:color w:val="auto"/>
        </w:rPr>
      </w:pPr>
      <w:r>
        <w:rPr>
          <w:rFonts w:ascii="Arial" w:cs="Arial" w:eastAsia="Arial" w:hAnsi="Arial"/>
          <w:sz w:val="12"/>
          <w:szCs w:val="12"/>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3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net ordinary income to provide us with additional liquidity.</w:t>
      </w:r>
    </w:p>
    <w:p>
      <w:pPr>
        <w:spacing w:after="0" w:line="123"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During the three and nine months ended June 30, 2013, we declared to stockholders distributions of $0.263 and $0.765 per share, for total distributions of $2.7 million and $6.1 million, respectively. For the same periods in the prior year, we declared distributions of $0.235 and $0.670 per share, respectively, for total distributions of $1.6 million and $4.6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 quarterly.</w:t>
      </w:r>
    </w:p>
    <w:p>
      <w:pPr>
        <w:spacing w:after="0" w:line="15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39" w:lineRule="exact"/>
        <w:rPr>
          <w:sz w:val="20"/>
          <w:szCs w:val="20"/>
          <w:color w:val="auto"/>
        </w:rPr>
      </w:pPr>
    </w:p>
    <w:p>
      <w:pPr>
        <w:jc w:val="both"/>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52" w:lineRule="exact"/>
        <w:rPr>
          <w:sz w:val="20"/>
          <w:szCs w:val="20"/>
          <w:color w:val="auto"/>
        </w:rPr>
      </w:pPr>
    </w:p>
    <w:p>
      <w:pPr>
        <w:ind w:right="120" w:firstLine="799"/>
        <w:spacing w:after="0" w:line="239" w:lineRule="auto"/>
        <w:rPr>
          <w:sz w:val="20"/>
          <w:szCs w:val="20"/>
          <w:color w:val="auto"/>
        </w:rPr>
      </w:pPr>
      <w:r>
        <w:rPr>
          <w:rFonts w:ascii="Arial" w:cs="Arial" w:eastAsia="Arial" w:hAnsi="Arial"/>
          <w:sz w:val="14"/>
          <w:szCs w:val="14"/>
          <w:color w:val="auto"/>
        </w:rPr>
        <w:t>In connection with our July 2013 public offering, we issued approximately 4.6 million shares (including underwriters’ overallotment option) of common stock at a public offering price of $14.20 per share, raising approximately $65.1 million in gross proceeds.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are subject to financial market risks, including changes in interest rates. As of June 30, 2013, our debt portfolio consisted of 91% variable-rate investments (including 88% with a LIBOR or prime floor) and 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4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20" w:type="dxa"/>
            <w:vAlign w:val="bottom"/>
            <w:gridSpan w:val="3"/>
          </w:tcPr>
          <w:p>
            <w:pPr>
              <w:jc w:val="center"/>
              <w:ind w:left="3892"/>
              <w:spacing w:after="0"/>
              <w:rPr>
                <w:sz w:val="20"/>
                <w:szCs w:val="20"/>
                <w:color w:val="auto"/>
              </w:rPr>
            </w:pPr>
            <w:r>
              <w:rPr>
                <w:rFonts w:ascii="Arial" w:cs="Arial" w:eastAsia="Arial" w:hAnsi="Arial"/>
                <w:sz w:val="14"/>
                <w:szCs w:val="14"/>
                <w:b w:val="1"/>
                <w:bCs w:val="1"/>
                <w:color w:val="auto"/>
                <w:w w:val="90"/>
              </w:rPr>
              <w:t>Change In Interest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44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440" w:type="dxa"/>
            <w:vAlign w:val="bottom"/>
          </w:tcPr>
          <w:p>
            <w:pPr>
              <w:spacing w:after="0"/>
              <w:rPr>
                <w:sz w:val="14"/>
                <w:szCs w:val="14"/>
                <w:color w:val="auto"/>
              </w:rPr>
            </w:pPr>
          </w:p>
        </w:tc>
        <w:tc>
          <w:tcPr>
            <w:tcW w:w="15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Interest Expense</w:t>
            </w:r>
          </w:p>
        </w:tc>
        <w:tc>
          <w:tcPr>
            <w:tcW w:w="1120" w:type="dxa"/>
            <w:vAlign w:val="bottom"/>
            <w:gridSpan w:val="4"/>
          </w:tcPr>
          <w:p>
            <w:pPr>
              <w:ind w:left="460"/>
              <w:spacing w:after="0" w:line="148"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36"/>
        </w:trPr>
        <w:tc>
          <w:tcPr>
            <w:tcW w:w="154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Up 1%</w:t>
            </w:r>
          </w:p>
        </w:tc>
        <w:tc>
          <w:tcPr>
            <w:tcW w:w="44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(760,458)</w:t>
            </w:r>
          </w:p>
        </w:tc>
        <w:tc>
          <w:tcPr>
            <w:tcW w:w="4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(0.07)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Up 2%</w:t>
            </w:r>
          </w:p>
        </w:tc>
        <w:tc>
          <w:tcPr>
            <w:tcW w:w="5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144,173</w:t>
            </w:r>
          </w:p>
        </w:tc>
        <w:tc>
          <w:tcPr>
            <w:tcW w:w="480" w:type="dxa"/>
            <w:vAlign w:val="bottom"/>
          </w:tcPr>
          <w:p>
            <w:pPr>
              <w:spacing w:after="0"/>
              <w:rPr>
                <w:sz w:val="12"/>
                <w:szCs w:val="12"/>
                <w:color w:val="auto"/>
              </w:rPr>
            </w:pPr>
          </w:p>
        </w:tc>
        <w:tc>
          <w:tcPr>
            <w:tcW w:w="6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5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1,635,040</w:t>
            </w: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40" w:type="dxa"/>
            <w:vAlign w:val="bottom"/>
          </w:tcPr>
          <w:p>
            <w:pPr>
              <w:spacing w:after="0"/>
              <w:rPr>
                <w:sz w:val="20"/>
                <w:szCs w:val="20"/>
                <w:color w:val="auto"/>
              </w:rPr>
            </w:pPr>
            <w:r>
              <w:rPr>
                <w:rFonts w:ascii="Arial" w:cs="Arial" w:eastAsia="Arial" w:hAnsi="Arial"/>
                <w:sz w:val="14"/>
                <w:szCs w:val="14"/>
                <w:color w:val="auto"/>
              </w:rPr>
              <w:t>Up 4%</w:t>
            </w:r>
          </w:p>
        </w:tc>
        <w:tc>
          <w:tcPr>
            <w:tcW w:w="5540" w:type="dxa"/>
            <w:vAlign w:val="bottom"/>
            <w:gridSpan w:val="2"/>
          </w:tcPr>
          <w:p>
            <w:pPr>
              <w:jc w:val="right"/>
              <w:spacing w:after="0"/>
              <w:rPr>
                <w:sz w:val="20"/>
                <w:szCs w:val="20"/>
                <w:color w:val="auto"/>
              </w:rPr>
            </w:pPr>
            <w:r>
              <w:rPr>
                <w:rFonts w:ascii="Arial" w:cs="Arial" w:eastAsia="Arial" w:hAnsi="Arial"/>
                <w:sz w:val="14"/>
                <w:szCs w:val="14"/>
                <w:color w:val="auto"/>
              </w:rPr>
              <w:t>3,125,906</w:t>
            </w:r>
          </w:p>
        </w:tc>
        <w:tc>
          <w:tcPr>
            <w:tcW w:w="480" w:type="dxa"/>
            <w:vAlign w:val="bottom"/>
          </w:tcPr>
          <w:p>
            <w:pPr>
              <w:spacing w:after="0"/>
              <w:rPr>
                <w:sz w:val="14"/>
                <w:szCs w:val="14"/>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Information about our senior securities shown in the following table as of June 30,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2013 (as of June 30, 2013)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$85,600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$2,683</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Fiscal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$75,500</w:t>
            </w: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$2,275</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$4,735</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7"/>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August 8, 2013, the last reported closing price of our common stock was $14.02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High Closing</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Low Closing</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ind w:left="260"/>
              <w:spacing w:after="0" w:line="145" w:lineRule="exact"/>
              <w:rPr>
                <w:sz w:val="20"/>
                <w:szCs w:val="20"/>
                <w:color w:val="auto"/>
              </w:rPr>
            </w:pPr>
            <w:r>
              <w:rPr>
                <w:rFonts w:ascii="Arial" w:cs="Arial" w:eastAsia="Arial" w:hAnsi="Arial"/>
                <w:sz w:val="14"/>
                <w:szCs w:val="14"/>
                <w:b w:val="1"/>
                <w:bCs w:val="1"/>
                <w:color w:val="auto"/>
              </w:rPr>
              <w:t>Closing Price</w:t>
            </w: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5"/>
              </w:rPr>
              <w:t>Price to</w:t>
            </w:r>
          </w:p>
        </w:tc>
        <w:tc>
          <w:tcPr>
            <w:tcW w:w="122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9"/>
              </w:rPr>
              <w:t>Price to</w:t>
            </w: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Period</w:t>
            </w:r>
          </w:p>
        </w:tc>
        <w:tc>
          <w:tcPr>
            <w:tcW w:w="3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5"/>
                <w:szCs w:val="15"/>
                <w:b w:val="1"/>
                <w:bCs w:val="1"/>
                <w:color w:val="auto"/>
                <w:vertAlign w:val="superscript"/>
              </w:rPr>
              <w:t>(1)</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20" w:type="dxa"/>
            <w:vAlign w:val="bottom"/>
            <w:gridSpan w:val="2"/>
          </w:tcPr>
          <w:p>
            <w:pPr>
              <w:jc w:val="center"/>
              <w:ind w:right="42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00" w:type="dxa"/>
            <w:vAlign w:val="bottom"/>
          </w:tcPr>
          <w:p>
            <w:pPr>
              <w:spacing w:after="0"/>
              <w:rPr>
                <w:sz w:val="13"/>
                <w:szCs w:val="13"/>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36"/>
        </w:trPr>
        <w:tc>
          <w:tcPr>
            <w:tcW w:w="39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Fiscal year ending September 30, 2013</w:t>
            </w:r>
          </w:p>
        </w:tc>
        <w:tc>
          <w:tcPr>
            <w:tcW w:w="17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spacing w:after="0"/>
              <w:rPr>
                <w:sz w:val="20"/>
                <w:szCs w:val="20"/>
                <w:color w:val="auto"/>
              </w:rPr>
            </w:pPr>
            <w:r>
              <w:rPr>
                <w:rFonts w:ascii="Arial" w:cs="Arial" w:eastAsia="Arial" w:hAnsi="Arial"/>
                <w:sz w:val="14"/>
                <w:szCs w:val="14"/>
                <w:color w:val="auto"/>
              </w:rPr>
              <w:t>Fourth quarter (through August 8, 2013)</w:t>
            </w:r>
          </w:p>
        </w:tc>
        <w:tc>
          <w:tcPr>
            <w:tcW w:w="2300" w:type="dxa"/>
            <w:vAlign w:val="bottom"/>
            <w:gridSpan w:val="3"/>
          </w:tcPr>
          <w:p>
            <w:pPr>
              <w:jc w:val="right"/>
              <w:ind w:right="160"/>
              <w:spacing w:after="0"/>
              <w:rPr>
                <w:sz w:val="20"/>
                <w:szCs w:val="20"/>
                <w:color w:val="auto"/>
              </w:rPr>
            </w:pPr>
            <w:r>
              <w:rPr>
                <w:rFonts w:ascii="Arial" w:cs="Arial" w:eastAsia="Arial" w:hAnsi="Arial"/>
                <w:sz w:val="14"/>
                <w:szCs w:val="14"/>
                <w:color w:val="auto"/>
              </w:rPr>
              <w:t>$  N/A</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color w:val="auto"/>
              </w:rPr>
              <w:t>$14.60</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$13.81</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300"/>
              <w:spacing w:after="0" w:line="162" w:lineRule="exact"/>
              <w:rPr>
                <w:sz w:val="20"/>
                <w:szCs w:val="20"/>
                <w:color w:val="auto"/>
              </w:rPr>
            </w:pPr>
            <w:r>
              <w:rPr>
                <w:rFonts w:ascii="Arial" w:cs="Arial" w:eastAsia="Arial" w:hAnsi="Arial"/>
                <w:sz w:val="12"/>
                <w:szCs w:val="12"/>
                <w:color w:val="auto"/>
              </w:rPr>
              <w:t>0.1750</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14.90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13.82</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0.2625</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14.10</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14.43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12.94</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0.2550</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13.30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12.35</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0.2475</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13.03</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11.85</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0.2400</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13.94</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11.93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11.46</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0.2350</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12.10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10.52</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0.2250</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13.68</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11.03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10.01</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0.2100</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1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12.85</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10.34</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0.2000</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13.70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12.27</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220" w:right="80" w:hanging="212"/>
        <w:spacing w:after="0" w:line="230"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220" w:hanging="212"/>
        <w:spacing w:after="0" w:line="22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quarter-end NAV.</w:t>
      </w:r>
    </w:p>
    <w:p>
      <w:pPr>
        <w:ind w:left="220" w:hanging="212"/>
        <w:spacing w:after="0" w:line="22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dividend of $0.0875 per share payable September 3, 2013 to shareholders of record as of August 21, 2013.</w:t>
      </w: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From April 8, 2011 (initial public offering) to June 30, 2011.</w:t>
      </w:r>
    </w:p>
    <w:p>
      <w:pPr>
        <w:spacing w:after="0" w:line="138"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traded on the NASDAQ Global Select Market at $14.14 and $12.67 as of June 30, 2013 and September 30, 2012, respectively. Our NAV was $13.98 and $13.98 per share, as of June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5"/>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000" w:type="dxa"/>
            <w:vAlign w:val="bottom"/>
            <w:vMerge w:val="restart"/>
          </w:tcPr>
          <w:p>
            <w:pPr>
              <w:spacing w:after="0"/>
              <w:rPr>
                <w:sz w:val="14"/>
                <w:szCs w:val="14"/>
                <w:color w:val="auto"/>
              </w:rPr>
            </w:pPr>
          </w:p>
        </w:tc>
        <w:tc>
          <w:tcPr>
            <w:tcW w:w="410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rPr>
              <w:t>Payment Dates</w:t>
            </w:r>
          </w:p>
        </w:tc>
        <w:tc>
          <w:tcPr>
            <w:tcW w:w="4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41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26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August 21,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September 3, 2013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July 19,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August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June 21,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July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May 20,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June 3,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April 19,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May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22,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April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February 19,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March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January 22,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February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December 21,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January 2,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November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December 3,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October 19,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November 1, 2012</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September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October 1, 2012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August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September 4,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July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August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June 21,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July 2,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May 22,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June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April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May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22,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April 2,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February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March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January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February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December 23,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January 3,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November 21,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December 1, 2011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October 21,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November 1, 2011</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September 23,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October 3, 2011</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August 22,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September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July 22,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August 1, 2011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June 24,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July 1, 2011</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In January 2014, a Form 1099-DIV will be sent to stockholders that will state the amount and composition of distributions and provide information with respect to appropriate tax treatment of our distributions.</w:t>
      </w:r>
    </w:p>
    <w:p>
      <w:pPr>
        <w:spacing w:after="0" w:line="112"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$2.7 billion in 270 companies with approximately 120 different financial sponsors through its managed funds.</w:t>
      </w:r>
    </w:p>
    <w:p>
      <w:pPr>
        <w:spacing w:after="0" w:line="4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240" w:hanging="316"/>
        <w:spacing w:after="0" w:line="231"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w:t>
      </w:r>
      <w:r>
        <w:rPr>
          <w:rFonts w:ascii="Arial" w:cs="Arial" w:eastAsia="Arial" w:hAnsi="Arial"/>
          <w:sz w:val="14"/>
          <w:szCs w:val="14"/>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senior investment professionals of our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20" w:firstLine="342"/>
        <w:spacing w:after="0" w:line="230" w:lineRule="auto"/>
        <w:rPr>
          <w:sz w:val="20"/>
          <w:szCs w:val="20"/>
          <w:color w:val="auto"/>
        </w:rPr>
      </w:pPr>
      <w:r>
        <w:rPr>
          <w:rFonts w:ascii="Arial" w:cs="Arial" w:eastAsia="Arial" w:hAnsi="Arial"/>
          <w:sz w:val="14"/>
          <w:szCs w:val="14"/>
          <w:color w:val="auto"/>
        </w:rPr>
        <w:t>We maintain a $125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$85.6 million outstanding with a weighted average interest rate of 2.20%, excluding the undrawn commitment fee of 0.375%, as of June 30, 2013. We believe that our capital resources provide us with the flexibility to take advantage of market opportunities when they arise.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Healthcare, Education and Childcare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High Tech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w w:val="87"/>
              </w:rPr>
              <w:t>Home &amp; Office Furnishings, Housewares &amp; Durable Consumer Products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Hotels, Motels, Inns and Gaming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Cargo Transportation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Leisure, Amusement, Motion Picture, Entertainment</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Manufacturing / Basic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Non-Durable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Media; Broadcasting and Subscription</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Mining, Steel, Iron and Non-Precious Metals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Manufacturing</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Other Media</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Personal, Food and Miscellaneous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Education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Energy / Utilities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Retail Stores</w:t>
            </w:r>
          </w:p>
        </w:tc>
      </w:tr>
      <w:tr>
        <w:trPr>
          <w:trHeight w:val="230"/>
        </w:trPr>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405"/>
        </w:trPr>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Arial" w:cs="Arial" w:eastAsia="Arial" w:hAnsi="Arial"/>
                <w:sz w:val="14"/>
                <w:szCs w:val="14"/>
                <w:color w:val="auto"/>
              </w:rPr>
              <w:t>50</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640" w:type="dxa"/>
            <w:vAlign w:val="bottom"/>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June 30, 2013</w:t>
            </w:r>
          </w:p>
        </w:tc>
        <w:tc>
          <w:tcPr>
            <w:tcW w:w="120" w:type="dxa"/>
            <w:vAlign w:val="bottom"/>
          </w:tcPr>
          <w:p>
            <w:pPr>
              <w:spacing w:after="0"/>
              <w:rPr>
                <w:sz w:val="15"/>
                <w:szCs w:val="15"/>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4"/>
                <w:szCs w:val="14"/>
                <w:color w:val="auto"/>
              </w:rPr>
              <w:t>iEnergizer Limited and Aptara, Inc.</w:t>
            </w:r>
          </w:p>
        </w:tc>
        <w:tc>
          <w:tcPr>
            <w:tcW w:w="980" w:type="dxa"/>
            <w:vAlign w:val="bottom"/>
            <w:gridSpan w:val="2"/>
          </w:tcPr>
          <w:p>
            <w:pPr>
              <w:ind w:left="800"/>
              <w:spacing w:after="0"/>
              <w:rPr>
                <w:sz w:val="20"/>
                <w:szCs w:val="20"/>
                <w:color w:val="auto"/>
              </w:rPr>
            </w:pPr>
            <w:r>
              <w:rPr>
                <w:rFonts w:ascii="Arial" w:cs="Arial" w:eastAsia="Arial" w:hAnsi="Arial"/>
                <w:sz w:val="14"/>
                <w:szCs w:val="14"/>
                <w:color w:val="auto"/>
                <w:w w:val="78"/>
              </w:rPr>
              <w:t>4%</w:t>
            </w: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ALG USA Holdings,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AMF Bowling Centers, Inc.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BBTS Borrower LP</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Polyconcept Finance B.V.</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LifeCare Holdings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Penton Media, Inc. (3.0% Cash / 2.0% PIK)</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Travelport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YP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June 30, 2013</w:t>
            </w:r>
          </w:p>
        </w:tc>
      </w:tr>
      <w:tr>
        <w:trPr>
          <w:trHeight w:val="20"/>
        </w:trPr>
        <w:tc>
          <w:tcPr>
            <w:tcW w:w="3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36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Consumer Services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Energy: Oil and Gas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660" w:type="dxa"/>
            <w:vAlign w:val="bottom"/>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September 30, 2012</w:t>
            </w:r>
          </w:p>
        </w:tc>
        <w:tc>
          <w:tcPr>
            <w:tcW w:w="120" w:type="dxa"/>
            <w:vAlign w:val="bottom"/>
          </w:tcPr>
          <w:p>
            <w:pPr>
              <w:spacing w:after="0"/>
              <w:rPr>
                <w:sz w:val="15"/>
                <w:szCs w:val="15"/>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Healogics Inc. (f/k/a National Healing Corp.)</w:t>
            </w:r>
          </w:p>
        </w:tc>
        <w:tc>
          <w:tcPr>
            <w:tcW w:w="660" w:type="dxa"/>
            <w:vAlign w:val="bottom"/>
          </w:tcPr>
          <w:p>
            <w:pPr>
              <w:spacing w:after="0"/>
              <w:rPr>
                <w:sz w:val="14"/>
                <w:szCs w:val="14"/>
                <w:color w:val="auto"/>
              </w:rPr>
            </w:pPr>
          </w:p>
        </w:tc>
        <w:tc>
          <w:tcPr>
            <w:tcW w:w="1320" w:type="dxa"/>
            <w:vAlign w:val="bottom"/>
            <w:gridSpan w:val="2"/>
          </w:tcPr>
          <w:p>
            <w:pPr>
              <w:ind w:left="1140"/>
              <w:spacing w:after="0"/>
              <w:rPr>
                <w:sz w:val="20"/>
                <w:szCs w:val="20"/>
                <w:color w:val="auto"/>
              </w:rPr>
            </w:pPr>
            <w:r>
              <w:rPr>
                <w:rFonts w:ascii="Arial" w:cs="Arial" w:eastAsia="Arial" w:hAnsi="Arial"/>
                <w:sz w:val="14"/>
                <w:szCs w:val="14"/>
                <w:color w:val="auto"/>
                <w:w w:val="78"/>
              </w:rPr>
              <w:t>3%</w:t>
            </w:r>
          </w:p>
        </w:tc>
      </w:tr>
      <w:tr>
        <w:trPr>
          <w:trHeight w:val="178"/>
        </w:trPr>
        <w:tc>
          <w:tcPr>
            <w:tcW w:w="41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Mood Media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Trusthouse Services Group,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DS Waters of America,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Viamedia Services Corp.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-1191260</wp:posOffset>
            </wp:positionV>
            <wp:extent cx="72466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-942340</wp:posOffset>
            </wp:positionV>
            <wp:extent cx="72466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-702310</wp:posOffset>
            </wp:positionV>
            <wp:extent cx="72466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-462280</wp:posOffset>
            </wp:positionV>
            <wp:extent cx="72466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-222250</wp:posOffset>
            </wp:positionV>
            <wp:extent cx="72466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2012</w:t>
            </w:r>
          </w:p>
        </w:tc>
        <w:tc>
          <w:tcPr>
            <w:tcW w:w="120" w:type="dxa"/>
            <w:vAlign w:val="bottom"/>
          </w:tcPr>
          <w:p>
            <w:pPr>
              <w:spacing w:after="0"/>
              <w:rPr>
                <w:sz w:val="15"/>
                <w:szCs w:val="15"/>
                <w:color w:val="auto"/>
              </w:rPr>
            </w:pPr>
          </w:p>
        </w:tc>
      </w:tr>
      <w:tr>
        <w:trPr>
          <w:trHeight w:val="169"/>
        </w:trPr>
        <w:tc>
          <w:tcPr>
            <w:tcW w:w="42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-1456690</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-1174115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-899795</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-590550</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-281940</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2">
            <w:col w:w="5260" w:space="380"/>
            <w:col w:w="578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39"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As of June 30, 2013, our portfolio consisted of 78 companies and was invested 91% in senior secured loans, 5% in second lien secured debt and 4%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June 30, 2013,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7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June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June 30, 2013 Consolidated Financial Statements included elsewhere in this prospectus.</w:t>
      </w:r>
    </w:p>
    <w:p>
      <w:pPr>
        <w:spacing w:after="0" w:line="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less than 5%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3109 West 41st Street, # 113</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Sioux Falls, SD 57105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ALG USA Holdings,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 Campus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Newtown Square, PA 19073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Alvogen Pharma US,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Bloomfield Avenue, Building B,</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Pine Brook, NJ 07058</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AMF Bowling Centers,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7313 Bell Creek 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Mechanicsville, VA 23111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American Gilsonite Company</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Metals and Mining</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1717 St. James Place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ARC Automotive Group,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855 Main Street, 10th Floor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Bridgeport, CT 06604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ATI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790 Remington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Bolingbrook, IL 60440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Attachmate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1500 Dexter Avenue N.</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Seattle, WA 98109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BBB Industries,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5640 Commerce Blvd. East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Mobile, AL 36619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BBTS Borrower LP</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18615 Tuscany Stone, Suite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 Antonio, TX 78258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Brand Energy and Infrastructure Services, Inc</w:t>
            </w:r>
          </w:p>
        </w:tc>
        <w:tc>
          <w:tcPr>
            <w:tcW w:w="216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Energy: Oil and Gas</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Second Lien Secured Debt</w:t>
            </w:r>
          </w:p>
        </w:tc>
        <w:tc>
          <w:tcPr>
            <w:tcW w:w="1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600 Travis Street, Suite 600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Cannery Casino Resorts,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2121 E Craig Road North</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Las Vegas, NV 89030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CBAC Borrower,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Caesars Palace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Las Vegas, NV 89109-8969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Charlotte Russe,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575 Florida Street</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 Francisco, CA 94010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Infonet,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DS Waters Of America,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Edmenturn,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87"/>
              </w:rPr>
              <w:t>5600 West 83rd Street, Suite 300, 8200 Tower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Bloomington, MN 55437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2020 Front Street,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Cuyahoga Falls, OH 44221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eResearchtechnology,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Fishnet Security,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Overland Park, KS 66211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3"/>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Gastar Exploration USA,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Second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Lamar Street, Suite 650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77010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GFA Brands,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Paramus, NJ 07652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Granite Broadcasting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767 Third Avenue - 34th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Graton Economic Development Authority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Rohnert Park, CA 94928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Help/Systems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6455 City West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South Oyster Bay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Hicksville, NY 11801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Howard Berger Co.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Wholesale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324A Half Acre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Cranbury, NJ 08512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iEnergizer Limited and Aptara,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Sampson, Guernsey GY2 4LH</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Ikaria Acquisition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InfuSystem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31700 Reseach Park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Madison Heights, MI 48071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Jackson Hewitt Tax Service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Consumer Services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Sylvan 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Language Line,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 Lower Ragsdale Drive, Building 2</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LifeCare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5340 Legacy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Suite 150 - Building 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Plano, TX 75024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Lineage Logistics,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21700 Barton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Colton, CA 92324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Meritas Schools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630 Dundee Road, Suite 400,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Northbrook, IL 60062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Banking, Finance, Insurance and Real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250 Stephenson Highway</w:t>
            </w: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Estate</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Orbitz Worldwide,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Transportation: Consumer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Packaging Coordinators,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Containers, Packaging and Glass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3001 Red Lion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Philadelphia, PA 19114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Pelican Products,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23215 Early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Torrance, CA 90505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249 W. 17 th Street, 4 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Polyconcept Finance B.V.</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400 Hunt Valley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Kensington, PA 15068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Premier Dental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530 S Main Street, 6th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Orange, CA 92868</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RiverBoat Corporation of Mississippi</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1510 West Loop South</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77027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Sabre Industries,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8653 East Highway 67</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Alvarado, TX 76009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8300 NW 33 rd Street, Suite 308</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Securus Technologies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 Suite 600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McLean, VA 22102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 George s University Scholastic Services,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 River, NY 11739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Steward Health Care System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500 Boylston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Boston, MA 02116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1160 Pittsford Victor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Pittsford, NY 14534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475 Park Avenue South</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Therakos,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Healthcare and Pharmaceuticals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US Route 202</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Raritan, NJ 08869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Travelport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Transportation: Consumer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Galleria Pkwy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30339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TriNet HR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San Leandro Boulevard, Suite 400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 Leandro, CA 94577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UniTek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Suite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Varel International Energy Mezzanine</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Funding Corp.</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Carrollton Dallas County, TX 75006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Subordinated Debt Common Equity</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7302 Kanis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Wilton Brands,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2240 W. 75th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Woodridge, IL 60517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YP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2247 Northlake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Tucker, GA 30084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ind w:left="5640" w:right="4140" w:hanging="5632"/>
        <w:spacing w:after="0" w:line="459" w:lineRule="auto"/>
        <w:tabs>
          <w:tab w:leader="none" w:pos="218" w:val="left"/>
        </w:tabs>
        <w:numPr>
          <w:ilvl w:val="0"/>
          <w:numId w:val="32"/>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have voting rights. 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June 30, 2013 and September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3"/>
              </w:rPr>
              <w:t>June 30, 2013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Hotel, Gaming and Leisure</w:t>
            </w:r>
          </w:p>
        </w:tc>
        <w:tc>
          <w:tcPr>
            <w:tcW w:w="4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20" w:type="dxa"/>
            <w:vAlign w:val="bottom"/>
            <w:gridSpan w:val="2"/>
            <w:vMerge w:val="continue"/>
            <w:shd w:val="clear" w:color="auto" w:fill="CCEEFF"/>
          </w:tcPr>
          <w:p>
            <w:pPr>
              <w:spacing w:after="0"/>
              <w:rPr>
                <w:sz w:val="11"/>
                <w:szCs w:val="11"/>
                <w:color w:val="auto"/>
              </w:rPr>
            </w:pPr>
          </w:p>
        </w:tc>
        <w:tc>
          <w:tcPr>
            <w:tcW w:w="4220" w:type="dxa"/>
            <w:vAlign w:val="bottom"/>
            <w:vMerge w:val="continue"/>
            <w:shd w:val="clear" w:color="auto" w:fill="CCEEFF"/>
          </w:tcPr>
          <w:p>
            <w:pPr>
              <w:spacing w:after="0"/>
              <w:rPr>
                <w:sz w:val="11"/>
                <w:szCs w:val="11"/>
                <w:color w:val="auto"/>
              </w:rPr>
            </w:pPr>
          </w:p>
        </w:tc>
        <w:tc>
          <w:tcPr>
            <w:tcW w:w="1920" w:type="dxa"/>
            <w:vAlign w:val="bottom"/>
            <w:gridSpan w:val="2"/>
            <w:shd w:val="clear" w:color="auto" w:fill="CCEEFF"/>
          </w:tcPr>
          <w:p>
            <w:pPr>
              <w:jc w:val="right"/>
              <w:ind w:right="1020"/>
              <w:spacing w:after="0" w:line="136" w:lineRule="exact"/>
              <w:rPr>
                <w:sz w:val="20"/>
                <w:szCs w:val="20"/>
                <w:color w:val="auto"/>
              </w:rPr>
            </w:pPr>
            <w:r>
              <w:rPr>
                <w:rFonts w:ascii="Arial" w:cs="Arial" w:eastAsia="Arial" w:hAnsi="Arial"/>
                <w:sz w:val="14"/>
                <w:szCs w:val="14"/>
                <w:color w:val="auto"/>
              </w:rPr>
              <w:t>12%</w:t>
            </w:r>
          </w:p>
        </w:tc>
        <w:tc>
          <w:tcPr>
            <w:tcW w:w="12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6</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5</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Metals and Mining</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4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4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4220" w:type="dxa"/>
            <w:vAlign w:val="bottom"/>
          </w:tcPr>
          <w:p>
            <w:pPr>
              <w:spacing w:after="0"/>
              <w:rPr>
                <w:sz w:val="13"/>
                <w:szCs w:val="13"/>
                <w:color w:val="auto"/>
              </w:rPr>
            </w:pPr>
          </w:p>
        </w:tc>
        <w:tc>
          <w:tcPr>
            <w:tcW w:w="192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100%</w:t>
            </w: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20" w:type="dxa"/>
            <w:vAlign w:val="bottom"/>
            <w:vMerge w:val="restart"/>
          </w:tcPr>
          <w:p>
            <w:pPr>
              <w:jc w:val="right"/>
              <w:ind w:right="2392"/>
              <w:spacing w:after="0"/>
              <w:rPr>
                <w:sz w:val="20"/>
                <w:szCs w:val="20"/>
                <w:color w:val="auto"/>
              </w:rPr>
            </w:pPr>
            <w:r>
              <w:rPr>
                <w:rFonts w:ascii="Arial" w:cs="Arial" w:eastAsia="Arial" w:hAnsi="Arial"/>
                <w:sz w:val="14"/>
                <w:szCs w:val="14"/>
                <w:color w:val="auto"/>
              </w:rPr>
              <w:t>59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60" w:firstLine="8"/>
        <w:spacing w:after="0" w:line="227" w:lineRule="auto"/>
        <w:tabs>
          <w:tab w:leader="none" w:pos="191"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Adam K. Bernstein (49),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5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Samuel L. Katz (47),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Arthur H. Penn (49),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Guy F. Talarico (57),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annual stockholder meetings.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7"/>
          </w:tcPr>
          <w:p>
            <w:pPr>
              <w:ind w:left="660"/>
              <w:spacing w:after="0"/>
              <w:rPr>
                <w:sz w:val="20"/>
                <w:szCs w:val="20"/>
                <w:color w:val="auto"/>
              </w:rPr>
            </w:pPr>
            <w:r>
              <w:rPr>
                <w:rFonts w:ascii="Arial" w:cs="Arial" w:eastAsia="Arial" w:hAnsi="Arial"/>
                <w:sz w:val="14"/>
                <w:szCs w:val="14"/>
                <w:b w:val="1"/>
                <w:bCs w:val="1"/>
                <w:color w:val="auto"/>
              </w:rPr>
              <w:t>PennantPark Investment Corporation</w:t>
            </w:r>
          </w:p>
        </w:tc>
      </w:tr>
      <w:tr>
        <w:trPr>
          <w:trHeight w:val="129"/>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Pension or</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benefits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benefits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accrued as part</w:t>
            </w:r>
          </w:p>
        </w:tc>
        <w:tc>
          <w:tcPr>
            <w:tcW w:w="80" w:type="dxa"/>
            <w:vAlign w:val="bottom"/>
          </w:tcPr>
          <w:p>
            <w:pPr>
              <w:spacing w:after="0"/>
              <w:rPr>
                <w:sz w:val="11"/>
                <w:szCs w:val="11"/>
                <w:color w:val="auto"/>
              </w:rPr>
            </w:pP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Total paid to</w:t>
            </w:r>
          </w:p>
        </w:tc>
        <w:tc>
          <w:tcPr>
            <w:tcW w:w="10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4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right"/>
              <w:ind w:right="56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director/officer</w:t>
            </w: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June 30, 2013 our portfolio managers also managed investments on behalf of the following entities: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Entity</w:t>
            </w: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00" w:type="dxa"/>
            <w:vAlign w:val="bottom"/>
          </w:tcPr>
          <w:p>
            <w:pPr>
              <w:spacing w:after="0"/>
              <w:rPr>
                <w:sz w:val="11"/>
                <w:szCs w:val="11"/>
                <w:color w:val="auto"/>
              </w:rPr>
            </w:pPr>
          </w:p>
        </w:tc>
        <w:tc>
          <w:tcPr>
            <w:tcW w:w="5820" w:type="dxa"/>
            <w:vAlign w:val="bottom"/>
          </w:tcPr>
          <w:p>
            <w:pPr>
              <w:ind w:left="40"/>
              <w:spacing w:after="0" w:line="131" w:lineRule="exact"/>
              <w:rPr>
                <w:sz w:val="20"/>
                <w:szCs w:val="20"/>
                <w:color w:val="auto"/>
              </w:rPr>
            </w:pPr>
            <w:r>
              <w:rPr>
                <w:rFonts w:ascii="Arial" w:cs="Arial" w:eastAsia="Arial" w:hAnsi="Arial"/>
                <w:sz w:val="14"/>
                <w:szCs w:val="14"/>
                <w:color w:val="auto"/>
                <w:w w:val="93"/>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color w:val="auto"/>
              </w:rPr>
              <w:t>Other Managed Fund</w:t>
            </w:r>
            <w:r>
              <w:rPr>
                <w:rFonts w:ascii="Arial" w:cs="Arial" w:eastAsia="Arial" w:hAnsi="Arial"/>
                <w:sz w:val="22"/>
                <w:szCs w:val="22"/>
                <w:color w:val="auto"/>
                <w:vertAlign w:val="superscript"/>
              </w:rPr>
              <w:t>(1)</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company</w:t>
            </w: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0" w:type="dxa"/>
            <w:vAlign w:val="bottom"/>
          </w:tcPr>
          <w:p>
            <w:pPr>
              <w:spacing w:after="0"/>
              <w:rPr>
                <w:sz w:val="1"/>
                <w:szCs w:val="1"/>
                <w:color w:val="auto"/>
              </w:rPr>
            </w:pPr>
          </w:p>
        </w:tc>
      </w:tr>
      <w:tr>
        <w:trPr>
          <w:trHeight w:val="161"/>
        </w:trPr>
        <w:tc>
          <w:tcPr>
            <w:tcW w:w="3220" w:type="dxa"/>
            <w:vAlign w:val="bottom"/>
            <w:gridSpan w:val="2"/>
            <w:vMerge w:val="continue"/>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Private Investment</w:t>
            </w:r>
          </w:p>
        </w:tc>
        <w:tc>
          <w:tcPr>
            <w:tcW w:w="5820" w:type="dxa"/>
            <w:vAlign w:val="bottom"/>
          </w:tcPr>
          <w:p>
            <w:pPr>
              <w:ind w:left="40"/>
              <w:spacing w:after="0"/>
              <w:rPr>
                <w:sz w:val="20"/>
                <w:szCs w:val="20"/>
                <w:color w:val="auto"/>
              </w:rPr>
            </w:pPr>
            <w:r>
              <w:rPr>
                <w:rFonts w:ascii="Arial" w:cs="Arial" w:eastAsia="Arial" w:hAnsi="Arial"/>
                <w:sz w:val="14"/>
                <w:szCs w:val="14"/>
                <w:color w:val="auto"/>
              </w:rPr>
              <w:t>Other credit opportunities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4"/>
          <w:szCs w:val="14"/>
          <w:color w:val="auto"/>
        </w:rPr>
        <w:t>Fund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 The management and incentive fees are based on gross assets and performance, respectively.</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jc w:val="right"/>
        <w:ind w:right="60"/>
        <w:spacing w:after="0"/>
        <w:rPr>
          <w:sz w:val="20"/>
          <w:szCs w:val="20"/>
          <w:color w:val="auto"/>
        </w:rPr>
      </w:pPr>
      <w:r>
        <w:rPr>
          <w:rFonts w:ascii="Arial" w:cs="Arial" w:eastAsia="Arial" w:hAnsi="Arial"/>
          <w:sz w:val="14"/>
          <w:szCs w:val="14"/>
          <w:color w:val="auto"/>
        </w:rPr>
        <w:t>$1,102</w:t>
      </w:r>
    </w:p>
    <w:p>
      <w:pPr>
        <w:spacing w:after="0" w:line="12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33</w:t>
      </w:r>
    </w:p>
    <w:p>
      <w:pPr>
        <w:sectPr>
          <w:pgSz w:w="11900" w:h="16838" w:orient="portrait"/>
          <w:cols w:equalWidth="0" w:num="2">
            <w:col w:w="10400" w:space="160"/>
            <w:col w:w="86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The following table sets forth, as of August 8,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Jeffrey Flug</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Samuel L. Katz</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149,209</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Aviv Efrat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219,459</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17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460" w:firstLine="443"/>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August 8, 2013.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5780" w:type="dxa"/>
            <w:vAlign w:val="bottom"/>
            <w:gridSpan w:val="5"/>
          </w:tcPr>
          <w:p>
            <w:pPr>
              <w:ind w:left="1280"/>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80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98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9"/>
              </w:rPr>
              <w:t>PennantPark Investment</w:t>
            </w:r>
          </w:p>
        </w:tc>
        <w:tc>
          <w:tcPr>
            <w:tcW w:w="2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Rate Capital Ltd.</w:t>
            </w: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Adam K. Bernstein</w:t>
            </w:r>
          </w:p>
        </w:tc>
        <w:tc>
          <w:tcPr>
            <w:tcW w:w="12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$ 50,001 - $100,000</w:t>
            </w:r>
          </w:p>
        </w:tc>
        <w:tc>
          <w:tcPr>
            <w:tcW w:w="5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1"/>
                <w:szCs w:val="11"/>
                <w:color w:val="auto"/>
              </w:rPr>
              <w:t>Over $1,000,000</w:t>
            </w:r>
            <w:r>
              <w:rPr>
                <w:rFonts w:ascii="Arial" w:cs="Arial" w:eastAsia="Arial" w:hAnsi="Arial"/>
                <w:sz w:val="16"/>
                <w:szCs w:val="16"/>
                <w:color w:val="auto"/>
                <w:vertAlign w:val="superscript"/>
              </w:rPr>
              <w:t>(2)</w:t>
            </w:r>
          </w:p>
        </w:tc>
        <w:tc>
          <w:tcPr>
            <w:tcW w:w="52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0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98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6"/>
              </w:rPr>
              <w:t>Over $1,000,000</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$ 500,001 - $1,000,000</w:t>
            </w:r>
          </w:p>
        </w:tc>
        <w:tc>
          <w:tcPr>
            <w:tcW w:w="52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Over $1,000,000</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$ 100,001 - $ 500,000</w:t>
            </w: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$500,000 - $ 1,000,000</w:t>
            </w:r>
          </w:p>
        </w:tc>
        <w:tc>
          <w:tcPr>
            <w:tcW w:w="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152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8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nine months ended June 30, 2013, the Investment Adviser earned base management fee of $0.5 million and $1.5 million, respectively, from us. For the three and nine months ended June 30, 2012, the Investment Adviser earned base management fee of $0.4 million and $1.1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20XX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20XX = $10 million</w:t>
      </w:r>
    </w:p>
    <w:p>
      <w:pPr>
        <w:ind w:left="46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20XX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20XX = $20 million</w:t>
      </w:r>
    </w:p>
    <w:p>
      <w:pPr>
        <w:ind w:left="46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8" w:lineRule="exact"/>
        <w:rPr>
          <w:sz w:val="20"/>
          <w:szCs w:val="20"/>
          <w:color w:val="auto"/>
        </w:rPr>
      </w:pPr>
    </w:p>
    <w:p>
      <w:pPr>
        <w:ind w:left="460" w:right="200"/>
        <w:spacing w:after="0" w:line="239" w:lineRule="auto"/>
        <w:rPr>
          <w:sz w:val="20"/>
          <w:szCs w:val="20"/>
          <w:color w:val="auto"/>
        </w:rPr>
      </w:pPr>
      <w:r>
        <w:rPr>
          <w:rFonts w:ascii="Arial" w:cs="Arial" w:eastAsia="Arial" w:hAnsi="Arial"/>
          <w:sz w:val="14"/>
          <w:szCs w:val="14"/>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456"/>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nine months ended June 30, 2013, the Investment Adviser earned a performance based incentive fee on net investment income as calculated under the Investment Management Agreement of $0.4 million and $1.0 million, respectively. For the three and nine months ended June 30,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nine months ended June 30,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2"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nine months ended June 30, 2013, the Investment Adviser’s performance based incentive fee on unrealized and realized capital gains as calculated under GAAP was approximately $(0.3) million representing an expense reversal, and zero, respectively. For the three and nine months ended June 30, 2012, the Investment Adviser earned a performance based incentive fee on unrealized and realized capital gains as calculated under GAAP, which resulted in $(0.1) million and no accrual, respectively.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40"/>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40"/>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360"/>
          </w:cols>
          <w:pgMar w:left="240" w:top="45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nine months ended June 30, 2013, the Investment Adviser and Administrator, collectively, were reimbursed approximately $0.1 million and $0.3 million, respectively, from us, including expenses it incurred on behalf of the Administrator, for services described above. For the three and nine months ended June 30, 2012, the Investment Adviser was reimbursed approximately less than $0.1 million and $0.2 million, respectively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Repayment</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24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60" w:firstLine="456"/>
        <w:spacing w:after="0" w:line="195"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New York 11219, or by the plan administrator’s Interactive Voice Response System at 1-800-278-4353.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As of August 8,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August 8, 2013 was $14.02 per share. As of August 8, 2013, we had five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August 8, 2013:</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14,709,356</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8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20" w:firstLine="8"/>
        <w:spacing w:after="0" w:line="268" w:lineRule="auto"/>
        <w:tabs>
          <w:tab w:leader="none" w:pos="184"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at the annual meeting of stockholders held in 2015, 2016, and 2014,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under the Maryland General Corporation Law nor more than fifteen.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33" w:lineRule="auto"/>
        <w:rPr>
          <w:sz w:val="20"/>
          <w:szCs w:val="20"/>
          <w:color w:val="auto"/>
        </w:rPr>
      </w:pPr>
      <w:r>
        <w:rPr>
          <w:rFonts w:ascii="Arial" w:cs="Arial" w:eastAsia="Arial" w:hAnsi="Arial"/>
          <w:sz w:val="14"/>
          <w:szCs w:val="14"/>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5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will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hanging="346"/>
        <w:spacing w:after="0"/>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7"/>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7"/>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55" w:lineRule="exact"/>
        <w:rPr>
          <w:rFonts w:ascii="Arial" w:cs="Arial" w:eastAsia="Arial" w:hAnsi="Arial"/>
          <w:sz w:val="14"/>
          <w:szCs w:val="14"/>
          <w:color w:val="auto"/>
        </w:rPr>
      </w:pPr>
    </w:p>
    <w:p>
      <w:pPr>
        <w:ind w:left="1940" w:right="340" w:hanging="338"/>
        <w:spacing w:after="0" w:line="317" w:lineRule="auto"/>
        <w:tabs>
          <w:tab w:leader="none" w:pos="1940" w:val="left"/>
        </w:tabs>
        <w:numPr>
          <w:ilvl w:val="2"/>
          <w:numId w:val="67"/>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ind w:left="680" w:hanging="334"/>
        <w:spacing w:after="0"/>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480" w:firstLine="456"/>
        <w:spacing w:after="0" w:line="248"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pursuant to Rule 13a-15 of the Exchange Act, our management must prepare an annual report regarding its assessment of our internal controls over financial reporting, firm; and</w:t>
      </w:r>
    </w:p>
    <w:p>
      <w:pPr>
        <w:spacing w:after="0" w:line="78" w:lineRule="exact"/>
        <w:rPr>
          <w:rFonts w:ascii="Arial" w:cs="Arial" w:eastAsia="Arial" w:hAnsi="Arial"/>
          <w:sz w:val="12"/>
          <w:szCs w:val="12"/>
          <w:color w:val="auto"/>
        </w:rPr>
      </w:pPr>
    </w:p>
    <w:p>
      <w:pPr>
        <w:ind w:left="540" w:hanging="316"/>
        <w:spacing w:after="0" w:line="233"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100" w:hanging="316"/>
        <w:spacing w:after="0" w:line="317" w:lineRule="auto"/>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70"/>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318" w:lineRule="auto"/>
        <w:tabs>
          <w:tab w:leader="none" w:pos="1380" w:val="left"/>
        </w:tabs>
        <w:numPr>
          <w:ilvl w:val="1"/>
          <w:numId w:val="70"/>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8"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1"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50"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05"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NY 11219, telephone number: (800) 937-5449. American Stock Transfer &amp; Trust Company, LLC may also serve as trustee for offerings of our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20" w:type="dxa"/>
            <w:vAlign w:val="bottom"/>
            <w:gridSpan w:val="12"/>
          </w:tcPr>
          <w:p>
            <w:pPr>
              <w:jc w:val="center"/>
              <w:ind w:right="264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Annual Financial Statements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0" w:type="dxa"/>
            <w:vAlign w:val="bottom"/>
            <w:gridSpan w:val="17"/>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Management’s Report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345"/>
        </w:trPr>
        <w:tc>
          <w:tcPr>
            <w:tcW w:w="318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88"/>
              </w:rPr>
            </w:pPr>
            <w:hyperlink w:anchor="page111">
              <w:r>
                <w:rPr>
                  <w:rFonts w:ascii="Arial" w:cs="Arial" w:eastAsia="Arial" w:hAnsi="Arial"/>
                  <w:sz w:val="14"/>
                  <w:szCs w:val="14"/>
                  <w:color w:val="0000EE"/>
                  <w:w w:val="88"/>
                </w:rPr>
                <w:t>Report of Independent Registered Public Accounting Firm</w:t>
              </w:r>
            </w:hyperlink>
          </w:p>
        </w:tc>
        <w:tc>
          <w:tcPr>
            <w:tcW w:w="500" w:type="dxa"/>
            <w:vAlign w:val="bottom"/>
            <w:tcBorders>
              <w:top w:val="single" w:sz="8" w:color="0000EE"/>
            </w:tcBorders>
          </w:tcPr>
          <w:p>
            <w:pPr>
              <w:spacing w:after="0"/>
              <w:rPr>
                <w:sz w:val="24"/>
                <w:szCs w:val="24"/>
                <w:color w:val="auto"/>
              </w:rPr>
            </w:pPr>
          </w:p>
        </w:tc>
        <w:tc>
          <w:tcPr>
            <w:tcW w:w="67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Report of Independent Registered Public Accounting Firm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345"/>
        </w:trPr>
        <w:tc>
          <w:tcPr>
            <w:tcW w:w="5680" w:type="dxa"/>
            <w:vAlign w:val="bottom"/>
            <w:tcBorders>
              <w:top w:val="single" w:sz="8" w:color="0000EE"/>
            </w:tcBorders>
            <w:gridSpan w:val="10"/>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Consolidated Statements of Assets and Liabilities as of September 30, 2012 and 2011</w:t>
              </w:r>
            </w:hyperlink>
          </w:p>
        </w:tc>
        <w:tc>
          <w:tcPr>
            <w:tcW w:w="47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Consolidated Statements of Operations for the year ended September 30, 2012 and for the period March 4, 2011 (commencement of operations) to</w:t>
              </w:r>
            </w:hyperlink>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29"/>
        </w:trPr>
        <w:tc>
          <w:tcPr>
            <w:tcW w:w="79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114">
              <w:r>
                <w:rPr>
                  <w:rFonts w:ascii="Arial" w:cs="Arial" w:eastAsia="Arial" w:hAnsi="Arial"/>
                  <w:sz w:val="14"/>
                  <w:szCs w:val="14"/>
                  <w:color w:val="0000EE"/>
                </w:rPr>
                <w:t>September 30, 2011</w:t>
              </w:r>
            </w:hyperlink>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w w:val="92"/>
              </w:rPr>
            </w:pPr>
            <w:hyperlink w:anchor="page115">
              <w:r>
                <w:rPr>
                  <w:rFonts w:ascii="Arial" w:cs="Arial" w:eastAsia="Arial" w:hAnsi="Arial"/>
                  <w:sz w:val="14"/>
                  <w:szCs w:val="14"/>
                  <w:color w:val="0000EE"/>
                  <w:w w:val="92"/>
                </w:rPr>
                <w:t>Consolidated Statements of Changes in Net Assets for the year ended September 30, 2012 and for the period March 4, 2011 (commencement of operations) to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345"/>
        </w:trPr>
        <w:tc>
          <w:tcPr>
            <w:tcW w:w="9700" w:type="dxa"/>
            <w:vAlign w:val="bottom"/>
            <w:tcBorders>
              <w:top w:val="single" w:sz="8" w:color="0000EE"/>
            </w:tcBorders>
            <w:gridSpan w:val="16"/>
          </w:tcPr>
          <w:p>
            <w:pPr>
              <w:spacing w:after="0"/>
              <w:rPr>
                <w:rFonts w:ascii="Arial" w:cs="Arial" w:eastAsia="Arial" w:hAnsi="Arial"/>
                <w:sz w:val="14"/>
                <w:szCs w:val="14"/>
                <w:color w:val="0000EE"/>
              </w:rPr>
            </w:pPr>
            <w:hyperlink w:anchor="page116">
              <w:r>
                <w:rPr>
                  <w:rFonts w:ascii="Arial" w:cs="Arial" w:eastAsia="Arial" w:hAnsi="Arial"/>
                  <w:sz w:val="14"/>
                  <w:szCs w:val="14"/>
                  <w:color w:val="0000EE"/>
                </w:rPr>
                <w:t>Consolidated Statements of Cash Flows for the year ended September 30, 2012 and for the period March 4, 2011 (commencement of operations) to</w:t>
              </w:r>
            </w:hyperlink>
          </w:p>
        </w:tc>
        <w:tc>
          <w:tcPr>
            <w:tcW w:w="7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29"/>
        </w:trPr>
        <w:tc>
          <w:tcPr>
            <w:tcW w:w="800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116">
              <w:r>
                <w:rPr>
                  <w:rFonts w:ascii="Arial" w:cs="Arial" w:eastAsia="Arial" w:hAnsi="Arial"/>
                  <w:sz w:val="14"/>
                  <w:szCs w:val="14"/>
                  <w:color w:val="0000EE"/>
                </w:rPr>
                <w:t>September 30, 2011</w:t>
              </w:r>
            </w:hyperlink>
          </w:p>
        </w:tc>
        <w:tc>
          <w:tcPr>
            <w:tcW w:w="240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Consolidated Schedules of Investments as of September 30, 2012 and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345"/>
        </w:trPr>
        <w:tc>
          <w:tcPr>
            <w:tcW w:w="4880" w:type="dxa"/>
            <w:vAlign w:val="bottom"/>
            <w:tcBorders>
              <w:top w:val="single" w:sz="8" w:color="0000EE"/>
            </w:tcBorders>
            <w:gridSpan w:val="7"/>
          </w:tcPr>
          <w:p>
            <w:pPr>
              <w:spacing w:after="0"/>
              <w:rPr>
                <w:rFonts w:ascii="Arial" w:cs="Arial" w:eastAsia="Arial" w:hAnsi="Arial"/>
                <w:sz w:val="14"/>
                <w:szCs w:val="14"/>
                <w:color w:val="0000EE"/>
              </w:rPr>
            </w:pPr>
            <w:hyperlink w:anchor="page121">
              <w:r>
                <w:rPr>
                  <w:rFonts w:ascii="Arial" w:cs="Arial" w:eastAsia="Arial" w:hAnsi="Arial"/>
                  <w:sz w:val="14"/>
                  <w:szCs w:val="14"/>
                  <w:color w:val="0000EE"/>
                </w:rPr>
                <w:t>Notes to the Consolidated Financial Statements</w:t>
              </w:r>
            </w:hyperlink>
          </w:p>
        </w:tc>
        <w:tc>
          <w:tcPr>
            <w:tcW w:w="552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F-13</w:t>
            </w:r>
          </w:p>
        </w:tc>
        <w:tc>
          <w:tcPr>
            <w:tcW w:w="0" w:type="dxa"/>
            <w:vAlign w:val="bottom"/>
          </w:tcPr>
          <w:p>
            <w:pPr>
              <w:spacing w:after="0"/>
              <w:rPr>
                <w:sz w:val="1"/>
                <w:szCs w:val="1"/>
                <w:color w:val="auto"/>
              </w:rPr>
            </w:pPr>
          </w:p>
        </w:tc>
      </w:tr>
      <w:tr>
        <w:trPr>
          <w:trHeight w:val="371"/>
        </w:trPr>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Interim Financial Statements</w:t>
            </w:r>
          </w:p>
        </w:tc>
        <w:tc>
          <w:tcPr>
            <w:tcW w:w="784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80" w:type="dxa"/>
            <w:vAlign w:val="bottom"/>
            <w:tcBorders>
              <w:bottom w:val="single" w:sz="8" w:color="0000EE"/>
            </w:tcBorders>
            <w:gridSpan w:val="4"/>
          </w:tcPr>
          <w:p>
            <w:pPr>
              <w:spacing w:after="0"/>
              <w:rPr>
                <w:rFonts w:ascii="Arial" w:cs="Arial" w:eastAsia="Arial" w:hAnsi="Arial"/>
                <w:sz w:val="14"/>
                <w:szCs w:val="14"/>
                <w:color w:val="0000EE"/>
                <w:w w:val="88"/>
              </w:rPr>
            </w:pPr>
            <w:hyperlink w:anchor="page134">
              <w:r>
                <w:rPr>
                  <w:rFonts w:ascii="Arial" w:cs="Arial" w:eastAsia="Arial" w:hAnsi="Arial"/>
                  <w:sz w:val="14"/>
                  <w:szCs w:val="14"/>
                  <w:color w:val="0000EE"/>
                  <w:w w:val="88"/>
                </w:rPr>
                <w:t>Report of Independent Registered Public Accounting Firm</w:t>
              </w:r>
            </w:hyperlink>
          </w:p>
        </w:tc>
        <w:tc>
          <w:tcPr>
            <w:tcW w:w="722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F-26</w:t>
            </w:r>
          </w:p>
        </w:tc>
        <w:tc>
          <w:tcPr>
            <w:tcW w:w="0" w:type="dxa"/>
            <w:vAlign w:val="bottom"/>
          </w:tcPr>
          <w:p>
            <w:pPr>
              <w:spacing w:after="0"/>
              <w:rPr>
                <w:sz w:val="1"/>
                <w:szCs w:val="1"/>
                <w:color w:val="auto"/>
              </w:rPr>
            </w:pPr>
          </w:p>
        </w:tc>
      </w:tr>
      <w:tr>
        <w:trPr>
          <w:trHeight w:val="345"/>
        </w:trPr>
        <w:tc>
          <w:tcPr>
            <w:tcW w:w="5780" w:type="dxa"/>
            <w:vAlign w:val="bottom"/>
            <w:tcBorders>
              <w:bottom w:val="single" w:sz="8" w:color="0000EE"/>
            </w:tcBorders>
            <w:gridSpan w:val="11"/>
          </w:tcPr>
          <w:p>
            <w:pPr>
              <w:spacing w:after="0"/>
              <w:rPr>
                <w:rFonts w:ascii="Arial" w:cs="Arial" w:eastAsia="Arial" w:hAnsi="Arial"/>
                <w:sz w:val="14"/>
                <w:szCs w:val="14"/>
                <w:color w:val="0000EE"/>
                <w:w w:val="86"/>
              </w:rPr>
            </w:pPr>
            <w:hyperlink w:anchor="page135">
              <w:r>
                <w:rPr>
                  <w:rFonts w:ascii="Arial" w:cs="Arial" w:eastAsia="Arial" w:hAnsi="Arial"/>
                  <w:sz w:val="14"/>
                  <w:szCs w:val="14"/>
                  <w:color w:val="0000EE"/>
                  <w:w w:val="86"/>
                </w:rPr>
                <w:t>Consolidated Statements of Assets and Liabilities as of June 30, 2013 (unaudited) and September 30, 2012</w:t>
              </w:r>
            </w:hyperlink>
          </w:p>
        </w:tc>
        <w:tc>
          <w:tcPr>
            <w:tcW w:w="46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F-27</w:t>
            </w:r>
          </w:p>
        </w:tc>
        <w:tc>
          <w:tcPr>
            <w:tcW w:w="0" w:type="dxa"/>
            <w:vAlign w:val="bottom"/>
          </w:tcPr>
          <w:p>
            <w:pPr>
              <w:spacing w:after="0"/>
              <w:rPr>
                <w:sz w:val="1"/>
                <w:szCs w:val="1"/>
                <w:color w:val="auto"/>
              </w:rPr>
            </w:pPr>
          </w:p>
        </w:tc>
      </w:tr>
      <w:tr>
        <w:trPr>
          <w:trHeight w:val="345"/>
        </w:trPr>
        <w:tc>
          <w:tcPr>
            <w:tcW w:w="60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36">
              <w:r>
                <w:rPr>
                  <w:rFonts w:ascii="Arial" w:cs="Arial" w:eastAsia="Arial" w:hAnsi="Arial"/>
                  <w:sz w:val="14"/>
                  <w:szCs w:val="14"/>
                  <w:color w:val="0000EE"/>
                  <w:w w:val="86"/>
                </w:rPr>
                <w:t>Consolidated Statements of Operations for the three and nine months ended June 30, 2013 and 2012 (unaudited)</w:t>
              </w:r>
            </w:hyperlink>
          </w:p>
        </w:tc>
        <w:tc>
          <w:tcPr>
            <w:tcW w:w="43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Consolidated Statements of Changes in Net Assets for the nine months ended June 30, 2013 and 2012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345"/>
        </w:trPr>
        <w:tc>
          <w:tcPr>
            <w:tcW w:w="6160" w:type="dxa"/>
            <w:vAlign w:val="bottom"/>
            <w:tcBorders>
              <w:top w:val="single" w:sz="8" w:color="0000EE"/>
            </w:tcBorders>
            <w:gridSpan w:val="13"/>
          </w:tcPr>
          <w:p>
            <w:pPr>
              <w:spacing w:after="0"/>
              <w:rPr>
                <w:rFonts w:ascii="Arial" w:cs="Arial" w:eastAsia="Arial" w:hAnsi="Arial"/>
                <w:sz w:val="14"/>
                <w:szCs w:val="14"/>
                <w:color w:val="0000EE"/>
                <w:w w:val="95"/>
              </w:rPr>
            </w:pPr>
            <w:hyperlink w:anchor="page138">
              <w:r>
                <w:rPr>
                  <w:rFonts w:ascii="Arial" w:cs="Arial" w:eastAsia="Arial" w:hAnsi="Arial"/>
                  <w:sz w:val="14"/>
                  <w:szCs w:val="14"/>
                  <w:color w:val="0000EE"/>
                  <w:w w:val="95"/>
                </w:rPr>
                <w:t>Consolidated Statements of Cash Flows for the nine months ended June 30, 2013 and 2012 (unaudited)</w:t>
              </w:r>
            </w:hyperlink>
          </w:p>
        </w:tc>
        <w:tc>
          <w:tcPr>
            <w:tcW w:w="42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345"/>
        </w:trPr>
        <w:tc>
          <w:tcPr>
            <w:tcW w:w="522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85"/>
              </w:rPr>
            </w:pPr>
            <w:hyperlink w:anchor="page139">
              <w:r>
                <w:rPr>
                  <w:rFonts w:ascii="Arial" w:cs="Arial" w:eastAsia="Arial" w:hAnsi="Arial"/>
                  <w:sz w:val="14"/>
                  <w:szCs w:val="14"/>
                  <w:color w:val="0000EE"/>
                  <w:w w:val="85"/>
                </w:rPr>
                <w:t>Consolidated Schedules of Investments as of June 30, 2013 (unaudited) and September 30, 2012</w:t>
              </w:r>
            </w:hyperlink>
          </w:p>
        </w:tc>
        <w:tc>
          <w:tcPr>
            <w:tcW w:w="360" w:type="dxa"/>
            <w:vAlign w:val="bottom"/>
            <w:tcBorders>
              <w:top w:val="single" w:sz="8" w:color="0000EE"/>
            </w:tcBorders>
          </w:tcPr>
          <w:p>
            <w:pPr>
              <w:spacing w:after="0"/>
              <w:rPr>
                <w:sz w:val="24"/>
                <w:szCs w:val="24"/>
                <w:color w:val="auto"/>
              </w:rPr>
            </w:pPr>
          </w:p>
        </w:tc>
        <w:tc>
          <w:tcPr>
            <w:tcW w:w="48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43">
              <w:r>
                <w:rPr>
                  <w:rFonts w:ascii="Arial" w:cs="Arial" w:eastAsia="Arial" w:hAnsi="Arial"/>
                  <w:sz w:val="14"/>
                  <w:szCs w:val="14"/>
                  <w:color w:val="0000EE"/>
                </w:rPr>
                <w:t>Notes to Consolidated Financial Statements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F-35</w:t>
            </w:r>
          </w:p>
        </w:tc>
        <w:tc>
          <w:tcPr>
            <w:tcW w:w="0" w:type="dxa"/>
            <w:vAlign w:val="bottom"/>
          </w:tcPr>
          <w:p>
            <w:pPr>
              <w:spacing w:after="0"/>
              <w:rPr>
                <w:sz w:val="1"/>
                <w:szCs w:val="1"/>
                <w:color w:val="auto"/>
              </w:rPr>
            </w:pPr>
          </w:p>
        </w:tc>
      </w:tr>
      <w:tr>
        <w:trPr>
          <w:trHeight w:val="304"/>
        </w:trPr>
        <w:tc>
          <w:tcPr>
            <w:tcW w:w="10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8"/>
          </w:tcPr>
          <w:p>
            <w:pPr>
              <w:jc w:val="center"/>
              <w:ind w:right="4560"/>
              <w:spacing w:after="0"/>
              <w:rPr>
                <w:sz w:val="20"/>
                <w:szCs w:val="20"/>
                <w:color w:val="auto"/>
              </w:rPr>
            </w:pPr>
            <w:r>
              <w:rPr>
                <w:rFonts w:ascii="Arial" w:cs="Arial" w:eastAsia="Arial" w:hAnsi="Arial"/>
                <w:sz w:val="14"/>
                <w:szCs w:val="14"/>
                <w:color w:val="auto"/>
                <w:w w:val="85"/>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5"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66"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320" w:firstLine="456"/>
        <w:spacing w:after="0" w:line="233"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2012, our internal control over financial reporting is effective based on those criteria.</w:t>
      </w:r>
    </w:p>
    <w:p>
      <w:pPr>
        <w:spacing w:after="0" w:line="11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2"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Control—Integrated Framework</w:t>
      </w:r>
      <w:r>
        <w:rPr>
          <w:rFonts w:ascii="Arial" w:cs="Arial" w:eastAsia="Arial" w:hAnsi="Arial"/>
          <w:sz w:val="12"/>
          <w:szCs w:val="12"/>
          <w:color w:val="auto"/>
        </w:rPr>
        <w:t>, issued by the Committee of Sponsoring Organizations of the Treadway Commission (COSO). Management of the Company is responsible for maintaining effective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and for its assessment of the effectiveness of internal control over financial reporting, included on page 53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0"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September 30, 2012</w:t>
            </w: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(cost—$171,578,009 and $114,829,621, respectively)</w:t>
            </w:r>
          </w:p>
        </w:tc>
        <w:tc>
          <w:tcPr>
            <w:tcW w:w="1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171,834,400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1,388,867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986,278</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2,467,500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311,313</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spacing w:after="0"/>
              <w:rPr>
                <w:sz w:val="14"/>
                <w:szCs w:val="14"/>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8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548,053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479,547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3,357,500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2,323,250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Facility payable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(cost—$75,500,000 and $24,650,000, respectively) (See Notes 5 and 10)</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75,122,500</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161,550</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150,246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424,747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fees payable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506,314</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447,120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2,055,000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82,622,784</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29,003,155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6,850,667 shares are issued and outstanding.</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6,851</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95,192,222</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97,251,174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(1,313,000)</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1,223,913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256,391</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377,500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95,743,877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 September 30,</w:t>
            </w:r>
          </w:p>
        </w:tc>
        <w:tc>
          <w:tcPr>
            <w:tcW w:w="2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3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11,856,483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242,065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income</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12,098,548</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1,494,616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fees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564,540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1,482,339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583,613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182,995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1,310,084</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Credit Facility costs and excise tax expense</w:t>
            </w: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5,435,192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1,260,417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issuance costs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Excise tax</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42,027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2,626,460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6,309,681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911,925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(See Note 5)</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4,739,272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5,651,197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380" w:type="dxa"/>
            <w:vAlign w:val="bottom"/>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(See Note 6)</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3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0.92</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1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22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(6,234,106)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sales load charges (See Notes 1 and 3)</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(2,055,000)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97,258,025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3,671,772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Net assets:</w:t>
            </w: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color w:val="auto"/>
              </w:rPr>
              <w:t>End of period</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95,743,877</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Distributions in excess of net investment income, end of period</w:t>
            </w:r>
          </w:p>
        </w:tc>
        <w:tc>
          <w:tcPr>
            <w:tcW w:w="1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(1,313,000)</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26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Capital Share Activity:</w:t>
            </w:r>
          </w:p>
        </w:tc>
        <w:tc>
          <w:tcPr>
            <w:tcW w:w="1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shares from offerings</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2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September 30, 2012</w:t>
            </w: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to September 30, 2011</w:t>
            </w:r>
          </w:p>
        </w:tc>
      </w:tr>
      <w:tr>
        <w:trPr>
          <w:trHeight w:val="129"/>
        </w:trPr>
        <w:tc>
          <w:tcPr>
            <w:tcW w:w="20" w:type="dxa"/>
            <w:vAlign w:val="bottom"/>
          </w:tcPr>
          <w:p>
            <w:pPr>
              <w:spacing w:after="0"/>
              <w:rPr>
                <w:sz w:val="11"/>
                <w:szCs w:val="11"/>
                <w:color w:val="auto"/>
              </w:rPr>
            </w:pPr>
          </w:p>
        </w:tc>
        <w:tc>
          <w:tcPr>
            <w:tcW w:w="6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11,960,878</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(3,473,253)</w:t>
            </w: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w w:val="87"/>
              </w:rPr>
              <w:t>Adjustments to reconcile net increase (decrease) in net assets resulting from operations to net cash used by operating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(4,361,772)</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4,105,380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(911,925)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(311,988)</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(704,452)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(128,673,695)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(147,545,077)</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(119,552)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71,499,356</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33,206,493</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1,481,222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(656,172)</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(732,695)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(147,939)</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(163,374)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2,367,500</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unfunded investments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(161,370)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2,323,250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11,304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150,246</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management fee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158,315</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266,432</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506,314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accrued expenses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303,440</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9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by operating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(47,826,048)</w:t>
            </w:r>
          </w:p>
        </w:tc>
        <w:tc>
          <w:tcPr>
            <w:tcW w:w="180" w:type="dxa"/>
            <w:vAlign w:val="bottom"/>
          </w:tcPr>
          <w:p>
            <w:pPr>
              <w:spacing w:after="0"/>
              <w:rPr>
                <w:sz w:val="14"/>
                <w:szCs w:val="14"/>
                <w:color w:val="auto"/>
              </w:rPr>
            </w:pPr>
          </w:p>
        </w:tc>
        <w:tc>
          <w:tcPr>
            <w:tcW w:w="2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(113,687,455)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offerings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(6,165,599)</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(1,233,120)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97,650,000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29,000,000</w:t>
            </w:r>
          </w:p>
        </w:tc>
      </w:tr>
      <w:tr>
        <w:trPr>
          <w:trHeight w:val="156"/>
        </w:trPr>
        <w:tc>
          <w:tcPr>
            <w:tcW w:w="20" w:type="dxa"/>
            <w:vAlign w:val="bottom"/>
          </w:tcPr>
          <w:p>
            <w:pPr>
              <w:spacing w:after="0"/>
              <w:rPr>
                <w:sz w:val="13"/>
                <w:szCs w:val="13"/>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(46,800,000)</w:t>
            </w:r>
          </w:p>
        </w:tc>
        <w:tc>
          <w:tcPr>
            <w:tcW w:w="180" w:type="dxa"/>
            <w:vAlign w:val="bottom"/>
          </w:tcPr>
          <w:p>
            <w:pPr>
              <w:spacing w:after="0"/>
              <w:rPr>
                <w:sz w:val="13"/>
                <w:szCs w:val="13"/>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120,674,905</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increase in cash equivalents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(3,141,647)</w:t>
            </w:r>
          </w:p>
        </w:tc>
        <w:tc>
          <w:tcPr>
            <w:tcW w:w="180" w:type="dxa"/>
            <w:vAlign w:val="bottom"/>
          </w:tcPr>
          <w:p>
            <w:pPr>
              <w:spacing w:after="0"/>
              <w:rPr>
                <w:sz w:val="13"/>
                <w:szCs w:val="13"/>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3,845,803</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1,471,035</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5,556</w:t>
            </w: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paid</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3,952</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00" w:type="dxa"/>
            <w:vAlign w:val="bottom"/>
            <w:vMerge w:val="restart"/>
          </w:tcPr>
          <w:p>
            <w:pPr>
              <w:jc w:val="center"/>
              <w:ind w:left="872"/>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Par/</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72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4"/>
                <w:szCs w:val="14"/>
                <w:b w:val="1"/>
                <w:bCs w:val="1"/>
                <w:color w:val="auto"/>
                <w:vertAlign w:val="superscript"/>
              </w:rPr>
              <w:t>(3),(4)</w:t>
            </w:r>
          </w:p>
        </w:tc>
        <w:tc>
          <w:tcPr>
            <w:tcW w:w="20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Airvana Network Solutions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03/25/2015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L+800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214,286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  214,838</w:t>
            </w:r>
          </w:p>
        </w:tc>
        <w:tc>
          <w:tcPr>
            <w:tcW w:w="720" w:type="dxa"/>
            <w:vAlign w:val="bottom"/>
          </w:tcPr>
          <w:p>
            <w:pPr>
              <w:jc w:val="right"/>
              <w:spacing w:after="0"/>
              <w:rPr>
                <w:sz w:val="20"/>
                <w:szCs w:val="20"/>
                <w:color w:val="auto"/>
              </w:rPr>
            </w:pPr>
            <w:r>
              <w:rPr>
                <w:rFonts w:ascii="Arial" w:cs="Arial" w:eastAsia="Arial" w:hAnsi="Arial"/>
                <w:sz w:val="14"/>
                <w:szCs w:val="14"/>
                <w:color w:val="auto"/>
              </w:rPr>
              <w:t>$  214,018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05/17/2018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959,574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10/06/2016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2,937,079</w:t>
            </w:r>
          </w:p>
        </w:tc>
        <w:tc>
          <w:tcPr>
            <w:tcW w:w="720" w:type="dxa"/>
            <w:vAlign w:val="bottom"/>
          </w:tcPr>
          <w:p>
            <w:pPr>
              <w:jc w:val="right"/>
              <w:spacing w:after="0"/>
              <w:rPr>
                <w:sz w:val="20"/>
                <w:szCs w:val="20"/>
                <w:color w:val="auto"/>
              </w:rPr>
            </w:pPr>
            <w:r>
              <w:rPr>
                <w:rFonts w:ascii="Arial" w:cs="Arial" w:eastAsia="Arial" w:hAnsi="Arial"/>
                <w:sz w:val="14"/>
                <w:szCs w:val="14"/>
                <w:color w:val="auto"/>
              </w:rPr>
              <w:t>2,962,613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700" w:type="dxa"/>
            <w:vAlign w:val="bottom"/>
            <w:shd w:val="clear" w:color="auto" w:fill="CCEEFF"/>
          </w:tcPr>
          <w:p>
            <w:pPr>
              <w:jc w:val="center"/>
              <w:ind w:left="872"/>
              <w:spacing w:after="0" w:line="149" w:lineRule="exact"/>
              <w:rPr>
                <w:sz w:val="20"/>
                <w:szCs w:val="20"/>
                <w:color w:val="auto"/>
              </w:rPr>
            </w:pPr>
            <w:r>
              <w:rPr>
                <w:rFonts w:ascii="Arial" w:cs="Arial" w:eastAsia="Arial" w:hAnsi="Arial"/>
                <w:sz w:val="14"/>
                <w:szCs w:val="14"/>
                <w:color w:val="auto"/>
                <w:w w:val="85"/>
              </w:rPr>
              <w:t>11/22/2017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2,943,750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2,888,381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2,960,309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985,747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02/15/2018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3,902,979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08/17/2017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3,866,119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3,801,408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3,859,675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03/19/2018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3,733,125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3,673,063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3,677,128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981,827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08/29/2017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3,980,000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3,904,846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950,104</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946,081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04/20/2018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3,990,000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3,952,867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05/18/2018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1,975,762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2,004,975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2,884,003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2,898,672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2,977,500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1,956,496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2,012,456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09/02/2019</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9.63%</w:t>
            </w:r>
          </w:p>
        </w:tc>
        <w:tc>
          <w:tcPr>
            <w:tcW w:w="8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05/27/2016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2,956,829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2,933,351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2,934,653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4,962,500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4,742,008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4,925,281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04/01/2019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2,929,228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2,992,463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Howard Berger Co. LLC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08/03/2017</w:t>
            </w: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Wholesale</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2,743,125</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2,702,953</w:t>
            </w:r>
          </w:p>
        </w:tc>
        <w:tc>
          <w:tcPr>
            <w:tcW w:w="720" w:type="dxa"/>
            <w:vAlign w:val="bottom"/>
          </w:tcPr>
          <w:p>
            <w:pPr>
              <w:jc w:val="right"/>
              <w:spacing w:after="0"/>
              <w:rPr>
                <w:sz w:val="20"/>
                <w:szCs w:val="20"/>
                <w:color w:val="auto"/>
              </w:rPr>
            </w:pPr>
            <w:r>
              <w:rPr>
                <w:rFonts w:ascii="Arial" w:cs="Arial" w:eastAsia="Arial" w:hAnsi="Arial"/>
                <w:sz w:val="14"/>
                <w:szCs w:val="14"/>
                <w:color w:val="auto"/>
              </w:rPr>
              <w:t>2,715,694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03/30/2017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1,963,159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Ikaria,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06/22/2016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1,649,000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6,534,349</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5,247,020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09/10/2015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L+775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5,476,250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5,512,699</w:t>
            </w:r>
          </w:p>
        </w:tc>
        <w:tc>
          <w:tcPr>
            <w:tcW w:w="720" w:type="dxa"/>
            <w:vAlign w:val="bottom"/>
          </w:tcPr>
          <w:p>
            <w:pPr>
              <w:jc w:val="right"/>
              <w:spacing w:after="0"/>
              <w:rPr>
                <w:sz w:val="20"/>
                <w:szCs w:val="20"/>
                <w:color w:val="auto"/>
              </w:rPr>
            </w:pPr>
            <w:r>
              <w:rPr>
                <w:rFonts w:ascii="Arial" w:cs="Arial" w:eastAsia="Arial" w:hAnsi="Arial"/>
                <w:sz w:val="14"/>
                <w:szCs w:val="14"/>
                <w:color w:val="auto"/>
              </w:rPr>
              <w:t>5,558,394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4,937,500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4,845,282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1,821,373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1,766,252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08/16/2019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3,349,374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(6)</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05/07/2018</w:t>
            </w:r>
          </w:p>
        </w:tc>
        <w:tc>
          <w:tcPr>
            <w:tcW w:w="2060" w:type="dxa"/>
            <w:vAlign w:val="bottom"/>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3,950,000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3,916,596</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12/23/2016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2,826,368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05/01/2017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2,943,607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2,955,150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04/24/2018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973,817</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07/11/2018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1,496,250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1,467,389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1,492,509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5,497,407</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4,931,995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4,439,156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1.00%)</w:t>
            </w: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1,958,715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1,967,594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978,077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970,036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700" w:type="dxa"/>
            <w:vAlign w:val="bottom"/>
          </w:tcPr>
          <w:p>
            <w:pPr>
              <w:jc w:val="center"/>
              <w:ind w:left="852"/>
              <w:spacing w:after="0" w:line="138" w:lineRule="exact"/>
              <w:rPr>
                <w:sz w:val="20"/>
                <w:szCs w:val="20"/>
                <w:color w:val="auto"/>
              </w:rPr>
            </w:pPr>
            <w:r>
              <w:rPr>
                <w:rFonts w:ascii="Arial" w:cs="Arial" w:eastAsia="Arial" w:hAnsi="Arial"/>
                <w:sz w:val="14"/>
                <w:szCs w:val="14"/>
                <w:color w:val="auto"/>
                <w:w w:val="88"/>
              </w:rPr>
              <w:t>10/19/2017</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tcPr>
          <w:p>
            <w:pPr>
              <w:jc w:val="right"/>
              <w:ind w:right="113"/>
              <w:spacing w:after="0" w:line="138"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L+625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9"/>
              </w:rPr>
              <w:t>1,980,000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1,909,788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1,994,850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02/08/2018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3,898,141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08/24/2018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2,955,509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2,973,126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2,938,182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12/21/2018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1,485,300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1,505,625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2,962,512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2,939,052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147,935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1,875,000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1,823,914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10/27/2017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958,036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04/16/2018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1,935,550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2,938,318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2,844,000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1,481,250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1,474,945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02/09/2018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2,930,559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2,999,925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4,187,556</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4,147,483</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12/22/2016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2,940,842</w:t>
            </w:r>
          </w:p>
        </w:tc>
        <w:tc>
          <w:tcPr>
            <w:tcW w:w="720" w:type="dxa"/>
            <w:vAlign w:val="bottom"/>
          </w:tcPr>
          <w:p>
            <w:pPr>
              <w:jc w:val="right"/>
              <w:spacing w:after="0"/>
              <w:rPr>
                <w:sz w:val="20"/>
                <w:szCs w:val="20"/>
                <w:color w:val="auto"/>
              </w:rPr>
            </w:pPr>
            <w:r>
              <w:rPr>
                <w:rFonts w:ascii="Arial" w:cs="Arial" w:eastAsia="Arial" w:hAnsi="Arial"/>
                <w:sz w:val="14"/>
                <w:szCs w:val="14"/>
                <w:color w:val="auto"/>
              </w:rPr>
              <w:t>2,643,300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1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26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Environmental Industries</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Automotive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Subordinated Debt/Corporate Notes—8.7%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14.25%</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tcPr>
          <w:p>
            <w:pPr>
              <w:jc w:val="right"/>
              <w:ind w:right="72"/>
              <w:spacing w:after="0" w:line="138"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406,450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1,101,863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Investments in Non-Controlled, Non-Affiliated Portfolio Companies</w:t>
            </w: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926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Basis Point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3"/>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03/25/2015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1,209,524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Artel, LLC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978,043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07/29/2017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Chester Downs and Marina,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07/31/2016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Hotel, Gaming and Leisure</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12.38%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L+988</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478,873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488,220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08/17/2017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07/28/2017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P+350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982,590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Frac Tech International,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05/06/2016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2,073,930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2,054,330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05/27/2016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Harmony Foods Corporation </w:t>
            </w:r>
            <w:r>
              <w:rPr>
                <w:rFonts w:ascii="Arial" w:cs="Arial" w:eastAsia="Arial" w:hAnsi="Arial"/>
                <w:sz w:val="22"/>
                <w:szCs w:val="22"/>
                <w:color w:val="auto"/>
                <w:vertAlign w:val="superscript"/>
              </w:rPr>
              <w:t>(5), (6), (11)</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10.00%</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08/16/2017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2,493,750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220" w:type="dxa"/>
            <w:vAlign w:val="bottom"/>
          </w:tcPr>
          <w:p>
            <w:pPr>
              <w:ind w:left="500"/>
              <w:spacing w:after="0" w:line="138" w:lineRule="exact"/>
              <w:rPr>
                <w:sz w:val="20"/>
                <w:szCs w:val="20"/>
                <w:color w:val="auto"/>
              </w:rPr>
            </w:pPr>
            <w:r>
              <w:rPr>
                <w:rFonts w:ascii="Arial" w:cs="Arial" w:eastAsia="Arial" w:hAnsi="Arial"/>
                <w:sz w:val="14"/>
                <w:szCs w:val="14"/>
                <w:color w:val="auto"/>
                <w:w w:val="99"/>
              </w:rPr>
              <w:t>08/07/2014</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L+338</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6,981,823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6,523,240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09/10/2015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P+675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5,476,250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05/19/2017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2,978,487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05/31/2014</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4"/>
                <w:szCs w:val="14"/>
                <w:color w:val="auto"/>
              </w:rPr>
              <w:t>Medpace Holdings, Inc.</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06/17/2017</w:t>
            </w:r>
          </w:p>
        </w:tc>
        <w:tc>
          <w:tcPr>
            <w:tcW w:w="20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6.50%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L+500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1,995,000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1,966,025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05/06/2018  Media: Diversified and Production</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3,990,000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4"/>
                <w:szCs w:val="14"/>
                <w:color w:val="auto"/>
              </w:rPr>
              <w:t xml:space="preserve">Penton Media, Inc. </w:t>
            </w:r>
            <w:r>
              <w:rPr>
                <w:rFonts w:ascii="Arial" w:cs="Arial" w:eastAsia="Arial" w:hAnsi="Arial"/>
                <w:sz w:val="22"/>
                <w:szCs w:val="22"/>
                <w:color w:val="auto"/>
                <w:vertAlign w:val="superscript"/>
              </w:rPr>
              <w:t>(5)</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08/01/2014  Media: Diversified and Production</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5,498,048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4,675,936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3"/>
              </w:rPr>
              <w:t>05/08/2017   Containers, Packaging and Glass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1,995,000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07/06/2017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987,986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2,963,943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Tank Intermediate Holding Corp.</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3"/>
              </w:rPr>
              <w:t>04/15/2016   Containers, Packaging and Glass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1,835,472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1,831,420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04/28/2017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04/14/2016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4,968,750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4,923,769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06/19/2017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06/15/2016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2,964,480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06/02/2017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1,496,250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3240" w:type="dxa"/>
            <w:vAlign w:val="bottom"/>
            <w:gridSpan w:val="2"/>
          </w:tcPr>
          <w:p>
            <w:pPr>
              <w:ind w:left="500"/>
              <w:spacing w:after="0" w:line="138" w:lineRule="exact"/>
              <w:rPr>
                <w:sz w:val="20"/>
                <w:szCs w:val="20"/>
                <w:color w:val="auto"/>
              </w:rPr>
            </w:pPr>
            <w:r>
              <w:rPr>
                <w:rFonts w:ascii="Arial" w:cs="Arial" w:eastAsia="Arial" w:hAnsi="Arial"/>
                <w:sz w:val="14"/>
                <w:szCs w:val="14"/>
                <w:color w:val="auto"/>
                <w:w w:val="97"/>
              </w:rPr>
              <w:t>04/19/2016   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4,750,000</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4,694,273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12/22/2016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Water Pik,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08/10/2017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3,465,501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07/15/2016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First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94,975,314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01/29/2018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(5),(7)</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11/06/2018  Media: Diversified and Production</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L+875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1,485,581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09/01/2018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05/09/2018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990,624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05/15/2019</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12,379,445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12,255,000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Notes—7.6%</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11/15/2015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11.63%</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1,524,891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3,762,500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3,688,091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2,206,000</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9"/>
              </w:rPr>
              <w:t>Maturity</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(5),(10)</w:t>
            </w: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3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95,000</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(5),(10)</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114,829,621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Equivalents—7.6%</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6,987,450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121,817,071</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(25,639,586)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5" w:lineRule="exact"/>
        <w:rPr>
          <w:sz w:val="20"/>
          <w:szCs w:val="20"/>
          <w:color w:val="auto"/>
        </w:rPr>
      </w:pPr>
    </w:p>
    <w:p>
      <w:pPr>
        <w:ind w:right="8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11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95" w:lineRule="exact"/>
        <w:rPr>
          <w:sz w:val="20"/>
          <w:szCs w:val="20"/>
          <w:color w:val="auto"/>
        </w:rPr>
      </w:pPr>
    </w:p>
    <w:p>
      <w:pPr>
        <w:jc w:val="both"/>
        <w:ind w:right="160" w:firstLine="456"/>
        <w:spacing w:after="0" w:line="27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66" w:lineRule="exact"/>
        <w:rPr>
          <w:sz w:val="20"/>
          <w:szCs w:val="20"/>
          <w:color w:val="auto"/>
        </w:rPr>
      </w:pPr>
    </w:p>
    <w:p>
      <w:pPr>
        <w:jc w:val="both"/>
        <w:ind w:right="38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5"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800" w:right="220" w:hanging="454"/>
        <w:spacing w:after="0" w:line="239" w:lineRule="auto"/>
        <w:tabs>
          <w:tab w:leader="none" w:pos="8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800" w:hanging="454"/>
        <w:spacing w:after="0"/>
        <w:tabs>
          <w:tab w:leader="none" w:pos="8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20" w:hanging="454"/>
        <w:spacing w:after="0" w:line="233" w:lineRule="auto"/>
        <w:tabs>
          <w:tab w:leader="none" w:pos="8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7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23"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1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9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23"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12"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23"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2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5"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1"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13"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0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5" w:lineRule="exact"/>
        <w:rPr>
          <w:sz w:val="20"/>
          <w:szCs w:val="20"/>
          <w:color w:val="auto"/>
        </w:rPr>
      </w:pPr>
    </w:p>
    <w:p>
      <w:pPr>
        <w:ind w:right="120" w:firstLine="1141"/>
        <w:spacing w:after="0" w:line="233" w:lineRule="auto"/>
        <w:rPr>
          <w:sz w:val="20"/>
          <w:szCs w:val="20"/>
          <w:color w:val="auto"/>
        </w:rPr>
      </w:pPr>
      <w:r>
        <w:rPr>
          <w:rFonts w:ascii="Arial" w:cs="Arial" w:eastAsia="Arial" w:hAnsi="Arial"/>
          <w:sz w:val="14"/>
          <w:szCs w:val="14"/>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ind w:left="660"/>
              <w:spacing w:after="0"/>
              <w:rPr>
                <w:sz w:val="20"/>
                <w:szCs w:val="20"/>
                <w:color w:val="auto"/>
              </w:rPr>
            </w:pPr>
            <w:r>
              <w:rPr>
                <w:rFonts w:ascii="Arial" w:cs="Arial" w:eastAsia="Arial" w:hAnsi="Arial"/>
                <w:sz w:val="14"/>
                <w:szCs w:val="14"/>
                <w:color w:val="auto"/>
                <w:w w:val="87"/>
              </w:rPr>
              <w:t>Investments and cash equivalents consisted of the following:</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rPr>
              <w:t>September 30, 2012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82"/>
              </w:rPr>
              <w:t>150,258,038</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94,975,314</w:t>
            </w: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11,608,643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12,379,445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9,194,181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517,147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171,578,009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114,829,621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175,423,812</w:t>
            </w:r>
          </w:p>
        </w:tc>
        <w:tc>
          <w:tcPr>
            <w:tcW w:w="4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8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121,817,071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F-17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67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7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September 30:</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360" w:type="dxa"/>
            <w:vAlign w:val="bottom"/>
            <w:tcBorders>
              <w:bottom w:val="single" w:sz="8" w:color="auto"/>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960"/>
              <w:spacing w:after="0" w:line="142"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200" w:type="dxa"/>
            <w:vAlign w:val="bottom"/>
            <w:gridSpan w:val="2"/>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56"/>
        </w:trPr>
        <w:tc>
          <w:tcPr>
            <w:tcW w:w="3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200" w:type="dxa"/>
            <w:vAlign w:val="bottom"/>
            <w:gridSpan w:val="2"/>
          </w:tcPr>
          <w:p>
            <w:pPr>
              <w:spacing w:after="0"/>
              <w:rPr>
                <w:sz w:val="13"/>
                <w:szCs w:val="13"/>
                <w:color w:val="auto"/>
              </w:rPr>
            </w:pPr>
          </w:p>
        </w:tc>
        <w:tc>
          <w:tcPr>
            <w:tcW w:w="188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40" w:type="dxa"/>
            <w:vAlign w:val="bottom"/>
          </w:tcPr>
          <w:p>
            <w:pPr>
              <w:spacing w:after="0"/>
              <w:rPr>
                <w:sz w:val="24"/>
                <w:szCs w:val="24"/>
                <w:color w:val="auto"/>
              </w:rPr>
            </w:pPr>
          </w:p>
        </w:tc>
        <w:tc>
          <w:tcPr>
            <w:tcW w:w="5080" w:type="dxa"/>
            <w:vAlign w:val="bottom"/>
            <w:gridSpan w:val="4"/>
          </w:tcPr>
          <w:p>
            <w:pPr>
              <w:jc w:val="right"/>
              <w:ind w:right="3700"/>
              <w:spacing w:after="0"/>
              <w:rPr>
                <w:sz w:val="20"/>
                <w:szCs w:val="20"/>
                <w:color w:val="auto"/>
              </w:rPr>
            </w:pPr>
            <w:r>
              <w:rPr>
                <w:rFonts w:ascii="Arial" w:cs="Arial" w:eastAsia="Arial" w:hAnsi="Arial"/>
                <w:sz w:val="14"/>
                <w:szCs w:val="14"/>
                <w:color w:val="auto"/>
              </w:rPr>
              <w:t>F-18</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740"/>
          </w:cols>
          <w:pgMar w:left="240" w:top="459" w:right="9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20" w:right="620" w:hanging="944"/>
        <w:spacing w:after="0" w:line="318" w:lineRule="auto"/>
        <w:tabs>
          <w:tab w:leader="none" w:pos="14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1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6"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Fair Value as of</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1"/>
        </w:trPr>
        <w:tc>
          <w:tcPr>
            <w:tcW w:w="4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 2012</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Valuation Technique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Unobservable Input</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155,983,312</w:t>
            </w:r>
          </w:p>
        </w:tc>
        <w:tc>
          <w:tcPr>
            <w:tcW w:w="1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Broker/Dealer bid quotes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1 - 6</w:t>
            </w: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4100" w:type="dxa"/>
            <w:vAlign w:val="bottom"/>
            <w:gridSpan w:val="3"/>
          </w:tcPr>
          <w:p>
            <w:pPr>
              <w:spacing w:after="0"/>
              <w:rPr>
                <w:sz w:val="20"/>
                <w:szCs w:val="20"/>
                <w:color w:val="auto"/>
              </w:rPr>
            </w:pPr>
            <w:r>
              <w:rPr>
                <w:rFonts w:ascii="Arial" w:cs="Arial" w:eastAsia="Arial" w:hAnsi="Arial"/>
                <w:sz w:val="14"/>
                <w:szCs w:val="14"/>
                <w:color w:val="auto"/>
              </w:rPr>
              <w:t>First lien, second lien, subordinated debt/corporate notes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11,760,650</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Market Yield</w:t>
            </w:r>
          </w:p>
        </w:tc>
        <w:tc>
          <w:tcPr>
            <w:tcW w:w="960" w:type="dxa"/>
            <w:vAlign w:val="bottom"/>
          </w:tcPr>
          <w:p>
            <w:pPr>
              <w:jc w:val="right"/>
              <w:spacing w:after="0"/>
              <w:rPr>
                <w:sz w:val="20"/>
                <w:szCs w:val="20"/>
                <w:color w:val="auto"/>
              </w:rPr>
            </w:pPr>
            <w:r>
              <w:rPr>
                <w:rFonts w:ascii="Arial" w:cs="Arial" w:eastAsia="Arial" w:hAnsi="Arial"/>
                <w:sz w:val="14"/>
                <w:szCs w:val="14"/>
                <w:color w:val="auto"/>
              </w:rPr>
              <w:t>7.3% -15.3%</w:t>
            </w:r>
          </w:p>
        </w:tc>
        <w:tc>
          <w:tcPr>
            <w:tcW w:w="680" w:type="dxa"/>
            <w:vAlign w:val="bottom"/>
          </w:tcPr>
          <w:p>
            <w:pPr>
              <w:ind w:lef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EBITDA multiple</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6.5x – 8.5x</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(6.8x)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Pr>
          <w:p>
            <w:pPr>
              <w:spacing w:after="0"/>
              <w:rPr>
                <w:sz w:val="13"/>
                <w:szCs w:val="13"/>
                <w:color w:val="auto"/>
              </w:rPr>
            </w:pPr>
          </w:p>
        </w:tc>
        <w:tc>
          <w:tcPr>
            <w:tcW w:w="1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169,046,400</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75,122,500</w:t>
            </w:r>
          </w:p>
        </w:tc>
        <w:tc>
          <w:tcPr>
            <w:tcW w:w="19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Discount rate</w:t>
            </w:r>
          </w:p>
        </w:tc>
        <w:tc>
          <w:tcPr>
            <w:tcW w:w="960" w:type="dxa"/>
            <w:vAlign w:val="bottom"/>
            <w:shd w:val="clear" w:color="auto" w:fill="CCEEFF"/>
          </w:tcPr>
          <w:p>
            <w:pPr>
              <w:jc w:val="center"/>
              <w:ind w:left="612"/>
              <w:spacing w:after="0" w:line="143" w:lineRule="exact"/>
              <w:rPr>
                <w:sz w:val="20"/>
                <w:szCs w:val="20"/>
                <w:color w:val="auto"/>
              </w:rPr>
            </w:pPr>
            <w:r>
              <w:rPr>
                <w:rFonts w:ascii="Arial" w:cs="Arial" w:eastAsia="Arial" w:hAnsi="Arial"/>
                <w:sz w:val="14"/>
                <w:szCs w:val="14"/>
                <w:color w:val="auto"/>
                <w:w w:val="87"/>
              </w:rPr>
              <w:t>3.1%</w:t>
            </w: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right"/>
              <w:ind w:right="109"/>
              <w:spacing w:after="0"/>
              <w:rPr>
                <w:sz w:val="20"/>
                <w:szCs w:val="20"/>
                <w:color w:val="auto"/>
              </w:rPr>
            </w:pPr>
            <w:r>
              <w:rPr>
                <w:rFonts w:ascii="Arial" w:cs="Arial" w:eastAsia="Arial" w:hAnsi="Arial"/>
                <w:sz w:val="14"/>
                <w:szCs w:val="14"/>
                <w:b w:val="1"/>
                <w:bCs w:val="1"/>
                <w:color w:val="auto"/>
              </w:rPr>
              <w:t>Fair Value Measurements at September 30, 2012</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gridSpan w:val="2"/>
            <w:vMerge w:val="continue"/>
          </w:tcPr>
          <w:p>
            <w:pPr>
              <w:spacing w:after="0"/>
              <w:rPr>
                <w:sz w:val="12"/>
                <w:szCs w:val="12"/>
                <w:color w:val="auto"/>
              </w:rPr>
            </w:pP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129"/>
              <w:spacing w:after="0"/>
              <w:rPr>
                <w:sz w:val="20"/>
                <w:szCs w:val="20"/>
                <w:color w:val="auto"/>
              </w:rPr>
            </w:pPr>
            <w:r>
              <w:rPr>
                <w:rFonts w:ascii="Arial" w:cs="Arial" w:eastAsia="Arial" w:hAnsi="Arial"/>
                <w:sz w:val="14"/>
                <w:szCs w:val="14"/>
                <w:b w:val="1"/>
                <w:bCs w:val="1"/>
                <w:color w:val="auto"/>
                <w:w w:val="86"/>
              </w:rPr>
              <w:t>Fair Value Measurements at September 30, 2011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2,033,747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117,711,691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2020" w:type="dxa"/>
            <w:vAlign w:val="bottom"/>
            <w:gridSpan w:val="3"/>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80" w:type="dxa"/>
            <w:vAlign w:val="bottom"/>
          </w:tcPr>
          <w:p>
            <w:pPr>
              <w:spacing w:after="0"/>
              <w:rPr>
                <w:sz w:val="24"/>
                <w:szCs w:val="24"/>
                <w:color w:val="auto"/>
              </w:rPr>
            </w:pPr>
          </w:p>
        </w:tc>
        <w:tc>
          <w:tcPr>
            <w:tcW w:w="2020" w:type="dxa"/>
            <w:vAlign w:val="bottom"/>
            <w:gridSpan w:val="3"/>
          </w:tcPr>
          <w:p>
            <w:pPr>
              <w:jc w:val="right"/>
              <w:ind w:right="369"/>
              <w:spacing w:after="0"/>
              <w:rPr>
                <w:sz w:val="20"/>
                <w:szCs w:val="20"/>
                <w:color w:val="auto"/>
              </w:rPr>
            </w:pPr>
            <w:r>
              <w:rPr>
                <w:rFonts w:ascii="Arial" w:cs="Arial" w:eastAsia="Arial" w:hAnsi="Arial"/>
                <w:sz w:val="14"/>
                <w:szCs w:val="14"/>
                <w:color w:val="auto"/>
              </w:rPr>
              <w:t>F-20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5"/>
              </w:rPr>
              <w:t>Year Ended September 30, 2012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4"/>
          </w:tcPr>
          <w:p>
            <w:pPr>
              <w:jc w:val="center"/>
              <w:ind w:right="420"/>
              <w:spacing w:after="0" w:line="176" w:lineRule="exact"/>
              <w:rPr>
                <w:sz w:val="20"/>
                <w:szCs w:val="20"/>
                <w:color w:val="auto"/>
              </w:rPr>
            </w:pPr>
            <w:r>
              <w:rPr>
                <w:rFonts w:ascii="Arial" w:cs="Arial" w:eastAsia="Arial" w:hAnsi="Arial"/>
                <w:sz w:val="13"/>
                <w:szCs w:val="13"/>
                <w:b w:val="1"/>
                <w:bCs w:val="1"/>
                <w:color w:val="auto"/>
                <w:w w:val="90"/>
              </w:rPr>
              <w:t xml:space="preserve">and equity investments </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18,206,115</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107,535,494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630,647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278,832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3,543,311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1,422,002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4,965,313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114,967,516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7,945,929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122,913,445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40" w:type="dxa"/>
            <w:vAlign w:val="bottom"/>
            <w:shd w:val="clear" w:color="auto" w:fill="CCEEFF"/>
          </w:tcPr>
          <w:p>
            <w:pPr>
              <w:spacing w:after="0"/>
              <w:rPr>
                <w:sz w:val="12"/>
                <w:szCs w:val="12"/>
                <w:color w:val="auto"/>
              </w:rPr>
            </w:pPr>
          </w:p>
        </w:tc>
        <w:tc>
          <w:tcPr>
            <w:tcW w:w="10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(58,261,106)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(9,016,225)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(67,277,331)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150,209,747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18,836,653</w:t>
            </w: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for the year ended September 30, 2012 reported within the net change in</w:t>
            </w: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unrealized appreciation on investments in our Consolidated Statement of Operations attributable to our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assets still held at the reporting date.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4,140,166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1,424,404</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5,564,570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w w:val="91"/>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Second lien, subordinated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March 4, 2011</w:t>
            </w: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218,684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93,319</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(3,591,606)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(123,301)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121,246,206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22,766,732</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(4,530,635)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2011</w:t>
            </w:r>
          </w:p>
        </w:tc>
        <w:tc>
          <w:tcPr>
            <w:tcW w:w="1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89,329,379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18,206,115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4"/>
                <w:szCs w:val="14"/>
                <w:color w:val="auto"/>
                <w:w w:val="89"/>
              </w:rPr>
              <w:t>Net change in unrealized appreciation (depreciation) for the period reported within the net change in unrealized depreciation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8"/>
              </w:rPr>
              <w:t>on investments in our Consolidated Statement of Operations attributable to our Level 3 assets still held at the reporting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(3,591,606)</w:t>
            </w:r>
          </w:p>
        </w:tc>
        <w:tc>
          <w:tcPr>
            <w:tcW w:w="3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(123,301)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w w:val="91"/>
              </w:rPr>
              <w:t>Carrying / 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9"/>
              </w:rPr>
              <w:t>For the period March 4, 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September 30, 2012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Long-Term Credit Facility</w:t>
            </w:r>
          </w:p>
        </w:tc>
        <w:tc>
          <w:tcPr>
            <w:tcW w:w="1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color w:val="auto"/>
              </w:rPr>
              <w:t>Beginning Balance, September 30, 2011 (cost – $24,650,000)</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24,650,000</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(377,500)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Borrowings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97,650,000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(46,800,000)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 (cost – $75,500,000 and $24,650,000, respectively)</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75,122,500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 2011 *</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2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6,850,667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Arial" w:cs="Arial" w:eastAsia="Arial" w:hAnsi="Arial"/>
                <w:sz w:val="14"/>
                <w:szCs w:val="14"/>
                <w:color w:val="auto"/>
              </w:rPr>
              <w:t>6,826,105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5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Weighted average shares is based on the initial public offering issuance date of April 13, 2011.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71" w:lineRule="exact"/>
        <w:rPr>
          <w:sz w:val="20"/>
          <w:szCs w:val="20"/>
          <w:color w:val="auto"/>
        </w:rPr>
      </w:pPr>
    </w:p>
    <w:p>
      <w:pPr>
        <w:ind w:right="460" w:firstLine="456"/>
        <w:spacing w:after="0" w:line="288" w:lineRule="auto"/>
        <w:rPr>
          <w:sz w:val="20"/>
          <w:szCs w:val="20"/>
          <w:color w:val="auto"/>
        </w:rPr>
      </w:pPr>
      <w:r>
        <w:rPr>
          <w:rFonts w:ascii="Arial" w:cs="Arial" w:eastAsia="Arial" w:hAnsi="Arial"/>
          <w:sz w:val="12"/>
          <w:szCs w:val="12"/>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8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112" w:lineRule="exact"/>
        <w:rPr>
          <w:sz w:val="20"/>
          <w:szCs w:val="20"/>
          <w:color w:val="auto"/>
        </w:rPr>
      </w:pPr>
    </w:p>
    <w:p>
      <w:pPr>
        <w:ind w:right="400" w:firstLine="456"/>
        <w:spacing w:after="0" w:line="239" w:lineRule="auto"/>
        <w:rPr>
          <w:sz w:val="20"/>
          <w:szCs w:val="20"/>
          <w:color w:val="auto"/>
        </w:rPr>
      </w:pPr>
      <w:r>
        <w:rPr>
          <w:rFonts w:ascii="Arial" w:cs="Arial" w:eastAsia="Arial" w:hAnsi="Arial"/>
          <w:sz w:val="14"/>
          <w:szCs w:val="14"/>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2012</w:t>
            </w: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100" w:type="dxa"/>
            <w:vAlign w:val="bottom"/>
            <w:tcBorders>
              <w:top w:val="single" w:sz="8" w:color="CCEEFF"/>
            </w:tcBorders>
            <w:shd w:val="clear" w:color="auto" w:fill="CCEEFF"/>
          </w:tcPr>
          <w:p>
            <w:pPr>
              <w:spacing w:after="0"/>
              <w:rPr>
                <w:sz w:val="12"/>
                <w:szCs w:val="12"/>
                <w:color w:val="auto"/>
              </w:rPr>
            </w:pPr>
          </w:p>
        </w:tc>
      </w:tr>
      <w:tr>
        <w:trPr>
          <w:trHeight w:val="172"/>
        </w:trPr>
        <w:tc>
          <w:tcPr>
            <w:tcW w:w="5080" w:type="dxa"/>
            <w:vAlign w:val="bottom"/>
          </w:tcPr>
          <w:p>
            <w:pPr>
              <w:spacing w:after="0"/>
              <w:rPr>
                <w:sz w:val="20"/>
                <w:szCs w:val="20"/>
                <w:color w:val="auto"/>
              </w:rPr>
            </w:pPr>
            <w:r>
              <w:rPr>
                <w:rFonts w:ascii="Arial" w:cs="Arial" w:eastAsia="Arial" w:hAnsi="Arial"/>
                <w:sz w:val="14"/>
                <w:szCs w:val="14"/>
                <w:color w:val="auto"/>
              </w:rPr>
              <w:t>Increase in undistributed 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bl>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March 4, 2011</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 2012</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4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3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line="138" w:lineRule="exact"/>
              <w:rPr>
                <w:sz w:val="20"/>
                <w:szCs w:val="20"/>
                <w:color w:val="auto"/>
              </w:rPr>
            </w:pPr>
            <w:r>
              <w:rPr>
                <w:rFonts w:ascii="Arial" w:cs="Arial" w:eastAsia="Arial" w:hAnsi="Arial"/>
                <w:sz w:val="14"/>
                <w:szCs w:val="14"/>
                <w:color w:val="auto"/>
                <w:w w:val="91"/>
              </w:rPr>
              <w:t>Net change in unrealized (depreciation) appreciation on investments and Credit</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520" w:type="dxa"/>
            <w:vAlign w:val="bottom"/>
          </w:tcPr>
          <w:p>
            <w:pPr>
              <w:ind w:left="200"/>
              <w:spacing w:after="0" w:line="159" w:lineRule="exact"/>
              <w:rPr>
                <w:sz w:val="20"/>
                <w:szCs w:val="20"/>
                <w:color w:val="auto"/>
              </w:rPr>
            </w:pPr>
            <w:r>
              <w:rPr>
                <w:rFonts w:ascii="Arial" w:cs="Arial" w:eastAsia="Arial" w:hAnsi="Arial"/>
                <w:sz w:val="14"/>
                <w:szCs w:val="14"/>
                <w:color w:val="auto"/>
              </w:rPr>
              <w:t>Facility transactions not taxable</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(4,739,272)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60" w:type="dxa"/>
            <w:vAlign w:val="bottom"/>
          </w:tcPr>
          <w:p>
            <w:pPr>
              <w:jc w:val="right"/>
              <w:spacing w:after="0" w:line="159" w:lineRule="exact"/>
              <w:rPr>
                <w:sz w:val="20"/>
                <w:szCs w:val="20"/>
                <w:color w:val="auto"/>
              </w:rPr>
            </w:pPr>
            <w:r>
              <w:rPr>
                <w:rFonts w:ascii="Arial" w:cs="Arial" w:eastAsia="Arial" w:hAnsi="Arial"/>
                <w:sz w:val="14"/>
                <w:szCs w:val="14"/>
                <w:color w:val="auto"/>
              </w:rPr>
              <w:t>4,105,380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307,975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1,297,741</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Other non deductible expenses</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net income before deductions for distribution</w:t>
            </w:r>
          </w:p>
        </w:tc>
        <w:tc>
          <w:tcPr>
            <w:tcW w:w="6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7,571,608</w:t>
            </w:r>
          </w:p>
        </w:tc>
        <w:tc>
          <w:tcPr>
            <w:tcW w:w="58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1,929,868</w:t>
            </w:r>
          </w:p>
        </w:tc>
        <w:tc>
          <w:tcPr>
            <w:tcW w:w="1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accumulated surplus (deficit) on book basis and a reconciliation to accumulated surplus (deficit) on a tax basis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5"/>
              </w:rPr>
              <w:t>As of September 30, 2012</w:t>
            </w:r>
          </w:p>
        </w:tc>
        <w:tc>
          <w:tcPr>
            <w:tcW w:w="580" w:type="dxa"/>
            <w:vAlign w:val="bottom"/>
          </w:tcPr>
          <w:p>
            <w:pPr>
              <w:spacing w:after="0"/>
              <w:rPr>
                <w:sz w:val="14"/>
                <w:szCs w:val="14"/>
                <w:color w:val="auto"/>
              </w:rPr>
            </w:pPr>
          </w:p>
        </w:tc>
        <w:tc>
          <w:tcPr>
            <w:tcW w:w="31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2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2,139,738</w:t>
            </w:r>
          </w:p>
        </w:tc>
        <w:tc>
          <w:tcPr>
            <w:tcW w:w="4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w w:val="76"/>
              </w:rPr>
              <w:t>$</w:t>
            </w:r>
          </w:p>
        </w:tc>
        <w:tc>
          <w:tcPr>
            <w:tcW w:w="3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Dividends payable and other temporary differences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(2,228,826)</w:t>
            </w:r>
          </w:p>
        </w:tc>
        <w:tc>
          <w:tcPr>
            <w:tcW w:w="580" w:type="dxa"/>
            <w:vAlign w:val="bottom"/>
          </w:tcPr>
          <w:p>
            <w:pPr>
              <w:spacing w:after="0"/>
              <w:rPr>
                <w:sz w:val="12"/>
                <w:szCs w:val="12"/>
                <w:color w:val="auto"/>
              </w:rPr>
            </w:pPr>
          </w:p>
        </w:tc>
        <w:tc>
          <w:tcPr>
            <w:tcW w:w="3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(1,777,288)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633,891</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Total accumulated surplus (deficit)</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240" w:type="dxa"/>
            <w:vAlign w:val="bottom"/>
            <w:gridSpan w:val="2"/>
          </w:tcPr>
          <w:p>
            <w:pPr>
              <w:jc w:val="right"/>
              <w:ind w:right="157"/>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line="155" w:lineRule="exact"/>
              <w:rPr>
                <w:sz w:val="20"/>
                <w:szCs w:val="20"/>
                <w:color w:val="auto"/>
              </w:rPr>
            </w:pPr>
            <w:r>
              <w:rPr>
                <w:rFonts w:ascii="Arial" w:cs="Arial" w:eastAsia="Arial" w:hAnsi="Arial"/>
                <w:sz w:val="14"/>
                <w:szCs w:val="14"/>
                <w:color w:val="auto"/>
              </w:rPr>
              <w:t>544,803</w:t>
            </w:r>
          </w:p>
        </w:tc>
        <w:tc>
          <w:tcPr>
            <w:tcW w:w="440" w:type="dxa"/>
            <w:vAlign w:val="bottom"/>
          </w:tcPr>
          <w:p>
            <w:pPr>
              <w:spacing w:after="0"/>
              <w:rPr>
                <w:sz w:val="13"/>
                <w:szCs w:val="13"/>
                <w:color w:val="auto"/>
              </w:rPr>
            </w:pPr>
          </w:p>
        </w:tc>
        <w:tc>
          <w:tcPr>
            <w:tcW w:w="580" w:type="dxa"/>
            <w:vAlign w:val="bottom"/>
          </w:tcPr>
          <w:p>
            <w:pPr>
              <w:jc w:val="right"/>
              <w:ind w:right="432"/>
              <w:spacing w:after="0" w:line="155" w:lineRule="exact"/>
              <w:rPr>
                <w:sz w:val="20"/>
                <w:szCs w:val="20"/>
                <w:color w:val="auto"/>
              </w:rPr>
            </w:pPr>
            <w:r>
              <w:rPr>
                <w:rFonts w:ascii="Arial" w:cs="Arial" w:eastAsia="Arial" w:hAnsi="Arial"/>
                <w:sz w:val="14"/>
                <w:szCs w:val="14"/>
                <w:color w:val="auto"/>
                <w:w w:val="76"/>
              </w:rPr>
              <w:t>$</w:t>
            </w:r>
          </w:p>
        </w:tc>
        <w:tc>
          <w:tcPr>
            <w:tcW w:w="3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(5,185,920)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In accordance with Section 19(a) under the 1940 Act, $103,884 of the Company’s distributions paid to stockholders during the fiscal year ended September 30, 2012 represent a distribution of long-term realized capital gains. The tax characteristics of dividends accrued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ind w:right="752"/>
              <w:spacing w:after="0" w:line="149"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32"/>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6,130,222</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w w:val="76"/>
              </w:rPr>
              <w:t>$</w:t>
            </w:r>
          </w:p>
        </w:tc>
        <w:tc>
          <w:tcPr>
            <w:tcW w:w="3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0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6,234,106</w:t>
            </w:r>
          </w:p>
        </w:tc>
        <w:tc>
          <w:tcPr>
            <w:tcW w:w="90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3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2020" w:type="dxa"/>
            <w:vAlign w:val="bottom"/>
            <w:gridSpan w:val="2"/>
          </w:tcPr>
          <w:p>
            <w:pPr>
              <w:jc w:val="right"/>
              <w:ind w:right="209"/>
              <w:spacing w:after="0" w:line="155"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55" w:lineRule="exact"/>
              <w:rPr>
                <w:sz w:val="20"/>
                <w:szCs w:val="20"/>
                <w:color w:val="auto"/>
              </w:rPr>
            </w:pPr>
            <w:r>
              <w:rPr>
                <w:rFonts w:ascii="Arial" w:cs="Arial" w:eastAsia="Arial" w:hAnsi="Arial"/>
                <w:sz w:val="14"/>
                <w:szCs w:val="14"/>
                <w:color w:val="auto"/>
              </w:rPr>
              <w:t>0.91</w:t>
            </w:r>
          </w:p>
        </w:tc>
        <w:tc>
          <w:tcPr>
            <w:tcW w:w="90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3180" w:type="dxa"/>
            <w:vAlign w:val="bottom"/>
          </w:tcPr>
          <w:p>
            <w:pPr>
              <w:jc w:val="right"/>
              <w:spacing w:after="0" w:line="155"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right"/>
              <w:ind w:right="1332"/>
              <w:spacing w:after="0"/>
              <w:rPr>
                <w:sz w:val="20"/>
                <w:szCs w:val="20"/>
                <w:color w:val="auto"/>
              </w:rPr>
            </w:pPr>
            <w:r>
              <w:rPr>
                <w:rFonts w:ascii="Arial" w:cs="Arial" w:eastAsia="Arial" w:hAnsi="Arial"/>
                <w:sz w:val="14"/>
                <w:szCs w:val="14"/>
                <w:color w:val="auto"/>
              </w:rPr>
              <w:t>F-23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25"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Our net assets and net asset value per share on September 30, 2012 and 2011 were $95.7 million and $13.98 per share and $92.1 million and $13.44 per share, respectively. Below are the financial highlights: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(commencement of operations)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60" w:type="dxa"/>
            <w:vAlign w:val="bottom"/>
          </w:tcPr>
          <w:p>
            <w:pPr>
              <w:spacing w:after="0"/>
              <w:rPr>
                <w:sz w:val="13"/>
                <w:szCs w:val="13"/>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Dividends to stockholders</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Offering costs</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360" w:type="dxa"/>
            <w:vAlign w:val="bottom"/>
          </w:tcPr>
          <w:p>
            <w:pPr>
              <w:spacing w:after="0"/>
              <w:rPr>
                <w:sz w:val="13"/>
                <w:szCs w:val="13"/>
                <w:color w:val="auto"/>
              </w:rPr>
            </w:pP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interest and expenses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95,743,877</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46,133,607</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7,550,877</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Average debt per share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6073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Not annualized for period less than a year.</w:t>
      </w:r>
    </w:p>
    <w:p>
      <w:pPr>
        <w:ind w:left="220" w:hanging="212"/>
        <w:spacing w:after="0" w:line="185" w:lineRule="auto"/>
        <w:tabs>
          <w:tab w:leader="none" w:pos="2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period except for net asset value.</w:t>
      </w:r>
    </w:p>
    <w:p>
      <w:pPr>
        <w:ind w:left="220" w:hanging="212"/>
        <w:spacing w:after="0" w:line="182" w:lineRule="auto"/>
        <w:tabs>
          <w:tab w:leader="none" w:pos="22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220" w:hanging="212"/>
        <w:spacing w:after="0" w:line="185" w:lineRule="auto"/>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2"/>
          <w:szCs w:val="12"/>
          <w:color w:val="auto"/>
        </w:rPr>
        <w:t>Operating expenses exclude Credit Facility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25"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12"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12"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25"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120" w:firstLine="799"/>
        <w:spacing w:after="0" w:line="288" w:lineRule="auto"/>
        <w:rPr>
          <w:sz w:val="20"/>
          <w:szCs w:val="20"/>
          <w:color w:val="auto"/>
        </w:rPr>
      </w:pPr>
      <w:r>
        <w:rPr>
          <w:rFonts w:ascii="Arial" w:cs="Arial" w:eastAsia="Arial" w:hAnsi="Arial"/>
          <w:sz w:val="12"/>
          <w:szCs w:val="12"/>
          <w:color w:val="auto"/>
        </w:rPr>
        <w:t>We have reviewed the accompanying consolidated statements of assets and liabilities of PennantPark Floating Rate Capital Ltd. and its Subsidiary (the “Company”), including the consolidated schedule of investments, as of June 30, 2013 and the consolidated statement of operations for the three and nine months ended June 30, 2013 and 2012, changes in net assets, and cash flows for the nine months ended June 30, 2013 and 2012. These consolidated financial statements are the responsibility of the Company’s management.</w:t>
      </w:r>
    </w:p>
    <w:p>
      <w:pPr>
        <w:spacing w:after="0" w:line="111" w:lineRule="exact"/>
        <w:rPr>
          <w:sz w:val="20"/>
          <w:szCs w:val="20"/>
          <w:color w:val="auto"/>
        </w:rPr>
      </w:pPr>
    </w:p>
    <w:p>
      <w:pPr>
        <w:ind w:right="180" w:firstLine="799"/>
        <w:spacing w:after="0" w:line="230"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ind w:right="300" w:firstLine="799"/>
        <w:spacing w:after="0" w:line="288" w:lineRule="auto"/>
        <w:rPr>
          <w:sz w:val="20"/>
          <w:szCs w:val="20"/>
          <w:color w:val="auto"/>
        </w:rPr>
      </w:pPr>
      <w:r>
        <w:rPr>
          <w:rFonts w:ascii="Arial" w:cs="Arial" w:eastAsia="Arial" w:hAnsi="Arial"/>
          <w:sz w:val="12"/>
          <w:szCs w:val="12"/>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8,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2012</w:t>
            </w: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6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6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(cost—$253,491,463 and $171,578,009, respectively)</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250,514,412</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171,834,400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6,936,175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3,845,803</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1,167,081</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1,388,867</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4,234,177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986,278</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397,108</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311,313</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263,248,953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901,661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548,053</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30,515,000</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3,357,500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Credit Facility payable (cost—$85,600,000 and $75,500,000, respectively) (See Notes 5 and 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85,600,000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75,122,500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150,135</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161,550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548,779</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424,747</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658,545</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506,314</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781,707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447,120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2,055,000</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87"/>
              </w:rPr>
              <w:t>119,155,827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82,622,784</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640" w:type="dxa"/>
            <w:vAlign w:val="bottom"/>
          </w:tcPr>
          <w:p>
            <w:pPr>
              <w:spacing w:after="0" w:line="138" w:lineRule="exact"/>
              <w:rPr>
                <w:sz w:val="20"/>
                <w:szCs w:val="20"/>
                <w:color w:val="auto"/>
              </w:rPr>
            </w:pPr>
            <w:r>
              <w:rPr>
                <w:rFonts w:ascii="Arial" w:cs="Arial" w:eastAsia="Arial" w:hAnsi="Arial"/>
                <w:sz w:val="14"/>
                <w:szCs w:val="14"/>
                <w:color w:val="auto"/>
              </w:rPr>
              <w:t>Common stock, 10,304,692 and 6,850,667 shares issued and outstanding, respectively.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640" w:type="dxa"/>
            <w:vAlign w:val="bottom"/>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10,305</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6,851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143,146,743</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95,192,222</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(517,645)</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(1,313,000)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4,430,774</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1,223,913</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(2,977,051)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256,391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144,093,126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95,743,877</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263,248,953</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178,366,661</w:t>
            </w:r>
          </w:p>
        </w:tc>
        <w:tc>
          <w:tcPr>
            <w:tcW w:w="80" w:type="dxa"/>
            <w:vAlign w:val="bottom"/>
            <w:shd w:val="clear" w:color="auto" w:fill="CCEEFF"/>
          </w:tcPr>
          <w:p>
            <w:pPr>
              <w:spacing w:after="0"/>
              <w:rPr>
                <w:sz w:val="12"/>
                <w:szCs w:val="12"/>
                <w:color w:val="auto"/>
              </w:rPr>
            </w:pPr>
          </w:p>
        </w:tc>
      </w:tr>
      <w:tr>
        <w:trPr>
          <w:trHeight w:val="156"/>
        </w:trPr>
        <w:tc>
          <w:tcPr>
            <w:tcW w:w="8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13.98</w:t>
            </w:r>
          </w:p>
        </w:tc>
        <w:tc>
          <w:tcPr>
            <w:tcW w:w="400" w:type="dxa"/>
            <w:vAlign w:val="bottom"/>
          </w:tcPr>
          <w:p>
            <w:pPr>
              <w:spacing w:after="0"/>
              <w:rPr>
                <w:sz w:val="13"/>
                <w:szCs w:val="13"/>
                <w:color w:val="auto"/>
              </w:rPr>
            </w:pPr>
          </w:p>
        </w:tc>
        <w:tc>
          <w:tcPr>
            <w:tcW w:w="60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13.98</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Three Months Ended June 30,</w:t>
            </w:r>
          </w:p>
        </w:tc>
        <w:tc>
          <w:tcPr>
            <w:tcW w:w="8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4,192,816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11,807,059</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8,387,545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477,487</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80,522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965,794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223,915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4,670,303</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3,200,702</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12,772,853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8,611,460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383,673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1,464,403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1,069,870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(117,536)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1,017,929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375,640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409,732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1,342,103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1,031,208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144,052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147,097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435,056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317,192</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254,743</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956,400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974,330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excise tax expense and amendment costs</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1,423,372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1,077,709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5,233,711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3,568,668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Credit Facility amendment costs (See Note 9)</w:t>
            </w:r>
          </w:p>
        </w:tc>
        <w:tc>
          <w:tcPr>
            <w:tcW w:w="80" w:type="dxa"/>
            <w:vAlign w:val="bottom"/>
          </w:tcPr>
          <w:p>
            <w:pPr>
              <w:spacing w:after="0"/>
              <w:rPr>
                <w:sz w:val="13"/>
                <w:szCs w:val="13"/>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276,500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276,500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1,452,727</w:t>
            </w: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1,354,209</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5,830,479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3,845,168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3,217,576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1,846,493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6,942,374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4,766,292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1,659,391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217,718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3,206,861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623,605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(3,309,840)</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(1,709,804)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(3,233,442)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2,355,750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(377,500)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(3,309,840)</w:t>
            </w:r>
          </w:p>
        </w:tc>
        <w:tc>
          <w:tcPr>
            <w:tcW w:w="160" w:type="dxa"/>
            <w:vAlign w:val="bottom"/>
          </w:tcPr>
          <w:p>
            <w:pPr>
              <w:spacing w:after="0"/>
              <w:rPr>
                <w:sz w:val="13"/>
                <w:szCs w:val="13"/>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7"/>
              </w:rPr>
              <w:t>(1,676,804)</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7"/>
              </w:rPr>
              <w:t>(3,610,942)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2,627,750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 from investments and Credit Facility</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(1,650,449)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(1,459,086)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(404,081)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3,251,355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1,567,127</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387,407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6,538,293</w:t>
            </w: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8,017,647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0.15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0.06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0.81</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0.31</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0.86</w:t>
            </w: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6,942,374</w:t>
            </w:r>
          </w:p>
        </w:tc>
        <w:tc>
          <w:tcPr>
            <w:tcW w:w="18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4,766,292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3,206,861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(3,233,442)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2,355,750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(377,500)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6,538,293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8,017,647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(6,147,019)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(4,589,945)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Public offering and distributions reinvested</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48,357,975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from capital transactions</w:t>
            </w: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47,957,975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48,349,249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3,427,702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95,743,877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92,072,105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color w:val="auto"/>
              </w:rPr>
              <w:t>End of period</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144,093,126</w:t>
            </w:r>
          </w:p>
        </w:tc>
        <w:tc>
          <w:tcPr>
            <w:tcW w:w="180" w:type="dxa"/>
            <w:vAlign w:val="bottom"/>
          </w:tcPr>
          <w:p>
            <w:pPr>
              <w:spacing w:after="0"/>
              <w:rPr>
                <w:sz w:val="13"/>
                <w:szCs w:val="13"/>
                <w:color w:val="auto"/>
              </w:rPr>
            </w:pPr>
          </w:p>
        </w:tc>
        <w:tc>
          <w:tcPr>
            <w:tcW w:w="2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95,499,807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Distributions in excess of net investment income, end of period</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(517,645)</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2"/>
              </w:rPr>
              <w:t>(1,216,181)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from public offering</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color w:val="auto"/>
              </w:rPr>
              <w:t>Shares issued from reinvestment of dividends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Nine Months Ended June 30,</w:t>
            </w:r>
          </w:p>
        </w:tc>
      </w:tr>
      <w:tr>
        <w:trPr>
          <w:trHeight w:val="142"/>
        </w:trPr>
        <w:tc>
          <w:tcPr>
            <w:tcW w:w="94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940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6,538,293</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8,017,647</w:t>
            </w:r>
          </w:p>
        </w:tc>
      </w:tr>
      <w:tr>
        <w:trPr>
          <w:trHeight w:val="149"/>
        </w:trPr>
        <w:tc>
          <w:tcPr>
            <w:tcW w:w="9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for operating activities: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3,233,442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(2,355,750)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(272,000)</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on investments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(3,206,861)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(623,605)</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(853,119)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(502,435)</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7"/>
              </w:rPr>
              <w:t>(198,297,678)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(99,875,195)</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Payments-in-kind interest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(211,887)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(93,404)</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120,656,091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57,033,401</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221,786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(289,794)</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receivables for investments sold</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(3,247,899)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(118,687)</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payables for investments purchased</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27,157,500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7,078,630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256,616</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124,032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117,241</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152,231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18,074</w:t>
            </w:r>
          </w:p>
        </w:tc>
      </w:tr>
      <w:tr>
        <w:trPr>
          <w:trHeight w:val="156"/>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334,587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254,390</w:t>
            </w: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for operating activities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(47,119,192)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(28,887,371)</w:t>
            </w: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sales load paid</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(5,735,436)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(4,521,440)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121,450,000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71,450,000</w:t>
            </w:r>
          </w:p>
        </w:tc>
      </w:tr>
      <w:tr>
        <w:trPr>
          <w:trHeight w:val="156"/>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60" w:type="dxa"/>
            <w:vAlign w:val="bottom"/>
          </w:tcPr>
          <w:p>
            <w:pPr>
              <w:spacing w:after="0"/>
              <w:rPr>
                <w:sz w:val="13"/>
                <w:szCs w:val="13"/>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7"/>
              </w:rPr>
              <w:t>(111,350,000)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(41,700,000)</w:t>
            </w:r>
          </w:p>
        </w:tc>
      </w:tr>
      <w:tr>
        <w:trPr>
          <w:trHeight w:val="149"/>
        </w:trPr>
        <w:tc>
          <w:tcPr>
            <w:tcW w:w="94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50,209,564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25,228,560</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3,090,372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(3,658,811)</w:t>
            </w:r>
          </w:p>
        </w:tc>
      </w:tr>
      <w:tr>
        <w:trPr>
          <w:trHeight w:val="149"/>
        </w:trPr>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Cash equivalents,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6,936,175</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3,328,639</w:t>
            </w:r>
          </w:p>
        </w:tc>
      </w:tr>
      <w:tr>
        <w:trPr>
          <w:trHeight w:val="20"/>
        </w:trPr>
        <w:tc>
          <w:tcPr>
            <w:tcW w:w="9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94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ind w:left="440"/>
              <w:spacing w:after="0" w:line="149" w:lineRule="exact"/>
              <w:rPr>
                <w:sz w:val="20"/>
                <w:szCs w:val="20"/>
                <w:color w:val="auto"/>
              </w:rPr>
            </w:pPr>
            <w:r>
              <w:rPr>
                <w:rFonts w:ascii="Arial" w:cs="Arial" w:eastAsia="Arial" w:hAnsi="Arial"/>
                <w:sz w:val="14"/>
                <w:szCs w:val="14"/>
                <w:color w:val="auto"/>
              </w:rPr>
              <w:t>Interest paid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1,353,513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774,591</w:t>
            </w: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Excise taxes paid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79,140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ind w:left="440"/>
              <w:spacing w:after="0" w:line="155" w:lineRule="exact"/>
              <w:rPr>
                <w:sz w:val="20"/>
                <w:szCs w:val="20"/>
                <w:color w:val="auto"/>
              </w:rPr>
            </w:pPr>
            <w:r>
              <w:rPr>
                <w:rFonts w:ascii="Arial" w:cs="Arial" w:eastAsia="Arial" w:hAnsi="Arial"/>
                <w:sz w:val="14"/>
                <w:szCs w:val="14"/>
                <w:color w:val="auto"/>
              </w:rPr>
              <w:t>Dividends reinvested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Above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62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Coupon</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gridSpan w:val="2"/>
            <w:vMerge w:val="continue"/>
          </w:tcPr>
          <w:p>
            <w:pPr>
              <w:spacing w:after="0"/>
              <w:rPr>
                <w:sz w:val="13"/>
                <w:szCs w:val="13"/>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6"/>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Companies—173.9% </w:t>
            </w:r>
            <w:r>
              <w:rPr>
                <w:rFonts w:ascii="Arial" w:cs="Arial" w:eastAsia="Arial" w:hAnsi="Arial"/>
                <w:sz w:val="17"/>
                <w:szCs w:val="17"/>
                <w:b w:val="1"/>
                <w:bCs w:val="1"/>
                <w:color w:val="auto"/>
                <w:vertAlign w:val="superscript"/>
              </w:rPr>
              <w:t>(3),(4)</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Debt—158.6%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12/21/2016</w:t>
            </w:r>
          </w:p>
        </w:tc>
        <w:tc>
          <w:tcPr>
            <w:tcW w:w="18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94"/>
              </w:rPr>
              <w:t>Retail</w:t>
            </w: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0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L+1,225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2,717,710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82"/>
              </w:rPr>
              <w:t>$2,670,310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$ 2,730,020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(a/k/a Z Wireless Holdings,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1.50%)</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ALG USA Holdings,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02/28/2019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8,478,750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8,411,572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8,436,356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Alvogen Pharma US,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05/23/2018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1,980,048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AMF Bowling Centers,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06/29/2018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8,000,000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7,760,000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ARC Automotive Group,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11/15/2018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2,537,250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2,514,984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2,544,651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10/06/2016</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2,955,000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2,928,969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2,844,187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ATI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12/20/2019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2,957,250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2,988,731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11/22/2017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7.27%</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2,775,000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2,731,151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07/31/2017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964,483</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962,051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946,801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BBB Industries,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03/27/2019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2,938,980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2,958,797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BBTS Borrower LP</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06/04/2019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Energy: Oil and Gas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6,982,500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6,913,161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6,938,859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CBAC Borrower,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07/02/2020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4,950,000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Charlotte Russe,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05/22/2019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990,178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03/19/2018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3,612,201</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3,560,664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3,558,018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12/03/2018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966,117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958,929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963,702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08/29/2017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L+900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3,935,000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3,871,074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3,969,431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07/28/2017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P+350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913,149</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909,840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910,866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Edmenturn, Inc.</w:t>
            </w:r>
          </w:p>
        </w:tc>
        <w:tc>
          <w:tcPr>
            <w:tcW w:w="3080" w:type="dxa"/>
            <w:vAlign w:val="bottom"/>
            <w:gridSpan w:val="4"/>
          </w:tcPr>
          <w:p>
            <w:pPr>
              <w:spacing w:after="0" w:line="149" w:lineRule="exact"/>
              <w:rPr>
                <w:sz w:val="20"/>
                <w:szCs w:val="20"/>
                <w:color w:val="auto"/>
              </w:rPr>
            </w:pPr>
            <w:r>
              <w:rPr>
                <w:rFonts w:ascii="Arial" w:cs="Arial" w:eastAsia="Arial" w:hAnsi="Arial"/>
                <w:sz w:val="14"/>
                <w:szCs w:val="14"/>
                <w:color w:val="auto"/>
                <w:w w:val="96"/>
              </w:rPr>
              <w:t>05/17/2018   Media: Broadcasting and Subscription</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950,625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950,625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11/12/2019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1,972,136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05/18/2018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2,476,244</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2,456,884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2,470,054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05/02/2018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2,977,538</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2,963,028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2,977,537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Fishnet Security,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11/30/2017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3,656,625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3,631,095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3,656,625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07/02/2018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1,935,000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1,902,550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1,942,256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Granite Broadcasting Corporation</w:t>
            </w:r>
          </w:p>
        </w:tc>
        <w:tc>
          <w:tcPr>
            <w:tcW w:w="3080" w:type="dxa"/>
            <w:vAlign w:val="bottom"/>
            <w:gridSpan w:val="4"/>
          </w:tcPr>
          <w:p>
            <w:pPr>
              <w:spacing w:after="0" w:line="149" w:lineRule="exact"/>
              <w:rPr>
                <w:sz w:val="20"/>
                <w:szCs w:val="20"/>
                <w:color w:val="auto"/>
              </w:rPr>
            </w:pPr>
            <w:r>
              <w:rPr>
                <w:rFonts w:ascii="Arial" w:cs="Arial" w:eastAsia="Arial" w:hAnsi="Arial"/>
                <w:sz w:val="14"/>
                <w:szCs w:val="14"/>
                <w:color w:val="auto"/>
                <w:w w:val="96"/>
              </w:rPr>
              <w:t>05/23/2018   Media: Broadcasting and Subscription</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2,985,035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3,007,462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09/02/2019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9.63%</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3,000,000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05/27/2016</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Environmental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2,941,857</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2,932,779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2,919,794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Help/Systems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06/28/2019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4,950,000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04/01/2019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2,911,471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2,969,906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08/03/2017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Wholesale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2,592,540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2,562,226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2,566,614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03/30/2017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1,968,051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05/01/2019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8,848,361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Ikaria Acquisition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09/25/2017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1,687,250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1,678,814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1,678,814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11/30/2016</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2,175,000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2,185,683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08/07/2014</w:t>
            </w:r>
          </w:p>
        </w:tc>
        <w:tc>
          <w:tcPr>
            <w:tcW w:w="180" w:type="dxa"/>
            <w:vAlign w:val="bottom"/>
          </w:tcPr>
          <w:p>
            <w:pPr>
              <w:spacing w:after="0"/>
              <w:rPr>
                <w:sz w:val="11"/>
                <w:szCs w:val="11"/>
                <w:color w:val="auto"/>
              </w:rPr>
            </w:pPr>
          </w:p>
        </w:tc>
        <w:tc>
          <w:tcPr>
            <w:tcW w:w="228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3.57%</w:t>
            </w:r>
            <w:r>
              <w:rPr>
                <w:rFonts w:ascii="Arial" w:cs="Arial" w:eastAsia="Arial" w:hAnsi="Arial"/>
                <w:sz w:val="15"/>
                <w:szCs w:val="15"/>
                <w:color w:val="auto"/>
                <w:vertAlign w:val="superscript"/>
              </w:rPr>
              <w:t>(9)</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L+338</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6,836,508</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6,659,730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4,802,647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10/16/2017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3,293,750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3,176,610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3,186,703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09/10/2015</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P+725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5,895,141</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5,930,326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5,806,714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LifeCare Holdings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11/30/2018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5,911,128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5,865,000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Lineage Logistics,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04/26/2019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4,975,805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4,978,125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Meritas Schools Holdings,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06/25/2019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2,970,047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2,998,125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Milk Specialties Company</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11/09/2018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Consumer Goods: Non-Durable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3,391,500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3,361,772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3,408,458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05/07/2018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2,354,516</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2,350,291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2,350,984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MX USA,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05/01/2017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2,960,964</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2,925,114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2,960,964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308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w w:val="95"/>
              </w:rPr>
              <w:t>04/24/2018   Banking, Finance, Insurance and Real</w:t>
            </w:r>
          </w:p>
        </w:tc>
        <w:tc>
          <w:tcPr>
            <w:tcW w:w="10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946,500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934,857</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948,866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5"/>
              </w:rPr>
              <w:t>Estate</w:t>
            </w: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12/19/2018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4,500,000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4,416,217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4,623,750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Orbitz Worldwide, Inc., Term Loan 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03/25/2019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Transportation: Consumer</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4,000,000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4,010,000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Packaging Coordinators,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05/15/2020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2,487,614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07/11/2018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1,460,059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08/01/2014</w:t>
            </w:r>
          </w:p>
        </w:tc>
        <w:tc>
          <w:tcPr>
            <w:tcW w:w="180" w:type="dxa"/>
            <w:vAlign w:val="bottom"/>
          </w:tcPr>
          <w:p>
            <w:pPr>
              <w:spacing w:after="0"/>
              <w:rPr>
                <w:sz w:val="11"/>
                <w:szCs w:val="11"/>
                <w:color w:val="auto"/>
              </w:rPr>
            </w:pPr>
          </w:p>
        </w:tc>
        <w:tc>
          <w:tcPr>
            <w:tcW w:w="22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5,509,179</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5,182,543</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5,247,493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(PIK 2.00%)</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Polyconcept Finance B.V.</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06/28/2019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Consumer Goods: Non-Durable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P+375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7,920,000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Premier Dental Services,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11/01/2018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3,383,000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3,291,106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3,399,915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11/29/2016</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4,250,000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4,177,840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4,175,625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08/24/2018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Construction and Building</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2,945,873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2,983,134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Holdings,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04/30/2020</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Telecommunications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L+350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1,980,571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1,978,750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04/21/2017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3"/>
              </w:rPr>
              <w:t>Aerospace and Defense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2,765,755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2,746,298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2,689,697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12/20/2017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2,422,500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2,379,019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2,425,528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Steward Health Care System LLC </w:t>
            </w:r>
            <w:r>
              <w:rPr>
                <w:rFonts w:ascii="Arial" w:cs="Arial" w:eastAsia="Arial" w:hAnsi="Arial"/>
                <w:sz w:val="17"/>
                <w:szCs w:val="17"/>
                <w:color w:val="auto"/>
                <w:vertAlign w:val="superscript"/>
              </w:rPr>
              <w:t>(8)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04/13/2020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1,980,663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03/06/2019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968,700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982,563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05/31/2018</w:t>
            </w:r>
          </w:p>
        </w:tc>
        <w:tc>
          <w:tcPr>
            <w:tcW w:w="180" w:type="dxa"/>
            <w:vAlign w:val="bottom"/>
          </w:tcPr>
          <w:p>
            <w:pPr>
              <w:spacing w:after="0"/>
              <w:rPr>
                <w:sz w:val="11"/>
                <w:szCs w:val="11"/>
                <w:color w:val="auto"/>
              </w:rPr>
            </w:pPr>
          </w:p>
        </w:tc>
        <w:tc>
          <w:tcPr>
            <w:tcW w:w="228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4,500,000</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4,455,703</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4,477,500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Therakos,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12/27/2017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2,901,936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2,977,538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Travelport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06/26/2019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Transportation: Consumer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6,000,000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5,910,129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5,925,000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TriNet HR Corporation</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10/24/2018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1,994,992</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1,994,992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1,990,005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Fair Value </w:t>
            </w:r>
            <w:r>
              <w:rPr>
                <w:rFonts w:ascii="Arial" w:cs="Arial" w:eastAsia="Arial" w:hAnsi="Arial"/>
                <w:sz w:val="22"/>
                <w:szCs w:val="22"/>
                <w:b w:val="1"/>
                <w:bCs w:val="1"/>
                <w:color w:val="auto"/>
                <w:w w:val="90"/>
                <w:vertAlign w:val="superscript"/>
              </w:rPr>
              <w:t>(2)</w:t>
            </w:r>
          </w:p>
        </w:tc>
        <w:tc>
          <w:tcPr>
            <w:tcW w:w="0" w:type="dxa"/>
            <w:vAlign w:val="bottom"/>
          </w:tcPr>
          <w:p>
            <w:pPr>
              <w:spacing w:after="0"/>
              <w:rPr>
                <w:sz w:val="1"/>
                <w:szCs w:val="1"/>
                <w:color w:val="auto"/>
              </w:rPr>
            </w:pPr>
          </w:p>
        </w:tc>
      </w:tr>
      <w:tr>
        <w:trPr>
          <w:trHeight w:val="176"/>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Maturity</w:t>
            </w:r>
          </w:p>
        </w:tc>
        <w:tc>
          <w:tcPr>
            <w:tcW w:w="3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6"/>
                <w:szCs w:val="16"/>
                <w:color w:val="auto"/>
                <w:vertAlign w:val="superscript"/>
              </w:rPr>
              <w:t>(8)</w:t>
            </w:r>
          </w:p>
        </w:tc>
        <w:tc>
          <w:tcPr>
            <w:tcW w:w="8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04/16/2018</w:t>
            </w:r>
          </w:p>
        </w:tc>
        <w:tc>
          <w:tcPr>
            <w:tcW w:w="100" w:type="dxa"/>
            <w:vAlign w:val="bottom"/>
            <w:vMerge w:val="continue"/>
            <w:shd w:val="clear" w:color="auto" w:fill="CCEEFF"/>
          </w:tcPr>
          <w:p>
            <w:pPr>
              <w:spacing w:after="0"/>
              <w:rPr>
                <w:sz w:val="12"/>
                <w:szCs w:val="12"/>
                <w:color w:val="auto"/>
              </w:rPr>
            </w:pPr>
          </w:p>
        </w:tc>
        <w:tc>
          <w:tcPr>
            <w:tcW w:w="33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Telecommunications</w:t>
            </w:r>
          </w:p>
        </w:tc>
        <w:tc>
          <w:tcPr>
            <w:tcW w:w="10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11.75%</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P+850</w:t>
            </w:r>
          </w:p>
        </w:tc>
        <w:tc>
          <w:tcPr>
            <w:tcW w:w="16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2,009,957</w:t>
            </w:r>
          </w:p>
        </w:tc>
        <w:tc>
          <w:tcPr>
            <w:tcW w:w="3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1,961,916</w:t>
            </w:r>
          </w:p>
        </w:tc>
        <w:tc>
          <w:tcPr>
            <w:tcW w:w="2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1,839,110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06/19/2017</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2,940,363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2,918,979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2,822,749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04/19/2016</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3,491,833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3,463,776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3,491,833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12/22/2016</w:t>
            </w:r>
          </w:p>
        </w:tc>
        <w:tc>
          <w:tcPr>
            <w:tcW w:w="100" w:type="dxa"/>
            <w:vAlign w:val="bottom"/>
          </w:tcPr>
          <w:p>
            <w:pPr>
              <w:spacing w:after="0"/>
              <w:rPr>
                <w:sz w:val="12"/>
                <w:szCs w:val="12"/>
                <w:color w:val="auto"/>
              </w:rPr>
            </w:pPr>
          </w:p>
        </w:tc>
        <w:tc>
          <w:tcPr>
            <w:tcW w:w="3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2,947,500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2,927,091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1,915,875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Consumer Goods: Durable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6.77%</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3,363,750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3,356,481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3,355,341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3,272,500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3,217,620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3,256,138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YP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06/04/2018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5,985,000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5,836,762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5,910,188</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229,974,784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89"/>
              </w:rPr>
              <w:t>228,527,557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Second Lien Secured Debt—9.2% </w:t>
            </w:r>
            <w:r>
              <w:rPr>
                <w:rFonts w:ascii="Arial" w:cs="Arial" w:eastAsia="Arial" w:hAnsi="Arial"/>
                <w:sz w:val="17"/>
                <w:szCs w:val="17"/>
                <w:b w:val="1"/>
                <w:bCs w:val="1"/>
                <w:color w:val="auto"/>
                <w:vertAlign w:val="superscript"/>
              </w:rPr>
              <w:t>(8)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3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10/23/2019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1,906,607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1,860,066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1,939,973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Cannery Casino Resorts,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1,670,556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1,610,750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05/15/2018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Language Line,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12/20/2016</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1,590,000</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12,985,622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99"/>
              </w:rPr>
              <w:t>13,160,722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Notes—6.0% </w:t>
            </w:r>
            <w:r>
              <w:rPr>
                <w:rFonts w:ascii="Arial" w:cs="Arial" w:eastAsia="Arial" w:hAnsi="Arial"/>
                <w:sz w:val="17"/>
                <w:szCs w:val="17"/>
                <w:b w:val="1"/>
                <w:bCs w:val="1"/>
                <w:color w:val="auto"/>
                <w:vertAlign w:val="superscript"/>
              </w:rPr>
              <w:t>(8)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3,851,875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Infonet,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10/26/2018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High Tech Industries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1,987,500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1,948,498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1,989,416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Varel International Energy Mezzanine Funding</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01/15/2018</w:t>
            </w:r>
          </w:p>
        </w:tc>
        <w:tc>
          <w:tcPr>
            <w:tcW w:w="100" w:type="dxa"/>
            <w:vAlign w:val="bottom"/>
          </w:tcPr>
          <w:p>
            <w:pPr>
              <w:spacing w:after="0"/>
              <w:rPr>
                <w:sz w:val="11"/>
                <w:szCs w:val="11"/>
                <w:color w:val="auto"/>
              </w:rPr>
            </w:pPr>
          </w:p>
        </w:tc>
        <w:tc>
          <w:tcPr>
            <w:tcW w:w="34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14.00%</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1,792,215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1,759,659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1,771,822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00" w:type="dxa"/>
            <w:vAlign w:val="bottom"/>
            <w:gridSpan w:val="2"/>
          </w:tcPr>
          <w:p>
            <w:pPr>
              <w:ind w:left="200"/>
              <w:spacing w:after="0"/>
              <w:rPr>
                <w:sz w:val="20"/>
                <w:szCs w:val="20"/>
                <w:color w:val="auto"/>
              </w:rPr>
            </w:pPr>
            <w:r>
              <w:rPr>
                <w:rFonts w:ascii="Arial" w:cs="Arial" w:eastAsia="Arial" w:hAnsi="Arial"/>
                <w:sz w:val="14"/>
                <w:szCs w:val="14"/>
                <w:color w:val="auto"/>
              </w:rPr>
              <w:t>Corp.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(PIK 4.00%)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06/27/2019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2,859,027</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2,804,358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2,836,907</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10,364,390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8,648,145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Vestcom Parent Holdings, Inc. (Vestcom</w:t>
            </w: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34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15,179</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166,667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177,988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International,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253,491,463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9"/>
              </w:rPr>
              <w:t>250,514,412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BlackRock Liquidity Funds,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5,187,667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5,187,667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Temp Cash, Institutional Shares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BlackRock Liquidity Funds,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1,748,508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1,748,508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Temp Fund, Institutional 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6,936,175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6,936,175</w:t>
            </w:r>
          </w:p>
        </w:tc>
        <w:tc>
          <w:tcPr>
            <w:tcW w:w="0" w:type="dxa"/>
            <w:vAlign w:val="bottom"/>
          </w:tcPr>
          <w:p>
            <w:pPr>
              <w:spacing w:after="0"/>
              <w:rPr>
                <w:sz w:val="1"/>
                <w:szCs w:val="1"/>
                <w:color w:val="auto"/>
              </w:rPr>
            </w:pPr>
          </w:p>
        </w:tc>
      </w:tr>
      <w:tr>
        <w:trPr>
          <w:trHeight w:val="156"/>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7"/>
              </w:rPr>
              <w:t>Total Investments and Cash Equivalents—178.7%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260,427,638</w:t>
            </w: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89"/>
              </w:rPr>
              <w:t>257,450,587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4"/>
              </w:rPr>
              <w:t>Liabilities in Excess of Other Assets—(78.7)%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4"/>
              </w:rPr>
              <w:t>(113,357,461)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9"/>
              </w:rPr>
              <w:t>144,093,126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220" w:right="260" w:hanging="212"/>
        <w:spacing w:after="0" w:line="230"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220" w:right="220" w:hanging="212"/>
        <w:spacing w:after="0" w:line="258" w:lineRule="auto"/>
        <w:tabs>
          <w:tab w:leader="none" w:pos="2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220" w:right="260" w:hanging="212"/>
        <w:spacing w:after="0" w:line="258" w:lineRule="auto"/>
        <w:tabs>
          <w:tab w:leader="none" w:pos="2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220" w:right="40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500" w:type="dxa"/>
            <w:vAlign w:val="bottom"/>
            <w:vMerge w:val="restart"/>
          </w:tcPr>
          <w:p>
            <w:pPr>
              <w:jc w:val="center"/>
              <w:ind w:left="31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Par/</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Coupon</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vMerge w:val="continue"/>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Companies—179.5%</w:t>
            </w:r>
            <w:r>
              <w:rPr>
                <w:rFonts w:ascii="Arial" w:cs="Arial" w:eastAsia="Arial" w:hAnsi="Arial"/>
                <w:sz w:val="17"/>
                <w:szCs w:val="17"/>
                <w:b w:val="1"/>
                <w:bCs w:val="1"/>
                <w:color w:val="auto"/>
                <w:vertAlign w:val="superscript"/>
              </w:rPr>
              <w:t>(3),(4)</w:t>
            </w:r>
          </w:p>
        </w:tc>
        <w:tc>
          <w:tcPr>
            <w:tcW w:w="2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1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03/25/2015</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L+800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214,286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214,838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214,018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Archipelago Learning,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05/17/2018</w:t>
            </w:r>
          </w:p>
        </w:tc>
        <w:tc>
          <w:tcPr>
            <w:tcW w:w="2040" w:type="dxa"/>
            <w:vAlign w:val="bottom"/>
          </w:tcPr>
          <w:p>
            <w:pPr>
              <w:jc w:val="center"/>
              <w:ind w:right="52"/>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959,574</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987,500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52"/>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10/06/2016</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2,977,500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2,937,079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2,962,613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Attachmate Corporation</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11/22/2017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2,943,750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2,888,381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2,960,309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07/31/2017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985,747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02/15/2018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3,975,000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3,902,979</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4,014,750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08/17/2017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6"/>
              </w:rPr>
              <w:t>Consumer Goods: Durable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3,866,119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3,801,408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3,859,675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03/19/2018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3,733,125</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3,673,063</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3,677,128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12/01/2016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981,827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08/29/2017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Beverage, Food and Tobacco</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L+900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3,904,846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4,109,350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07/28/2017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P+350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950,104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946,081</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945,353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EIG Investors Corp.</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04/20/2018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L+625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3,952,867</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4,009,950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05/18/2018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1,975,762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2,004,975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eResearchtechnology,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05/02/2018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2,884,003</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2,962,500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2,977,500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2,898,672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2,977,500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GFA Brands,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07/02/2018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Beverage, Food and Tobacco</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1,956,496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2,012,456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09/02/2019</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7"/>
              </w:rPr>
              <w:t>Hotel, Gaming and Leisure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9.63%</w:t>
            </w:r>
          </w:p>
        </w:tc>
        <w:tc>
          <w:tcPr>
            <w:tcW w:w="90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05/27/2016</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Environmental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2,956,829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2,933,351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2,934,653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4,962,500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4,742,008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4,925,281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04/01/2019</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9"/>
              </w:rPr>
              <w:t>Retail</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2,929,228</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2,992,463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08/03/2017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8"/>
              </w:rPr>
              <w:t>Wholesale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2,743,125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2,702,953</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2,715,694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03/30/2017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11.50%</w:t>
            </w:r>
          </w:p>
        </w:tc>
        <w:tc>
          <w:tcPr>
            <w:tcW w:w="90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1,963,159</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2,125,000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Ikaria Acquisition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06/22/2016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1,691,500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1,649,000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Instant Web,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08/07/2014</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L+338</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6,836,508</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6,534,349</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5,247,020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09/10/2015</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5,476,250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5,512,699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5,558,394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06/02/2014</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Consumer Goods: Non-Durable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4,937,500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4,845,282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4,863,438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1,844,649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1,821,373</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1,766,252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MModal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08/16/2019</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3,349,374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3,351,125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05/07/2018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3,950,000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3,916,596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3,921,611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12/23/2016</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2,887,500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2,826,368</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2,887,500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05/01/2017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2,943,607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2,955,150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04/24/2018</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86"/>
              </w:rPr>
              <w:t>Banking, Finance, Insurance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973,817</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997,375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5"/>
              </w:rPr>
              <w:t>Real Estate</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07/11/2018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1,496,250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1,467,389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1,492,509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08/01/2014</w:t>
            </w:r>
          </w:p>
        </w:tc>
        <w:tc>
          <w:tcPr>
            <w:tcW w:w="2040" w:type="dxa"/>
            <w:vAlign w:val="bottom"/>
          </w:tcPr>
          <w:p>
            <w:pPr>
              <w:jc w:val="center"/>
              <w:ind w:right="52"/>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5.00%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L+400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5,497,407</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4,931,995</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4,439,156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(PIK 1.00%)</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05/08/2017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1,975,000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1,958,715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1,967,594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07/06/2017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Capital Equipment</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978,077</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970,036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967,889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1500" w:type="dxa"/>
            <w:vAlign w:val="bottom"/>
            <w:shd w:val="clear" w:color="auto" w:fill="CCEEFF"/>
          </w:tcPr>
          <w:p>
            <w:pPr>
              <w:jc w:val="center"/>
              <w:ind w:left="312"/>
              <w:spacing w:after="0" w:line="138" w:lineRule="exact"/>
              <w:rPr>
                <w:sz w:val="20"/>
                <w:szCs w:val="20"/>
                <w:color w:val="auto"/>
              </w:rPr>
            </w:pPr>
            <w:r>
              <w:rPr>
                <w:rFonts w:ascii="Arial" w:cs="Arial" w:eastAsia="Arial" w:hAnsi="Arial"/>
                <w:sz w:val="14"/>
                <w:szCs w:val="14"/>
                <w:color w:val="auto"/>
                <w:w w:val="85"/>
              </w:rPr>
              <w:t>10/19/2017</w:t>
            </w:r>
          </w:p>
        </w:tc>
        <w:tc>
          <w:tcPr>
            <w:tcW w:w="2040" w:type="dxa"/>
            <w:vAlign w:val="bottom"/>
            <w:shd w:val="clear" w:color="auto" w:fill="CCEEFF"/>
          </w:tcPr>
          <w:p>
            <w:pPr>
              <w:jc w:val="center"/>
              <w:ind w:right="52"/>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L+625</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1,980,000</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1,909,788</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1,994,850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ind w:right="52"/>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02/08/2018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3,970,000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3,898,141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3,970,000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08/24/2018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90"/>
              </w:rPr>
              <w:t>Construction and Building</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2,955,509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2,973,126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05/31/2017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2,938,182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2,960,648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Seven Seas Cruises S. DE R.L.</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12/21/2018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7"/>
              </w:rPr>
              <w:t>Hotel, Gaming and Leisure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1,485,300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1,505,625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04/21/2017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2,962,512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2,939,052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2,932,887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13.50%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L+1,200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1,875,000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1,823,914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1,914,375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10/27/2017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958,036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UniTek Global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04/16/2018</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1,935,550</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1,950,113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2,962,500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2,938,318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2,844,000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06/02/2017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1,481,250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1,474,945</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1,466,438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02/09/2018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2,930,559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2,999,925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04/19/2016</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4,187,556</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4,147,483</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4,187,556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12/22/2016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P+450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2,940,842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2,643,300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Maturity</w:t>
            </w:r>
          </w:p>
        </w:tc>
        <w:tc>
          <w:tcPr>
            <w:tcW w:w="2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Above</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2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4"/>
              </w:rPr>
              <w:t>Coupon</w:t>
            </w: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W3 CO.</w:t>
            </w:r>
          </w:p>
        </w:tc>
        <w:tc>
          <w:tcPr>
            <w:tcW w:w="2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20" w:type="dxa"/>
            <w:vAlign w:val="bottom"/>
            <w:vMerge w:val="continue"/>
            <w:shd w:val="clear" w:color="auto" w:fill="CCEEFF"/>
          </w:tcPr>
          <w:p>
            <w:pPr>
              <w:spacing w:after="0"/>
              <w:rPr>
                <w:sz w:val="11"/>
                <w:szCs w:val="11"/>
                <w:color w:val="auto"/>
              </w:rPr>
            </w:pPr>
          </w:p>
        </w:tc>
        <w:tc>
          <w:tcPr>
            <w:tcW w:w="62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10/31/2017</w:t>
            </w:r>
          </w:p>
        </w:tc>
        <w:tc>
          <w:tcPr>
            <w:tcW w:w="180" w:type="dxa"/>
            <w:vAlign w:val="bottom"/>
            <w:vMerge w:val="continue"/>
            <w:shd w:val="clear" w:color="auto" w:fill="CCEEFF"/>
          </w:tcPr>
          <w:p>
            <w:pPr>
              <w:spacing w:after="0"/>
              <w:rPr>
                <w:sz w:val="11"/>
                <w:szCs w:val="11"/>
                <w:color w:val="auto"/>
              </w:rPr>
            </w:pPr>
          </w:p>
        </w:tc>
        <w:tc>
          <w:tcPr>
            <w:tcW w:w="266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Energy: Oil and Gas</w:t>
            </w:r>
          </w:p>
        </w:tc>
        <w:tc>
          <w:tcPr>
            <w:tcW w:w="1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4"/>
                <w:szCs w:val="14"/>
                <w:color w:val="auto"/>
              </w:rPr>
              <w:t>7.50%</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L+625</w:t>
            </w:r>
          </w:p>
        </w:tc>
        <w:tc>
          <w:tcPr>
            <w:tcW w:w="4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1,985,000</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1,916,035</w:t>
            </w:r>
          </w:p>
        </w:tc>
        <w:tc>
          <w:tcPr>
            <w:tcW w:w="14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1,982,519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Consumer Goods: 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3,465,000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Environmental Industries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80" w:type="dxa"/>
            <w:vAlign w:val="bottom"/>
          </w:tcPr>
          <w:p>
            <w:pPr>
              <w:spacing w:after="0"/>
              <w:rPr>
                <w:sz w:val="12"/>
                <w:szCs w:val="12"/>
                <w:color w:val="auto"/>
              </w:rPr>
            </w:pPr>
          </w:p>
        </w:tc>
        <w:tc>
          <w:tcPr>
            <w:tcW w:w="2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L+625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3,400,000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1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4,000,000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Metals and Mining</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L+900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1,700,000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Utilities: Water</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L+725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80" w:type="dxa"/>
            <w:vAlign w:val="bottom"/>
          </w:tcPr>
          <w:p>
            <w:pPr>
              <w:spacing w:after="0"/>
              <w:rPr>
                <w:sz w:val="13"/>
                <w:szCs w:val="13"/>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9.13%</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11,608,643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4,100,000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80" w:type="dxa"/>
            <w:vAlign w:val="bottom"/>
            <w:shd w:val="clear" w:color="auto" w:fill="CCEEFF"/>
          </w:tcPr>
          <w:p>
            <w:pPr>
              <w:spacing w:after="0"/>
              <w:rPr>
                <w:sz w:val="11"/>
                <w:szCs w:val="11"/>
                <w:color w:val="auto"/>
              </w:rPr>
            </w:pPr>
          </w:p>
        </w:tc>
        <w:tc>
          <w:tcPr>
            <w:tcW w:w="2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14.25%</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4,508,719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8"/>
              </w:rPr>
              <w:t>Preferred Equity/Partnership Interests—0.2%</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(7), (8)</w:t>
            </w:r>
          </w:p>
        </w:tc>
        <w:tc>
          <w:tcPr>
            <w:tcW w:w="2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tcPr>
          <w:p>
            <w:pPr>
              <w:spacing w:after="0" w:line="138" w:lineRule="exact"/>
              <w:rPr>
                <w:sz w:val="20"/>
                <w:szCs w:val="20"/>
                <w:color w:val="auto"/>
              </w:rPr>
            </w:pPr>
            <w:r>
              <w:rPr>
                <w:rFonts w:ascii="Arial" w:cs="Arial" w:eastAsia="Arial" w:hAnsi="Arial"/>
                <w:sz w:val="14"/>
                <w:szCs w:val="14"/>
                <w:color w:val="auto"/>
                <w:w w:val="97"/>
              </w:rPr>
              <w:t>TrustHouse Services Holdings, LLC (TrustHouse</w:t>
            </w:r>
          </w:p>
        </w:tc>
        <w:tc>
          <w:tcPr>
            <w:tcW w:w="8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10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110,697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8"/>
              </w:rPr>
              <w:t>Common Equity/Partnership Interests—1.1%</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(7), (8)</w:t>
            </w:r>
          </w:p>
        </w:tc>
        <w:tc>
          <w:tcPr>
            <w:tcW w:w="2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 (Tekelec Global,</w:t>
            </w:r>
          </w:p>
        </w:tc>
        <w:tc>
          <w:tcPr>
            <w:tcW w:w="8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401,797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401,450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1,091,018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TrustHouse Services Holdings, LLC (TrustHouse</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1,101,863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183.5%</w:t>
            </w:r>
          </w:p>
        </w:tc>
        <w:tc>
          <w:tcPr>
            <w:tcW w:w="2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175,423,812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175,680,203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Liabilities in Excess of Other Assets—(83.5)%</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220" w:right="200" w:hanging="212"/>
        <w:spacing w:after="0" w:line="230"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220" w:hanging="212"/>
        <w:spacing w:after="0" w:line="221"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220" w:right="220" w:hanging="212"/>
        <w:spacing w:after="0" w:line="258" w:lineRule="auto"/>
        <w:tabs>
          <w:tab w:leader="none" w:pos="2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220" w:right="260" w:hanging="212"/>
        <w:spacing w:after="0" w:line="258" w:lineRule="auto"/>
        <w:tabs>
          <w:tab w:leader="none" w:pos="2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220" w:right="180" w:hanging="212"/>
        <w:spacing w:after="0" w:line="221"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220" w:hanging="212"/>
        <w:spacing w:after="0" w:line="221"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220" w:hanging="212"/>
        <w:spacing w:after="0" w:line="221"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220" w:hanging="212"/>
        <w:spacing w:after="0" w:line="221" w:lineRule="auto"/>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220" w:hanging="212"/>
        <w:spacing w:after="0"/>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12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9" w:lineRule="exact"/>
        <w:rPr>
          <w:sz w:val="20"/>
          <w:szCs w:val="20"/>
          <w:color w:val="auto"/>
        </w:rPr>
      </w:pPr>
    </w:p>
    <w:p>
      <w:pPr>
        <w:ind w:firstLine="799"/>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ind w:right="160" w:firstLine="799"/>
        <w:spacing w:after="0" w:line="233" w:lineRule="auto"/>
        <w:rPr>
          <w:sz w:val="20"/>
          <w:szCs w:val="20"/>
          <w:color w:val="auto"/>
        </w:rPr>
      </w:pPr>
      <w:r>
        <w:rPr>
          <w:rFonts w:ascii="Arial" w:cs="Arial" w:eastAsia="Arial" w:hAnsi="Arial"/>
          <w:sz w:val="14"/>
          <w:szCs w:val="14"/>
          <w:color w:val="auto"/>
        </w:rPr>
        <w:t>In April 2011, we closed our initial public offering and our common stock trades on the NASDAQ Global Select Market under the symbol “PFLT.” In connection with our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See Note 3.</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March 2013, we completed a follow-on public offering, including the underwriters’ exercise of the overallotment option, of 3,450,000 shares of common stock at a public offering price of</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$14.00 per share for gross proceeds of $48.3 million and net proceeds of $47.9 million after offering expenses. Our Investment Adviser paid the entire sales load of $1.4 million in connection with this offering.</w:t>
      </w:r>
    </w:p>
    <w:p>
      <w:pPr>
        <w:spacing w:after="0" w:line="161" w:lineRule="exact"/>
        <w:rPr>
          <w:sz w:val="20"/>
          <w:szCs w:val="20"/>
          <w:color w:val="auto"/>
        </w:rPr>
      </w:pPr>
    </w:p>
    <w:p>
      <w:pPr>
        <w:ind w:right="160" w:firstLine="799"/>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120" w:firstLine="799"/>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owed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right="40" w:firstLine="799"/>
        <w:spacing w:after="0" w:line="273"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20" w:lineRule="exact"/>
        <w:rPr>
          <w:sz w:val="20"/>
          <w:szCs w:val="20"/>
          <w:color w:val="auto"/>
        </w:rPr>
      </w:pPr>
    </w:p>
    <w:p>
      <w:pPr>
        <w:ind w:right="220" w:firstLine="799"/>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3"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680" w:right="340" w:hanging="334"/>
        <w:spacing w:after="0" w:line="239" w:lineRule="auto"/>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680" w:hanging="334"/>
        <w:spacing w:after="0"/>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680" w:right="120" w:hanging="334"/>
        <w:spacing w:after="0" w:line="233" w:lineRule="auto"/>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680" w:right="20" w:hanging="334"/>
        <w:spacing w:after="0" w:line="239" w:lineRule="auto"/>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680" w:right="560" w:hanging="334"/>
        <w:spacing w:after="0" w:line="239" w:lineRule="auto"/>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8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 / Unrealized Gains or Losses</w:t>
      </w:r>
    </w:p>
    <w:p>
      <w:pPr>
        <w:spacing w:after="0" w:line="123"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12" w:lineRule="exact"/>
        <w:rPr>
          <w:sz w:val="20"/>
          <w:szCs w:val="20"/>
          <w:color w:val="auto"/>
        </w:rPr>
      </w:pPr>
    </w:p>
    <w:p>
      <w:pPr>
        <w:ind w:right="420" w:firstLine="799"/>
        <w:spacing w:after="0" w:line="318"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260"/>
        <w:spacing w:after="0" w:line="288" w:lineRule="auto"/>
        <w:rPr>
          <w:sz w:val="20"/>
          <w:szCs w:val="20"/>
          <w:color w:val="auto"/>
        </w:rPr>
      </w:pPr>
      <w:r>
        <w:rPr>
          <w:rFonts w:ascii="Arial" w:cs="Arial" w:eastAsia="Arial" w:hAnsi="Arial"/>
          <w:sz w:val="12"/>
          <w:szCs w:val="12"/>
          <w:color w:val="auto"/>
        </w:rPr>
        <w:t>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11" w:lineRule="exact"/>
        <w:rPr>
          <w:sz w:val="20"/>
          <w:szCs w:val="20"/>
          <w:color w:val="auto"/>
        </w:rPr>
      </w:pPr>
    </w:p>
    <w:p>
      <w:pPr>
        <w:jc w:val="both"/>
        <w:ind w:right="200" w:firstLine="799"/>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69" w:lineRule="exact"/>
        <w:rPr>
          <w:sz w:val="20"/>
          <w:szCs w:val="20"/>
          <w:color w:val="auto"/>
        </w:rPr>
      </w:pPr>
    </w:p>
    <w:p>
      <w:pPr>
        <w:ind w:right="20" w:firstLine="799"/>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nine months ended June 30, 2013 and 2012, respectively.</w:t>
      </w:r>
    </w:p>
    <w:p>
      <w:pPr>
        <w:spacing w:after="0" w:line="120"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state department of revenue.</w:t>
      </w:r>
    </w:p>
    <w:p>
      <w:pPr>
        <w:spacing w:after="0" w:line="139" w:lineRule="exact"/>
        <w:rPr>
          <w:sz w:val="20"/>
          <w:szCs w:val="20"/>
          <w:color w:val="auto"/>
        </w:rPr>
      </w:pPr>
    </w:p>
    <w:p>
      <w:pPr>
        <w:ind w:right="60" w:firstLine="799"/>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69" w:lineRule="exact"/>
        <w:rPr>
          <w:sz w:val="20"/>
          <w:szCs w:val="20"/>
          <w:color w:val="auto"/>
        </w:rPr>
      </w:pPr>
    </w:p>
    <w:p>
      <w:pPr>
        <w:ind w:right="160" w:firstLine="799"/>
        <w:spacing w:after="0" w:line="233"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69" w:lineRule="exact"/>
        <w:rPr>
          <w:sz w:val="20"/>
          <w:szCs w:val="20"/>
          <w:color w:val="auto"/>
        </w:rPr>
      </w:pPr>
    </w:p>
    <w:p>
      <w:pPr>
        <w:jc w:val="both"/>
        <w:ind w:right="60" w:firstLine="799"/>
        <w:spacing w:after="0" w:line="233" w:lineRule="auto"/>
        <w:rPr>
          <w:sz w:val="20"/>
          <w:szCs w:val="20"/>
          <w:color w:val="auto"/>
        </w:rPr>
      </w:pPr>
      <w:r>
        <w:rPr>
          <w:rFonts w:ascii="Arial" w:cs="Arial" w:eastAsia="Arial" w:hAnsi="Arial"/>
          <w:sz w:val="14"/>
          <w:szCs w:val="14"/>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all its assets and are not intended to be available to the creditors of PennantPark Floating Rate Capital Ltd. or any affiliate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right="80" w:firstLine="799"/>
        <w:spacing w:after="0" w:line="273" w:lineRule="auto"/>
        <w:rPr>
          <w:sz w:val="20"/>
          <w:szCs w:val="20"/>
          <w:color w:val="auto"/>
        </w:rPr>
      </w:pPr>
      <w:r>
        <w:rPr>
          <w:rFonts w:ascii="Arial" w:cs="Arial" w:eastAsia="Arial" w:hAnsi="Arial"/>
          <w:sz w:val="12"/>
          <w:szCs w:val="12"/>
          <w:color w:val="auto"/>
        </w:rPr>
        <w:t>The Investment Management Agreement with the Investment Adviser was re-approved by our board of directors, including a majority of our independent directors, in February 2013.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owing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100" w:firstLine="799"/>
        <w:spacing w:after="0" w:line="268"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(net of U.S. Treasury Bills,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nine months ended June 30, 2013, the Investment Adviser earned a base management fee of $0.5 million and $1.5 million, respectively, from us. For the three and nine months ended June 30, 2012, the Investment Adviser earned a base management fee of $0.4 million and $1.1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799"/>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nine months ended June 30, 2013, the Investment Adviser earned an incentive fee on net investment income as calculated under the Investment Management Agreement of $0.4 million and $1.0 million, respectively. For the three and nine months ended June 30, 2012, the Investment Adviser earned an incentive fee on net investment income as calculated under the Investment Management Agreement, which resulted in an accrual of less than $0.1 million.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firstLine="799"/>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nine months ended June 30, 2013 and 2012, the Investment Adviser did not earn an incentive fee on capital gains as calculated under the Investment Management Agreement.</w:t>
      </w:r>
    </w:p>
    <w:p>
      <w:pPr>
        <w:spacing w:after="0" w:line="117" w:lineRule="exact"/>
        <w:rPr>
          <w:sz w:val="20"/>
          <w:szCs w:val="20"/>
          <w:color w:val="auto"/>
        </w:rPr>
      </w:pPr>
    </w:p>
    <w:p>
      <w:pPr>
        <w:ind w:right="120" w:firstLine="799"/>
        <w:spacing w:after="0" w:line="265"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nine months ended June 30, 2013, the Investment Adviser earned an incentive fee on unrealized and realized capital gains as calculated under GAAP of approximately $(0.3) million, representing an expense reversal, and zero, respectively. For the three and nine months ended June 30, 2012, the Investment Adviser earned an incentive fee on unrealized and realized capital gains as calculated under GAAP, which resulted in $(0.1) million and no accrual, respectively.</w:t>
      </w:r>
    </w:p>
    <w:p>
      <w:pPr>
        <w:spacing w:after="0" w:line="128" w:lineRule="exact"/>
        <w:rPr>
          <w:sz w:val="20"/>
          <w:szCs w:val="20"/>
          <w:color w:val="auto"/>
        </w:rPr>
      </w:pPr>
    </w:p>
    <w:p>
      <w:pPr>
        <w:ind w:firstLine="799"/>
        <w:spacing w:after="0" w:line="266"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2013, the Investment Adviser and Administrator, collectively, were reimbursed approximately $0.1 million and $0.3 million, respectively, from us, including expenses the Investment Adviser incurred on behalf of the Administrator, for services described above. For the three and nine months ended June 30, 2012, the Investment Adviser was reimbursed approximately less than $0.1 million and $0.2 million, respectively, from us, including expenses the Investment Adviser incurred on behalf of the Administrator, for services described above.</w:t>
      </w:r>
    </w:p>
    <w:p>
      <w:pPr>
        <w:spacing w:after="0" w:line="127" w:lineRule="exact"/>
        <w:rPr>
          <w:sz w:val="20"/>
          <w:szCs w:val="20"/>
          <w:color w:val="auto"/>
        </w:rPr>
      </w:pPr>
    </w:p>
    <w:p>
      <w:pPr>
        <w:ind w:right="60" w:firstLine="799"/>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who then purchased shares of our common stock in the secondary market.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799"/>
        <w:spacing w:after="0" w:line="288" w:lineRule="auto"/>
        <w:rPr>
          <w:sz w:val="20"/>
          <w:szCs w:val="20"/>
          <w:color w:val="auto"/>
        </w:rPr>
      </w:pPr>
      <w:r>
        <w:rPr>
          <w:rFonts w:ascii="Arial" w:cs="Arial" w:eastAsia="Arial" w:hAnsi="Arial"/>
          <w:sz w:val="12"/>
          <w:szCs w:val="12"/>
          <w:color w:val="auto"/>
        </w:rPr>
        <w:t>Purchases of investments, including PIK, for the three and nine months ended June 30, 2013 totaled $114.4 million and $198.5 million, respectively. For the same periods in the prior year, purchases of investments, including PIK, totaled $27.7 million and $100.0 million, respectively. Sales and repayments of investments for the three and nine months ended June 30, 2013 totaled $46.4 million and $120.7 million, respectively. For the same periods in the prior year, sales and repayments of investments totaled $15.4 million and $57.0 million, respectively.</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4920" w:type="dxa"/>
            <w:vAlign w:val="bottom"/>
            <w:gridSpan w:val="2"/>
          </w:tcPr>
          <w:p>
            <w:pPr>
              <w:ind w:left="340"/>
              <w:spacing w:after="0"/>
              <w:rPr>
                <w:sz w:val="20"/>
                <w:szCs w:val="20"/>
                <w:color w:val="auto"/>
              </w:rPr>
            </w:pPr>
            <w:r>
              <w:rPr>
                <w:rFonts w:ascii="Arial" w:cs="Arial" w:eastAsia="Arial" w:hAnsi="Arial"/>
                <w:sz w:val="14"/>
                <w:szCs w:val="14"/>
                <w:color w:val="auto"/>
              </w:rPr>
              <w:t>Investments and cash equivalents consisted of the following:</w:t>
            </w: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vMerge w:val="restart"/>
          </w:tcPr>
          <w:p>
            <w:pPr>
              <w:spacing w:after="0"/>
              <w:rPr>
                <w:sz w:val="24"/>
                <w:szCs w:val="2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Investment Classification</w:t>
            </w:r>
          </w:p>
        </w:tc>
        <w:tc>
          <w:tcPr>
            <w:tcW w:w="3360" w:type="dxa"/>
            <w:vAlign w:val="bottom"/>
            <w:vMerge w:val="restart"/>
          </w:tcPr>
          <w:p>
            <w:pPr>
              <w:spacing w:after="0"/>
              <w:rPr>
                <w:sz w:val="24"/>
                <w:szCs w:val="24"/>
                <w:color w:val="auto"/>
              </w:rPr>
            </w:pPr>
          </w:p>
        </w:tc>
        <w:tc>
          <w:tcPr>
            <w:tcW w:w="1280" w:type="dxa"/>
            <w:vAlign w:val="bottom"/>
          </w:tcPr>
          <w:p>
            <w:pPr>
              <w:spacing w:after="0"/>
              <w:rPr>
                <w:sz w:val="24"/>
                <w:szCs w:val="24"/>
                <w:color w:val="auto"/>
              </w:rPr>
            </w:pPr>
          </w:p>
        </w:tc>
        <w:tc>
          <w:tcPr>
            <w:tcW w:w="228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 2013</w:t>
            </w:r>
          </w:p>
        </w:tc>
        <w:tc>
          <w:tcPr>
            <w:tcW w:w="23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96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Fair Value</w:t>
            </w:r>
          </w:p>
        </w:tc>
        <w:tc>
          <w:tcPr>
            <w:tcW w:w="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49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1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$ 229,974,784</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$ 228,527,557</w:t>
            </w: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$ 150,258,038</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$ 150,209,747</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12,985,622</w:t>
            </w:r>
          </w:p>
        </w:tc>
        <w:tc>
          <w:tcPr>
            <w:tcW w:w="15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13,160,722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11,608,643</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10,364,390</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8,648,145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8,296,719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166,667</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3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517,147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253,491,463</w:t>
            </w:r>
          </w:p>
        </w:tc>
        <w:tc>
          <w:tcPr>
            <w:tcW w:w="3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250,514,412</w:t>
            </w:r>
          </w:p>
        </w:tc>
        <w:tc>
          <w:tcPr>
            <w:tcW w:w="3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171,578,009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171,834,400</w:t>
            </w:r>
          </w:p>
        </w:tc>
        <w:tc>
          <w:tcPr>
            <w:tcW w:w="8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8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Cash equivalents</w:t>
            </w:r>
          </w:p>
        </w:tc>
        <w:tc>
          <w:tcPr>
            <w:tcW w:w="12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36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$ 260,427,638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$ 257,450,587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$ 175,423,812</w:t>
            </w: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$ 175,680,203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60" w:type="dxa"/>
            <w:vAlign w:val="bottom"/>
          </w:tcPr>
          <w:p>
            <w:pPr>
              <w:spacing w:after="0"/>
              <w:rPr>
                <w:sz w:val="24"/>
                <w:szCs w:val="24"/>
                <w:color w:val="auto"/>
              </w:rPr>
            </w:pPr>
          </w:p>
        </w:tc>
        <w:tc>
          <w:tcPr>
            <w:tcW w:w="10780" w:type="dxa"/>
            <w:vAlign w:val="bottom"/>
            <w:gridSpan w:val="13"/>
          </w:tcPr>
          <w:p>
            <w:pPr>
              <w:ind w:left="340"/>
              <w:spacing w:after="0"/>
              <w:rPr>
                <w:sz w:val="20"/>
                <w:szCs w:val="20"/>
                <w:color w:val="auto"/>
              </w:rPr>
            </w:pPr>
            <w:r>
              <w:rPr>
                <w:rFonts w:ascii="Arial" w:cs="Arial" w:eastAsia="Arial" w:hAnsi="Arial"/>
                <w:sz w:val="14"/>
                <w:szCs w:val="14"/>
                <w:color w:val="auto"/>
                <w:w w:val="86"/>
              </w:rPr>
              <w:t>The table below describes investments by industry classification and enumerates the percentage, by fair value, of the total portfolio assets (excluding cash equivalents) in such industries were as</w:t>
            </w:r>
          </w:p>
        </w:tc>
        <w:tc>
          <w:tcPr>
            <w:tcW w:w="0" w:type="dxa"/>
            <w:vAlign w:val="bottom"/>
          </w:tcPr>
          <w:p>
            <w:pPr>
              <w:spacing w:after="0"/>
              <w:rPr>
                <w:sz w:val="1"/>
                <w:szCs w:val="1"/>
                <w:color w:val="auto"/>
              </w:rPr>
            </w:pPr>
          </w:p>
        </w:tc>
      </w:tr>
      <w:tr>
        <w:trPr>
          <w:trHeight w:val="172"/>
        </w:trPr>
        <w:tc>
          <w:tcPr>
            <w:tcW w:w="5380" w:type="dxa"/>
            <w:vAlign w:val="bottom"/>
            <w:gridSpan w:val="3"/>
          </w:tcPr>
          <w:p>
            <w:pPr>
              <w:spacing w:after="0"/>
              <w:rPr>
                <w:sz w:val="20"/>
                <w:szCs w:val="20"/>
                <w:color w:val="auto"/>
              </w:rPr>
            </w:pPr>
            <w:r>
              <w:rPr>
                <w:rFonts w:ascii="Arial" w:cs="Arial" w:eastAsia="Arial" w:hAnsi="Arial"/>
                <w:sz w:val="14"/>
                <w:szCs w:val="14"/>
                <w:color w:val="auto"/>
              </w:rPr>
              <w:t>follows:</w:t>
            </w: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74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21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June 30, 2013</w:t>
            </w:r>
          </w:p>
        </w:tc>
        <w:tc>
          <w:tcPr>
            <w:tcW w:w="2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36"/>
        </w:trPr>
        <w:tc>
          <w:tcPr>
            <w:tcW w:w="41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Hotel, Gaming and Leisure</w:t>
            </w:r>
          </w:p>
        </w:tc>
        <w:tc>
          <w:tcPr>
            <w:tcW w:w="17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12%</w:t>
            </w:r>
          </w:p>
        </w:tc>
        <w:tc>
          <w:tcPr>
            <w:tcW w:w="9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292"/>
              <w:spacing w:after="0" w:line="136"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52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10</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8</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6</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4</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w:t>
            </w: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Metals and Mining</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7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3"/>
                <w:szCs w:val="13"/>
                <w:color w:val="auto"/>
              </w:rPr>
            </w:pPr>
          </w:p>
        </w:tc>
        <w:tc>
          <w:tcPr>
            <w:tcW w:w="8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100%</w:t>
            </w:r>
          </w:p>
        </w:tc>
        <w:tc>
          <w:tcPr>
            <w:tcW w:w="900" w:type="dxa"/>
            <w:vAlign w:val="bottom"/>
          </w:tcPr>
          <w:p>
            <w:pPr>
              <w:spacing w:after="0"/>
              <w:rPr>
                <w:sz w:val="13"/>
                <w:szCs w:val="13"/>
                <w:color w:val="auto"/>
              </w:rPr>
            </w:pPr>
          </w:p>
        </w:tc>
        <w:tc>
          <w:tcPr>
            <w:tcW w:w="11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00" w:right="1000" w:hanging="580"/>
        <w:spacing w:after="0" w:line="318" w:lineRule="auto"/>
        <w:tabs>
          <w:tab w:leader="none" w:pos="14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jc w:val="center"/>
        <w:ind w:right="100"/>
        <w:spacing w:after="0"/>
        <w:tabs>
          <w:tab w:leader="none" w:pos="1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140" w:firstLine="799"/>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40" w:firstLine="799"/>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240" w:firstLine="799"/>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799"/>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2013, our ability to observe valuation inputs resulted in reclassification of one asset from Level 3 to 2 and we had no other transfers between levels. This compares to the nine months ended June 30, 2012, which resulted in no reclassification of assets from Levels 1, 2 or 3.</w:t>
      </w:r>
    </w:p>
    <w:p>
      <w:pPr>
        <w:spacing w:after="0" w:line="139" w:lineRule="exact"/>
        <w:rPr>
          <w:sz w:val="20"/>
          <w:szCs w:val="20"/>
          <w:color w:val="auto"/>
        </w:rPr>
      </w:pPr>
    </w:p>
    <w:p>
      <w:pPr>
        <w:ind w:right="80" w:firstLine="799"/>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jc w:val="both"/>
        <w:ind w:right="60" w:firstLine="799"/>
        <w:spacing w:after="0" w:line="233" w:lineRule="auto"/>
        <w:rPr>
          <w:sz w:val="20"/>
          <w:szCs w:val="20"/>
          <w:color w:val="auto"/>
        </w:rPr>
      </w:pPr>
      <w:r>
        <w:rPr>
          <w:rFonts w:ascii="Arial" w:cs="Arial" w:eastAsia="Arial" w:hAnsi="Arial"/>
          <w:sz w:val="14"/>
          <w:szCs w:val="14"/>
          <w:color w:val="auto"/>
        </w:rPr>
        <w:t>Under Accounting Standards Update No. 2011-04, “Fair Value Measurement: Amendments to Achieve Common Fair Value Measurement and Disclosure Requirements in U.S. GAAP and IFRS” and as outlined in the table below, some of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auto"/>
        </w:rPr>
        <w:t>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4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w w:val="88"/>
              </w:rPr>
              <w:t>Fair Value as of</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w w:val="94"/>
              </w:rPr>
              <w:t>June 30, 2013</w:t>
            </w:r>
          </w:p>
        </w:tc>
        <w:tc>
          <w:tcPr>
            <w:tcW w:w="360" w:type="dxa"/>
            <w:vAlign w:val="bottom"/>
          </w:tcPr>
          <w:p>
            <w:pPr>
              <w:spacing w:after="0"/>
              <w:rPr>
                <w:sz w:val="14"/>
                <w:szCs w:val="14"/>
                <w:color w:val="auto"/>
              </w:rPr>
            </w:pPr>
          </w:p>
        </w:tc>
        <w:tc>
          <w:tcPr>
            <w:tcW w:w="17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5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25"/>
        </w:trPr>
        <w:tc>
          <w:tcPr>
            <w:tcW w:w="53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231,690,743</w:t>
            </w:r>
          </w:p>
        </w:tc>
        <w:tc>
          <w:tcPr>
            <w:tcW w:w="36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Market Comparable</w:t>
            </w:r>
          </w:p>
        </w:tc>
        <w:tc>
          <w:tcPr>
            <w:tcW w:w="3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Broker/Dealer</w:t>
            </w:r>
          </w:p>
        </w:tc>
        <w:tc>
          <w:tcPr>
            <w:tcW w:w="3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340"/>
              <w:spacing w:after="0" w:line="159" w:lineRule="exact"/>
              <w:rPr>
                <w:sz w:val="20"/>
                <w:szCs w:val="20"/>
                <w:color w:val="auto"/>
              </w:rPr>
            </w:pPr>
            <w:r>
              <w:rPr>
                <w:rFonts w:ascii="Arial" w:cs="Arial" w:eastAsia="Arial" w:hAnsi="Arial"/>
                <w:sz w:val="14"/>
                <w:szCs w:val="14"/>
                <w:color w:val="auto"/>
                <w:w w:val="86"/>
              </w:rPr>
              <w:t>bid quotes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15,005,681</w:t>
            </w:r>
          </w:p>
        </w:tc>
        <w:tc>
          <w:tcPr>
            <w:tcW w:w="36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Market Yield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8"/>
              </w:rPr>
              <w:t>7.3% – 15.2%(11.9%)</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177,988</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87"/>
              </w:rPr>
              <w:t>Enterprise Market Value</w:t>
            </w:r>
          </w:p>
        </w:tc>
        <w:tc>
          <w:tcPr>
            <w:tcW w:w="15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EBITDA multiple</w:t>
            </w: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7.0x – 7.0x (7.0x)</w:t>
            </w:r>
          </w:p>
        </w:tc>
        <w:tc>
          <w:tcPr>
            <w:tcW w:w="0" w:type="dxa"/>
            <w:vAlign w:val="bottom"/>
          </w:tcPr>
          <w:p>
            <w:pPr>
              <w:spacing w:after="0"/>
              <w:rPr>
                <w:sz w:val="1"/>
                <w:szCs w:val="1"/>
                <w:color w:val="auto"/>
              </w:rPr>
            </w:pPr>
          </w:p>
        </w:tc>
      </w:tr>
      <w:tr>
        <w:trPr>
          <w:trHeight w:val="156"/>
        </w:trPr>
        <w:tc>
          <w:tcPr>
            <w:tcW w:w="536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246,874,412</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85,600,000</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92"/>
              </w:rPr>
              <w:t>Market Yield</w:t>
            </w:r>
          </w:p>
        </w:tc>
        <w:tc>
          <w:tcPr>
            <w:tcW w:w="12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4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Fair Value as of</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54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7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5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25"/>
        </w:trPr>
        <w:tc>
          <w:tcPr>
            <w:tcW w:w="53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155,983,312</w:t>
            </w:r>
          </w:p>
        </w:tc>
        <w:tc>
          <w:tcPr>
            <w:tcW w:w="36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Market Comparable</w:t>
            </w:r>
          </w:p>
        </w:tc>
        <w:tc>
          <w:tcPr>
            <w:tcW w:w="3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Broker/Dealer bid</w:t>
            </w:r>
          </w:p>
        </w:tc>
        <w:tc>
          <w:tcPr>
            <w:tcW w:w="3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360"/>
              <w:spacing w:after="0" w:line="159" w:lineRule="exact"/>
              <w:rPr>
                <w:sz w:val="20"/>
                <w:szCs w:val="20"/>
                <w:color w:val="auto"/>
              </w:rPr>
            </w:pPr>
            <w:r>
              <w:rPr>
                <w:rFonts w:ascii="Arial" w:cs="Arial" w:eastAsia="Arial" w:hAnsi="Arial"/>
                <w:sz w:val="14"/>
                <w:szCs w:val="14"/>
                <w:color w:val="auto"/>
                <w:w w:val="80"/>
              </w:rPr>
              <w:t>quotes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Pr>
          <w:p>
            <w:pPr>
              <w:spacing w:after="0"/>
              <w:rPr>
                <w:sz w:val="12"/>
                <w:szCs w:val="12"/>
                <w:color w:val="auto"/>
              </w:rPr>
            </w:pPr>
          </w:p>
        </w:tc>
        <w:tc>
          <w:tcPr>
            <w:tcW w:w="14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11,760,650</w:t>
            </w: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Market Yield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8"/>
              </w:rPr>
              <w:t>7.3% – 15.3%(11.9%)</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87"/>
              </w:rPr>
              <w:t>Enterprise Market Value</w:t>
            </w:r>
          </w:p>
        </w:tc>
        <w:tc>
          <w:tcPr>
            <w:tcW w:w="15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EBITDA multiple</w:t>
            </w: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6.5x – 8.5x (6.8x)</w:t>
            </w:r>
          </w:p>
        </w:tc>
        <w:tc>
          <w:tcPr>
            <w:tcW w:w="0" w:type="dxa"/>
            <w:vAlign w:val="bottom"/>
          </w:tcPr>
          <w:p>
            <w:pPr>
              <w:spacing w:after="0"/>
              <w:rPr>
                <w:sz w:val="1"/>
                <w:szCs w:val="1"/>
                <w:color w:val="auto"/>
              </w:rPr>
            </w:pPr>
          </w:p>
        </w:tc>
      </w:tr>
      <w:tr>
        <w:trPr>
          <w:trHeight w:val="156"/>
        </w:trPr>
        <w:tc>
          <w:tcPr>
            <w:tcW w:w="536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169,046,400</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75,122,500</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92"/>
              </w:rPr>
              <w:t>Market Yield</w:t>
            </w:r>
          </w:p>
        </w:tc>
        <w:tc>
          <w:tcPr>
            <w:tcW w:w="12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76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Fair Value Measurements at June 30, 2013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4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228,527,557</w:t>
            </w: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228,527,557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13,160,722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1,590,000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11,570,722</w:t>
            </w: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8,648,145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2,050,000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6,598,145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250,514,412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3,640,000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246,874,412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83"/>
              </w:rPr>
              <w:t>6,936,175</w:t>
            </w:r>
          </w:p>
        </w:tc>
        <w:tc>
          <w:tcPr>
            <w:tcW w:w="4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257,450,587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6,936,175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3,640,000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246,874,412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91"/>
              </w:rPr>
              <w:t>85,600,000</w:t>
            </w:r>
          </w:p>
        </w:tc>
        <w:tc>
          <w:tcPr>
            <w:tcW w:w="4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85,600,000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13"/>
          </w:tcPr>
          <w:p>
            <w:pPr>
              <w:ind w:left="520"/>
              <w:spacing w:after="0"/>
              <w:rPr>
                <w:sz w:val="20"/>
                <w:szCs w:val="20"/>
                <w:color w:val="auto"/>
              </w:rPr>
            </w:pPr>
            <w:r>
              <w:rPr>
                <w:rFonts w:ascii="Arial" w:cs="Arial" w:eastAsia="Arial" w:hAnsi="Arial"/>
                <w:sz w:val="14"/>
                <w:szCs w:val="14"/>
                <w:b w:val="1"/>
                <w:bCs w:val="1"/>
                <w:color w:val="auto"/>
              </w:rPr>
              <w:t>Fair Value Measurements at September 30, 2012</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6"/>
              </w:rPr>
              <w:t>Fair Value</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150,209,747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12,025,500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8,296,719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1,302,434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171,834,400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3,845,803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line="155" w:lineRule="exact"/>
              <w:rPr>
                <w:sz w:val="20"/>
                <w:szCs w:val="20"/>
                <w:color w:val="auto"/>
              </w:rPr>
            </w:pPr>
            <w:r>
              <w:rPr>
                <w:rFonts w:ascii="Arial" w:cs="Arial" w:eastAsia="Arial" w:hAnsi="Arial"/>
                <w:sz w:val="14"/>
                <w:szCs w:val="14"/>
                <w:color w:val="auto"/>
                <w:w w:val="83"/>
              </w:rPr>
              <w:t>3,845,803</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175,680,203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3,845,803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91"/>
              </w:rPr>
              <w:t>75,122,500</w:t>
            </w: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00" w:type="dxa"/>
            <w:vAlign w:val="bottom"/>
            <w:gridSpan w:val="2"/>
          </w:tcPr>
          <w:p>
            <w:pPr>
              <w:jc w:val="right"/>
              <w:ind w:right="1092"/>
              <w:spacing w:after="0"/>
              <w:rPr>
                <w:sz w:val="20"/>
                <w:szCs w:val="20"/>
                <w:color w:val="auto"/>
              </w:rPr>
            </w:pPr>
            <w:r>
              <w:rPr>
                <w:rFonts w:ascii="Arial" w:cs="Arial" w:eastAsia="Arial" w:hAnsi="Arial"/>
                <w:sz w:val="14"/>
                <w:szCs w:val="14"/>
                <w:color w:val="auto"/>
              </w:rPr>
              <w:t>F-42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Nine Months Ended June 30, 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First Lien</w:t>
            </w:r>
          </w:p>
        </w:tc>
        <w:tc>
          <w:tcPr>
            <w:tcW w:w="380" w:type="dxa"/>
            <w:vAlign w:val="bottom"/>
          </w:tcPr>
          <w:p>
            <w:pPr>
              <w:spacing w:after="0"/>
              <w:rPr>
                <w:sz w:val="12"/>
                <w:szCs w:val="12"/>
                <w:color w:val="auto"/>
              </w:rPr>
            </w:pPr>
          </w:p>
        </w:tc>
        <w:tc>
          <w:tcPr>
            <w:tcW w:w="184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left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2012</w:t>
            </w:r>
          </w:p>
        </w:tc>
        <w:tc>
          <w:tcPr>
            <w:tcW w:w="2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150,209,747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18,836,653</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169,046,400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1,470,514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1,736,347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(1,398,938)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(1,030,393)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(2,429,331)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87"/>
              </w:rPr>
              <w:t>181,863,473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17,429,350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7"/>
              </w:rPr>
              <w:t>199,292,823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14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(103,617,239)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(17,038,852)</w:t>
            </w: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(120,656,091)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(1,586,250)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June 30, 2013</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228,527,557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18,346,855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246,874,412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4"/>
                <w:szCs w:val="14"/>
                <w:color w:val="auto"/>
                <w:w w:val="90"/>
              </w:rPr>
              <w:t>Net change in unrealized appreciation (depreciation) reported within the net change in unrealized appreciation on investments in</w:t>
            </w: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our Consolidated Statement of Operations attributable to our Level 3 assets still held at the reporting date.</w:t>
            </w:r>
          </w:p>
        </w:tc>
        <w:tc>
          <w:tcPr>
            <w:tcW w:w="2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(388,299)</w:t>
            </w:r>
          </w:p>
        </w:tc>
        <w:tc>
          <w:tcPr>
            <w:tcW w:w="500" w:type="dxa"/>
            <w:vAlign w:val="bottom"/>
            <w:gridSpan w:val="3"/>
          </w:tcPr>
          <w:p>
            <w:pPr>
              <w:ind w:left="380"/>
              <w:spacing w:after="0" w:line="15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460"/>
              <w:spacing w:after="0" w:line="159" w:lineRule="exact"/>
              <w:rPr>
                <w:sz w:val="20"/>
                <w:szCs w:val="20"/>
                <w:color w:val="auto"/>
              </w:rPr>
            </w:pPr>
            <w:r>
              <w:rPr>
                <w:rFonts w:ascii="Arial" w:cs="Arial" w:eastAsia="Arial" w:hAnsi="Arial"/>
                <w:sz w:val="14"/>
                <w:szCs w:val="14"/>
                <w:color w:val="auto"/>
              </w:rPr>
              <w:t>(2,694,643)</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(3,082,942)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7"/>
              </w:rPr>
              <w:t>Nine Months Ended June 30, 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1"/>
              </w:rPr>
              <w:t>First Lien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2011</w:t>
            </w:r>
          </w:p>
        </w:tc>
        <w:tc>
          <w:tcPr>
            <w:tcW w:w="260" w:type="dxa"/>
            <w:vAlign w:val="bottom"/>
            <w:gridSpan w:val="2"/>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89,329,379</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18,206,115</w:t>
            </w: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107,535,494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460,977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160,181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1,687,829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804,825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2,492,654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90,634,426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5,431,216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96,065,642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(45,371,493)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(9,603,105)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(54,974,598)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June 30, 2012</w:t>
            </w: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136,741,118</w:t>
            </w: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14,999,232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151,740,350</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4"/>
                <w:szCs w:val="14"/>
                <w:color w:val="auto"/>
                <w:w w:val="98"/>
              </w:rPr>
              <w:t>Net change in unrealized appreciation reported within the net change in unrealized appreciation on investments in our</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3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2,168,199</w:t>
            </w:r>
          </w:p>
        </w:tc>
        <w:tc>
          <w:tcPr>
            <w:tcW w:w="100" w:type="dxa"/>
            <w:vAlign w:val="bottom"/>
          </w:tcPr>
          <w:p>
            <w:pPr>
              <w:spacing w:after="0"/>
              <w:rPr>
                <w:sz w:val="13"/>
                <w:szCs w:val="13"/>
                <w:color w:val="auto"/>
              </w:rPr>
            </w:pPr>
          </w:p>
        </w:tc>
        <w:tc>
          <w:tcPr>
            <w:tcW w:w="5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807,232</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2,975,431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60"/>
              <w:spacing w:after="0"/>
              <w:rPr>
                <w:sz w:val="20"/>
                <w:szCs w:val="20"/>
                <w:color w:val="auto"/>
              </w:rPr>
            </w:pPr>
            <w:r>
              <w:rPr>
                <w:rFonts w:ascii="Arial" w:cs="Arial" w:eastAsia="Arial" w:hAnsi="Arial"/>
                <w:sz w:val="14"/>
                <w:szCs w:val="14"/>
                <w:color w:val="auto"/>
              </w:rPr>
              <w:t>F-43</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2012 and 2011, respectively (cost – $75,500,000 and $24,650,000, respectively)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75,122,500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24,650,000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ind w:left="440"/>
              <w:spacing w:after="0" w:line="149" w:lineRule="exact"/>
              <w:rPr>
                <w:sz w:val="20"/>
                <w:szCs w:val="20"/>
                <w:color w:val="auto"/>
              </w:rPr>
            </w:pPr>
            <w:r>
              <w:rPr>
                <w:rFonts w:ascii="Arial" w:cs="Arial" w:eastAsia="Arial" w:hAnsi="Arial"/>
                <w:sz w:val="14"/>
                <w:szCs w:val="14"/>
                <w:color w:val="auto"/>
              </w:rPr>
              <w:t>Total unrealized appreciation (depreciation) included in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377,500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(272,000)</w:t>
            </w:r>
          </w:p>
        </w:tc>
        <w:tc>
          <w:tcPr>
            <w:tcW w:w="0" w:type="dxa"/>
            <w:vAlign w:val="bottom"/>
          </w:tcPr>
          <w:p>
            <w:pPr>
              <w:spacing w:after="0"/>
              <w:rPr>
                <w:sz w:val="1"/>
                <w:szCs w:val="1"/>
                <w:color w:val="auto"/>
              </w:rPr>
            </w:pPr>
          </w:p>
        </w:tc>
      </w:tr>
      <w:tr>
        <w:trPr>
          <w:trHeight w:val="149"/>
        </w:trPr>
        <w:tc>
          <w:tcPr>
            <w:tcW w:w="7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121,450,000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71,450,000</w:t>
            </w:r>
          </w:p>
        </w:tc>
        <w:tc>
          <w:tcPr>
            <w:tcW w:w="0" w:type="dxa"/>
            <w:vAlign w:val="bottom"/>
          </w:tcPr>
          <w:p>
            <w:pPr>
              <w:spacing w:after="0"/>
              <w:rPr>
                <w:sz w:val="1"/>
                <w:szCs w:val="1"/>
                <w:color w:val="auto"/>
              </w:rPr>
            </w:pPr>
          </w:p>
        </w:tc>
      </w:tr>
      <w:tr>
        <w:trPr>
          <w:trHeight w:val="149"/>
        </w:trPr>
        <w:tc>
          <w:tcPr>
            <w:tcW w:w="7280" w:type="dxa"/>
            <w:vAlign w:val="bottom"/>
          </w:tcPr>
          <w:p>
            <w:pPr>
              <w:ind w:left="44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84"/>
              </w:rPr>
              <w:t>(111,350,000)</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(41,700,000)</w:t>
            </w:r>
          </w:p>
        </w:tc>
        <w:tc>
          <w:tcPr>
            <w:tcW w:w="0" w:type="dxa"/>
            <w:vAlign w:val="bottom"/>
          </w:tcPr>
          <w:p>
            <w:pPr>
              <w:spacing w:after="0"/>
              <w:rPr>
                <w:sz w:val="1"/>
                <w:szCs w:val="1"/>
                <w:color w:val="auto"/>
              </w:rPr>
            </w:pPr>
          </w:p>
        </w:tc>
      </w:tr>
      <w:tr>
        <w:trPr>
          <w:trHeight w:val="149"/>
        </w:trPr>
        <w:tc>
          <w:tcPr>
            <w:tcW w:w="7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line="155" w:lineRule="exact"/>
              <w:rPr>
                <w:sz w:val="20"/>
                <w:szCs w:val="20"/>
                <w:color w:val="auto"/>
              </w:rPr>
            </w:pPr>
            <w:r>
              <w:rPr>
                <w:rFonts w:ascii="Arial" w:cs="Arial" w:eastAsia="Arial" w:hAnsi="Arial"/>
                <w:sz w:val="14"/>
                <w:szCs w:val="14"/>
                <w:color w:val="auto"/>
              </w:rPr>
              <w:t>Ending Balance, June 30, 2013 and 2012, respectively (cost – $85,600,000 and $54,400,000, respectively)</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85,600,000</w:t>
            </w: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1"/>
              </w:rPr>
              <w:t>54,128,000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799"/>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5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1,567,127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387,407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6,538,293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8,017,647</w:t>
            </w:r>
          </w:p>
        </w:tc>
        <w:tc>
          <w:tcPr>
            <w:tcW w:w="60" w:type="dxa"/>
            <w:vAlign w:val="bottom"/>
            <w:shd w:val="clear" w:color="auto" w:fill="CCEEFF"/>
          </w:tcPr>
          <w:p>
            <w:pPr>
              <w:spacing w:after="0"/>
              <w:rPr>
                <w:sz w:val="12"/>
                <w:szCs w:val="12"/>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10,302,918</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6,850,667</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8,067,406</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3"/>
              </w:rPr>
              <w:t>6,850,667</w:t>
            </w: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2013 and September 30, 2012, cash equivalents consisted of money market funds in the amounts of $6.9 million and $3.8 million,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564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6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Net change in realized and unrealized (loss) gain </w:t>
            </w:r>
            <w:r>
              <w:rPr>
                <w:rFonts w:ascii="Arial" w:cs="Arial" w:eastAsia="Arial" w:hAnsi="Arial"/>
                <w:sz w:val="17"/>
                <w:szCs w:val="17"/>
                <w:color w:val="auto"/>
                <w:vertAlign w:val="superscript"/>
              </w:rPr>
              <w:t>(1)</w:t>
            </w:r>
          </w:p>
        </w:tc>
        <w:tc>
          <w:tcPr>
            <w:tcW w:w="1200" w:type="dxa"/>
            <w:vAlign w:val="bottom"/>
          </w:tcPr>
          <w:p>
            <w:pPr>
              <w:spacing w:after="0"/>
              <w:rPr>
                <w:sz w:val="13"/>
                <w:szCs w:val="13"/>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(0.05)</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0.81</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12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(0.76)</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offering costs</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(0.05)</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040"/>
              <w:spacing w:after="0"/>
              <w:rPr>
                <w:sz w:val="20"/>
                <w:szCs w:val="20"/>
                <w:color w:val="auto"/>
              </w:rPr>
            </w:pPr>
            <w:r>
              <w:rPr>
                <w:rFonts w:ascii="Arial" w:cs="Arial" w:eastAsia="Arial" w:hAnsi="Arial"/>
                <w:sz w:val="14"/>
                <w:szCs w:val="14"/>
                <w:color w:val="auto"/>
              </w:rPr>
              <w:t>Net asset value, end of period</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13.98</w:t>
            </w:r>
          </w:p>
        </w:tc>
        <w:tc>
          <w:tcPr>
            <w:tcW w:w="4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0" w:type="dxa"/>
            <w:vAlign w:val="bottom"/>
            <w:vMerge w:val="restart"/>
          </w:tcPr>
          <w:p>
            <w:pPr>
              <w:spacing w:after="0" w:line="176" w:lineRule="exact"/>
              <w:rPr>
                <w:sz w:val="20"/>
                <w:szCs w:val="20"/>
                <w:color w:val="auto"/>
              </w:rPr>
            </w:pPr>
            <w:r>
              <w:rPr>
                <w:rFonts w:ascii="Arial" w:cs="Arial" w:eastAsia="Arial" w:hAnsi="Arial"/>
                <w:sz w:val="13"/>
                <w:szCs w:val="13"/>
                <w:color w:val="auto"/>
              </w:rPr>
              <w:t xml:space="preserve">Total return* </w:t>
            </w:r>
            <w:r>
              <w:rPr>
                <w:rFonts w:ascii="Arial" w:cs="Arial" w:eastAsia="Arial" w:hAnsi="Arial"/>
                <w:sz w:val="20"/>
                <w:szCs w:val="20"/>
                <w:color w:val="auto"/>
                <w:vertAlign w:val="superscript"/>
              </w:rPr>
              <w:t>(3)</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17.94%</w:t>
            </w:r>
          </w:p>
        </w:tc>
        <w:tc>
          <w:tcPr>
            <w:tcW w:w="8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10,304,692</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6,850,667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40" w:type="dxa"/>
            <w:vAlign w:val="bottom"/>
            <w:gridSpan w:val="2"/>
          </w:tcPr>
          <w:p>
            <w:pPr>
              <w:ind w:left="1040"/>
              <w:spacing w:after="0" w:line="155" w:lineRule="exact"/>
              <w:rPr>
                <w:sz w:val="20"/>
                <w:szCs w:val="20"/>
                <w:color w:val="auto"/>
              </w:rPr>
            </w:pPr>
            <w:r>
              <w:rPr>
                <w:rFonts w:ascii="Arial" w:cs="Arial" w:eastAsia="Arial" w:hAnsi="Arial"/>
                <w:sz w:val="14"/>
                <w:szCs w:val="14"/>
                <w:b w:val="1"/>
                <w:bCs w:val="1"/>
                <w:color w:val="auto"/>
              </w:rPr>
              <w:t>Ratios ** / Supplemental Data:</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4.70%</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1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6.60%</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144,093,126</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95,499,807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040"/>
              <w:spacing w:after="0"/>
              <w:rPr>
                <w:sz w:val="20"/>
                <w:szCs w:val="20"/>
                <w:color w:val="auto"/>
              </w:rPr>
            </w:pPr>
            <w:r>
              <w:rPr>
                <w:rFonts w:ascii="Arial" w:cs="Arial" w:eastAsia="Arial" w:hAnsi="Arial"/>
                <w:sz w:val="14"/>
                <w:szCs w:val="14"/>
                <w:color w:val="auto"/>
              </w:rPr>
              <w:t>Average debt outstanding</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1"/>
              </w:rPr>
              <w:t>66,821,154</w:t>
            </w:r>
          </w:p>
        </w:tc>
        <w:tc>
          <w:tcPr>
            <w:tcW w:w="4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2"/>
              </w:rPr>
              <w:t>40,176,277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0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85.26%</w:t>
            </w:r>
          </w:p>
        </w:tc>
        <w:tc>
          <w:tcPr>
            <w:tcW w:w="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right="8720" w:firstLine="8"/>
        <w:spacing w:after="0" w:line="268" w:lineRule="auto"/>
        <w:tabs>
          <w:tab w:leader="none" w:pos="216" w:val="left"/>
        </w:tabs>
        <w:numPr>
          <w:ilvl w:val="0"/>
          <w:numId w:val="81"/>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respective periods.</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Distributions and dividends are determined based on taxable income calculated in accordance with income tax regulations, which may differ from amounts determined under GAAP.</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(3)</w:t>
      </w:r>
      <w:r>
        <w:rPr>
          <w:rFonts w:ascii="Arial" w:cs="Arial" w:eastAsia="Arial" w:hAnsi="Arial"/>
          <w:sz w:val="11"/>
          <w:szCs w:val="11"/>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(4)</w:t>
      </w:r>
      <w:r>
        <w:rPr>
          <w:rFonts w:ascii="Arial" w:cs="Arial" w:eastAsia="Arial" w:hAnsi="Arial"/>
          <w:sz w:val="11"/>
          <w:szCs w:val="11"/>
          <w:color w:val="auto"/>
        </w:rPr>
        <w:t xml:space="preserve">  Operating expenses exclude Credit Facility amendment costs.</w:t>
      </w:r>
    </w:p>
    <w:p>
      <w:pPr>
        <w:spacing w:after="0" w:line="223" w:lineRule="auto"/>
        <w:rPr>
          <w:rFonts w:ascii="Arial" w:cs="Arial" w:eastAsia="Arial" w:hAnsi="Arial"/>
          <w:sz w:val="12"/>
          <w:szCs w:val="12"/>
          <w:color w:val="auto"/>
        </w:rPr>
      </w:pPr>
      <w:r>
        <w:rPr>
          <w:rFonts w:ascii="Arial" w:cs="Arial" w:eastAsia="Arial" w:hAnsi="Arial"/>
          <w:sz w:val="22"/>
          <w:szCs w:val="22"/>
          <w:color w:val="auto"/>
          <w:vertAlign w:val="superscript"/>
        </w:rPr>
        <w:t>(5)</w:t>
      </w:r>
      <w:r>
        <w:rPr>
          <w:rFonts w:ascii="Arial" w:cs="Arial" w:eastAsia="Arial" w:hAnsi="Arial"/>
          <w:sz w:val="14"/>
          <w:szCs w:val="14"/>
          <w:color w:val="auto"/>
        </w:rPr>
        <w:t xml:space="preserve">  Ratio does not annualize Credit Facility amendment costs.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799"/>
        <w:spacing w:after="0" w:line="288" w:lineRule="auto"/>
        <w:rPr>
          <w:sz w:val="20"/>
          <w:szCs w:val="20"/>
          <w:color w:val="auto"/>
        </w:rPr>
      </w:pPr>
      <w:r>
        <w:rPr>
          <w:rFonts w:ascii="Arial" w:cs="Arial" w:eastAsia="Arial" w:hAnsi="Arial"/>
          <w:sz w:val="12"/>
          <w:szCs w:val="12"/>
          <w:color w:val="auto"/>
        </w:rPr>
        <w:t>Funding I’s Credit Facility with SunTrust Bank, or the Lender, is $125 million, subject to satisfaction of certain conditions and the regulatory restrictions that the 1940 Act imposes on us as a BDC, has an interest rate spread above LIBOR of 200 basis points, a maturity date of May 2018 and a revolving period (as defined below) of May 2016. As of June 30, 2013 and September 30, 2012, Funding I had $85.6 million and $75.5 million of outstanding borrowings under the Credit Facility, respectively, and carried an interest rate of 2.20% and 2.47%, respectively, excluding the 0.375% undrawn commitment fee.</w:t>
      </w:r>
    </w:p>
    <w:p>
      <w:pPr>
        <w:spacing w:after="0" w:line="111" w:lineRule="exact"/>
        <w:rPr>
          <w:sz w:val="20"/>
          <w:szCs w:val="20"/>
          <w:color w:val="auto"/>
        </w:rPr>
      </w:pPr>
    </w:p>
    <w:p>
      <w:pPr>
        <w:ind w:right="40" w:firstLine="799"/>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30"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9" w:lineRule="exact"/>
        <w:rPr>
          <w:sz w:val="20"/>
          <w:szCs w:val="20"/>
          <w:color w:val="auto"/>
        </w:rPr>
      </w:pPr>
    </w:p>
    <w:p>
      <w:pPr>
        <w:ind w:right="100" w:firstLine="799"/>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120" w:firstLine="799"/>
        <w:spacing w:after="0" w:line="23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71" w:lineRule="exact"/>
        <w:rPr>
          <w:sz w:val="20"/>
          <w:szCs w:val="20"/>
          <w:color w:val="auto"/>
        </w:rPr>
      </w:pPr>
    </w:p>
    <w:p>
      <w:pPr>
        <w:ind w:right="320" w:firstLine="799"/>
        <w:spacing w:after="0" w:line="239" w:lineRule="auto"/>
        <w:rPr>
          <w:sz w:val="20"/>
          <w:szCs w:val="20"/>
          <w:color w:val="auto"/>
        </w:rPr>
      </w:pPr>
      <w:r>
        <w:rPr>
          <w:rFonts w:ascii="Arial" w:cs="Arial" w:eastAsia="Arial" w:hAnsi="Arial"/>
          <w:sz w:val="14"/>
          <w:szCs w:val="14"/>
          <w:color w:val="auto"/>
        </w:rPr>
        <w:t>In connection with our July 16, 2013 public offering, we issued approximately 4.6 million shares (including underwriters’ overallotment option) of common stock at a public offering price of $14.20 per share, raising approximately $65.2 million in gross proceeds.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524"/>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524"/>
        <w:spacing w:after="0"/>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right="420" w:hanging="565"/>
        <w:spacing w:after="0" w:line="239"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Articles of Amendment and Restatement of the Registrant (Incorporated by reference to Exhibit 99(A) to the Registrant’s Registration Statement on Form N-2 (File No. 333-170243), filed on March 29, 2011).</w:t>
      </w:r>
    </w:p>
    <w:p>
      <w:pPr>
        <w:spacing w:after="0" w:line="152" w:lineRule="exact"/>
        <w:rPr>
          <w:rFonts w:ascii="Arial" w:cs="Arial" w:eastAsia="Arial" w:hAnsi="Arial"/>
          <w:sz w:val="14"/>
          <w:szCs w:val="14"/>
          <w:color w:val="auto"/>
        </w:rPr>
      </w:pPr>
    </w:p>
    <w:p>
      <w:pPr>
        <w:ind w:left="660" w:hanging="569"/>
        <w:spacing w:after="0"/>
        <w:tabs>
          <w:tab w:leader="none" w:pos="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w:t>
      </w:r>
    </w:p>
    <w:p>
      <w:pPr>
        <w:spacing w:after="0" w:line="186"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(d)(1)</w:t>
      </w:r>
      <w:r>
        <w:rPr>
          <w:rFonts w:ascii="Arial" w:cs="Arial" w:eastAsia="Arial" w:hAnsi="Arial"/>
          <w:sz w:val="12"/>
          <w:szCs w:val="12"/>
          <w:color w:val="auto"/>
        </w:rPr>
        <w:t>Form of Share Certificate (Incorporated by reference to Exhibit 99(D) to the Registrant’s Registration Statement on Form N-2 (File No. 333-170243), filed on April 5, 2011).</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(d)(2)</w:t>
      </w:r>
      <w:r>
        <w:rPr>
          <w:rFonts w:ascii="Arial" w:cs="Arial" w:eastAsia="Arial" w:hAnsi="Arial"/>
          <w:sz w:val="12"/>
          <w:szCs w:val="12"/>
          <w:color w:val="auto"/>
        </w:rPr>
        <w:t>Form of Subscription Certificate (Incorporated by reference to Exhibit 99(D)(2)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(d)(3)</w:t>
      </w:r>
      <w:r>
        <w:rPr>
          <w:rFonts w:ascii="Arial" w:cs="Arial" w:eastAsia="Arial" w:hAnsi="Arial"/>
          <w:sz w:val="12"/>
          <w:szCs w:val="12"/>
          <w:color w:val="auto"/>
        </w:rPr>
        <w:t>Form of Indenture (Incorporated by reference to Exhibit 99(D)(3)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(d)(4)</w:t>
      </w:r>
      <w:r>
        <w:rPr>
          <w:rFonts w:ascii="Arial" w:cs="Arial" w:eastAsia="Arial" w:hAnsi="Arial"/>
          <w:sz w:val="12"/>
          <w:szCs w:val="12"/>
          <w:color w:val="auto"/>
        </w:rPr>
        <w:t>Form of Subscription Agent Agreement (Incorporated by reference to Exhibit 99(D)(4)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(d)(5)</w:t>
      </w:r>
      <w:r>
        <w:rPr>
          <w:rFonts w:ascii="Arial" w:cs="Arial" w:eastAsia="Arial" w:hAnsi="Arial"/>
          <w:sz w:val="12"/>
          <w:szCs w:val="12"/>
          <w:color w:val="auto"/>
        </w:rPr>
        <w:t>Form of Warrant Agreement (Incorporated by reference to Exhibit 99(D)(5) to the Registrant’s Registration Statement on Form N-2 (File No. 333-180084), filed on March 14, 2012).</w:t>
      </w:r>
    </w:p>
    <w:p>
      <w:pPr>
        <w:spacing w:after="0" w:line="163" w:lineRule="exact"/>
        <w:rPr>
          <w:sz w:val="20"/>
          <w:szCs w:val="20"/>
          <w:color w:val="auto"/>
        </w:rPr>
      </w:pPr>
    </w:p>
    <w:p>
      <w:pPr>
        <w:ind w:left="660" w:hanging="639"/>
        <w:spacing w:after="0" w:line="239" w:lineRule="auto"/>
        <w:tabs>
          <w:tab w:leader="none" w:pos="64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color w:val="auto"/>
        </w:rPr>
        <w:t>Form T-1 Statement of Eligibility with respect to the Form of Indenture (Incorporated by reference to Exhibit 99(D)(6) to the Registrant’s Registration Statement on Form N-2 (File No. 333-180084), filed on March 14,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(d)(7)</w:t>
      </w:r>
      <w:r>
        <w:rPr>
          <w:sz w:val="20"/>
          <w:szCs w:val="20"/>
          <w:color w:val="auto"/>
        </w:rPr>
        <w:tab/>
      </w:r>
      <w:r>
        <w:rPr>
          <w:rFonts w:ascii="Arial" w:cs="Arial" w:eastAsia="Arial" w:hAnsi="Arial"/>
          <w:sz w:val="12"/>
          <w:szCs w:val="12"/>
          <w:color w:val="auto"/>
        </w:rPr>
        <w:t>Form of Articles Supplementary (Incorporated by reference to Exhibit 99(D)(7) to the Registrant’s Registration Statement on Form N-2 (File No. 333-180084), filed on March 14, 2012).</w:t>
      </w:r>
    </w:p>
    <w:p>
      <w:pPr>
        <w:spacing w:after="0" w:line="186" w:lineRule="exact"/>
        <w:rPr>
          <w:sz w:val="20"/>
          <w:szCs w:val="20"/>
          <w:color w:val="auto"/>
        </w:rPr>
      </w:pPr>
    </w:p>
    <w:p>
      <w:pPr>
        <w:ind w:left="660" w:hanging="565"/>
        <w:spacing w:after="0"/>
        <w:tabs>
          <w:tab w:leader="none" w:pos="6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right="120" w:hanging="569"/>
        <w:spacing w:after="0" w:line="239"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(h)(1)</w:t>
      </w:r>
      <w:r>
        <w:rPr>
          <w:sz w:val="20"/>
          <w:szCs w:val="20"/>
          <w:color w:val="auto"/>
        </w:rPr>
        <w:tab/>
      </w:r>
      <w:r>
        <w:rPr>
          <w:rFonts w:ascii="Arial" w:cs="Arial" w:eastAsia="Arial" w:hAnsi="Arial"/>
          <w:sz w:val="12"/>
          <w:szCs w:val="12"/>
          <w:color w:val="auto"/>
        </w:rPr>
        <w:t>Form of Underwriting Agreement for equity (Incorporated by reference to Exhibit 99(H)(1)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(h)(2)</w:t>
      </w:r>
      <w:r>
        <w:rPr>
          <w:sz w:val="20"/>
          <w:szCs w:val="20"/>
          <w:color w:val="auto"/>
        </w:rPr>
        <w:tab/>
      </w:r>
      <w:r>
        <w:rPr>
          <w:rFonts w:ascii="Arial" w:cs="Arial" w:eastAsia="Arial" w:hAnsi="Arial"/>
          <w:sz w:val="12"/>
          <w:szCs w:val="12"/>
          <w:color w:val="auto"/>
        </w:rPr>
        <w:t>Form of Underwriting Agreement for debt (Incorporated by reference to Exhibit 99(H)(2) to the Registrant’s Registration Statement on Form N-2 (File No. 333-180084), filed on March 14, 2012).</w:t>
      </w:r>
    </w:p>
    <w:p>
      <w:pPr>
        <w:spacing w:after="0" w:line="186" w:lineRule="exact"/>
        <w:rPr>
          <w:sz w:val="20"/>
          <w:szCs w:val="20"/>
          <w:color w:val="auto"/>
        </w:rPr>
      </w:pPr>
    </w:p>
    <w:p>
      <w:pPr>
        <w:ind w:left="660" w:right="140" w:hanging="554"/>
        <w:spacing w:after="0" w:line="239"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360" w:hanging="63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240" w:hanging="63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hanging="639"/>
        <w:spacing w:after="0" w:line="288" w:lineRule="auto"/>
        <w:tabs>
          <w:tab w:leader="none" w:pos="640" w:val="left"/>
        </w:tabs>
        <w:rPr>
          <w:sz w:val="20"/>
          <w:szCs w:val="20"/>
          <w:color w:val="auto"/>
        </w:rPr>
      </w:pPr>
      <w:r>
        <w:rPr>
          <w:rFonts w:ascii="Arial" w:cs="Arial" w:eastAsia="Arial" w:hAnsi="Arial"/>
          <w:sz w:val="12"/>
          <w:szCs w:val="12"/>
          <w:color w:val="auto"/>
        </w:rPr>
        <w:t>(k)(4)</w:t>
      </w:r>
      <w:r>
        <w:rPr>
          <w:sz w:val="20"/>
          <w:szCs w:val="20"/>
          <w:color w:val="auto"/>
        </w:rPr>
        <w:tab/>
      </w:r>
      <w:r>
        <w:rPr>
          <w:rFonts w:ascii="Arial" w:cs="Arial" w:eastAsia="Arial" w:hAnsi="Arial"/>
          <w:sz w:val="12"/>
          <w:szCs w:val="12"/>
          <w:color w:val="auto"/>
        </w:rPr>
        <w:t>Amended and Restated Revolving Credit and Security Agreement, dated as of May 14, 2012, among PennantPark Floating Rate Funding I, LLC, as borrower, PennantPark Investment Advisers, LLC, as collateral manager, the lenders from time to time party thereto, SunTrust Bank, as administrative agent, U.S. Bank National Association, as collateral agent, as backup collateral manager and as custodian (Incorporated by reference to Exhibit 10.1 to the Registrant’s Quarterly Report on Form 10-Q, (File No. 814-00891), filed on August 9, 2012).</w:t>
      </w:r>
    </w:p>
    <w:p>
      <w:pPr>
        <w:spacing w:after="0" w:line="124" w:lineRule="exact"/>
        <w:rPr>
          <w:sz w:val="20"/>
          <w:szCs w:val="20"/>
          <w:color w:val="auto"/>
        </w:rPr>
      </w:pPr>
    </w:p>
    <w:p>
      <w:pPr>
        <w:ind w:left="660" w:right="560" w:hanging="63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860" w:hanging="555"/>
        <w:spacing w:after="0"/>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96" w:lineRule="exact"/>
        <w:rPr>
          <w:sz w:val="20"/>
          <w:szCs w:val="20"/>
          <w:color w:val="auto"/>
        </w:rPr>
      </w:pPr>
    </w:p>
    <w:p>
      <w:pPr>
        <w:ind w:left="860" w:right="80" w:hanging="719"/>
        <w:spacing w:after="0" w:line="239" w:lineRule="auto"/>
        <w:tabs>
          <w:tab w:leader="none" w:pos="840" w:val="left"/>
        </w:tabs>
        <w:rPr>
          <w:sz w:val="20"/>
          <w:szCs w:val="20"/>
          <w:color w:val="auto"/>
        </w:rPr>
      </w:pPr>
      <w:r>
        <w:rPr>
          <w:rFonts w:ascii="Arial" w:cs="Arial" w:eastAsia="Arial" w:hAnsi="Arial"/>
          <w:sz w:val="14"/>
          <w:szCs w:val="14"/>
          <w:color w:val="auto"/>
        </w:rPr>
        <w:t>(k)(6)</w:t>
      </w:r>
      <w:r>
        <w:rPr>
          <w:sz w:val="20"/>
          <w:szCs w:val="20"/>
          <w:color w:val="auto"/>
        </w:rPr>
        <w:tab/>
      </w:r>
      <w:r>
        <w:rPr>
          <w:rFonts w:ascii="Arial" w:cs="Arial" w:eastAsia="Arial" w:hAnsi="Arial"/>
          <w:sz w:val="14"/>
          <w:szCs w:val="14"/>
          <w:color w:val="auto"/>
        </w:rPr>
        <w:t>Third Amendment to Amended and Restated Revolving Credit and Security Agreement, dated March 29, 2013 (Incorporated by reference to Exhibit 10.1 to the Registrant’s Quarterly Report on Form 10-Q (File No. 814-00891), filed on May 9, 2013).</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(l)(1)*</w:t>
            </w:r>
          </w:p>
        </w:tc>
        <w:tc>
          <w:tcPr>
            <w:tcW w:w="10680" w:type="dxa"/>
            <w:vAlign w:val="bottom"/>
          </w:tcPr>
          <w:p>
            <w:pPr>
              <w:ind w:left="160"/>
              <w:spacing w:after="0"/>
              <w:rPr>
                <w:sz w:val="20"/>
                <w:szCs w:val="20"/>
                <w:color w:val="auto"/>
              </w:rPr>
            </w:pPr>
            <w:r>
              <w:rPr>
                <w:rFonts w:ascii="Arial" w:cs="Arial" w:eastAsia="Arial" w:hAnsi="Arial"/>
                <w:sz w:val="14"/>
                <w:szCs w:val="14"/>
                <w:color w:val="auto"/>
              </w:rPr>
              <w:t>Opinion and Consent of Venable LLP.</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(l)(2)*</w:t>
            </w:r>
          </w:p>
        </w:tc>
        <w:tc>
          <w:tcPr>
            <w:tcW w:w="10680" w:type="dxa"/>
            <w:vAlign w:val="bottom"/>
          </w:tcPr>
          <w:p>
            <w:pPr>
              <w:ind w:left="160"/>
              <w:spacing w:after="0"/>
              <w:rPr>
                <w:sz w:val="20"/>
                <w:szCs w:val="20"/>
                <w:color w:val="auto"/>
              </w:rPr>
            </w:pPr>
            <w:r>
              <w:rPr>
                <w:rFonts w:ascii="Arial" w:cs="Arial" w:eastAsia="Arial" w:hAnsi="Arial"/>
                <w:sz w:val="14"/>
                <w:szCs w:val="14"/>
                <w:color w:val="auto"/>
              </w:rPr>
              <w:t>Opinion and Consent of Dechert LLP.</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(n)(1)*</w:t>
            </w:r>
          </w:p>
        </w:tc>
        <w:tc>
          <w:tcPr>
            <w:tcW w:w="10680" w:type="dxa"/>
            <w:vAlign w:val="bottom"/>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(n)(2)*</w:t>
            </w:r>
          </w:p>
        </w:tc>
        <w:tc>
          <w:tcPr>
            <w:tcW w:w="10680" w:type="dxa"/>
            <w:vAlign w:val="bottom"/>
          </w:tcPr>
          <w:p>
            <w:pPr>
              <w:ind w:left="16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89"/>
              </w:rPr>
              <w:t>(r)(1)</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Joint Code of Ethics of the Registrant and PennantPark Investment Advisers, LLC (Incorporated by reference to Exhibit 14.1 to the Registrant’s Annual Report on Form 10-K (File No. 814-</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00891), filed on November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(s)(1)</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Common Stock Offerings (Incorporated by reference to Exhibit 99(S)(1) to the Registrant’s Registration Statement on Form N-2 (File No. 333-180084), filed</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on 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(s)(2)</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Preferred Stock Offerings (Incorporated by reference to Exhibit 99(S)(2) to the Registrant’s Registration Statement on Form N-2 (File No. 333-180084), filed</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on 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(s)(3)</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Debt Offerings (Incorporated by reference to Exhibit 99(S)(3) to the Registrant’s Registration Statement on Form N-2 (File No. 333-180084), filed on March</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(s)(4)</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Form of Prospectus Supplement For Rights Offerings (Incorporated by reference to Exhibit 99(S)(4) to the Registrant’s Registration Statement on Form N-2 (File No. 333-180084), filed on</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(s)(5)</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Form of Prospectus Supplement For Warrant Offerings (Incorporated by reference to Exhibit 99(S)(5) to the Registrant’s Registration Statement on Form N-2 (File No. 333-180084), filed on</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March 14, 2012).</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380"/>
          </w:cols>
          <w:pgMar w:left="240" w:top="459" w:right="27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14" w:hanging="814"/>
        <w:spacing w:after="0"/>
        <w:tabs>
          <w:tab w:leader="none" w:pos="8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109,120</w:t>
      </w:r>
    </w:p>
    <w:p>
      <w:pPr>
        <w:spacing w:after="0" w:line="23" w:lineRule="exact"/>
        <w:rPr>
          <w:sz w:val="20"/>
          <w:szCs w:val="20"/>
          <w:color w:val="auto"/>
        </w:rPr>
      </w:pPr>
    </w:p>
    <w:p>
      <w:pPr>
        <w:ind w:left="814" w:hanging="814"/>
        <w:spacing w:after="0"/>
        <w:tabs>
          <w:tab w:leader="none" w:pos="814" w:val="left"/>
        </w:tabs>
        <w:numPr>
          <w:ilvl w:val="0"/>
          <w:numId w:val="90"/>
        </w:numPr>
        <w:rPr>
          <w:rFonts w:ascii="Arial" w:cs="Arial" w:eastAsia="Arial" w:hAnsi="Arial"/>
          <w:sz w:val="12"/>
          <w:szCs w:val="12"/>
          <w:color w:val="auto"/>
        </w:rPr>
      </w:pPr>
      <w:r>
        <w:rPr>
          <w:rFonts w:ascii="Arial" w:cs="Arial" w:eastAsia="Arial" w:hAnsi="Arial"/>
          <w:sz w:val="12"/>
          <w:szCs w:val="12"/>
          <w:color w:val="auto"/>
        </w:rPr>
        <w:t>195,000</w:t>
      </w:r>
    </w:p>
    <w:p>
      <w:pPr>
        <w:spacing w:after="0" w:line="11" w:lineRule="exact"/>
        <w:rPr>
          <w:sz w:val="20"/>
          <w:szCs w:val="20"/>
          <w:color w:val="auto"/>
        </w:rPr>
      </w:pPr>
    </w:p>
    <w:p>
      <w:pPr>
        <w:ind w:left="814" w:hanging="814"/>
        <w:spacing w:after="0"/>
        <w:tabs>
          <w:tab w:leader="none" w:pos="8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115,016</w:t>
      </w:r>
    </w:p>
    <w:p>
      <w:pPr>
        <w:spacing w:after="0" w:line="11" w:lineRule="exact"/>
        <w:rPr>
          <w:sz w:val="20"/>
          <w:szCs w:val="20"/>
          <w:color w:val="auto"/>
        </w:rPr>
      </w:pPr>
    </w:p>
    <w:p>
      <w:pPr>
        <w:ind w:left="814" w:hanging="814"/>
        <w:spacing w:after="0"/>
        <w:tabs>
          <w:tab w:leader="none" w:pos="814" w:val="left"/>
        </w:tabs>
        <w:numPr>
          <w:ilvl w:val="0"/>
          <w:numId w:val="92"/>
        </w:numPr>
        <w:rPr>
          <w:rFonts w:ascii="Arial" w:cs="Arial" w:eastAsia="Arial" w:hAnsi="Arial"/>
          <w:sz w:val="12"/>
          <w:szCs w:val="12"/>
          <w:color w:val="auto"/>
        </w:rPr>
      </w:pPr>
      <w:r>
        <w:rPr>
          <w:rFonts w:ascii="Arial" w:cs="Arial" w:eastAsia="Arial" w:hAnsi="Arial"/>
          <w:sz w:val="12"/>
          <w:szCs w:val="12"/>
          <w:color w:val="auto"/>
        </w:rPr>
        <w:t>372,000</w:t>
      </w:r>
    </w:p>
    <w:p>
      <w:pPr>
        <w:spacing w:after="0" w:line="11" w:lineRule="exact"/>
        <w:rPr>
          <w:sz w:val="20"/>
          <w:szCs w:val="20"/>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800,000</w:t>
      </w:r>
    </w:p>
    <w:p>
      <w:pPr>
        <w:spacing w:after="0" w:line="11" w:lineRule="exact"/>
        <w:rPr>
          <w:sz w:val="20"/>
          <w:szCs w:val="20"/>
          <w:color w:val="auto"/>
        </w:rPr>
      </w:pPr>
    </w:p>
    <w:p>
      <w:pPr>
        <w:ind w:left="814" w:hanging="814"/>
        <w:spacing w:after="0"/>
        <w:tabs>
          <w:tab w:leader="none" w:pos="8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308,500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100,364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95"/>
        </w:numPr>
        <w:rPr>
          <w:rFonts w:ascii="Arial" w:cs="Arial" w:eastAsia="Arial" w:hAnsi="Arial"/>
          <w:sz w:val="12"/>
          <w:szCs w:val="12"/>
          <w:color w:val="auto"/>
        </w:rPr>
      </w:pPr>
      <w:r>
        <w:rPr>
          <w:rFonts w:ascii="Arial" w:cs="Arial" w:eastAsia="Arial" w:hAnsi="Arial"/>
          <w:sz w:val="12"/>
          <w:szCs w:val="12"/>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3174"/>
          </w:cols>
          <w:pgMar w:left="240" w:top="459" w:right="27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August 8, 2013</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5</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59" w:right="11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31"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3rd floor, Brooklyn, NY 11219;</w:t>
      </w:r>
    </w:p>
    <w:p>
      <w:pPr>
        <w:spacing w:after="0" w:line="76"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Adviser, PennantPark Investment Advisers, LLC, 590 Madison Avenue, 15th Floor, New York, NY 10022.</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0219"/>
          </w:cols>
          <w:pgMar w:left="240" w:top="460" w:right="1440"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right="140" w:firstLine="4"/>
        <w:spacing w:after="0" w:line="318" w:lineRule="auto"/>
        <w:tabs>
          <w:tab w:leader="none" w:pos="651" w:val="left"/>
        </w:tabs>
        <w:numPr>
          <w:ilvl w:val="0"/>
          <w:numId w:val="97"/>
        </w:numPr>
        <w:rPr>
          <w:rFonts w:ascii="Arial" w:cs="Arial" w:eastAsia="Arial" w:hAnsi="Arial"/>
          <w:sz w:val="12"/>
          <w:szCs w:val="12"/>
          <w:color w:val="auto"/>
        </w:rPr>
      </w:pPr>
      <w:r>
        <w:rPr>
          <w:rFonts w:ascii="Arial" w:cs="Arial" w:eastAsia="Arial" w:hAnsi="Arial"/>
          <w:sz w:val="12"/>
          <w:szCs w:val="12"/>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00"/>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01"/>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on Form N-2 to be signed on its behalf by the undersigned, thereunto duly authorized, in the City of New York, and State of New York, on the 13th day of August 2013.</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20" w:firstLine="342"/>
        <w:spacing w:after="0" w:line="273" w:lineRule="auto"/>
        <w:rPr>
          <w:sz w:val="20"/>
          <w:szCs w:val="20"/>
          <w:color w:val="auto"/>
        </w:rPr>
      </w:pPr>
      <w:r>
        <w:rPr>
          <w:rFonts w:ascii="Arial" w:cs="Arial" w:eastAsia="Arial" w:hAnsi="Arial"/>
          <w:sz w:val="12"/>
          <w:szCs w:val="12"/>
          <w:color w:val="auto"/>
        </w:rPr>
        <w:t>KNOW ALL MEN BY THESE PRESENT, each person whose signature appears below hereby constitutes and appoints Aviv Efrat his or her true and lawful attorney-in-fact and agent, with full power of substitution and resubstitution, for him or her and in his or her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set forth below on the 13th day of August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7"/>
          </w:tcPr>
          <w:p>
            <w:pPr>
              <w:jc w:val="center"/>
              <w:ind w:right="228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9"/>
          </w:tcPr>
          <w:p>
            <w:pPr>
              <w:jc w:val="center"/>
              <w:ind w:right="2140"/>
              <w:spacing w:after="0"/>
              <w:rPr>
                <w:sz w:val="20"/>
                <w:szCs w:val="20"/>
                <w:color w:val="auto"/>
              </w:rPr>
            </w:pPr>
            <w:r>
              <w:rPr>
                <w:rFonts w:ascii="Arial" w:cs="Arial" w:eastAsia="Arial" w:hAnsi="Arial"/>
                <w:sz w:val="14"/>
                <w:szCs w:val="14"/>
                <w:color w:val="auto"/>
                <w:w w:val="88"/>
              </w:rPr>
              <w:t>/s/ 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Arthur H. Penn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2200"/>
              <w:spacing w:after="0"/>
              <w:rPr>
                <w:sz w:val="20"/>
                <w:szCs w:val="20"/>
                <w:color w:val="auto"/>
              </w:rPr>
            </w:pPr>
            <w:r>
              <w:rPr>
                <w:rFonts w:ascii="Arial" w:cs="Arial" w:eastAsia="Arial" w:hAnsi="Arial"/>
                <w:sz w:val="14"/>
                <w:szCs w:val="14"/>
                <w:color w:val="auto"/>
                <w:w w:val="91"/>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5260" w:type="dxa"/>
            <w:vAlign w:val="bottom"/>
            <w:gridSpan w:val="12"/>
          </w:tcPr>
          <w:p>
            <w:pPr>
              <w:jc w:val="center"/>
              <w:spacing w:after="0"/>
              <w:rPr>
                <w:sz w:val="20"/>
                <w:szCs w:val="20"/>
                <w:color w:val="auto"/>
              </w:rPr>
            </w:pPr>
            <w:r>
              <w:rPr>
                <w:rFonts w:ascii="Arial" w:cs="Arial" w:eastAsia="Arial" w:hAnsi="Arial"/>
                <w:sz w:val="14"/>
                <w:szCs w:val="14"/>
                <w:color w:val="auto"/>
                <w:w w:val="88"/>
              </w:rPr>
              <w:t>/s/ Adam K. Bernstein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2040" w:type="dxa"/>
            <w:vAlign w:val="bottom"/>
          </w:tcPr>
          <w:p>
            <w:pPr>
              <w:spacing w:after="0"/>
              <w:rPr>
                <w:sz w:val="14"/>
                <w:szCs w:val="14"/>
                <w:color w:val="auto"/>
              </w:rPr>
            </w:pPr>
          </w:p>
        </w:tc>
        <w:tc>
          <w:tcPr>
            <w:tcW w:w="1200" w:type="dxa"/>
            <w:vAlign w:val="bottom"/>
            <w:tcBorders>
              <w:top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2220"/>
              <w:spacing w:after="0"/>
              <w:rPr>
                <w:sz w:val="20"/>
                <w:szCs w:val="20"/>
                <w:color w:val="auto"/>
              </w:rPr>
            </w:pPr>
            <w:r>
              <w:rPr>
                <w:rFonts w:ascii="Arial" w:cs="Arial" w:eastAsia="Arial" w:hAnsi="Arial"/>
                <w:sz w:val="14"/>
                <w:szCs w:val="14"/>
                <w:color w:val="auto"/>
                <w:w w:val="89"/>
              </w:rPr>
              <w:t>/s/ Jeffrey Flug</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8"/>
              </w:rPr>
              <w:t>Jeffrey Flug</w:t>
            </w: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2040" w:type="dxa"/>
            <w:vAlign w:val="bottom"/>
          </w:tcPr>
          <w:p>
            <w:pPr>
              <w:spacing w:after="0"/>
              <w:rPr>
                <w:sz w:val="24"/>
                <w:szCs w:val="24"/>
                <w:color w:val="auto"/>
              </w:rPr>
            </w:pPr>
          </w:p>
        </w:tc>
        <w:tc>
          <w:tcPr>
            <w:tcW w:w="3220" w:type="dxa"/>
            <w:vAlign w:val="bottom"/>
            <w:gridSpan w:val="11"/>
          </w:tcPr>
          <w:p>
            <w:pPr>
              <w:jc w:val="center"/>
              <w:ind w:right="2040"/>
              <w:spacing w:after="0"/>
              <w:rPr>
                <w:sz w:val="20"/>
                <w:szCs w:val="20"/>
                <w:color w:val="auto"/>
              </w:rPr>
            </w:pPr>
            <w:r>
              <w:rPr>
                <w:rFonts w:ascii="Arial" w:cs="Arial" w:eastAsia="Arial" w:hAnsi="Arial"/>
                <w:sz w:val="14"/>
                <w:szCs w:val="14"/>
                <w:color w:val="auto"/>
                <w:w w:val="89"/>
              </w:rPr>
              <w:t>/s/ Marshall Brozost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88"/>
              </w:rPr>
              <w:t>Marshall Brozost</w:t>
            </w:r>
          </w:p>
        </w:tc>
        <w:tc>
          <w:tcPr>
            <w:tcW w:w="208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9"/>
          </w:tcPr>
          <w:p>
            <w:pPr>
              <w:jc w:val="center"/>
              <w:ind w:right="2120"/>
              <w:spacing w:after="0"/>
              <w:rPr>
                <w:sz w:val="20"/>
                <w:szCs w:val="20"/>
                <w:color w:val="auto"/>
              </w:rPr>
            </w:pPr>
            <w:r>
              <w:rPr>
                <w:rFonts w:ascii="Arial" w:cs="Arial" w:eastAsia="Arial" w:hAnsi="Arial"/>
                <w:sz w:val="14"/>
                <w:szCs w:val="14"/>
                <w:color w:val="auto"/>
                <w:w w:val="87"/>
              </w:rPr>
              <w:t>/s/ Samuel L. Katz</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0"/>
              </w:rPr>
              <w:t>Samuel L. Katz</w:t>
            </w:r>
          </w:p>
        </w:tc>
        <w:tc>
          <w:tcPr>
            <w:tcW w:w="212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298"/>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Arial" w:cs="Arial" w:eastAsia="Arial" w:hAnsi="Arial"/>
                <w:sz w:val="14"/>
                <w:szCs w:val="14"/>
                <w:color w:val="auto"/>
              </w:rPr>
              <w:t>C-11</w:t>
            </w:r>
          </w:p>
        </w:tc>
      </w:tr>
    </w:tbl>
    <w:p>
      <w:pPr>
        <w:sectPr>
          <w:pgSz w:w="11900" w:h="16838" w:orient="portrait"/>
          <w:cols w:equalWidth="0" w:num="1">
            <w:col w:w="11420"/>
          </w:cols>
          <w:pgMar w:left="240" w:top="45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089015" cy="3860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890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13,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8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offering by the Company of up to $800,000,000 aggregate initial offering price of the following securities of the Company (collectively, the “Securities”): (a) shares (the “Common Shares”) of common stock, $.001 par value per share (the “Common Stock”); (b) shares (the “Preferred Shares”) of preferred stock, $.001 par value per share (the “Preferred Stock”); (c) warrants (the “Warrants”) to purchase Common Stock, Preferred Stock or Debt Securities (as defined below); (d) subscription rights (the “Subscription Rights”) to purchase Common Stock; and (e) debt securities (the “Debt Securities”), covered by the above-referenced Registration Statement, and all amendments thereto (the “Registration Statement”), filed by the Company with the Securities and Exchange Commission (the “Commission”) under the Securities Act of 1933, as amended (the “1933 Act”), on or about the date hereof.</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Registration Statement and the related form of prospectus included therein, in the form transmitted to the Commission for filing pursuant to the 1933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64"/>
        <w:spacing w:after="0" w:line="268"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80" w:firstLine="464"/>
        <w:spacing w:after="0" w:line="370" w:lineRule="auto"/>
        <w:tabs>
          <w:tab w:leader="none" w:pos="63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120" w:firstLine="464"/>
        <w:spacing w:after="0" w:line="254" w:lineRule="auto"/>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11360"/>
          </w:cols>
          <w:pgMar w:left="240" w:top="982" w:right="2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603885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64"/>
        <w:spacing w:after="0" w:line="259"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40" w:lineRule="exact"/>
        <w:rPr>
          <w:rFonts w:ascii="Arial" w:cs="Arial" w:eastAsia="Arial" w:hAnsi="Arial"/>
          <w:sz w:val="18"/>
          <w:szCs w:val="18"/>
          <w:color w:val="auto"/>
        </w:rPr>
      </w:pPr>
    </w:p>
    <w:p>
      <w:pPr>
        <w:ind w:right="380" w:firstLine="464"/>
        <w:spacing w:after="0" w:line="268"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31" w:lineRule="exact"/>
        <w:rPr>
          <w:rFonts w:ascii="Arial" w:cs="Arial" w:eastAsia="Arial" w:hAnsi="Arial"/>
          <w:sz w:val="18"/>
          <w:szCs w:val="18"/>
          <w:color w:val="auto"/>
        </w:rPr>
      </w:pPr>
    </w:p>
    <w:p>
      <w:pPr>
        <w:ind w:right="60" w:firstLine="464"/>
        <w:spacing w:after="0" w:line="298"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jc w:val="both"/>
        <w:ind w:right="340" w:firstLine="464"/>
        <w:spacing w:after="0" w:line="259"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jc w:val="both"/>
        <w:ind w:right="340" w:firstLine="464"/>
        <w:spacing w:after="0" w:line="259"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171" w:lineRule="exact"/>
        <w:rPr>
          <w:rFonts w:ascii="Arial" w:cs="Arial" w:eastAsia="Arial" w:hAnsi="Arial"/>
          <w:sz w:val="18"/>
          <w:szCs w:val="18"/>
          <w:color w:val="auto"/>
        </w:rPr>
      </w:pPr>
    </w:p>
    <w:p>
      <w:pPr>
        <w:ind w:right="800" w:firstLine="464"/>
        <w:spacing w:after="0" w:line="268"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completion of all the Corporate Proceedings relating to the Subscription Rights, the issuance of the Subscription Rights will be duly authorized.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 duly authorized.</w:t>
      </w:r>
    </w:p>
    <w:p>
      <w:pPr>
        <w:sectPr>
          <w:pgSz w:w="11900" w:h="16838" w:orient="portrait"/>
          <w:cols w:equalWidth="0" w:num="1">
            <w:col w:w="11400"/>
          </w:cols>
          <w:pgMar w:left="240" w:top="982" w:right="2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603885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80"/>
          </w:cols>
          <w:pgMar w:left="240" w:top="982" w:right="2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(l)(2)</w:t>
      </w:r>
    </w:p>
    <w:p>
      <w:pPr>
        <w:spacing w:after="0" w:line="2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15060" cy="386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Washington, DC 20006-1110</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www.dechert.com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August 13,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acted as counsel to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originally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$800,000,000 of the following securities of the Company: (1) shares of common stock, par value $0.001 per share, of the Company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to be issued pursuant to an indenture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(4) rights to purchase Common Stock and (5) warrants of the Company to purchase Debt Securities, Common Stock or Preferred Stock (“</w:t>
      </w:r>
      <w:r>
        <w:rPr>
          <w:rFonts w:ascii="Arial" w:cs="Arial" w:eastAsia="Arial" w:hAnsi="Arial"/>
          <w:sz w:val="16"/>
          <w:szCs w:val="16"/>
          <w:u w:val="single" w:color="auto"/>
          <w:color w:val="auto"/>
        </w:rPr>
        <w:t>Warrants</w:t>
      </w:r>
      <w:r>
        <w:rPr>
          <w:rFonts w:ascii="Arial" w:cs="Arial" w:eastAsia="Arial" w:hAnsi="Arial"/>
          <w:sz w:val="16"/>
          <w:szCs w:val="16"/>
          <w:color w:val="auto"/>
        </w:rPr>
        <w:t>”). The Warrants and Debt Securities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62"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170" w:name="page171"/>
    <w:bookmarkEnd w:id="170"/>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15060" cy="3860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form of indenture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900" w:right="80" w:hanging="446"/>
        <w:spacing w:after="0" w:line="255"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61" w:lineRule="exact"/>
        <w:rPr>
          <w:rFonts w:ascii="Arial" w:cs="Arial" w:eastAsia="Arial" w:hAnsi="Arial"/>
          <w:sz w:val="18"/>
          <w:szCs w:val="18"/>
          <w:color w:val="auto"/>
        </w:rPr>
      </w:pPr>
    </w:p>
    <w:p>
      <w:pPr>
        <w:ind w:left="900" w:right="80" w:hanging="446"/>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Debt Securities, when (a) duly authorized,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400"/>
          </w:cols>
          <w:pgMar w:left="240" w:top="280" w:right="259" w:bottom="1440" w:gutter="0" w:footer="0" w:header="0"/>
        </w:sectPr>
      </w:pPr>
    </w:p>
    <w:bookmarkStart w:id="171" w:name="page172"/>
    <w:bookmarkEnd w:id="171"/>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15060" cy="3860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Board of Directors, including any appropriate committee appointed thereby, and/or appropriate officers of the Company shall have duly</w:t>
      </w:r>
    </w:p>
    <w:p>
      <w:pPr>
        <w:spacing w:after="0" w:line="38" w:lineRule="exact"/>
        <w:rPr>
          <w:rFonts w:ascii="Arial" w:cs="Arial" w:eastAsia="Arial" w:hAnsi="Arial"/>
          <w:sz w:val="16"/>
          <w:szCs w:val="16"/>
          <w:color w:val="auto"/>
        </w:rPr>
      </w:pPr>
    </w:p>
    <w:p>
      <w:pPr>
        <w:ind w:left="900" w:right="480"/>
        <w:spacing w:after="0" w:line="261" w:lineRule="auto"/>
        <w:rPr>
          <w:rFonts w:ascii="Arial" w:cs="Arial" w:eastAsia="Arial" w:hAnsi="Arial"/>
          <w:sz w:val="16"/>
          <w:szCs w:val="16"/>
          <w:color w:val="auto"/>
        </w:rPr>
      </w:pPr>
      <w:r>
        <w:rPr>
          <w:rFonts w:ascii="Arial" w:cs="Arial" w:eastAsia="Arial" w:hAnsi="Arial"/>
          <w:sz w:val="18"/>
          <w:szCs w:val="18"/>
          <w:color w:val="auto"/>
        </w:rPr>
        <w:t>(x) established the terms of the Securities and (y) authorized and taken any other necessary corporate or other action to approve the creation, if applicable, issuance and sale of the Securities and related matters;</w:t>
      </w:r>
    </w:p>
    <w:p>
      <w:pPr>
        <w:spacing w:after="0" w:line="56"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113"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ectPr>
          <w:pgSz w:w="11900" w:h="16838" w:orient="portrait"/>
          <w:cols w:equalWidth="0" w:num="1">
            <w:col w:w="11400"/>
          </w:cols>
          <w:pgMar w:left="240" w:top="280" w:right="259" w:bottom="1440" w:gutter="0" w:footer="0" w:header="0"/>
        </w:sectPr>
      </w:pPr>
    </w:p>
    <w:bookmarkStart w:id="172" w:name="page173"/>
    <w:bookmarkEnd w:id="172"/>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15060" cy="3860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left="900" w:right="8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Registration Statement, as amended (including all necessary post-effective amendments), and any additional registration statement filed under Rule 462, shall be effective under the Securities Act, and such effectiveness shall not have been terminated or rescinded;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jc w:val="both"/>
        <w:ind w:left="900" w:right="16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Indenture shall have been duly qualified under the Trust Indenture Act of 1939, as amended;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w:t>
      </w:r>
    </w:p>
    <w:p>
      <w:pPr>
        <w:spacing w:after="0" w:line="1" w:lineRule="exact"/>
        <w:rPr>
          <w:sz w:val="20"/>
          <w:szCs w:val="20"/>
          <w:color w:val="auto"/>
        </w:rPr>
      </w:pPr>
    </w:p>
    <w:p>
      <w:pPr>
        <w:ind w:right="80" w:firstLine="8"/>
        <w:spacing w:after="0" w:line="290" w:lineRule="auto"/>
        <w:tabs>
          <w:tab w:leader="none" w:pos="2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ectPr>
          <w:pgSz w:w="11900" w:h="16838" w:orient="portrait"/>
          <w:cols w:equalWidth="0" w:num="1">
            <w:col w:w="11340"/>
          </w:cols>
          <w:pgMar w:left="240" w:top="280" w:right="319" w:bottom="1440" w:gutter="0" w:footer="0" w:header="0"/>
        </w:sectPr>
      </w:pPr>
    </w:p>
    <w:bookmarkStart w:id="173" w:name="page174"/>
    <w:bookmarkEnd w:id="173"/>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115060" cy="386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August 13, 2013</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effectiveness of the Registration Statement.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1900" w:h="16838" w:orient="portrait"/>
          <w:cols w:equalWidth="0" w:num="1">
            <w:col w:w="11180"/>
          </w:cols>
          <w:pgMar w:left="240" w:top="280" w:right="47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8" w:lineRule="exact"/>
        <w:rPr>
          <w:sz w:val="20"/>
          <w:szCs w:val="20"/>
          <w:color w:val="auto"/>
        </w:rPr>
      </w:pPr>
    </w:p>
    <w:p>
      <w:pPr>
        <w:ind w:right="700" w:firstLine="443"/>
        <w:spacing w:after="0" w:line="278" w:lineRule="auto"/>
        <w:rPr>
          <w:sz w:val="20"/>
          <w:szCs w:val="20"/>
          <w:color w:val="auto"/>
        </w:rPr>
      </w:pPr>
      <w:r>
        <w:rPr>
          <w:rFonts w:ascii="Arial" w:cs="Arial" w:eastAsia="Arial" w:hAnsi="Arial"/>
          <w:sz w:val="12"/>
          <w:szCs w:val="12"/>
          <w:color w:val="auto"/>
        </w:rPr>
        <w:t>We consent to the use of our audit reports dated November 14, 2012 with respect to the consolidated financial statements of PennantPark Floating Rate Capital Ltd. and its subsidiary (the “Company”) as of September 30, 2012 and 2011, and for the year ended September 30, 2012 and for the period from March 4, 2011 (commencement of operations) to September 30, 2011, and the effectiveness of internal control over financial reporting as of September 30, 2012, included in the Registration Statement on Form N-2, and to the references to our firm under the headings “Selected Financial Data”, “Senior Securities” and “Independent Registered Public Accounting Firm” in such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13, 2013</w:t>
      </w:r>
    </w:p>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Re: Securities Act of 1933 Registration Statement and Investment Company Act of 1940 File No. 814-00891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subject registration statement, we acknowledge our awareness of the use therein of our report dated August 8, 2013 related to our review of interim financial information.</w:t>
      </w:r>
    </w:p>
    <w:p>
      <w:pPr>
        <w:spacing w:after="0" w:line="173"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13,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590"/>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1)"/>
      <w:numFmt w:val="decimal"/>
      <w:start w:val="4"/>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3"/>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lowerLetter"/>
      <w:start w:val="3"/>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lvl w:ilvl="1">
      <w:lvlJc w:val="left"/>
      <w:lvlText w:val="%2)"/>
      <w:numFmt w:val="decimal"/>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decimal"/>
      <w:start w:val="1"/>
    </w:lvl>
  </w:abstractNum>
  <w:abstractNum w:abstractNumId="73">
    <w:nsid w:val="43F18422"/>
    <w:multiLevelType w:val="hybridMultilevel"/>
    <w:lvl w:ilvl="0">
      <w:lvlJc w:val="left"/>
      <w:lvlText w:val="(%1)"/>
      <w:numFmt w:val="decimal"/>
      <w:start w:val="1"/>
    </w:lvl>
    <w:lvl w:ilvl="1">
      <w:lvlJc w:val="left"/>
      <w:lvlText w:val="(%2)"/>
      <w:numFmt w:val="lowerLetter"/>
      <w:start w:val="2"/>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decimal"/>
      <w:start w:val="1"/>
    </w:lvl>
    <w:lvl w:ilvl="1">
      <w:lvlJc w:val="left"/>
      <w:lvlText w:val="(%2)"/>
      <w:numFmt w:val="lowerLetter"/>
      <w:start w:val="2"/>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bullet"/>
      <w:start w:val="1"/>
    </w:lvl>
  </w:abstractNum>
  <w:abstractNum w:abstractNumId="82">
    <w:nsid w:val="5FB8011C"/>
    <w:multiLevelType w:val="hybridMultilevel"/>
    <w:lvl w:ilvl="0">
      <w:lvlJc w:val="left"/>
      <w:lvlText w:val="2"/>
      <w:numFmt w:val="bullet"/>
      <w:start w:val="1"/>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5"/>
    </w:lvl>
  </w:abstractNum>
  <w:abstractNum w:abstractNumId="85">
    <w:nsid w:val="6FC75AF8"/>
    <w:multiLevelType w:val="hybridMultilevel"/>
    <w:lvl w:ilvl="0">
      <w:lvlJc w:val="left"/>
      <w:lvlText w:val="(%1)"/>
      <w:numFmt w:val="lowerLetter"/>
      <w:start w:val="7"/>
    </w:lvl>
  </w:abstractNum>
  <w:abstractNum w:abstractNumId="86">
    <w:nsid w:val="6A5F7029"/>
    <w:multiLevelType w:val="hybridMultilevel"/>
    <w:lvl w:ilvl="0">
      <w:lvlJc w:val="left"/>
      <w:lvlText w:val="(%1)"/>
      <w:numFmt w:val="lowerLetter"/>
      <w:start w:val="10"/>
    </w:lvl>
  </w:abstractNum>
  <w:abstractNum w:abstractNumId="87">
    <w:nsid w:val="7D5E18F8"/>
    <w:multiLevelType w:val="hybridMultilevel"/>
    <w:lvl w:ilvl="0">
      <w:lvlJc w:val="left"/>
      <w:lvlText w:val="2"/>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1"/>
    </w:lvl>
  </w:abstractNum>
  <w:abstractNum w:abstractNumId="97">
    <w:nsid w:val="53299938"/>
    <w:multiLevelType w:val="hybridMultilevel"/>
    <w:lvl w:ilvl="0">
      <w:lvlJc w:val="left"/>
      <w:lvlText w:val="%1"/>
      <w:numFmt w:val="lowerLetter"/>
      <w:start w:val="1"/>
    </w:lvl>
    <w:lvl w:ilvl="1">
      <w:lvlJc w:val="left"/>
      <w:lvlText w:val="(%2)"/>
      <w:numFmt w:val="lowerRoman"/>
      <w:start w:val="1"/>
    </w:lvl>
  </w:abstractNum>
  <w:abstractNum w:abstractNumId="98">
    <w:nsid w:val="1FBFE8E0"/>
    <w:multiLevelType w:val="hybridMultilevel"/>
    <w:lvl w:ilvl="0">
      <w:lvlJc w:val="left"/>
      <w:lvlText w:val="(%1)"/>
      <w:numFmt w:val="lowerLetter"/>
      <w:start w:val="2"/>
    </w:lvl>
    <w:lvl w:ilvl="1">
      <w:lvlJc w:val="left"/>
      <w:lvlText w:val="%2"/>
      <w:numFmt w:val="lowerRoman"/>
      <w:start w:val="1"/>
    </w:lvl>
  </w:abstractNum>
  <w:abstractNum w:abstractNumId="99">
    <w:nsid w:val="5092CA79"/>
    <w:multiLevelType w:val="hybridMultilevel"/>
    <w:lvl w:ilvl="0">
      <w:lvlJc w:val="left"/>
      <w:lvlText w:val="(%1)"/>
      <w:numFmt w:val="lowerLetter"/>
      <w:start w:val="5"/>
    </w:lvl>
    <w:lvl w:ilvl="1">
      <w:lvlJc w:val="left"/>
      <w:lvlText w:val="(%2)"/>
      <w:numFmt w:val="lowerRoman"/>
      <w:start w:val="1"/>
    </w:lvl>
  </w:abstractNum>
  <w:abstractNum w:abstractNumId="100">
    <w:nsid w:val="1D545C4D"/>
    <w:multiLevelType w:val="hybridMultilevel"/>
    <w:lvl w:ilvl="0">
      <w:lvlJc w:val="left"/>
      <w:lvlText w:val="%1"/>
      <w:numFmt w:val="decimal"/>
      <w:start w:val="1"/>
    </w:lvl>
    <w:lvl w:ilvl="1">
      <w:lvlJc w:val="left"/>
      <w:lvlText w:val="(%2)"/>
      <w:numFmt w:val="lowerLetter"/>
      <w:start w:val="2"/>
    </w:lvl>
  </w:abstractNum>
  <w:abstractNum w:abstractNumId="101">
    <w:nsid w:val="59ADEA3D"/>
    <w:multiLevelType w:val="hybridMultilevel"/>
    <w:lvl w:ilvl="0">
      <w:lvlJc w:val="left"/>
      <w:lvlText w:val="(%1)"/>
      <w:numFmt w:val="decimal"/>
      <w:start w:val="6"/>
    </w:lvl>
    <w:lvl w:ilvl="1">
      <w:lvlJc w:val="left"/>
      <w:lvlText w:val="%2"/>
      <w:numFmt w:val="lowerLetter"/>
      <w:start w:val="1"/>
    </w:lvl>
  </w:abstractNum>
  <w:abstractNum w:abstractNumId="102">
    <w:nsid w:val="288F1A34"/>
    <w:multiLevelType w:val="hybridMultilevel"/>
    <w:lvl w:ilvl="0">
      <w:lvlJc w:val="left"/>
      <w:lvlText w:val="%1."/>
      <w:numFmt w:val="decimal"/>
      <w:start w:val="2"/>
    </w:lvl>
  </w:abstractNum>
  <w:abstractNum w:abstractNumId="103">
    <w:nsid w:val="2A155DBC"/>
    <w:multiLevelType w:val="hybridMultilevel"/>
    <w:lvl w:ilvl="0">
      <w:lvlJc w:val="left"/>
      <w:lvlText w:val="%1."/>
      <w:numFmt w:val="decimal"/>
      <w:start w:val="5"/>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decimal"/>
      <w:start w:val="6"/>
    </w:lvl>
  </w:abstractNum>
  <w:abstractNum w:abstractNumId="106">
    <w:nsid w:val="51088277"/>
    <w:multiLevelType w:val="hybridMultilevel"/>
    <w:lvl w:ilvl="0">
      <w:lvlJc w:val="left"/>
      <w:lvlText w:val="%1."/>
      <w:numFmt w:val="decimal"/>
      <w:start w:val="1"/>
    </w:lvl>
  </w:abstractNum>
  <w:abstractNum w:abstractNumId="107">
    <w:nsid w:val="1CA0C5FA"/>
    <w:multiLevelType w:val="hybridMultilevel"/>
    <w:lvl w:ilvl="0">
      <w:lvlJc w:val="left"/>
      <w:lvlText w:val="(%1)"/>
      <w:numFmt w:val="lowerRoman"/>
      <w:start w:val="1"/>
    </w:lvl>
  </w:abstractNum>
  <w:abstractNum w:abstractNumId="108">
    <w:nsid w:val="53584BCB"/>
    <w:multiLevelType w:val="hybridMultilevel"/>
    <w:lvl w:ilvl="0">
      <w:lvlJc w:val="left"/>
      <w:lvlText w:val="(%1)"/>
      <w:numFmt w:val="lowerRoman"/>
      <w:start w:val="2"/>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lowerRoman"/>
      <w:start w:val="1"/>
    </w:lvl>
  </w:abstractNum>
  <w:abstractNum w:abstractNumId="111">
    <w:nsid w:val="23D86AAC"/>
    <w:multiLevelType w:val="hybridMultilevel"/>
    <w:lvl w:ilvl="0">
      <w:lvlJc w:val="left"/>
      <w:lvlText w:val="(%1)"/>
      <w:numFmt w:val="lowerRoman"/>
      <w:start w:val="7"/>
    </w:lvl>
  </w:abstractNum>
  <w:abstractNum w:abstractNumId="112">
    <w:nsid w:val="45E6D48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2019-12-07T23:06:43Z</dcterms:created>
  <dcterms:modified xsi:type="dcterms:W3CDTF">2019-12-07T23:06:43Z</dcterms:modified>
</cp:coreProperties>
</file>