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50726.htm"/>
      <w:bookmarkStart w:id="1" w:name="ksf8k_0507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May 7, 2026</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Floating Rate Capital Ltd.</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814-00891</w:t>
            </w:r>
          </w:p>
        </w:tc>
        <w:tc>
          <w:tcPr>
            <w:tcW w:w="2900" w:type="dxa"/>
            <w:tcBorders/>
            <w:vAlign w:val="center"/>
          </w:tcPr>
          <w:p>
            <w:pPr>
              <w:pStyle w:val="TableContents"/>
              <w:bidi w:val="0"/>
              <w:spacing w:before="0" w:after="283"/>
              <w:jc w:val="center"/>
              <w:rPr>
                <w:b/>
                <w:sz w:val="20"/>
              </w:rPr>
            </w:pPr>
            <w:r>
              <w:rPr>
                <w:b/>
                <w:sz w:val="20"/>
              </w:rPr>
              <w:t>27-3794690</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PFLT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283"/>
        <w:jc w:val="left"/>
        <w:rPr/>
      </w:pPr>
      <w:r>
        <w:rPr/>
        <w:t> </w:t>
      </w:r>
    </w:p>
    <w:p>
      <w:pPr>
        <w:pStyle w:val="TextBody"/>
        <w:bidi w:val="0"/>
        <w:spacing w:before="0" w:after="0"/>
        <w:ind w:left="357" w:right="357" w:firstLine="432"/>
        <w:jc w:val="both"/>
        <w:rPr>
          <w:sz w:val="20"/>
        </w:rPr>
      </w:pPr>
      <w:r>
        <w:rPr>
          <w:sz w:val="20"/>
        </w:rPr>
        <w:t>On May 7, 2026, PennantPark Floating Rate Capital Ltd., or the Company, issued a press release announcing its financial results for the second fiscal quarter ended March 31, 2026. A copy of the press release is furnished as Exhibit 99.1 to this report pursuant to Item 2.02 on Form 8-K and Regulation FD.</w:t>
      </w:r>
    </w:p>
    <w:p>
      <w:pPr>
        <w:pStyle w:val="TextBody"/>
        <w:bidi w:val="0"/>
        <w:spacing w:before="0" w:after="0"/>
        <w:ind w:left="0" w:right="0" w:hanging="0"/>
        <w:jc w:val="left"/>
        <w:rPr/>
      </w:pPr>
      <w:r>
        <w:rPr/>
        <w:t> </w:t>
      </w:r>
    </w:p>
    <w:p>
      <w:pPr>
        <w:pStyle w:val="TextBody"/>
        <w:bidi w:val="0"/>
        <w:spacing w:before="0" w:after="0"/>
        <w:ind w:left="356" w:right="356" w:firstLine="432"/>
        <w:jc w:val="both"/>
        <w:rPr>
          <w:sz w:val="20"/>
        </w:rPr>
      </w:pPr>
      <w:r>
        <w:rPr>
          <w:sz w:val="20"/>
        </w:rPr>
        <w:t>The information in this report on Form 8-K, including Exhibits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0"/>
        <w:ind w:left="0" w:right="0" w:hanging="0"/>
        <w:jc w:val="left"/>
        <w:rPr>
          <w:b/>
          <w:sz w:val="20"/>
        </w:rPr>
      </w:pPr>
      <w:r>
        <w:rPr>
          <w:b/>
          <w:sz w:val="20"/>
        </w:rPr>
        <w:t>Forward-Looking Statements</w:t>
      </w:r>
    </w:p>
    <w:p>
      <w:pPr>
        <w:pStyle w:val="TextBody"/>
        <w:bidi w:val="0"/>
        <w:spacing w:before="0" w:after="0"/>
        <w:ind w:left="0" w:right="0" w:hanging="0"/>
        <w:jc w:val="left"/>
        <w:rPr/>
      </w:pPr>
      <w:r>
        <w:rPr>
          <w:rStyle w:val="StrongEmphasis"/>
        </w:rPr>
        <w:t> </w:t>
      </w:r>
    </w:p>
    <w:p>
      <w:pPr>
        <w:pStyle w:val="TextBody"/>
        <w:bidi w:val="0"/>
        <w:spacing w:before="0" w:after="0"/>
        <w:ind w:left="356" w:right="356" w:firstLine="432"/>
        <w:jc w:val="both"/>
        <w:rPr>
          <w:sz w:val="20"/>
        </w:rPr>
      </w:pPr>
      <w:r>
        <w:rPr>
          <w:sz w:val="20"/>
        </w:rPr>
        <w:t>This report on Form 8-K, including Exhibits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including Exhibit 99.1 furnished herewith,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0"/>
        <w:ind w:left="0" w:right="0" w:hanging="0"/>
        <w:jc w:val="left"/>
        <w:rPr/>
      </w:pPr>
      <w:r>
        <w:rPr/>
        <w:t> </w:t>
      </w:r>
    </w:p>
    <w:p>
      <w:pPr>
        <w:pStyle w:val="TextBody"/>
        <w:bidi w:val="0"/>
        <w:spacing w:before="0" w:after="0"/>
        <w:ind w:left="357" w:right="357" w:firstLine="432"/>
        <w:jc w:val="both"/>
        <w:rPr>
          <w:sz w:val="20"/>
        </w:rPr>
      </w:pPr>
      <w:r>
        <w:rPr>
          <w:sz w:val="20"/>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pStyle w:val="TextBody"/>
        <w:bidi w:val="0"/>
        <w:spacing w:before="0" w:after="0"/>
        <w:ind w:left="357" w:right="357" w:firstLine="432"/>
        <w:jc w:val="both"/>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ind w:left="0" w:right="0" w:hanging="0"/>
        <w:jc w:val="both"/>
        <w:rPr/>
      </w:pPr>
      <w:r>
        <w:rPr/>
        <w:t> </w:t>
      </w:r>
    </w:p>
    <w:tbl>
      <w:tblPr>
        <w:tblW w:w="2467" w:type="dxa"/>
        <w:jc w:val="left"/>
        <w:tblInd w:w="0" w:type="dxa"/>
        <w:tblLayout w:type="fixed"/>
        <w:tblCellMar>
          <w:top w:w="0" w:type="dxa"/>
          <w:left w:w="0" w:type="dxa"/>
          <w:bottom w:w="0" w:type="dxa"/>
          <w:right w:w="0" w:type="dxa"/>
        </w:tblCellMar>
      </w:tblPr>
      <w:tblGrid>
        <w:gridCol w:w="305"/>
        <w:gridCol w:w="2162"/>
      </w:tblGrid>
      <w:tr>
        <w:trPr/>
        <w:tc>
          <w:tcPr>
            <w:tcW w:w="305" w:type="dxa"/>
            <w:tcBorders/>
            <w:vAlign w:val="center"/>
          </w:tcPr>
          <w:p>
            <w:pPr>
              <w:pStyle w:val="TableContents"/>
              <w:bidi w:val="0"/>
              <w:spacing w:before="0" w:after="283"/>
              <w:jc w:val="left"/>
              <w:rPr/>
            </w:pPr>
            <w:r>
              <w:rPr>
                <w:rStyle w:val="StrongEmphasis"/>
              </w:rPr>
              <w:t>(a)</w:t>
            </w:r>
          </w:p>
        </w:tc>
        <w:tc>
          <w:tcPr>
            <w:tcW w:w="2162" w:type="dxa"/>
            <w:tcBorders/>
            <w:vAlign w:val="center"/>
          </w:tcPr>
          <w:p>
            <w:pPr>
              <w:pStyle w:val="TableContents"/>
              <w:bidi w:val="0"/>
              <w:spacing w:before="0" w:after="283"/>
              <w:jc w:val="left"/>
              <w:rPr/>
            </w:pPr>
            <w:r>
              <w:rPr>
                <w:rStyle w:val="StrongEmphasis"/>
              </w:rPr>
              <w:t xml:space="preserve">Financial </w:t>
            </w:r>
            <w:r>
              <w:rPr>
                <w:rStyle w:val="StrongEmphasis"/>
                <w:spacing w:val="-2"/>
              </w:rPr>
              <w:t>statements:</w:t>
            </w:r>
          </w:p>
        </w:tc>
      </w:tr>
    </w:tbl>
    <w:p>
      <w:pPr>
        <w:pStyle w:val="TextBody"/>
        <w:bidi w:val="0"/>
        <w:spacing w:before="0" w:after="0"/>
        <w:ind w:left="0" w:right="0" w:hanging="0"/>
        <w:jc w:val="left"/>
        <w:rPr>
          <w:spacing w:val="-4"/>
          <w:sz w:val="20"/>
        </w:rPr>
      </w:pPr>
      <w:r>
        <w:rPr>
          <w:spacing w:val="-4"/>
          <w:sz w:val="20"/>
        </w:rPr>
        <w:t>None</w:t>
      </w:r>
    </w:p>
    <w:tbl>
      <w:tblPr>
        <w:tblW w:w="3650" w:type="dxa"/>
        <w:jc w:val="left"/>
        <w:tblInd w:w="0" w:type="dxa"/>
        <w:tblLayout w:type="fixed"/>
        <w:tblCellMar>
          <w:top w:w="0" w:type="dxa"/>
          <w:left w:w="0" w:type="dxa"/>
          <w:bottom w:w="0" w:type="dxa"/>
          <w:right w:w="0" w:type="dxa"/>
        </w:tblCellMar>
      </w:tblPr>
      <w:tblGrid>
        <w:gridCol w:w="320"/>
        <w:gridCol w:w="3330"/>
      </w:tblGrid>
      <w:tr>
        <w:trPr/>
        <w:tc>
          <w:tcPr>
            <w:tcW w:w="320" w:type="dxa"/>
            <w:tcBorders/>
            <w:vAlign w:val="center"/>
          </w:tcPr>
          <w:p>
            <w:pPr>
              <w:pStyle w:val="TableContents"/>
              <w:bidi w:val="0"/>
              <w:spacing w:before="0" w:after="283"/>
              <w:jc w:val="left"/>
              <w:rPr/>
            </w:pPr>
            <w:r>
              <w:rPr>
                <w:rStyle w:val="StrongEmphasis"/>
              </w:rPr>
              <w:t>(b)</w:t>
            </w:r>
          </w:p>
        </w:tc>
        <w:tc>
          <w:tcPr>
            <w:tcW w:w="3330" w:type="dxa"/>
            <w:tcBorders/>
            <w:vAlign w:val="center"/>
          </w:tcPr>
          <w:p>
            <w:pPr>
              <w:pStyle w:val="TableContents"/>
              <w:bidi w:val="0"/>
              <w:spacing w:before="0" w:after="283"/>
              <w:jc w:val="left"/>
              <w:rPr/>
            </w:pPr>
            <w:r>
              <w:rPr>
                <w:rStyle w:val="StrongEmphasis"/>
              </w:rPr>
              <w:t xml:space="preserve">Pro forma financial </w:t>
            </w:r>
            <w:r>
              <w:rPr>
                <w:rStyle w:val="StrongEmphasis"/>
                <w:spacing w:val="-2"/>
              </w:rPr>
              <w:t>information:</w:t>
            </w:r>
          </w:p>
        </w:tc>
      </w:tr>
    </w:tbl>
    <w:p>
      <w:pPr>
        <w:pStyle w:val="TextBody"/>
        <w:bidi w:val="0"/>
        <w:spacing w:before="0" w:after="0"/>
        <w:ind w:left="0" w:right="0" w:hanging="0"/>
        <w:jc w:val="left"/>
        <w:rPr>
          <w:spacing w:val="-4"/>
          <w:sz w:val="20"/>
        </w:rPr>
      </w:pPr>
      <w:r>
        <w:rPr>
          <w:spacing w:val="-4"/>
          <w:sz w:val="20"/>
        </w:rPr>
        <w:t>None</w:t>
      </w:r>
    </w:p>
    <w:tbl>
      <w:tblPr>
        <w:tblW w:w="3153" w:type="dxa"/>
        <w:jc w:val="left"/>
        <w:tblInd w:w="0" w:type="dxa"/>
        <w:tblLayout w:type="fixed"/>
        <w:tblCellMar>
          <w:top w:w="0" w:type="dxa"/>
          <w:left w:w="0" w:type="dxa"/>
          <w:bottom w:w="0" w:type="dxa"/>
          <w:right w:w="0" w:type="dxa"/>
        </w:tblCellMar>
      </w:tblPr>
      <w:tblGrid>
        <w:gridCol w:w="290"/>
        <w:gridCol w:w="2863"/>
      </w:tblGrid>
      <w:tr>
        <w:trPr/>
        <w:tc>
          <w:tcPr>
            <w:tcW w:w="290" w:type="dxa"/>
            <w:tcBorders/>
            <w:vAlign w:val="center"/>
          </w:tcPr>
          <w:p>
            <w:pPr>
              <w:pStyle w:val="TableContents"/>
              <w:bidi w:val="0"/>
              <w:spacing w:before="0" w:after="283"/>
              <w:jc w:val="left"/>
              <w:rPr/>
            </w:pPr>
            <w:r>
              <w:rPr>
                <w:rStyle w:val="StrongEmphasis"/>
              </w:rPr>
              <w:t>(c)</w:t>
            </w:r>
          </w:p>
        </w:tc>
        <w:tc>
          <w:tcPr>
            <w:tcW w:w="2863" w:type="dxa"/>
            <w:tcBorders/>
            <w:vAlign w:val="center"/>
          </w:tcPr>
          <w:p>
            <w:pPr>
              <w:pStyle w:val="TableContents"/>
              <w:bidi w:val="0"/>
              <w:spacing w:before="0" w:after="283"/>
              <w:jc w:val="left"/>
              <w:rPr/>
            </w:pPr>
            <w:r>
              <w:rPr>
                <w:rStyle w:val="StrongEmphasis"/>
              </w:rPr>
              <w:t xml:space="preserve">Shell company </w:t>
            </w:r>
            <w:r>
              <w:rPr>
                <w:rStyle w:val="StrongEmphasis"/>
                <w:spacing w:val="-2"/>
              </w:rPr>
              <w:t>transactions:</w:t>
            </w:r>
          </w:p>
        </w:tc>
      </w:tr>
    </w:tbl>
    <w:p>
      <w:pPr>
        <w:pStyle w:val="TextBody"/>
        <w:bidi w:val="0"/>
        <w:spacing w:before="0" w:after="0"/>
        <w:ind w:left="0" w:right="0" w:hanging="0"/>
        <w:jc w:val="left"/>
        <w:rPr>
          <w:spacing w:val="-4"/>
          <w:sz w:val="20"/>
        </w:rPr>
      </w:pPr>
      <w:r>
        <w:rPr>
          <w:spacing w:val="-4"/>
          <w:sz w:val="20"/>
        </w:rPr>
        <w:t>None</w:t>
      </w:r>
    </w:p>
    <w:tbl>
      <w:tblPr>
        <w:tblW w:w="1181" w:type="dxa"/>
        <w:jc w:val="left"/>
        <w:tblInd w:w="0" w:type="dxa"/>
        <w:tblLayout w:type="fixed"/>
        <w:tblCellMar>
          <w:top w:w="0" w:type="dxa"/>
          <w:left w:w="0" w:type="dxa"/>
          <w:bottom w:w="0" w:type="dxa"/>
          <w:right w:w="0" w:type="dxa"/>
        </w:tblCellMar>
      </w:tblPr>
      <w:tblGrid>
        <w:gridCol w:w="320"/>
        <w:gridCol w:w="861"/>
      </w:tblGrid>
      <w:tr>
        <w:trPr/>
        <w:tc>
          <w:tcPr>
            <w:tcW w:w="320" w:type="dxa"/>
            <w:tcBorders/>
            <w:vAlign w:val="center"/>
          </w:tcPr>
          <w:p>
            <w:pPr>
              <w:pStyle w:val="TableContents"/>
              <w:bidi w:val="0"/>
              <w:spacing w:before="0" w:after="283"/>
              <w:jc w:val="left"/>
              <w:rPr/>
            </w:pPr>
            <w:r>
              <w:rPr>
                <w:rStyle w:val="StrongEmphasis"/>
              </w:rPr>
              <w:t>(d)</w:t>
            </w:r>
          </w:p>
        </w:tc>
        <w:tc>
          <w:tcPr>
            <w:tcW w:w="861" w:type="dxa"/>
            <w:tcBorders/>
            <w:vAlign w:val="center"/>
          </w:tcPr>
          <w:p>
            <w:pPr>
              <w:pStyle w:val="TableContents"/>
              <w:bidi w:val="0"/>
              <w:spacing w:before="0" w:after="283"/>
              <w:jc w:val="left"/>
              <w:rPr/>
            </w:pPr>
            <w:r>
              <w:rPr>
                <w:rStyle w:val="StrongEmphasis"/>
                <w:spacing w:val="-2"/>
              </w:rPr>
              <w:t>Exhibits</w:t>
            </w:r>
          </w:p>
        </w:tc>
      </w:tr>
    </w:tbl>
    <w:p>
      <w:pPr>
        <w:pStyle w:val="TextBody"/>
        <w:bidi w:val="0"/>
        <w:spacing w:before="0" w:after="0"/>
        <w:ind w:left="0" w:right="0" w:hanging="0"/>
        <w:jc w:val="left"/>
        <w:rPr/>
      </w:pPr>
      <w:r>
        <w:rPr>
          <w:rStyle w:val="StrongEmphasis"/>
        </w:rPr>
        <w:t> </w:t>
      </w:r>
    </w:p>
    <w:tbl>
      <w:tblPr>
        <w:tblW w:w="8066" w:type="dxa"/>
        <w:jc w:val="left"/>
        <w:tblInd w:w="0" w:type="dxa"/>
        <w:tblLayout w:type="fixed"/>
        <w:tblCellMar>
          <w:top w:w="0" w:type="dxa"/>
          <w:left w:w="0" w:type="dxa"/>
          <w:bottom w:w="0" w:type="dxa"/>
          <w:right w:w="0" w:type="dxa"/>
        </w:tblCellMar>
      </w:tblPr>
      <w:tblGrid>
        <w:gridCol w:w="455"/>
        <w:gridCol w:w="7611"/>
      </w:tblGrid>
      <w:tr>
        <w:trPr/>
        <w:tc>
          <w:tcPr>
            <w:tcW w:w="455" w:type="dxa"/>
            <w:tcBorders/>
            <w:vAlign w:val="center"/>
          </w:tcPr>
          <w:p>
            <w:pPr>
              <w:pStyle w:val="TableContents"/>
              <w:bidi w:val="0"/>
              <w:spacing w:before="0" w:after="283"/>
              <w:jc w:val="left"/>
              <w:rPr/>
            </w:pPr>
            <w:hyperlink w:anchor="exh_991.htm">
              <w:r>
                <w:rPr>
                  <w:rStyle w:val="InternetLink"/>
                </w:rPr>
                <w:t>99.1</w:t>
              </w:r>
            </w:hyperlink>
          </w:p>
        </w:tc>
        <w:tc>
          <w:tcPr>
            <w:tcW w:w="7611" w:type="dxa"/>
            <w:tcBorders/>
            <w:vAlign w:val="center"/>
          </w:tcPr>
          <w:p>
            <w:pPr>
              <w:pStyle w:val="TableContents"/>
              <w:bidi w:val="0"/>
              <w:spacing w:before="0" w:after="283"/>
              <w:jc w:val="left"/>
              <w:rPr/>
            </w:pPr>
            <w:hyperlink w:anchor="exh_991.htm">
              <w:r>
                <w:rPr>
                  <w:rStyle w:val="InternetLink"/>
                </w:rPr>
                <w:t xml:space="preserve">Press Release of PennantPark Floating Rate Capital Ltd. dated May 7, </w:t>
              </w:r>
            </w:hyperlink>
            <w:hyperlink w:anchor="exh_991.htm">
              <w:r>
                <w:rPr>
                  <w:rStyle w:val="InternetLink"/>
                  <w:spacing w:val="-4"/>
                </w:rPr>
                <w:t>2026</w:t>
              </w:r>
            </w:hyperlink>
          </w:p>
        </w:tc>
      </w:tr>
      <w:tr>
        <w:trPr/>
        <w:tc>
          <w:tcPr>
            <w:tcW w:w="455" w:type="dxa"/>
            <w:tcBorders/>
            <w:vAlign w:val="center"/>
          </w:tcPr>
          <w:p>
            <w:pPr>
              <w:pStyle w:val="TableContents"/>
              <w:bidi w:val="0"/>
              <w:spacing w:before="0" w:after="283"/>
              <w:jc w:val="left"/>
              <w:rPr/>
            </w:pPr>
            <w:r>
              <w:rPr/>
              <w:t>104</w:t>
            </w:r>
          </w:p>
        </w:tc>
        <w:tc>
          <w:tcPr>
            <w:tcW w:w="7611" w:type="dxa"/>
            <w:tcBorders/>
            <w:vAlign w:val="center"/>
          </w:tcPr>
          <w:p>
            <w:pPr>
              <w:pStyle w:val="TableContents"/>
              <w:bidi w:val="0"/>
              <w:spacing w:before="0" w:after="283"/>
              <w:jc w:val="left"/>
              <w:rPr/>
            </w:pPr>
            <w:r>
              <w:rPr/>
              <w:t xml:space="preserve">Cover Page Interactive Data File (embedded within the Inline XBRL </w:t>
            </w:r>
            <w:r>
              <w:rPr>
                <w:spacing w:val="-2"/>
              </w:rPr>
              <w:t>document)</w:t>
            </w:r>
          </w:p>
        </w:tc>
      </w:tr>
    </w:tbl>
    <w:p>
      <w:pPr>
        <w:pStyle w:val="TextBody"/>
        <w:bidi w:val="0"/>
        <w:spacing w:before="0" w:after="0"/>
        <w:ind w:left="0" w:right="0" w:hanging="0"/>
        <w:jc w:val="left"/>
        <w:rPr/>
      </w:pPr>
      <w:r>
        <w:rPr>
          <w:rStyle w:val="StrongEmphasis"/>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929" w:type="dxa"/>
        <w:jc w:val="left"/>
        <w:tblInd w:w="0" w:type="dxa"/>
        <w:tblLayout w:type="fixed"/>
        <w:tblCellMar>
          <w:top w:w="0" w:type="dxa"/>
          <w:left w:w="0" w:type="dxa"/>
          <w:bottom w:w="0" w:type="dxa"/>
          <w:right w:w="0" w:type="dxa"/>
        </w:tblCellMar>
      </w:tblPr>
      <w:tblGrid>
        <w:gridCol w:w="1535"/>
        <w:gridCol w:w="383"/>
        <w:gridCol w:w="3011"/>
      </w:tblGrid>
      <w:tr>
        <w:trPr/>
        <w:tc>
          <w:tcPr>
            <w:tcW w:w="1535"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b/>
                <w:sz w:val="20"/>
              </w:rPr>
            </w:pPr>
            <w:r>
              <w:rPr>
                <w:b/>
                <w:sz w:val="20"/>
              </w:rPr>
              <w:t>PennantPark Floating Rate Capital Ltd.</w:t>
            </w:r>
          </w:p>
        </w:tc>
      </w:tr>
      <w:tr>
        <w:trPr/>
        <w:tc>
          <w:tcPr>
            <w:tcW w:w="153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283"/>
              <w:jc w:val="left"/>
              <w:rPr>
                <w:sz w:val="20"/>
              </w:rPr>
            </w:pPr>
            <w:r>
              <w:rPr>
                <w:sz w:val="20"/>
              </w:rPr>
              <w:t>Date: May 7, 2026</w:t>
            </w:r>
          </w:p>
        </w:tc>
        <w:tc>
          <w:tcPr>
            <w:tcW w:w="383" w:type="dxa"/>
            <w:tcBorders/>
            <w:vAlign w:val="center"/>
          </w:tcPr>
          <w:p>
            <w:pPr>
              <w:pStyle w:val="TableContents"/>
              <w:bidi w:val="0"/>
              <w:spacing w:before="0" w:after="283"/>
              <w:jc w:val="left"/>
              <w:rPr>
                <w:sz w:val="20"/>
              </w:rPr>
            </w:pPr>
            <w:r>
              <w:rPr>
                <w:sz w:val="20"/>
              </w:rPr>
              <w:t>By: </w:t>
            </w:r>
          </w:p>
        </w:tc>
        <w:tc>
          <w:tcPr>
            <w:tcW w:w="3011"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53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Richard T. Allorto, Jr.</w:t>
            </w:r>
          </w:p>
        </w:tc>
      </w:tr>
      <w:tr>
        <w:trPr/>
        <w:tc>
          <w:tcPr>
            <w:tcW w:w="153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Chief Financial Officer &amp; Treasurer</w:t>
            </w:r>
          </w:p>
        </w:tc>
      </w:tr>
      <w:tr>
        <w:trPr/>
        <w:tc>
          <w:tcPr>
            <w:tcW w:w="153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spacing w:before="0" w:after="283"/>
        <w:jc w:val="left"/>
        <w:rPr/>
      </w:pPr>
      <w:r>
        <w:rPr/>
        <w:drawing>
          <wp:inline distT="0" distB="0" distL="0" distR="0">
            <wp:extent cx="14287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33375"/>
                    </a:xfrm>
                    <a:prstGeom prst="rect">
                      <a:avLst/>
                    </a:prstGeom>
                  </pic:spPr>
                </pic:pic>
              </a:graphicData>
            </a:graphic>
          </wp:inline>
        </w:drawing>
      </w:r>
    </w:p>
    <w:p>
      <w:pPr>
        <w:pStyle w:val="TextBody"/>
        <w:bidi w:val="0"/>
        <w:jc w:val="center"/>
        <w:rPr/>
      </w:pPr>
      <w:r>
        <w:rPr>
          <w:rStyle w:val="StrongEmphasis"/>
        </w:rPr>
        <w:t>PennantPark Floating Rate Capital Ltd. Announces Financial Results for the Second Quarter Ended March 31, 2026</w:t>
      </w:r>
    </w:p>
    <w:p>
      <w:pPr>
        <w:pStyle w:val="TextBody"/>
        <w:bidi w:val="0"/>
        <w:spacing w:before="0" w:after="283"/>
        <w:jc w:val="left"/>
        <w:rPr/>
      </w:pPr>
      <w:r>
        <w:rPr/>
        <w:t>MIAMI, May 07, 2026 (GLOBE NEWSWIRE) -- PennantPark Floating Rate Capital Ltd. (NYSE: PFLT) announced today its financial results for the second quarter ended March 31, 2026.</w:t>
      </w:r>
    </w:p>
    <w:tbl>
      <w:tblPr>
        <w:tblW w:w="8419" w:type="dxa"/>
        <w:jc w:val="left"/>
        <w:tblInd w:w="0" w:type="dxa"/>
        <w:tblLayout w:type="fixed"/>
        <w:tblCellMar>
          <w:top w:w="28" w:type="dxa"/>
          <w:left w:w="28" w:type="dxa"/>
          <w:bottom w:w="28" w:type="dxa"/>
          <w:right w:w="28" w:type="dxa"/>
        </w:tblCellMar>
      </w:tblPr>
      <w:tblGrid>
        <w:gridCol w:w="6946"/>
        <w:gridCol w:w="226"/>
        <w:gridCol w:w="826"/>
        <w:gridCol w:w="421"/>
      </w:tblGrid>
      <w:tr>
        <w:trPr/>
        <w:tc>
          <w:tcPr>
            <w:tcW w:w="69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rStyle w:val="StrongEmphasis"/>
              </w:rPr>
              <w:t>HIGHLIGHTS</w:t>
            </w:r>
            <w:r>
              <w:rPr/>
              <w:br/>
              <w:t xml:space="preserve">Quarter ended March 31, 2026 (Unaudited) </w:t>
              <w:br/>
              <w:t>($ in millions, except per share amounts)</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Assets and Liabilities:</w:t>
            </w:r>
          </w:p>
        </w:tc>
        <w:tc>
          <w:tcPr>
            <w:tcW w:w="226" w:type="dxa"/>
            <w:tcBorders/>
            <w:vAlign w:val="center"/>
          </w:tcPr>
          <w:p>
            <w:pPr>
              <w:pStyle w:val="TableContents"/>
              <w:bidi w:val="0"/>
              <w:spacing w:before="0" w:after="283"/>
              <w:jc w:val="right"/>
              <w:rPr/>
            </w:pPr>
            <w:r>
              <w:rPr/>
              <w:t> </w:t>
            </w:r>
          </w:p>
        </w:tc>
        <w:tc>
          <w:tcPr>
            <w:tcW w:w="826" w:type="dxa"/>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 xml:space="preserve">Investment portfolio </w:t>
            </w:r>
            <w:r>
              <w:rPr>
                <w:position w:val="8"/>
                <w:sz w:val="19"/>
              </w:rPr>
              <w:t>(1)(2)</w:t>
            </w:r>
          </w:p>
        </w:tc>
        <w:tc>
          <w:tcPr>
            <w:tcW w:w="226" w:type="dxa"/>
            <w:tcBorders/>
            <w:vAlign w:val="center"/>
          </w:tcPr>
          <w:p>
            <w:pPr>
              <w:pStyle w:val="TableContents"/>
              <w:bidi w:val="0"/>
              <w:spacing w:before="0" w:after="283"/>
              <w:jc w:val="right"/>
              <w:rPr/>
            </w:pPr>
            <w:r>
              <w:rPr/>
              <w:t>$</w:t>
            </w:r>
          </w:p>
        </w:tc>
        <w:tc>
          <w:tcPr>
            <w:tcW w:w="826" w:type="dxa"/>
            <w:tcBorders/>
            <w:vAlign w:val="center"/>
          </w:tcPr>
          <w:p>
            <w:pPr>
              <w:pStyle w:val="TableContents"/>
              <w:bidi w:val="0"/>
              <w:spacing w:before="0" w:after="283"/>
              <w:jc w:val="right"/>
              <w:rPr/>
            </w:pPr>
            <w:r>
              <w:rPr/>
              <w:t>2,580.3</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Net assets</w:t>
            </w:r>
          </w:p>
        </w:tc>
        <w:tc>
          <w:tcPr>
            <w:tcW w:w="226" w:type="dxa"/>
            <w:tcBorders/>
            <w:vAlign w:val="center"/>
          </w:tcPr>
          <w:p>
            <w:pPr>
              <w:pStyle w:val="TableContents"/>
              <w:bidi w:val="0"/>
              <w:spacing w:before="0" w:after="283"/>
              <w:jc w:val="right"/>
              <w:rPr/>
            </w:pPr>
            <w:r>
              <w:rPr/>
              <w:t>$</w:t>
            </w:r>
          </w:p>
        </w:tc>
        <w:tc>
          <w:tcPr>
            <w:tcW w:w="826" w:type="dxa"/>
            <w:tcBorders/>
            <w:vAlign w:val="center"/>
          </w:tcPr>
          <w:p>
            <w:pPr>
              <w:pStyle w:val="TableContents"/>
              <w:bidi w:val="0"/>
              <w:spacing w:before="0" w:after="283"/>
              <w:jc w:val="right"/>
              <w:rPr/>
            </w:pPr>
            <w:r>
              <w:rPr/>
              <w:t>1,038.7</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Net asset value per share</w:t>
            </w:r>
          </w:p>
        </w:tc>
        <w:tc>
          <w:tcPr>
            <w:tcW w:w="226" w:type="dxa"/>
            <w:tcBorders/>
            <w:vAlign w:val="center"/>
          </w:tcPr>
          <w:p>
            <w:pPr>
              <w:pStyle w:val="TableContents"/>
              <w:bidi w:val="0"/>
              <w:spacing w:before="0" w:after="283"/>
              <w:jc w:val="right"/>
              <w:rPr/>
            </w:pPr>
            <w:r>
              <w:rPr/>
              <w:t>$</w:t>
            </w:r>
          </w:p>
        </w:tc>
        <w:tc>
          <w:tcPr>
            <w:tcW w:w="826" w:type="dxa"/>
            <w:tcBorders/>
            <w:vAlign w:val="center"/>
          </w:tcPr>
          <w:p>
            <w:pPr>
              <w:pStyle w:val="TableContents"/>
              <w:bidi w:val="0"/>
              <w:spacing w:before="0" w:after="283"/>
              <w:jc w:val="right"/>
              <w:rPr/>
            </w:pPr>
            <w:r>
              <w:rPr/>
              <w:t>10.47</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Quarterly change in net asset value per share</w:t>
            </w:r>
          </w:p>
        </w:tc>
        <w:tc>
          <w:tcPr>
            <w:tcW w:w="226" w:type="dxa"/>
            <w:tcBorders/>
            <w:vAlign w:val="center"/>
          </w:tcPr>
          <w:p>
            <w:pPr>
              <w:pStyle w:val="TableContents"/>
              <w:bidi w:val="0"/>
              <w:spacing w:before="0" w:after="283"/>
              <w:jc w:val="right"/>
              <w:rPr/>
            </w:pPr>
            <w:r>
              <w:rPr/>
              <w:t> </w:t>
            </w:r>
          </w:p>
        </w:tc>
        <w:tc>
          <w:tcPr>
            <w:tcW w:w="826" w:type="dxa"/>
            <w:tcBorders/>
            <w:vAlign w:val="center"/>
          </w:tcPr>
          <w:p>
            <w:pPr>
              <w:pStyle w:val="TableContents"/>
              <w:bidi w:val="0"/>
              <w:spacing w:before="0" w:after="283"/>
              <w:jc w:val="right"/>
              <w:rPr/>
            </w:pPr>
            <w:r>
              <w:rPr/>
              <w:t>(0.2</w:t>
            </w:r>
          </w:p>
        </w:tc>
        <w:tc>
          <w:tcPr>
            <w:tcW w:w="421" w:type="dxa"/>
            <w:tcBorders/>
            <w:vAlign w:val="center"/>
          </w:tcPr>
          <w:p>
            <w:pPr>
              <w:pStyle w:val="TableContents"/>
              <w:bidi w:val="0"/>
              <w:spacing w:before="0" w:after="283"/>
              <w:jc w:val="left"/>
              <w:rPr/>
            </w:pPr>
            <w:r>
              <w:rPr/>
              <w:t>)%</w:t>
            </w:r>
          </w:p>
        </w:tc>
      </w:tr>
      <w:tr>
        <w:trPr/>
        <w:tc>
          <w:tcPr>
            <w:tcW w:w="694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right"/>
              <w:rPr/>
            </w:pPr>
            <w:r>
              <w:rPr/>
              <w:t> </w:t>
            </w:r>
          </w:p>
        </w:tc>
      </w:tr>
      <w:tr>
        <w:trPr/>
        <w:tc>
          <w:tcPr>
            <w:tcW w:w="6946" w:type="dxa"/>
            <w:tcBorders/>
            <w:vAlign w:val="center"/>
          </w:tcPr>
          <w:p>
            <w:pPr>
              <w:pStyle w:val="TableContents"/>
              <w:bidi w:val="0"/>
              <w:spacing w:before="0" w:after="283"/>
              <w:jc w:val="left"/>
              <w:rPr/>
            </w:pPr>
            <w:r>
              <w:rPr/>
              <w:t>Credit Facility</w:t>
            </w:r>
          </w:p>
        </w:tc>
        <w:tc>
          <w:tcPr>
            <w:tcW w:w="226" w:type="dxa"/>
            <w:tcBorders/>
            <w:vAlign w:val="center"/>
          </w:tcPr>
          <w:p>
            <w:pPr>
              <w:pStyle w:val="TableContents"/>
              <w:bidi w:val="0"/>
              <w:spacing w:before="0" w:after="283"/>
              <w:jc w:val="right"/>
              <w:rPr/>
            </w:pPr>
            <w:r>
              <w:rPr/>
              <w:t>$</w:t>
            </w:r>
          </w:p>
        </w:tc>
        <w:tc>
          <w:tcPr>
            <w:tcW w:w="826" w:type="dxa"/>
            <w:tcBorders/>
            <w:vAlign w:val="center"/>
          </w:tcPr>
          <w:p>
            <w:pPr>
              <w:pStyle w:val="TableContents"/>
              <w:bidi w:val="0"/>
              <w:spacing w:before="0" w:after="283"/>
              <w:jc w:val="right"/>
              <w:rPr/>
            </w:pPr>
            <w:r>
              <w:rPr/>
              <w:t>328.3</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2026 Notes, net of unamortized deferred financing costs</w:t>
            </w:r>
          </w:p>
        </w:tc>
        <w:tc>
          <w:tcPr>
            <w:tcW w:w="226" w:type="dxa"/>
            <w:tcBorders/>
            <w:vAlign w:val="center"/>
          </w:tcPr>
          <w:p>
            <w:pPr>
              <w:pStyle w:val="TableContents"/>
              <w:bidi w:val="0"/>
              <w:spacing w:before="0" w:after="283"/>
              <w:jc w:val="right"/>
              <w:rPr/>
            </w:pPr>
            <w:r>
              <w:rPr/>
              <w:t>$</w:t>
            </w:r>
          </w:p>
        </w:tc>
        <w:tc>
          <w:tcPr>
            <w:tcW w:w="826" w:type="dxa"/>
            <w:tcBorders/>
            <w:vAlign w:val="center"/>
          </w:tcPr>
          <w:p>
            <w:pPr>
              <w:pStyle w:val="TableContents"/>
              <w:bidi w:val="0"/>
              <w:spacing w:before="0" w:after="283"/>
              <w:jc w:val="right"/>
              <w:rPr/>
            </w:pPr>
            <w:r>
              <w:rPr/>
              <w:t>185.0</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2029 Notes, net of unamortized deferred financing costs</w:t>
            </w:r>
          </w:p>
        </w:tc>
        <w:tc>
          <w:tcPr>
            <w:tcW w:w="226" w:type="dxa"/>
            <w:tcBorders/>
            <w:vAlign w:val="center"/>
          </w:tcPr>
          <w:p>
            <w:pPr>
              <w:pStyle w:val="TableContents"/>
              <w:bidi w:val="0"/>
              <w:spacing w:before="0" w:after="283"/>
              <w:jc w:val="right"/>
              <w:rPr/>
            </w:pPr>
            <w:r>
              <w:rPr/>
              <w:t>$</w:t>
            </w:r>
          </w:p>
        </w:tc>
        <w:tc>
          <w:tcPr>
            <w:tcW w:w="826" w:type="dxa"/>
            <w:tcBorders/>
            <w:vAlign w:val="center"/>
          </w:tcPr>
          <w:p>
            <w:pPr>
              <w:pStyle w:val="TableContents"/>
              <w:bidi w:val="0"/>
              <w:spacing w:before="0" w:after="283"/>
              <w:jc w:val="right"/>
              <w:rPr/>
            </w:pPr>
            <w:r>
              <w:rPr/>
              <w:t>195.9</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2036-R Asset-Backed Debt, net of unamortized deferred financing costs</w:t>
            </w:r>
          </w:p>
        </w:tc>
        <w:tc>
          <w:tcPr>
            <w:tcW w:w="226" w:type="dxa"/>
            <w:tcBorders/>
            <w:vAlign w:val="center"/>
          </w:tcPr>
          <w:p>
            <w:pPr>
              <w:pStyle w:val="TableContents"/>
              <w:bidi w:val="0"/>
              <w:spacing w:before="0" w:after="283"/>
              <w:jc w:val="right"/>
              <w:rPr/>
            </w:pPr>
            <w:r>
              <w:rPr/>
              <w:t>$</w:t>
            </w:r>
          </w:p>
        </w:tc>
        <w:tc>
          <w:tcPr>
            <w:tcW w:w="826" w:type="dxa"/>
            <w:tcBorders/>
            <w:vAlign w:val="center"/>
          </w:tcPr>
          <w:p>
            <w:pPr>
              <w:pStyle w:val="TableContents"/>
              <w:bidi w:val="0"/>
              <w:spacing w:before="0" w:after="283"/>
              <w:jc w:val="right"/>
              <w:rPr/>
            </w:pPr>
            <w:r>
              <w:rPr/>
              <w:t>286.6</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2037 Asset-Backed Debt, net of unamortized deferred financing costs</w:t>
            </w:r>
          </w:p>
        </w:tc>
        <w:tc>
          <w:tcPr>
            <w:tcW w:w="226" w:type="dxa"/>
            <w:tcBorders/>
            <w:vAlign w:val="center"/>
          </w:tcPr>
          <w:p>
            <w:pPr>
              <w:pStyle w:val="TableContents"/>
              <w:bidi w:val="0"/>
              <w:spacing w:before="0" w:after="283"/>
              <w:jc w:val="right"/>
              <w:rPr/>
            </w:pPr>
            <w:r>
              <w:rPr/>
              <w:t>$</w:t>
            </w:r>
          </w:p>
        </w:tc>
        <w:tc>
          <w:tcPr>
            <w:tcW w:w="826" w:type="dxa"/>
            <w:tcBorders/>
            <w:vAlign w:val="center"/>
          </w:tcPr>
          <w:p>
            <w:pPr>
              <w:pStyle w:val="TableContents"/>
              <w:bidi w:val="0"/>
              <w:spacing w:before="0" w:after="283"/>
              <w:jc w:val="right"/>
              <w:rPr/>
            </w:pPr>
            <w:r>
              <w:rPr/>
              <w:t>387.1</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2038-R Asset-Backed Debt, net of unamortized deferred financing costs</w:t>
            </w:r>
          </w:p>
        </w:tc>
        <w:tc>
          <w:tcPr>
            <w:tcW w:w="226" w:type="dxa"/>
            <w:tcBorders/>
            <w:vAlign w:val="center"/>
          </w:tcPr>
          <w:p>
            <w:pPr>
              <w:pStyle w:val="TableContents"/>
              <w:bidi w:val="0"/>
              <w:spacing w:before="0" w:after="283"/>
              <w:jc w:val="right"/>
              <w:rPr/>
            </w:pPr>
            <w:r>
              <w:rPr/>
              <w:t>$</w:t>
            </w:r>
          </w:p>
        </w:tc>
        <w:tc>
          <w:tcPr>
            <w:tcW w:w="826" w:type="dxa"/>
            <w:tcBorders/>
            <w:vAlign w:val="center"/>
          </w:tcPr>
          <w:p>
            <w:pPr>
              <w:pStyle w:val="TableContents"/>
              <w:bidi w:val="0"/>
              <w:spacing w:before="0" w:after="283"/>
              <w:jc w:val="right"/>
              <w:rPr/>
            </w:pPr>
            <w:r>
              <w:rPr/>
              <w:t>284.8</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Debt to equity</w:t>
            </w:r>
          </w:p>
        </w:tc>
        <w:tc>
          <w:tcPr>
            <w:tcW w:w="226" w:type="dxa"/>
            <w:tcBorders/>
            <w:vAlign w:val="center"/>
          </w:tcPr>
          <w:p>
            <w:pPr>
              <w:pStyle w:val="TableContents"/>
              <w:bidi w:val="0"/>
              <w:spacing w:before="0" w:after="283"/>
              <w:jc w:val="right"/>
              <w:rPr/>
            </w:pPr>
            <w:r>
              <w:rPr/>
              <w:t> </w:t>
            </w:r>
          </w:p>
        </w:tc>
        <w:tc>
          <w:tcPr>
            <w:tcW w:w="826" w:type="dxa"/>
            <w:tcBorders/>
            <w:vAlign w:val="center"/>
          </w:tcPr>
          <w:p>
            <w:pPr>
              <w:pStyle w:val="TableContents"/>
              <w:bidi w:val="0"/>
              <w:spacing w:before="0" w:after="283"/>
              <w:jc w:val="right"/>
              <w:rPr/>
            </w:pPr>
            <w:r>
              <w:rPr/>
              <w:t>1.61x</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Weighted average yield on debt investments at quarter-end</w:t>
            </w:r>
          </w:p>
        </w:tc>
        <w:tc>
          <w:tcPr>
            <w:tcW w:w="226" w:type="dxa"/>
            <w:tcBorders/>
            <w:vAlign w:val="center"/>
          </w:tcPr>
          <w:p>
            <w:pPr>
              <w:pStyle w:val="TableContents"/>
              <w:bidi w:val="0"/>
              <w:spacing w:before="0" w:after="283"/>
              <w:jc w:val="right"/>
              <w:rPr/>
            </w:pPr>
            <w:r>
              <w:rPr/>
              <w:t> </w:t>
            </w:r>
          </w:p>
        </w:tc>
        <w:tc>
          <w:tcPr>
            <w:tcW w:w="826" w:type="dxa"/>
            <w:tcBorders/>
            <w:vAlign w:val="center"/>
          </w:tcPr>
          <w:p>
            <w:pPr>
              <w:pStyle w:val="TableContents"/>
              <w:bidi w:val="0"/>
              <w:spacing w:before="0" w:after="283"/>
              <w:jc w:val="right"/>
              <w:rPr/>
            </w:pPr>
            <w:r>
              <w:rPr/>
              <w:t>9.8</w:t>
            </w:r>
          </w:p>
        </w:tc>
        <w:tc>
          <w:tcPr>
            <w:tcW w:w="421" w:type="dxa"/>
            <w:tcBorders/>
            <w:vAlign w:val="center"/>
          </w:tcPr>
          <w:p>
            <w:pPr>
              <w:pStyle w:val="TableContents"/>
              <w:bidi w:val="0"/>
              <w:spacing w:before="0" w:after="283"/>
              <w:jc w:val="left"/>
              <w:rPr/>
            </w:pPr>
            <w:r>
              <w:rPr/>
              <w:t>%</w:t>
            </w:r>
          </w:p>
        </w:tc>
      </w:tr>
      <w:tr>
        <w:trPr/>
        <w:tc>
          <w:tcPr>
            <w:tcW w:w="69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26" w:type="dxa"/>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Operating Results:</w:t>
            </w:r>
          </w:p>
        </w:tc>
        <w:tc>
          <w:tcPr>
            <w:tcW w:w="226" w:type="dxa"/>
            <w:tcBorders/>
            <w:vAlign w:val="center"/>
          </w:tcPr>
          <w:p>
            <w:pPr>
              <w:pStyle w:val="TableContents"/>
              <w:bidi w:val="0"/>
              <w:spacing w:before="0" w:after="283"/>
              <w:jc w:val="right"/>
              <w:rPr/>
            </w:pPr>
            <w:r>
              <w:rPr/>
              <w:t> </w:t>
            </w:r>
          </w:p>
        </w:tc>
        <w:tc>
          <w:tcPr>
            <w:tcW w:w="826" w:type="dxa"/>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Net investment income</w:t>
            </w:r>
          </w:p>
        </w:tc>
        <w:tc>
          <w:tcPr>
            <w:tcW w:w="226" w:type="dxa"/>
            <w:tcBorders/>
            <w:vAlign w:val="center"/>
          </w:tcPr>
          <w:p>
            <w:pPr>
              <w:pStyle w:val="TableContents"/>
              <w:bidi w:val="0"/>
              <w:spacing w:before="0" w:after="283"/>
              <w:jc w:val="right"/>
              <w:rPr/>
            </w:pPr>
            <w:r>
              <w:rPr/>
              <w:t>$</w:t>
            </w:r>
          </w:p>
        </w:tc>
        <w:tc>
          <w:tcPr>
            <w:tcW w:w="826" w:type="dxa"/>
            <w:tcBorders/>
            <w:vAlign w:val="center"/>
          </w:tcPr>
          <w:p>
            <w:pPr>
              <w:pStyle w:val="TableContents"/>
              <w:bidi w:val="0"/>
              <w:spacing w:before="0" w:after="283"/>
              <w:jc w:val="right"/>
              <w:rPr/>
            </w:pPr>
            <w:r>
              <w:rPr/>
              <w:t>25.7</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Net investment income per share (GAAP)</w:t>
            </w:r>
          </w:p>
        </w:tc>
        <w:tc>
          <w:tcPr>
            <w:tcW w:w="226" w:type="dxa"/>
            <w:tcBorders/>
            <w:vAlign w:val="center"/>
          </w:tcPr>
          <w:p>
            <w:pPr>
              <w:pStyle w:val="TableContents"/>
              <w:bidi w:val="0"/>
              <w:spacing w:before="0" w:after="283"/>
              <w:jc w:val="right"/>
              <w:rPr/>
            </w:pPr>
            <w:r>
              <w:rPr/>
              <w:t>$</w:t>
            </w:r>
          </w:p>
        </w:tc>
        <w:tc>
          <w:tcPr>
            <w:tcW w:w="826" w:type="dxa"/>
            <w:tcBorders/>
            <w:vAlign w:val="center"/>
          </w:tcPr>
          <w:p>
            <w:pPr>
              <w:pStyle w:val="TableContents"/>
              <w:bidi w:val="0"/>
              <w:spacing w:before="0" w:after="283"/>
              <w:jc w:val="right"/>
              <w:rPr/>
            </w:pPr>
            <w:r>
              <w:rPr/>
              <w:t>0.26</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 xml:space="preserve">Core net investment income per share </w:t>
            </w:r>
            <w:r>
              <w:rPr>
                <w:position w:val="8"/>
                <w:sz w:val="19"/>
              </w:rPr>
              <w:t>(3)</w:t>
            </w:r>
          </w:p>
        </w:tc>
        <w:tc>
          <w:tcPr>
            <w:tcW w:w="226" w:type="dxa"/>
            <w:tcBorders/>
            <w:vAlign w:val="center"/>
          </w:tcPr>
          <w:p>
            <w:pPr>
              <w:pStyle w:val="TableContents"/>
              <w:bidi w:val="0"/>
              <w:spacing w:before="0" w:after="283"/>
              <w:jc w:val="right"/>
              <w:rPr/>
            </w:pPr>
            <w:r>
              <w:rPr/>
              <w:t>$</w:t>
            </w:r>
          </w:p>
        </w:tc>
        <w:tc>
          <w:tcPr>
            <w:tcW w:w="826" w:type="dxa"/>
            <w:tcBorders/>
            <w:vAlign w:val="center"/>
          </w:tcPr>
          <w:p>
            <w:pPr>
              <w:pStyle w:val="TableContents"/>
              <w:bidi w:val="0"/>
              <w:spacing w:before="0" w:after="283"/>
              <w:jc w:val="right"/>
              <w:rPr/>
            </w:pPr>
            <w:r>
              <w:rPr/>
              <w:t>0.27</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Distributions declared per share</w:t>
            </w:r>
          </w:p>
        </w:tc>
        <w:tc>
          <w:tcPr>
            <w:tcW w:w="226" w:type="dxa"/>
            <w:tcBorders/>
            <w:vAlign w:val="center"/>
          </w:tcPr>
          <w:p>
            <w:pPr>
              <w:pStyle w:val="TableContents"/>
              <w:bidi w:val="0"/>
              <w:spacing w:before="0" w:after="283"/>
              <w:jc w:val="right"/>
              <w:rPr/>
            </w:pPr>
            <w:r>
              <w:rPr/>
              <w:t>$</w:t>
            </w:r>
          </w:p>
        </w:tc>
        <w:tc>
          <w:tcPr>
            <w:tcW w:w="826" w:type="dxa"/>
            <w:tcBorders/>
            <w:vAlign w:val="center"/>
          </w:tcPr>
          <w:p>
            <w:pPr>
              <w:pStyle w:val="TableContents"/>
              <w:bidi w:val="0"/>
              <w:spacing w:before="0" w:after="283"/>
              <w:jc w:val="right"/>
              <w:rPr/>
            </w:pPr>
            <w:r>
              <w:rPr/>
              <w:t>0.31</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Portfolio Activity</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 </w:t>
            </w:r>
            <w:r>
              <w:rPr/>
              <w:t>294.8</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 </w:t>
            </w:r>
            <w:r>
              <w:rPr/>
              <w:t>328.0</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26" w:type="dxa"/>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PSSL Portfolio data:</w:t>
            </w:r>
          </w:p>
        </w:tc>
        <w:tc>
          <w:tcPr>
            <w:tcW w:w="226" w:type="dxa"/>
            <w:tcBorders/>
            <w:vAlign w:val="center"/>
          </w:tcPr>
          <w:p>
            <w:pPr>
              <w:pStyle w:val="TableContents"/>
              <w:bidi w:val="0"/>
              <w:spacing w:before="0" w:after="283"/>
              <w:jc w:val="right"/>
              <w:rPr/>
            </w:pPr>
            <w:r>
              <w:rPr/>
              <w:t> </w:t>
            </w:r>
          </w:p>
        </w:tc>
        <w:tc>
          <w:tcPr>
            <w:tcW w:w="826" w:type="dxa"/>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PSSL investment portfolio</w:t>
            </w:r>
          </w:p>
        </w:tc>
        <w:tc>
          <w:tcPr>
            <w:tcW w:w="226" w:type="dxa"/>
            <w:tcBorders/>
            <w:vAlign w:val="center"/>
          </w:tcPr>
          <w:p>
            <w:pPr>
              <w:pStyle w:val="TableContents"/>
              <w:bidi w:val="0"/>
              <w:spacing w:before="0" w:after="283"/>
              <w:jc w:val="right"/>
              <w:rPr/>
            </w:pPr>
            <w:r>
              <w:rPr/>
              <w:t>$</w:t>
            </w:r>
          </w:p>
        </w:tc>
        <w:tc>
          <w:tcPr>
            <w:tcW w:w="826" w:type="dxa"/>
            <w:tcBorders/>
            <w:vAlign w:val="center"/>
          </w:tcPr>
          <w:p>
            <w:pPr>
              <w:pStyle w:val="TableContents"/>
              <w:bidi w:val="0"/>
              <w:spacing w:before="0" w:after="283"/>
              <w:jc w:val="right"/>
              <w:rPr/>
            </w:pPr>
            <w:r>
              <w:rPr/>
              <w:t>1,209.0</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226" w:type="dxa"/>
            <w:tcBorders/>
            <w:vAlign w:val="center"/>
          </w:tcPr>
          <w:p>
            <w:pPr>
              <w:pStyle w:val="TableContents"/>
              <w:bidi w:val="0"/>
              <w:spacing w:before="0" w:after="283"/>
              <w:jc w:val="right"/>
              <w:rPr/>
            </w:pPr>
            <w:r>
              <w:rPr/>
              <w:t>$</w:t>
            </w:r>
          </w:p>
        </w:tc>
        <w:tc>
          <w:tcPr>
            <w:tcW w:w="826" w:type="dxa"/>
            <w:tcBorders/>
            <w:vAlign w:val="center"/>
          </w:tcPr>
          <w:p>
            <w:pPr>
              <w:pStyle w:val="TableContents"/>
              <w:bidi w:val="0"/>
              <w:spacing w:before="0" w:after="283"/>
              <w:jc w:val="right"/>
              <w:rPr/>
            </w:pPr>
            <w:r>
              <w:rPr/>
              <w:t>58.6</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w:t>
            </w:r>
          </w:p>
        </w:tc>
        <w:tc>
          <w:tcPr>
            <w:tcW w:w="226" w:type="dxa"/>
            <w:tcBorders/>
            <w:vAlign w:val="center"/>
          </w:tcPr>
          <w:p>
            <w:pPr>
              <w:pStyle w:val="TableContents"/>
              <w:bidi w:val="0"/>
              <w:spacing w:before="0" w:after="283"/>
              <w:jc w:val="right"/>
              <w:rPr/>
            </w:pPr>
            <w:r>
              <w:rPr/>
              <w:t>$</w:t>
            </w:r>
          </w:p>
        </w:tc>
        <w:tc>
          <w:tcPr>
            <w:tcW w:w="826" w:type="dxa"/>
            <w:tcBorders/>
            <w:vAlign w:val="center"/>
          </w:tcPr>
          <w:p>
            <w:pPr>
              <w:pStyle w:val="TableContents"/>
              <w:bidi w:val="0"/>
              <w:spacing w:before="0" w:after="283"/>
              <w:jc w:val="right"/>
              <w:rPr/>
            </w:pPr>
            <w:r>
              <w:rPr/>
              <w:t>32.2</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26" w:type="dxa"/>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PSSL II Portfolio data:</w:t>
            </w:r>
          </w:p>
        </w:tc>
        <w:tc>
          <w:tcPr>
            <w:tcW w:w="226" w:type="dxa"/>
            <w:tcBorders/>
            <w:vAlign w:val="center"/>
          </w:tcPr>
          <w:p>
            <w:pPr>
              <w:pStyle w:val="TableContents"/>
              <w:bidi w:val="0"/>
              <w:spacing w:before="0" w:after="283"/>
              <w:jc w:val="right"/>
              <w:rPr/>
            </w:pPr>
            <w:r>
              <w:rPr/>
              <w:t> </w:t>
            </w:r>
          </w:p>
        </w:tc>
        <w:tc>
          <w:tcPr>
            <w:tcW w:w="826" w:type="dxa"/>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PSSL II investment portfolio</w:t>
            </w:r>
          </w:p>
        </w:tc>
        <w:tc>
          <w:tcPr>
            <w:tcW w:w="226" w:type="dxa"/>
            <w:tcBorders/>
            <w:vAlign w:val="center"/>
          </w:tcPr>
          <w:p>
            <w:pPr>
              <w:pStyle w:val="TableContents"/>
              <w:bidi w:val="0"/>
              <w:spacing w:before="0" w:after="283"/>
              <w:jc w:val="right"/>
              <w:rPr/>
            </w:pPr>
            <w:r>
              <w:rPr/>
              <w:t>$</w:t>
            </w:r>
          </w:p>
        </w:tc>
        <w:tc>
          <w:tcPr>
            <w:tcW w:w="826" w:type="dxa"/>
            <w:tcBorders/>
            <w:vAlign w:val="center"/>
          </w:tcPr>
          <w:p>
            <w:pPr>
              <w:pStyle w:val="TableContents"/>
              <w:bidi w:val="0"/>
              <w:spacing w:before="0" w:after="283"/>
              <w:jc w:val="right"/>
              <w:rPr/>
            </w:pPr>
            <w:r>
              <w:rPr/>
              <w:t>339.9</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226" w:type="dxa"/>
            <w:tcBorders/>
            <w:vAlign w:val="center"/>
          </w:tcPr>
          <w:p>
            <w:pPr>
              <w:pStyle w:val="TableContents"/>
              <w:bidi w:val="0"/>
              <w:spacing w:before="0" w:after="283"/>
              <w:jc w:val="right"/>
              <w:rPr/>
            </w:pPr>
            <w:r>
              <w:rPr/>
              <w:t>$</w:t>
            </w:r>
          </w:p>
        </w:tc>
        <w:tc>
          <w:tcPr>
            <w:tcW w:w="826" w:type="dxa"/>
            <w:tcBorders/>
            <w:vAlign w:val="center"/>
          </w:tcPr>
          <w:p>
            <w:pPr>
              <w:pStyle w:val="TableContents"/>
              <w:bidi w:val="0"/>
              <w:spacing w:before="0" w:after="283"/>
              <w:jc w:val="right"/>
              <w:rPr/>
            </w:pPr>
            <w:r>
              <w:rPr/>
              <w:t>148.1</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w:t>
            </w:r>
          </w:p>
        </w:tc>
        <w:tc>
          <w:tcPr>
            <w:tcW w:w="226" w:type="dxa"/>
            <w:tcBorders/>
            <w:vAlign w:val="center"/>
          </w:tcPr>
          <w:p>
            <w:pPr>
              <w:pStyle w:val="TableContents"/>
              <w:bidi w:val="0"/>
              <w:spacing w:before="0" w:after="283"/>
              <w:jc w:val="right"/>
              <w:rPr/>
            </w:pPr>
            <w:r>
              <w:rPr/>
              <w:t>$</w:t>
            </w:r>
          </w:p>
        </w:tc>
        <w:tc>
          <w:tcPr>
            <w:tcW w:w="826" w:type="dxa"/>
            <w:tcBorders/>
            <w:vAlign w:val="center"/>
          </w:tcPr>
          <w:p>
            <w:pPr>
              <w:pStyle w:val="TableContents"/>
              <w:bidi w:val="0"/>
              <w:spacing w:before="0" w:after="283"/>
              <w:jc w:val="right"/>
              <w:rPr/>
            </w:pPr>
            <w:r>
              <w:rPr/>
              <w:t>1.3</w:t>
            </w:r>
          </w:p>
        </w:tc>
        <w:tc>
          <w:tcPr>
            <w:tcW w:w="421" w:type="dxa"/>
            <w:tcBorders/>
            <w:vAlign w:val="center"/>
          </w:tcPr>
          <w:p>
            <w:pPr>
              <w:pStyle w:val="TableContents"/>
              <w:bidi w:val="0"/>
              <w:spacing w:before="0" w:after="283"/>
              <w:jc w:val="left"/>
              <w:rPr/>
            </w:pPr>
            <w:r>
              <w:rPr/>
              <w:t> </w:t>
            </w:r>
          </w:p>
        </w:tc>
      </w:tr>
    </w:tbl>
    <w:p>
      <w:pPr>
        <w:pStyle w:val="TextBody"/>
        <w:bidi w:val="0"/>
        <w:spacing w:before="0" w:after="283"/>
        <w:jc w:val="left"/>
        <w:rPr/>
      </w:pPr>
      <w:r>
        <w:rPr/>
        <w:t>________________________</w:t>
      </w:r>
    </w:p>
    <w:tbl>
      <w:tblPr>
        <w:tblW w:w="10205" w:type="dxa"/>
        <w:jc w:val="left"/>
        <w:tblInd w:w="0" w:type="dxa"/>
        <w:tblLayout w:type="fixed"/>
        <w:tblCellMar>
          <w:top w:w="28" w:type="dxa"/>
          <w:left w:w="28" w:type="dxa"/>
          <w:bottom w:w="28" w:type="dxa"/>
          <w:right w:w="28" w:type="dxa"/>
        </w:tblCellMar>
      </w:tblPr>
      <w:tblGrid>
        <w:gridCol w:w="326"/>
        <w:gridCol w:w="146"/>
        <w:gridCol w:w="9733"/>
      </w:tblGrid>
      <w:tr>
        <w:trPr/>
        <w:tc>
          <w:tcPr>
            <w:tcW w:w="326" w:type="dxa"/>
            <w:tcBorders/>
            <w:vAlign w:val="center"/>
          </w:tcPr>
          <w:p>
            <w:pPr>
              <w:pStyle w:val="TableContents"/>
              <w:bidi w:val="0"/>
              <w:spacing w:before="0" w:after="283"/>
              <w:jc w:val="right"/>
              <w:rPr/>
            </w:pPr>
            <w:r>
              <w:rPr/>
              <w:t>(1)</w:t>
            </w:r>
          </w:p>
        </w:tc>
        <w:tc>
          <w:tcPr>
            <w:tcW w:w="146" w:type="dxa"/>
            <w:tcBorders/>
            <w:vAlign w:val="center"/>
          </w:tcPr>
          <w:p>
            <w:pPr>
              <w:pStyle w:val="TableContents"/>
              <w:bidi w:val="0"/>
              <w:spacing w:before="0" w:after="283"/>
              <w:jc w:val="left"/>
              <w:rPr/>
            </w:pPr>
            <w:r>
              <w:rPr/>
              <w:t> </w:t>
            </w:r>
          </w:p>
        </w:tc>
        <w:tc>
          <w:tcPr>
            <w:tcW w:w="9733" w:type="dxa"/>
            <w:tcBorders/>
            <w:vAlign w:val="center"/>
          </w:tcPr>
          <w:p>
            <w:pPr>
              <w:pStyle w:val="TableContents"/>
              <w:bidi w:val="0"/>
              <w:spacing w:before="0" w:after="283"/>
              <w:jc w:val="both"/>
              <w:rPr/>
            </w:pPr>
            <w:r>
              <w:rPr/>
              <w:t>Includes investments in PennantPark Senior Secured Loan Fund I LLC, or PSSL, an unconsolidated joint venture, totaling $297.8 million, at fair value.</w:t>
            </w:r>
          </w:p>
        </w:tc>
      </w:tr>
      <w:tr>
        <w:trPr/>
        <w:tc>
          <w:tcPr>
            <w:tcW w:w="326" w:type="dxa"/>
            <w:tcBorders/>
            <w:vAlign w:val="center"/>
          </w:tcPr>
          <w:p>
            <w:pPr>
              <w:pStyle w:val="TableContents"/>
              <w:bidi w:val="0"/>
              <w:spacing w:before="0" w:after="283"/>
              <w:jc w:val="right"/>
              <w:rPr/>
            </w:pPr>
            <w:r>
              <w:rPr/>
              <w:t>(2)</w:t>
            </w:r>
          </w:p>
        </w:tc>
        <w:tc>
          <w:tcPr>
            <w:tcW w:w="146" w:type="dxa"/>
            <w:tcBorders/>
            <w:vAlign w:val="center"/>
          </w:tcPr>
          <w:p>
            <w:pPr>
              <w:pStyle w:val="TableContents"/>
              <w:bidi w:val="0"/>
              <w:spacing w:before="0" w:after="283"/>
              <w:jc w:val="left"/>
              <w:rPr/>
            </w:pPr>
            <w:r>
              <w:rPr/>
              <w:t> </w:t>
            </w:r>
          </w:p>
        </w:tc>
        <w:tc>
          <w:tcPr>
            <w:tcW w:w="9733" w:type="dxa"/>
            <w:tcBorders/>
            <w:vAlign w:val="center"/>
          </w:tcPr>
          <w:p>
            <w:pPr>
              <w:pStyle w:val="TableContents"/>
              <w:bidi w:val="0"/>
              <w:spacing w:before="0" w:after="283"/>
              <w:jc w:val="both"/>
              <w:rPr/>
            </w:pPr>
            <w:r>
              <w:rPr/>
              <w:t>Includes investments in PennatPark Senior Secured Loan Fund II LLC, or PSSL II, an unconsolidated joint venture, totaling $93.5 million, at fair value.</w:t>
            </w:r>
          </w:p>
        </w:tc>
      </w:tr>
      <w:tr>
        <w:trPr/>
        <w:tc>
          <w:tcPr>
            <w:tcW w:w="326" w:type="dxa"/>
            <w:tcBorders/>
            <w:vAlign w:val="center"/>
          </w:tcPr>
          <w:p>
            <w:pPr>
              <w:pStyle w:val="TableContents"/>
              <w:bidi w:val="0"/>
              <w:spacing w:before="0" w:after="283"/>
              <w:jc w:val="right"/>
              <w:rPr/>
            </w:pPr>
            <w:r>
              <w:rPr/>
              <w:t>(3)</w:t>
            </w:r>
          </w:p>
        </w:tc>
        <w:tc>
          <w:tcPr>
            <w:tcW w:w="146" w:type="dxa"/>
            <w:tcBorders/>
            <w:vAlign w:val="center"/>
          </w:tcPr>
          <w:p>
            <w:pPr>
              <w:pStyle w:val="TableContents"/>
              <w:bidi w:val="0"/>
              <w:spacing w:before="0" w:after="283"/>
              <w:jc w:val="left"/>
              <w:rPr/>
            </w:pPr>
            <w:r>
              <w:rPr/>
              <w:t> </w:t>
            </w:r>
          </w:p>
        </w:tc>
        <w:tc>
          <w:tcPr>
            <w:tcW w:w="9733" w:type="dxa"/>
            <w:tcBorders/>
            <w:vAlign w:val="center"/>
          </w:tcPr>
          <w:p>
            <w:pPr>
              <w:pStyle w:val="TableContents"/>
              <w:bidi w:val="0"/>
              <w:spacing w:before="0" w:after="283"/>
              <w:jc w:val="both"/>
              <w:rPr/>
            </w:pPr>
            <w:r>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March 31, 2026, Core NII excluded: i) $1.1 million of debt issuance costs and ii) $0.2 million of incentive fee expense offset.</w:t>
            </w:r>
          </w:p>
        </w:tc>
      </w:tr>
      <w:tr>
        <w:trPr/>
        <w:tc>
          <w:tcPr>
            <w:tcW w:w="32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733" w:type="dxa"/>
            <w:tcBorders/>
            <w:vAlign w:val="center"/>
          </w:tcPr>
          <w:p>
            <w:pPr>
              <w:pStyle w:val="TableContents"/>
              <w:bidi w:val="0"/>
              <w:spacing w:before="0" w:after="283"/>
              <w:jc w:val="left"/>
              <w:rPr/>
            </w:pPr>
            <w:r>
              <w:rPr/>
              <w:t> </w:t>
            </w:r>
          </w:p>
        </w:tc>
      </w:tr>
    </w:tbl>
    <w:p>
      <w:pPr>
        <w:pStyle w:val="TextBody"/>
        <w:bidi w:val="0"/>
        <w:spacing w:before="0" w:after="283"/>
        <w:jc w:val="left"/>
        <w:rPr/>
      </w:pPr>
      <w:r>
        <w:rPr>
          <w:rStyle w:val="StrongEmphasis"/>
        </w:rPr>
        <w:t>CONFERENCE</w:t>
      </w:r>
      <w:r>
        <w:rPr/>
        <w:t xml:space="preserve"> </w:t>
      </w:r>
      <w:r>
        <w:rPr>
          <w:rStyle w:val="StrongEmphasis"/>
        </w:rPr>
        <w:t>CALL AT 9:00</w:t>
      </w:r>
      <w:r>
        <w:rPr/>
        <w:t xml:space="preserve"> </w:t>
      </w:r>
      <w:r>
        <w:rPr>
          <w:rStyle w:val="StrongEmphasis"/>
        </w:rPr>
        <w:t>A.M. ET ON</w:t>
      </w:r>
      <w:r>
        <w:rPr/>
        <w:t xml:space="preserve"> </w:t>
      </w:r>
      <w:r>
        <w:rPr>
          <w:rStyle w:val="StrongEmphasis"/>
        </w:rPr>
        <w:t>MAY</w:t>
      </w:r>
      <w:r>
        <w:rPr/>
        <w:t xml:space="preserve"> </w:t>
      </w:r>
      <w:r>
        <w:rPr>
          <w:rStyle w:val="StrongEmphasis"/>
        </w:rPr>
        <w:t>8, 2026</w:t>
      </w:r>
    </w:p>
    <w:p>
      <w:pPr>
        <w:pStyle w:val="TextBody"/>
        <w:bidi w:val="0"/>
        <w:jc w:val="both"/>
        <w:rPr/>
      </w:pPr>
      <w:r>
        <w:rPr/>
        <w:t>The Company will also host a conference call at 9:00 a.m. (Eastern Time) on Friday, May 8, 2026 to discuss its financial results. All interested parties are welcome to participate. You can access the conference call by dialing toll-free (800) 330-6710 approximately 5-10 minutes prior to the call. International callers should dial (646) 769-9200. All callers should reference conference ID #9559786 or PennantPark Floating Rate Capital Ltd. An archived replay will also be available on a webcast link located on the Quarterly Earnings page in the Investor section of PennantPark’s website.</w:t>
      </w:r>
    </w:p>
    <w:p>
      <w:pPr>
        <w:pStyle w:val="TextBody"/>
        <w:bidi w:val="0"/>
        <w:spacing w:before="0" w:after="283"/>
        <w:jc w:val="left"/>
        <w:rPr/>
      </w:pPr>
      <w:r>
        <w:rPr>
          <w:rStyle w:val="StrongEmphasis"/>
        </w:rPr>
        <w:t>PORTFOLIO</w:t>
      </w:r>
      <w:r>
        <w:rPr/>
        <w:t xml:space="preserve"> </w:t>
      </w:r>
      <w:r>
        <w:rPr>
          <w:rStyle w:val="StrongEmphasis"/>
        </w:rPr>
        <w:t>AND</w:t>
      </w:r>
      <w:r>
        <w:rPr/>
        <w:t xml:space="preserve"> </w:t>
      </w:r>
      <w:r>
        <w:rPr>
          <w:rStyle w:val="StrongEmphasis"/>
        </w:rPr>
        <w:t>INVESTMENT ACTIVITY</w:t>
      </w:r>
    </w:p>
    <w:p>
      <w:pPr>
        <w:pStyle w:val="TextBody"/>
        <w:bidi w:val="0"/>
        <w:jc w:val="both"/>
        <w:rPr/>
      </w:pPr>
      <w:r>
        <w:rPr/>
        <w:t>“</w:t>
      </w:r>
      <w:r>
        <w:rPr/>
        <w:t>We are pleased with the continued quality and performance of our investment portfolio in this market. The risk-reward of the core middle market remains differentiated from the upper middle market. Despite the challenging market environment, NAV was flat for the quarter and portfolio company leverage, PIK interest and non accruals are among the lowest in the industry. The substantial growth of the PSSL II JV this past quarter provides a solid base and positions PFLT for growth in NII over time as the JV ramps" said Art Penn, Chairman and CEO. "Given the lower interest rate environment and current market activity levels, in consultation with the Board, we will be adjusting our dividend policy to be better aligned with NII, starting with the July dividend."</w:t>
      </w:r>
    </w:p>
    <w:p>
      <w:pPr>
        <w:pStyle w:val="TextBody"/>
        <w:bidi w:val="0"/>
        <w:jc w:val="both"/>
        <w:rPr/>
      </w:pPr>
      <w:r>
        <w:rPr/>
        <w:t>As of March 31, 2026, our portfolio totaled $2,580.3 million, and consisted of $2,252.1 million of first lien secured debt (including $237.7 million in PSSL and $65.6 million in PSSL II), $18.8 million of subordinated debt and $309.3 million of preferred and common equity (including $60.1 million in PSSL and $27.9 million in PSSL II). Our debt portfolio consisted of approximately 99% variable-rate investments. As of March 31, 2026, we had three portfolio companies on non-accrual, representing 0.8% and 0.5% of our overall portfolio on a cost and fair value basis, respectively. As of March 31, 2026, the portfolio had net unrealized depreciation of $66.1 million. Our overall portfolio consisted of 162 companies with an average investment size of $15.9 million and had a weighted average yield on debt investments of 9.8%.</w:t>
      </w:r>
    </w:p>
    <w:p>
      <w:pPr>
        <w:pStyle w:val="TextBody"/>
        <w:bidi w:val="0"/>
        <w:jc w:val="both"/>
        <w:rPr/>
      </w:pPr>
      <w:r>
        <w:rPr/>
        <w:t>As of September 30, 2025, our portfolio totaled $2,773.3 million and consisted of $2,513.6 million of first lien secured debt (including $237.7 million in PSSL), $19.0 million of second lien and subordinated debt and $240.7 million of preferred and common equity (including $44.3 million in PSSL). Our debt portfolio consisted of approximately 99% variable-rate investments. As of September 30, 2025, we had three portfolio companies on non-accrual, representing 0.4% and 0.2% of our overall portfolio on a cost and fair value basis, respectively. As of September 30, 2025, the portfolio had net unrealized depreciation of $46.1 million. Our overall portfolio consisted of 164 companies with an average investment size of $16.9 million, and a weighted average yield on debt investments of 10.2%.</w:t>
      </w:r>
    </w:p>
    <w:p>
      <w:pPr>
        <w:pStyle w:val="TextBody"/>
        <w:bidi w:val="0"/>
        <w:jc w:val="both"/>
        <w:rPr/>
      </w:pPr>
      <w:r>
        <w:rPr/>
        <w:t>For the three months ended March 31, 2026, we invested $294.8 million in six new and 53 existing portfolio companies at a weighted average yield on debt investments of 9.3%. Sales and repayments of investments for the same period totaled $328.0 million including $56.9 million of sales to PSSL and $148.1 million of sales to PSSL II. For the six months ended March 31, 2026, we invested $595.8 million in 10 new and 74 existing portfolio companies with a weighted average yield on debt investments of 9.6%. Sales and repayments of investments for the same period totaled $769.5 million including $189.4 million of sales to PSSL and $344.6 million of sales to PSSL II.</w:t>
      </w:r>
    </w:p>
    <w:p>
      <w:pPr>
        <w:pStyle w:val="TextBody"/>
        <w:bidi w:val="0"/>
        <w:jc w:val="both"/>
        <w:rPr/>
      </w:pPr>
      <w:r>
        <w:rPr/>
        <w:t>For the three months ended March 31, 2025, we invested $293.3 million in three new and 54 existing portfolio companies at a weighted average yield on debt investments of 9.9%. Sales and repayments of investments for the same period totaled $122.4 million including $52.9 million of sales to PSSL. For the six months ended March 31, 2025, we invested $900.2 million in 14 new and 96 existing portfolio companies with a weighted average yield on debt investments of 10.2%. Sales and repayments of investments for the same period totaled $523.7 million, including $240.6 million of sales to PSSL.</w:t>
      </w:r>
    </w:p>
    <w:p>
      <w:pPr>
        <w:pStyle w:val="TextBody"/>
        <w:bidi w:val="0"/>
        <w:spacing w:before="0" w:after="283"/>
        <w:jc w:val="left"/>
        <w:rPr/>
      </w:pPr>
      <w:r>
        <w:rPr>
          <w:rStyle w:val="StrongEmphasis"/>
        </w:rPr>
        <w:t>PennantPark</w:t>
      </w:r>
      <w:r>
        <w:rPr/>
        <w:t xml:space="preserve"> </w:t>
      </w:r>
      <w:r>
        <w:rPr>
          <w:rStyle w:val="StrongEmphasis"/>
        </w:rPr>
        <w:t>Senior</w:t>
      </w:r>
      <w:r>
        <w:rPr/>
        <w:t xml:space="preserve"> </w:t>
      </w:r>
      <w:r>
        <w:rPr>
          <w:rStyle w:val="StrongEmphasis"/>
        </w:rPr>
        <w:t>Secured</w:t>
      </w:r>
      <w:r>
        <w:rPr/>
        <w:t xml:space="preserve"> </w:t>
      </w:r>
      <w:r>
        <w:rPr>
          <w:rStyle w:val="StrongEmphasis"/>
        </w:rPr>
        <w:t>Loan</w:t>
      </w:r>
      <w:r>
        <w:rPr/>
        <w:t xml:space="preserve"> </w:t>
      </w:r>
      <w:r>
        <w:rPr>
          <w:rStyle w:val="StrongEmphasis"/>
        </w:rPr>
        <w:t>Fund</w:t>
      </w:r>
      <w:r>
        <w:rPr/>
        <w:t xml:space="preserve"> </w:t>
      </w:r>
      <w:r>
        <w:rPr>
          <w:rStyle w:val="StrongEmphasis"/>
        </w:rPr>
        <w:t>I</w:t>
      </w:r>
      <w:r>
        <w:rPr/>
        <w:t xml:space="preserve"> </w:t>
      </w:r>
      <w:r>
        <w:rPr>
          <w:rStyle w:val="StrongEmphasis"/>
        </w:rPr>
        <w:t>LLC</w:t>
      </w:r>
    </w:p>
    <w:p>
      <w:pPr>
        <w:pStyle w:val="TextBody"/>
        <w:bidi w:val="0"/>
        <w:jc w:val="both"/>
        <w:rPr/>
      </w:pPr>
      <w:r>
        <w:rPr/>
        <w:t>As of March 31, 2026, PSSL’s portfolio totaled $1,209.0 million, consisted of 120 companies with an average investment size of $10.1 million and had a weighted average yield on debt investments of 9.5%. As of September 30, 2025, PSSL’s portfolio totaled $1,084.6 million, consisted of 117 companies with an average investment size of $9.3 million and had a weighted average yield on debt investments of 10.1%.</w:t>
      </w:r>
    </w:p>
    <w:p>
      <w:pPr>
        <w:pStyle w:val="TextBody"/>
        <w:bidi w:val="0"/>
        <w:jc w:val="both"/>
        <w:rPr/>
      </w:pPr>
      <w:r>
        <w:rPr/>
        <w:t>For the three months ended March 31, 2026, PSSL invested $58.6 million (including $56.9 million purchase from the Company) in three new and five existing portfolio companies with a weighted average yield on debt investments of 9.2%. PSSL’s sales and repayments of investments for the same period totaled $32.2 million. For the six months ended March 31, 2026, PSSL invested $192.4 million (including $189.4 million purchase from the Company) in seven new and 22 existing portfolio companies with a weighted average yield on debt investments of 9.3%. PSSL's sales and repayments of investments for the same period totaled $44.6 million.</w:t>
      </w:r>
    </w:p>
    <w:p>
      <w:pPr>
        <w:pStyle w:val="TextBody"/>
        <w:bidi w:val="0"/>
        <w:spacing w:before="0" w:after="283"/>
        <w:jc w:val="left"/>
        <w:rPr/>
      </w:pPr>
      <w:r>
        <w:rPr/>
        <w:t>For the three months ended March 31, 2025, PSSL invested $60.0 million (including $52.9 million purchase from the Company) in four new and five existing portfolio companies with a weighted average yield on debt investments of 9.8%. PSSL’s sales and repayments of investments for the same period totaled $36.8 million. For the six months ended March 31, 2025, PSSL invested $284.9 million (including $240.6 million purchased from the Company) in 21 new and 12 existing portfolio companies with a weighted average yield on debt investments of 10.2%. PSSL’s sales and repayments of investments for the same period totaled $123.4 million.</w:t>
      </w:r>
    </w:p>
    <w:p>
      <w:pPr>
        <w:pStyle w:val="TextBody"/>
        <w:bidi w:val="0"/>
        <w:spacing w:before="0" w:after="283"/>
        <w:jc w:val="left"/>
        <w:rPr/>
      </w:pPr>
      <w:r>
        <w:rPr>
          <w:rStyle w:val="StrongEmphasis"/>
        </w:rPr>
        <w:t>PennantPark</w:t>
      </w:r>
      <w:r>
        <w:rPr/>
        <w:t xml:space="preserve"> </w:t>
      </w:r>
      <w:r>
        <w:rPr>
          <w:rStyle w:val="StrongEmphasis"/>
        </w:rPr>
        <w:t>Senior</w:t>
      </w:r>
      <w:r>
        <w:rPr/>
        <w:t xml:space="preserve"> </w:t>
      </w:r>
      <w:r>
        <w:rPr>
          <w:rStyle w:val="StrongEmphasis"/>
        </w:rPr>
        <w:t>Secured</w:t>
      </w:r>
      <w:r>
        <w:rPr/>
        <w:t xml:space="preserve"> </w:t>
      </w:r>
      <w:r>
        <w:rPr>
          <w:rStyle w:val="StrongEmphasis"/>
        </w:rPr>
        <w:t>Loan</w:t>
      </w:r>
      <w:r>
        <w:rPr/>
        <w:t xml:space="preserve"> </w:t>
      </w:r>
      <w:r>
        <w:rPr>
          <w:rStyle w:val="StrongEmphasis"/>
        </w:rPr>
        <w:t>Fund</w:t>
      </w:r>
      <w:r>
        <w:rPr/>
        <w:t xml:space="preserve"> </w:t>
      </w:r>
      <w:r>
        <w:rPr>
          <w:rStyle w:val="StrongEmphasis"/>
        </w:rPr>
        <w:t>II</w:t>
      </w:r>
      <w:r>
        <w:rPr/>
        <w:t xml:space="preserve"> </w:t>
      </w:r>
      <w:r>
        <w:rPr>
          <w:rStyle w:val="StrongEmphasis"/>
        </w:rPr>
        <w:t>LLC</w:t>
      </w:r>
    </w:p>
    <w:p>
      <w:pPr>
        <w:pStyle w:val="TextBody"/>
        <w:bidi w:val="0"/>
        <w:jc w:val="both"/>
        <w:rPr/>
      </w:pPr>
      <w:r>
        <w:rPr/>
        <w:t>As of March 31, 2026, PSSL II’s portfolio totaled $339.9 million and consisted of 54 companies with an average investment size of $6.3 million and at a weighted average yield on debt investments of 8.9%.</w:t>
      </w:r>
    </w:p>
    <w:p>
      <w:pPr>
        <w:pStyle w:val="TextBody"/>
        <w:bidi w:val="0"/>
        <w:jc w:val="both"/>
        <w:rPr/>
      </w:pPr>
      <w:r>
        <w:rPr/>
        <w:t>For the three months ended March 31, 2026, PSSL II invested $148.1 million (including $148.1 million purchased from the Company) in 12 new and 15 existing portfolio companies at a weighted average yield on debt investments of 8.8%. Sales and repayments of investments for the three months ended March 31, 2026 totaled $1.3 million. For the six months ended March 31, 2026, PSSL II invested $344.6 million (including $344.6 million purchased from the Company) in 54 new and zero existing portfolio companies at a weighted average yield on debt investments of 9.1%. Sales and repayments for the same period totaled $4.2 million.</w:t>
      </w:r>
    </w:p>
    <w:p>
      <w:pPr>
        <w:pStyle w:val="TextBody"/>
        <w:bidi w:val="0"/>
        <w:spacing w:before="0" w:after="283"/>
        <w:jc w:val="left"/>
        <w:rPr/>
      </w:pPr>
      <w:r>
        <w:rPr>
          <w:rStyle w:val="StrongEmphasis"/>
        </w:rPr>
        <w:t>RESULTS</w:t>
      </w:r>
      <w:r>
        <w:rPr/>
        <w:t xml:space="preserve"> </w:t>
      </w:r>
      <w:r>
        <w:rPr>
          <w:rStyle w:val="StrongEmphasis"/>
        </w:rPr>
        <w:t>OF</w:t>
      </w:r>
      <w:r>
        <w:rPr/>
        <w:t xml:space="preserve"> </w:t>
      </w:r>
      <w:r>
        <w:rPr>
          <w:rStyle w:val="StrongEmphasis"/>
        </w:rPr>
        <w:t>OPERATIONS</w:t>
      </w:r>
    </w:p>
    <w:p>
      <w:pPr>
        <w:pStyle w:val="TextBody"/>
        <w:bidi w:val="0"/>
        <w:spacing w:before="0" w:after="283"/>
        <w:jc w:val="left"/>
        <w:rPr/>
      </w:pPr>
      <w:r>
        <w:rPr/>
        <w:t>Set forth below are the results of operations for the three and six months ended March 31, 2026 and 2025.</w:t>
      </w:r>
    </w:p>
    <w:p>
      <w:pPr>
        <w:pStyle w:val="TextBody"/>
        <w:bidi w:val="0"/>
        <w:spacing w:before="0" w:after="283"/>
        <w:jc w:val="left"/>
        <w:rPr/>
      </w:pPr>
      <w:r>
        <w:rPr>
          <w:rStyle w:val="StrongEmphasis"/>
        </w:rPr>
        <w:t>Investment Income</w:t>
      </w:r>
    </w:p>
    <w:p>
      <w:pPr>
        <w:pStyle w:val="TextBody"/>
        <w:bidi w:val="0"/>
        <w:jc w:val="both"/>
        <w:rPr/>
      </w:pPr>
      <w:r>
        <w:rPr/>
        <w:t>For the three and six months ended March 31, 2026 investment income was $66.0 million and $136.0 million, respectively, which was attributable to $58.6 million and $122.9 million from first lien secured debt and $7.3 million and $13.2 million from other investments, respectively. For the three and six months ended March 31, 2025, investment income was $61.9 million and $128.9 million, respectively, which was attributable to $56.2 million and $117.2 million from first lien secured debt and $5.7 million and $11.7 million from other investments, respectively. The increase in investment income for the three and six months ended March 31, 2026, was primarily due to the increase in the size of our debt portfolio.</w:t>
      </w:r>
    </w:p>
    <w:p>
      <w:pPr>
        <w:pStyle w:val="TextBody"/>
        <w:bidi w:val="0"/>
        <w:spacing w:before="0" w:after="283"/>
        <w:jc w:val="left"/>
        <w:rPr/>
      </w:pPr>
      <w:r>
        <w:rPr>
          <w:rStyle w:val="StrongEmphasis"/>
        </w:rPr>
        <w:t>Expenses</w:t>
      </w:r>
    </w:p>
    <w:p>
      <w:pPr>
        <w:pStyle w:val="TextBody"/>
        <w:bidi w:val="0"/>
        <w:jc w:val="both"/>
        <w:rPr/>
      </w:pPr>
      <w:r>
        <w:rPr/>
        <w:t>For the three and six months ended March 31, 2026, expenses totaled $40.2 million and $83.7 million, respectively and were comprised of: $24.1 million and $51.3 million of debt related interest and expenses, $6.4 million and $13.2 million of base management fees, $6.4 million and $13.1 million of performance-based incentive fees, $2.1 million and $4.2 million of general and administrative expenses, less than $0.1 million and $0.3 million of taxes and $1.1 million and $1.6 million in Credit Facility amendment and debt issuance costs. For the three and six months ended March 31, 2025, expenses totaled $36.9 million and $74.0 million, respectively and were comprised of: $22.5 million and $44.9 million of debt related interest and expenses, $5.6 million and $10.9 million of base management fees, $6.3 million and $13.8 million of performance-based incentive fees, $1.9 million and $3.6 million of general and administrative expenses, $0.2 million and $0.5 million of taxes and $0.4 million and $0.4 million in Credit Facility amendment costs. The increase in expenses for the three and six months ended March 31, 2026, was primarily due to the increase in interest expense from increased borrowings as a result of the increase in our investment portfolio.</w:t>
      </w:r>
    </w:p>
    <w:p>
      <w:pPr>
        <w:pStyle w:val="TextBody"/>
        <w:bidi w:val="0"/>
        <w:spacing w:before="0" w:after="283"/>
        <w:jc w:val="left"/>
        <w:rPr/>
      </w:pPr>
      <w:r>
        <w:rPr>
          <w:rStyle w:val="StrongEmphasis"/>
        </w:rPr>
        <w:t>Net Investment Income</w:t>
      </w:r>
    </w:p>
    <w:p>
      <w:pPr>
        <w:pStyle w:val="TextBody"/>
        <w:bidi w:val="0"/>
        <w:jc w:val="both"/>
        <w:rPr/>
      </w:pPr>
      <w:r>
        <w:rPr/>
        <w:t>For the three and six months ended March 31, 2026 net investment income totaled $25.8 million or $0.26 per share, and $52.4 million or $0.53 per share, respectively. For the three and six months ended March 31, 2025 net investment income totaled $25.0 million or $0.28 per share, and $55.0 million or $0.64 per share, respectively. The decrease in net investment income for the six months ended March 31, 2026, was primarily due to an increase in interest expense and one time credit facility amendment and debt issuance costs.</w:t>
      </w:r>
    </w:p>
    <w:p>
      <w:pPr>
        <w:pStyle w:val="TextBody"/>
        <w:bidi w:val="0"/>
        <w:spacing w:before="0" w:after="283"/>
        <w:jc w:val="left"/>
        <w:rPr/>
      </w:pPr>
      <w:r>
        <w:rPr>
          <w:rStyle w:val="StrongEmphasis"/>
        </w:rPr>
        <w:t>Net</w:t>
      </w:r>
      <w:r>
        <w:rPr/>
        <w:t xml:space="preserve"> </w:t>
      </w:r>
      <w:r>
        <w:rPr>
          <w:rStyle w:val="StrongEmphasis"/>
        </w:rPr>
        <w:t>Realized</w:t>
      </w:r>
      <w:r>
        <w:rPr/>
        <w:t xml:space="preserve"> </w:t>
      </w:r>
      <w:r>
        <w:rPr>
          <w:rStyle w:val="StrongEmphasis"/>
        </w:rPr>
        <w:t>Gains</w:t>
      </w:r>
      <w:r>
        <w:rPr/>
        <w:t xml:space="preserve"> </w:t>
      </w:r>
      <w:r>
        <w:rPr>
          <w:rStyle w:val="StrongEmphasis"/>
        </w:rPr>
        <w:t>or Losses</w:t>
      </w:r>
    </w:p>
    <w:p>
      <w:pPr>
        <w:pStyle w:val="TextBody"/>
        <w:bidi w:val="0"/>
        <w:jc w:val="both"/>
        <w:rPr/>
      </w:pPr>
      <w:r>
        <w:rPr/>
        <w:t>For the three and six months ended March 31, 2026 net realized gains (losses) totaled $(8.9) million and $(7.5) million, respectively. For the three and six months ended March 31, 2025 net realized gains (losses) totaled $(3.5) million and $23.1 million, respectively. The change in net realized gains (losses) was primarily due to changes in the market conditions of our investments and the values at which they were realized.</w:t>
      </w:r>
    </w:p>
    <w:p>
      <w:pPr>
        <w:pStyle w:val="TextBody"/>
        <w:bidi w:val="0"/>
        <w:spacing w:before="0" w:after="283"/>
        <w:jc w:val="left"/>
        <w:rPr/>
      </w:pPr>
      <w:r>
        <w:rPr>
          <w:rStyle w:val="StrongEmphasis"/>
        </w:rPr>
        <w:t>Unrealized</w:t>
      </w:r>
      <w:r>
        <w:rPr/>
        <w:t xml:space="preserve"> </w:t>
      </w:r>
      <w:r>
        <w:rPr>
          <w:rStyle w:val="StrongEmphasis"/>
        </w:rPr>
        <w:t>Appreciation</w:t>
      </w:r>
      <w:r>
        <w:rPr/>
        <w:t xml:space="preserve"> </w:t>
      </w:r>
      <w:r>
        <w:rPr>
          <w:rStyle w:val="StrongEmphasis"/>
        </w:rPr>
        <w:t>or</w:t>
      </w:r>
      <w:r>
        <w:rPr/>
        <w:t xml:space="preserve"> </w:t>
      </w:r>
      <w:r>
        <w:rPr>
          <w:rStyle w:val="StrongEmphasis"/>
        </w:rPr>
        <w:t>Depreciation</w:t>
      </w:r>
      <w:r>
        <w:rPr/>
        <w:t xml:space="preserve"> </w:t>
      </w:r>
      <w:r>
        <w:rPr>
          <w:rStyle w:val="StrongEmphasis"/>
        </w:rPr>
        <w:t>on</w:t>
      </w:r>
      <w:r>
        <w:rPr/>
        <w:t xml:space="preserve"> </w:t>
      </w:r>
      <w:r>
        <w:rPr>
          <w:rStyle w:val="StrongEmphasis"/>
        </w:rPr>
        <w:t>Investments</w:t>
      </w:r>
      <w:r>
        <w:rPr/>
        <w:t xml:space="preserve"> </w:t>
      </w:r>
      <w:r>
        <w:rPr>
          <w:rStyle w:val="StrongEmphasis"/>
        </w:rPr>
        <w:t>and</w:t>
      </w:r>
      <w:r>
        <w:rPr/>
        <w:t xml:space="preserve"> </w:t>
      </w:r>
      <w:r>
        <w:rPr>
          <w:rStyle w:val="StrongEmphasis"/>
        </w:rPr>
        <w:t>Debt</w:t>
      </w:r>
    </w:p>
    <w:p>
      <w:pPr>
        <w:pStyle w:val="TextBody"/>
        <w:bidi w:val="0"/>
        <w:jc w:val="both"/>
        <w:rPr/>
      </w:pPr>
      <w:r>
        <w:rPr/>
        <w:t>For the three and six months ended March 31, 2026, we reported net change in unrealized appreciation (depreciation) on investments of $12.2 million and $(20.1) million, respectively. For the three and six months ended March 31, 2025 we reported net change in unrealized appreciation (depreciation) on investments of $(20.8) million and $(49.7) million, respectively. As of March 31, 2026 and September 30, 2025, our net unrealized appreciation (depreciation) on investments totaled $(66.1) million and $(46.1) million, respectively. The net change in unrealized appreciation (depreciation) on our investments was primarily due to the operating performance of the portfolio companies within our portfolio, changes in the capital market conditions of our investments, and realization of investments.</w:t>
      </w:r>
    </w:p>
    <w:p>
      <w:pPr>
        <w:pStyle w:val="TextBody"/>
        <w:bidi w:val="0"/>
        <w:jc w:val="both"/>
        <w:rPr/>
      </w:pPr>
      <w:r>
        <w:rPr/>
        <w:t>For the three and six months ended March 31, 2026, our Credit Facility had a net change in unrealized appreciation (depreciation) of less than $0.1 million and less than $0.1 million, respectively. For the three and six months ended March 31, 2025, our Credit Facility had a net change in unrealized appreciation (depreciation) of less than $0.1 million and $0.1 million, respectively. As of March 31, 2026 and September 30, 2025, the net unrealized appreciation (depreciation) on the Credit Facility totaled approximately zero and zero, respectively. The net change in net unrealized (appreciation) or depreciation was primarily due to changes in the capital markets.</w:t>
      </w:r>
    </w:p>
    <w:p>
      <w:pPr>
        <w:pStyle w:val="TextBody"/>
        <w:bidi w:val="0"/>
        <w:jc w:val="both"/>
        <w:rPr/>
      </w:pPr>
      <w:r>
        <w:rPr>
          <w:rStyle w:val="StrongEmphasis"/>
        </w:rPr>
        <w:t>Net</w:t>
      </w:r>
      <w:r>
        <w:rPr/>
        <w:t xml:space="preserve"> </w:t>
      </w:r>
      <w:r>
        <w:rPr>
          <w:rStyle w:val="StrongEmphasis"/>
        </w:rPr>
        <w:t>Change</w:t>
      </w:r>
      <w:r>
        <w:rPr/>
        <w:t xml:space="preserve"> </w:t>
      </w:r>
      <w:r>
        <w:rPr>
          <w:rStyle w:val="StrongEmphasis"/>
        </w:rPr>
        <w:t>in</w:t>
      </w:r>
      <w:r>
        <w:rPr/>
        <w:t xml:space="preserve"> </w:t>
      </w:r>
      <w:r>
        <w:rPr>
          <w:rStyle w:val="StrongEmphasis"/>
        </w:rPr>
        <w:t>Net</w:t>
      </w:r>
      <w:r>
        <w:rPr/>
        <w:t xml:space="preserve"> </w:t>
      </w:r>
      <w:r>
        <w:rPr>
          <w:rStyle w:val="StrongEmphasis"/>
        </w:rPr>
        <w:t>Assets</w:t>
      </w:r>
      <w:r>
        <w:rPr/>
        <w:t xml:space="preserve"> </w:t>
      </w:r>
      <w:r>
        <w:rPr>
          <w:rStyle w:val="StrongEmphasis"/>
        </w:rPr>
        <w:t>Resulting</w:t>
      </w:r>
      <w:r>
        <w:rPr/>
        <w:t xml:space="preserve"> </w:t>
      </w:r>
      <w:r>
        <w:rPr>
          <w:rStyle w:val="StrongEmphasis"/>
        </w:rPr>
        <w:t>from Operations</w:t>
      </w:r>
    </w:p>
    <w:p>
      <w:pPr>
        <w:pStyle w:val="TextBody"/>
        <w:bidi w:val="0"/>
        <w:jc w:val="both"/>
        <w:rPr/>
      </w:pPr>
      <w:r>
        <w:rPr/>
        <w:t>For the three and six months ended March 31, 2026, net increase (decrease) in net assets resulting from operations totaled $28.7 million or $0.29 per share and $25.2 million, or $0.25 per share, respectively. For the three and six months ended March 31, 2025, net increase (decrease) in net assets resulting from operations totaled $1.2 million or $0.01 per share and $29.6 million or $0.34 per share, respectively. The net increase or (decrease) from operations for the three and six months ended March 31, 2026, was primarily due to operating performance of our portfolio and changes in capital market conditions of our investments along with change in size and cost yield of our debt portfolio and costs of financing.</w:t>
      </w:r>
    </w:p>
    <w:p>
      <w:pPr>
        <w:pStyle w:val="TextBody"/>
        <w:bidi w:val="0"/>
        <w:spacing w:before="0" w:after="283"/>
        <w:jc w:val="left"/>
        <w:rPr/>
      </w:pPr>
      <w:r>
        <w:rPr>
          <w:rStyle w:val="StrongEmphasis"/>
        </w:rPr>
        <w:t>LIQUIDITY</w:t>
      </w:r>
      <w:r>
        <w:rPr/>
        <w:t xml:space="preserve"> </w:t>
      </w:r>
      <w:r>
        <w:rPr>
          <w:rStyle w:val="StrongEmphasis"/>
        </w:rPr>
        <w:t>AND</w:t>
      </w:r>
      <w:r>
        <w:rPr/>
        <w:t xml:space="preserve"> </w:t>
      </w:r>
      <w:r>
        <w:rPr>
          <w:rStyle w:val="StrongEmphasis"/>
        </w:rPr>
        <w:t>CAPITAL</w:t>
      </w:r>
      <w:r>
        <w:rPr/>
        <w:t xml:space="preserve"> </w:t>
      </w:r>
      <w:r>
        <w:rPr>
          <w:rStyle w:val="StrongEmphasis"/>
        </w:rPr>
        <w:t>RESOURCES</w:t>
      </w:r>
    </w:p>
    <w:p>
      <w:pPr>
        <w:pStyle w:val="TextBody"/>
        <w:bidi w:val="0"/>
        <w:jc w:val="both"/>
        <w:rPr/>
      </w:pPr>
      <w:r>
        <w:rPr/>
        <w:t>Our liquidity and capital resources are derived primarily from cash flows from operations, including income earned, proceeds from investment sales and repayments, and proceeds of securities offerings and debt financings. Our primary use of funds from operations includes investments in portfolio companies and payments of fees and other operating expenses we incur. We have used, and expect to continue to use, our debt capital, proceeds from our portfolio and proceeds from public and private offerings of securities to finance our investment objectives and operations.</w:t>
      </w:r>
    </w:p>
    <w:p>
      <w:pPr>
        <w:pStyle w:val="TextBody"/>
        <w:bidi w:val="0"/>
        <w:jc w:val="both"/>
        <w:rPr/>
      </w:pPr>
      <w:r>
        <w:rPr/>
        <w:t>In February 2026, the Company closed the refinancing of the 2036 Asset-Backed Debt with a four-year reinvestment period and 12-year final maturity $356.5 million debt securitization (the "2038-R Asset-Backed Debt"). The Company retained the $69.5 million of the securitization's subordinated notes. The replacement debt had weighted average interest rate of 5.3% as of March 31, 2026 and matures in April 2038.</w:t>
      </w:r>
    </w:p>
    <w:p>
      <w:pPr>
        <w:pStyle w:val="TextBody"/>
        <w:bidi w:val="0"/>
        <w:jc w:val="both"/>
        <w:rPr/>
      </w:pPr>
      <w:r>
        <w:rPr/>
        <w:t>In March 2026, we issued $200.0 million in aggregate principal amount of 6.75% unsecured 2029 Notes. The effective interest rate on the 2029 Notes is 7.00% and they mature in March 2029.</w:t>
      </w:r>
    </w:p>
    <w:p>
      <w:pPr>
        <w:pStyle w:val="TextBody"/>
        <w:bidi w:val="0"/>
        <w:jc w:val="both"/>
        <w:rPr/>
      </w:pPr>
      <w:r>
        <w:rPr/>
        <w:t>For the six months ended March 31, 2026 and 2025, the annualized weighted average cost of debt, inclusive of the fee on the undrawn commitment on the Credit Facility, amendment costs and debt issuance costs, was 6.1% and 6.8%, respectively. As of March 31, 2026 and September 30, 2025 we had $439.7 million and $34.1 million of unused borrowing capacity under the Credit Facility, respectively, subject to leverage and borrowing base restrictions.</w:t>
      </w:r>
    </w:p>
    <w:p>
      <w:pPr>
        <w:pStyle w:val="TextBody"/>
        <w:bidi w:val="0"/>
        <w:jc w:val="both"/>
        <w:rPr/>
      </w:pPr>
      <w:r>
        <w:rPr/>
        <w:t>As of March 31, 2026 and September 30, 2025, we had cash and cash equivalents of $121.9 million and $122.7 million, respectively, available for investing and general corporate purposes. We believe our liquidity and capital resources are sufficient to take advantage of market opportunities.</w:t>
      </w:r>
    </w:p>
    <w:p>
      <w:pPr>
        <w:pStyle w:val="TextBody"/>
        <w:bidi w:val="0"/>
        <w:jc w:val="both"/>
        <w:rPr/>
      </w:pPr>
      <w:r>
        <w:rPr/>
        <w:t>During the three and six months ended March 31, 2026, we did not issue any shares of our common stock under the ATM Programs. During the three and six months ended March 31, 2025, we issued 11,562,000 shares and 18,838,000 shares of our common stock under the ATM Programs, respectively, at an average price of $11.34 per share and $11.35 per share raising $131.0 million and</w:t>
        <w:br/>
        <w:t>$213.2 million of net proceeds after commissions to the Sales Agents and inclusive of proceeds from the Investment Adviser to ensure that all shares were sold at or above NAV, respectively.</w:t>
      </w:r>
    </w:p>
    <w:p>
      <w:pPr>
        <w:pStyle w:val="TextBody"/>
        <w:bidi w:val="0"/>
        <w:jc w:val="both"/>
        <w:rPr/>
      </w:pPr>
      <w:r>
        <w:rPr/>
        <w:t>For the six months ended March 31, 2026, our operating activities provided cash of $172.9 million and our financing activities used cash of $173.7 million. Our operating activities provided cash primarily due to our investment activities and our financing activities used cash primarily due to repayments of our Credit Facility offset by proceeds received from the sales of $28.5 million of 2037 Class D Notes, $21.0 million of 2036-R Asset-Backed Debt D-R Notes to third parties and the issuance of $200.0 million of our 2029 Notes.</w:t>
      </w:r>
    </w:p>
    <w:p>
      <w:pPr>
        <w:pStyle w:val="TextBody"/>
        <w:bidi w:val="0"/>
        <w:spacing w:before="0" w:after="283"/>
        <w:jc w:val="left"/>
        <w:rPr/>
      </w:pPr>
      <w:r>
        <w:rPr/>
        <w:t>For the six months ended March 31, 2025, our operating activities used cash of $350.8 million and our financing activities provided cash of $350.1 million. Our operating activities used cash primarily due to our investment activities and our financing activities provided cash primarily due to borrowings under our Credit Facility, proceeds from the 2037 Asset-Backed debt and proceeds from the public offerings under our 2024 ATM Program.</w:t>
      </w:r>
    </w:p>
    <w:p>
      <w:pPr>
        <w:pStyle w:val="TextBody"/>
        <w:bidi w:val="0"/>
        <w:spacing w:before="0" w:after="283"/>
        <w:jc w:val="left"/>
        <w:rPr/>
      </w:pPr>
      <w:r>
        <w:rPr>
          <w:rStyle w:val="StrongEmphasis"/>
        </w:rPr>
        <w:t>DISTRIBUTIONS</w:t>
      </w:r>
    </w:p>
    <w:p>
      <w:pPr>
        <w:pStyle w:val="TextBody"/>
        <w:bidi w:val="0"/>
        <w:jc w:val="both"/>
        <w:rPr/>
      </w:pPr>
      <w:r>
        <w:rPr/>
        <w:t>During the three and six months ended March 31, 2026 we declared distributions of $0.3075 per share and $0.615 per share for total distributions of $30.5 million and $61.0 million. During the three and six months ended March 31, 2025, we declared distributions of $0.3075 per share and $0.615 per share for total distributions of $27.7 million and $52.9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pStyle w:val="TextBody"/>
        <w:bidi w:val="0"/>
        <w:spacing w:before="0" w:after="283"/>
        <w:jc w:val="left"/>
        <w:rPr/>
      </w:pPr>
      <w:r>
        <w:rPr>
          <w:rStyle w:val="StrongEmphasis"/>
        </w:rPr>
        <w:t>ADJUSTED</w:t>
      </w:r>
      <w:r>
        <w:rPr/>
        <w:t xml:space="preserve"> </w:t>
      </w:r>
      <w:r>
        <w:rPr>
          <w:rStyle w:val="StrongEmphasis"/>
        </w:rPr>
        <w:t>DISTRIBUTION</w:t>
      </w:r>
      <w:r>
        <w:rPr/>
        <w:t xml:space="preserve"> </w:t>
      </w:r>
      <w:r>
        <w:rPr>
          <w:rStyle w:val="StrongEmphasis"/>
        </w:rPr>
        <w:t>POLICY</w:t>
      </w:r>
    </w:p>
    <w:p>
      <w:pPr>
        <w:pStyle w:val="TextBody"/>
        <w:bidi w:val="0"/>
        <w:jc w:val="both"/>
        <w:rPr/>
      </w:pPr>
      <w:r>
        <w:rPr/>
        <w:t>Given the lower interest rate environment and current market activity levels, in consultation with the Board, we will be adjusting our dividend policy to be better aligned with NII, starting with the July monthly distribution. The monthly base dividend will be adjusted to $0.08 per share. In addition to the base dividend, we plan to pay a monthly supplemental dividend. The supplemental dividend will be variable and, in general, calculated as 50% of prior quarter's NII in excess of the base dividend, if any, rounded to the nearest penny. Such amount will be paid each quarter ratably over a three-month period to be paid at the same time as the base dividend. The exact amount of each supplemental dividend will be included in our monthly distribution announcements. The supplemental dividend for July, August, and September will be $0.0033 per share each month. </w:t>
      </w:r>
    </w:p>
    <w:p>
      <w:pPr>
        <w:pStyle w:val="TextBody"/>
        <w:bidi w:val="0"/>
        <w:spacing w:before="0" w:after="283"/>
        <w:jc w:val="left"/>
        <w:rPr/>
      </w:pPr>
      <w:r>
        <w:rPr>
          <w:rStyle w:val="StrongEmphasis"/>
        </w:rPr>
        <w:t>RECENT DEVELOPMENTS</w:t>
      </w:r>
    </w:p>
    <w:p>
      <w:pPr>
        <w:pStyle w:val="TextBody"/>
        <w:bidi w:val="0"/>
        <w:spacing w:before="0" w:after="283"/>
        <w:jc w:val="left"/>
        <w:rPr/>
      </w:pPr>
      <w:r>
        <w:rPr/>
        <w:t>The 2026 Notes were repaid in full on April 1, 2026.</w:t>
      </w:r>
    </w:p>
    <w:p>
      <w:pPr>
        <w:pStyle w:val="TextBody"/>
        <w:bidi w:val="0"/>
        <w:spacing w:before="0" w:after="283"/>
        <w:jc w:val="left"/>
        <w:rPr/>
      </w:pPr>
      <w:r>
        <w:rPr>
          <w:rStyle w:val="StrongEmphasis"/>
        </w:rPr>
        <w:t>AVAILABLE INFORMATION</w:t>
      </w:r>
    </w:p>
    <w:p>
      <w:pPr>
        <w:pStyle w:val="TextBody"/>
        <w:bidi w:val="0"/>
        <w:jc w:val="both"/>
        <w:rPr/>
      </w:pPr>
      <w:r>
        <w:rPr/>
        <w:t xml:space="preserve">The Company makes available on its website its Quarterly Report on Form 10-Q filed with the SEC, and stockholders may find such report on its website at </w:t>
      </w:r>
      <w:r>
        <w:rPr>
          <w:u w:val="single"/>
        </w:rPr>
        <w:t>www.pennantpark.com</w:t>
      </w:r>
      <w:r>
        <w:rPr/>
        <w:t>.</w:t>
      </w:r>
    </w:p>
    <w:tbl>
      <w:tblPr>
        <w:tblW w:w="10205" w:type="dxa"/>
        <w:jc w:val="left"/>
        <w:tblInd w:w="0" w:type="dxa"/>
        <w:tblLayout w:type="fixed"/>
        <w:tblCellMar>
          <w:top w:w="28" w:type="dxa"/>
          <w:left w:w="28" w:type="dxa"/>
          <w:bottom w:w="28" w:type="dxa"/>
          <w:right w:w="28" w:type="dxa"/>
        </w:tblCellMar>
      </w:tblPr>
      <w:tblGrid>
        <w:gridCol w:w="6594"/>
        <w:gridCol w:w="253"/>
        <w:gridCol w:w="1196"/>
        <w:gridCol w:w="181"/>
        <w:gridCol w:w="146"/>
        <w:gridCol w:w="281"/>
        <w:gridCol w:w="1326"/>
        <w:gridCol w:w="228"/>
      </w:tblGrid>
      <w:tr>
        <w:trPr/>
        <w:tc>
          <w:tcPr>
            <w:tcW w:w="10205" w:type="dxa"/>
            <w:gridSpan w:val="8"/>
            <w:tcBorders/>
            <w:vAlign w:val="center"/>
          </w:tcPr>
          <w:p>
            <w:pPr>
              <w:pStyle w:val="TableContents"/>
              <w:bidi w:val="0"/>
              <w:spacing w:before="0" w:after="283"/>
              <w:jc w:val="left"/>
              <w:rPr/>
            </w:pPr>
            <w:r>
              <w:rPr/>
              <w:t> </w:t>
            </w:r>
          </w:p>
        </w:tc>
      </w:tr>
      <w:tr>
        <w:trPr/>
        <w:tc>
          <w:tcPr>
            <w:tcW w:w="10205" w:type="dxa"/>
            <w:gridSpan w:val="8"/>
            <w:tcBorders/>
            <w:vAlign w:val="center"/>
          </w:tcPr>
          <w:p>
            <w:pPr>
              <w:pStyle w:val="TableContents"/>
              <w:bidi w:val="0"/>
              <w:spacing w:before="0" w:after="283"/>
              <w:jc w:val="center"/>
              <w:rPr/>
            </w:pPr>
            <w:r>
              <w:rPr>
                <w:rStyle w:val="StrongEmphasis"/>
              </w:rPr>
              <w:t>PENNANTPARK</w:t>
            </w:r>
            <w:r>
              <w:rPr/>
              <w:t xml:space="preserve"> </w:t>
            </w:r>
            <w:r>
              <w:rPr>
                <w:rStyle w:val="StrongEmphasis"/>
              </w:rPr>
              <w:t>FLOATING</w:t>
            </w:r>
            <w:r>
              <w:rPr/>
              <w:t xml:space="preserve"> </w:t>
            </w:r>
            <w:r>
              <w:rPr>
                <w:rStyle w:val="StrongEmphasis"/>
              </w:rPr>
              <w:t>RATE</w:t>
            </w:r>
            <w:r>
              <w:rPr/>
              <w:t xml:space="preserve"> </w:t>
            </w:r>
            <w:r>
              <w:rPr>
                <w:rStyle w:val="StrongEmphasis"/>
              </w:rPr>
              <w:t>CAPITAL</w:t>
            </w:r>
            <w:r>
              <w:rPr/>
              <w:t xml:space="preserve"> </w:t>
            </w:r>
            <w:r>
              <w:rPr>
                <w:rStyle w:val="StrongEmphasis"/>
              </w:rPr>
              <w:t>LTD.</w:t>
            </w:r>
            <w:r>
              <w:rPr/>
              <w:t xml:space="preserve"> </w:t>
            </w:r>
            <w:r>
              <w:rPr>
                <w:rStyle w:val="StrongEmphasis"/>
              </w:rPr>
              <w:t>AND</w:t>
            </w:r>
            <w:r>
              <w:rPr/>
              <w:t xml:space="preserve"> </w:t>
            </w:r>
            <w:r>
              <w:rPr>
                <w:rStyle w:val="StrongEmphasis"/>
              </w:rPr>
              <w:t>SUBSIDIARIES</w:t>
              <w:br/>
              <w:t>CONSOLIDATED STATEMENTS OF ASSETS AND LIABILITIES</w:t>
            </w:r>
            <w:r>
              <w:rPr/>
              <w:br/>
            </w:r>
            <w:r>
              <w:rPr>
                <w:rStyle w:val="StrongEmphasis"/>
              </w:rPr>
              <w:t>(in</w:t>
            </w:r>
            <w:r>
              <w:rPr/>
              <w:t xml:space="preserve"> </w:t>
            </w:r>
            <w:r>
              <w:rPr>
                <w:rStyle w:val="StrongEmphasis"/>
              </w:rPr>
              <w:t>thousands, except</w:t>
            </w:r>
            <w:r>
              <w:rPr/>
              <w:t xml:space="preserve"> </w:t>
            </w:r>
            <w:r>
              <w:rPr>
                <w:rStyle w:val="StrongEmphasis"/>
              </w:rPr>
              <w:t>per share data)</w:t>
            </w:r>
          </w:p>
        </w:tc>
      </w:tr>
      <w:tr>
        <w:trPr/>
        <w:tc>
          <w:tcPr>
            <w:tcW w:w="10205" w:type="dxa"/>
            <w:gridSpan w:val="8"/>
            <w:tcBorders/>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 </w:t>
            </w:r>
          </w:p>
        </w:tc>
        <w:tc>
          <w:tcPr>
            <w:tcW w:w="1449"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March 31, 2026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60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September</w:t>
            </w:r>
            <w:r>
              <w:rPr/>
              <w:t xml:space="preserve"> </w:t>
            </w:r>
            <w:r>
              <w:rPr>
                <w:rStyle w:val="StrongEmphasis"/>
              </w:rPr>
              <w:t>30, 2025</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rStyle w:val="StrongEmphasis"/>
              </w:rPr>
              <w:t>Assets</w:t>
            </w:r>
          </w:p>
        </w:tc>
        <w:tc>
          <w:tcPr>
            <w:tcW w:w="1449" w:type="dxa"/>
            <w:gridSpan w:val="2"/>
            <w:tcBorders/>
            <w:vAlign w:val="center"/>
          </w:tcPr>
          <w:p>
            <w:pPr>
              <w:pStyle w:val="TableContents"/>
              <w:bidi w:val="0"/>
              <w:spacing w:before="0" w:after="283"/>
              <w:jc w:val="center"/>
              <w:rPr/>
            </w:pPr>
            <w:r>
              <w:rPr>
                <w:rStyle w:val="StrongEmphasis"/>
              </w:rPr>
              <w:t>(unaudited)</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60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Investments at fair value</w:t>
            </w:r>
          </w:p>
        </w:tc>
        <w:tc>
          <w:tcPr>
            <w:tcW w:w="163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35" w:type="dxa"/>
            <w:gridSpan w:val="3"/>
            <w:tcBorders/>
            <w:vAlign w:val="center"/>
          </w:tcPr>
          <w:p>
            <w:pPr>
              <w:pStyle w:val="TableContents"/>
              <w:bidi w:val="0"/>
              <w:spacing w:before="0" w:after="283"/>
              <w:jc w:val="left"/>
              <w:rPr/>
            </w:pPr>
            <w:r>
              <w:rPr/>
              <w:t> </w:t>
            </w:r>
          </w:p>
        </w:tc>
      </w:tr>
      <w:tr>
        <w:trPr/>
        <w:tc>
          <w:tcPr>
            <w:tcW w:w="6594"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 (amortized cost— $2,151,925 and $2,458,018, respectively)</w:t>
            </w:r>
          </w:p>
        </w:tc>
        <w:tc>
          <w:tcPr>
            <w:tcW w:w="253" w:type="dxa"/>
            <w:tcBorders/>
            <w:vAlign w:val="center"/>
          </w:tcPr>
          <w:p>
            <w:pPr>
              <w:pStyle w:val="TableContents"/>
              <w:bidi w:val="0"/>
              <w:spacing w:before="0" w:after="283"/>
              <w:jc w:val="left"/>
              <w:rPr/>
            </w:pPr>
            <w:r>
              <w:rPr/>
              <w:t>$</w:t>
            </w:r>
          </w:p>
        </w:tc>
        <w:tc>
          <w:tcPr>
            <w:tcW w:w="1196" w:type="dxa"/>
            <w:tcBorders/>
            <w:vAlign w:val="center"/>
          </w:tcPr>
          <w:p>
            <w:pPr>
              <w:pStyle w:val="TableContents"/>
              <w:bidi w:val="0"/>
              <w:spacing w:before="0" w:after="283"/>
              <w:jc w:val="right"/>
              <w:rPr/>
            </w:pPr>
            <w:r>
              <w:rPr/>
              <w:t>2,189,011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w:t>
            </w:r>
          </w:p>
        </w:tc>
        <w:tc>
          <w:tcPr>
            <w:tcW w:w="1326" w:type="dxa"/>
            <w:tcBorders/>
            <w:vAlign w:val="center"/>
          </w:tcPr>
          <w:p>
            <w:pPr>
              <w:pStyle w:val="TableContents"/>
              <w:bidi w:val="0"/>
              <w:spacing w:before="0" w:after="283"/>
              <w:jc w:val="right"/>
              <w:rPr/>
            </w:pPr>
            <w:r>
              <w:rPr/>
              <w:t>2,491,360</w:t>
            </w:r>
          </w:p>
        </w:tc>
        <w:tc>
          <w:tcPr>
            <w:tcW w:w="228" w:type="dxa"/>
            <w:tcBorders/>
            <w:vAlign w:val="center"/>
          </w:tcPr>
          <w:p>
            <w:pPr>
              <w:pStyle w:val="TableContents"/>
              <w:bidi w:val="0"/>
              <w:spacing w:before="0" w:after="283"/>
              <w:jc w:val="left"/>
              <w:rPr/>
            </w:pPr>
            <w:r>
              <w:rPr/>
              <w:t> </w:t>
            </w:r>
          </w:p>
        </w:tc>
      </w:tr>
      <w:tr>
        <w:trPr/>
        <w:tc>
          <w:tcPr>
            <w:tcW w:w="6594" w:type="dxa"/>
            <w:tcBorders/>
            <w:tcMar>
              <w:top w:w="0" w:type="dxa"/>
              <w:left w:w="0" w:type="dxa"/>
              <w:bottom w:w="0" w:type="dxa"/>
              <w:right w:w="0" w:type="dxa"/>
            </w:tcMar>
            <w:vAlign w:val="center"/>
          </w:tcPr>
          <w:p>
            <w:pPr>
              <w:pStyle w:val="TableContents"/>
              <w:bidi w:val="0"/>
              <w:spacing w:before="0" w:after="283"/>
              <w:jc w:val="left"/>
              <w:rPr/>
            </w:pPr>
            <w:r>
              <w:rPr/>
              <w:t>Controlled, affiliated investments (amortized cost— $494,500 and $361,375, respectively)</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9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391,270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281,968</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594" w:type="dxa"/>
            <w:tcBorders/>
            <w:tcMar>
              <w:top w:w="0" w:type="dxa"/>
              <w:left w:w="0" w:type="dxa"/>
              <w:bottom w:w="0" w:type="dxa"/>
              <w:right w:w="0" w:type="dxa"/>
            </w:tcMar>
            <w:vAlign w:val="center"/>
          </w:tcPr>
          <w:p>
            <w:pPr>
              <w:pStyle w:val="TableContents"/>
              <w:bidi w:val="0"/>
              <w:spacing w:before="0" w:after="283"/>
              <w:jc w:val="left"/>
              <w:rPr/>
            </w:pPr>
            <w:r>
              <w:rPr/>
              <w:t>Total investments (amortized cost— $2,646,425 and $2,819,393, respectively)</w:t>
            </w:r>
          </w:p>
        </w:tc>
        <w:tc>
          <w:tcPr>
            <w:tcW w:w="253" w:type="dxa"/>
            <w:tcBorders/>
            <w:vAlign w:val="center"/>
          </w:tcPr>
          <w:p>
            <w:pPr>
              <w:pStyle w:val="TableContents"/>
              <w:bidi w:val="0"/>
              <w:spacing w:before="0" w:after="283"/>
              <w:jc w:val="right"/>
              <w:rPr/>
            </w:pPr>
            <w:r>
              <w:rPr/>
              <w:t> </w:t>
            </w:r>
          </w:p>
        </w:tc>
        <w:tc>
          <w:tcPr>
            <w:tcW w:w="1196" w:type="dxa"/>
            <w:tcBorders/>
            <w:vAlign w:val="center"/>
          </w:tcPr>
          <w:p>
            <w:pPr>
              <w:pStyle w:val="TableContents"/>
              <w:bidi w:val="0"/>
              <w:spacing w:before="0" w:after="283"/>
              <w:jc w:val="right"/>
              <w:rPr/>
            </w:pPr>
            <w:r>
              <w:rPr/>
              <w:t>2,580,281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 </w:t>
            </w:r>
          </w:p>
        </w:tc>
        <w:tc>
          <w:tcPr>
            <w:tcW w:w="1326" w:type="dxa"/>
            <w:tcBorders/>
            <w:vAlign w:val="center"/>
          </w:tcPr>
          <w:p>
            <w:pPr>
              <w:pStyle w:val="TableContents"/>
              <w:bidi w:val="0"/>
              <w:spacing w:before="0" w:after="283"/>
              <w:jc w:val="right"/>
              <w:rPr/>
            </w:pPr>
            <w:r>
              <w:rPr/>
              <w:t>2,773,328</w:t>
            </w:r>
          </w:p>
        </w:tc>
        <w:tc>
          <w:tcPr>
            <w:tcW w:w="228" w:type="dxa"/>
            <w:tcBorders/>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Cash equivalents (cost— $31,427 and $40,729, respectively)</w:t>
            </w:r>
          </w:p>
        </w:tc>
        <w:tc>
          <w:tcPr>
            <w:tcW w:w="253" w:type="dxa"/>
            <w:tcBorders/>
            <w:vAlign w:val="center"/>
          </w:tcPr>
          <w:p>
            <w:pPr>
              <w:pStyle w:val="TableContents"/>
              <w:bidi w:val="0"/>
              <w:spacing w:before="0" w:after="283"/>
              <w:jc w:val="right"/>
              <w:rPr/>
            </w:pPr>
            <w:r>
              <w:rPr/>
              <w:t> </w:t>
            </w:r>
          </w:p>
        </w:tc>
        <w:tc>
          <w:tcPr>
            <w:tcW w:w="1196" w:type="dxa"/>
            <w:tcBorders/>
            <w:vAlign w:val="center"/>
          </w:tcPr>
          <w:p>
            <w:pPr>
              <w:pStyle w:val="TableContents"/>
              <w:bidi w:val="0"/>
              <w:spacing w:before="0" w:after="283"/>
              <w:jc w:val="right"/>
              <w:rPr/>
            </w:pPr>
            <w:r>
              <w:rPr/>
              <w:t>31,427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 </w:t>
            </w:r>
          </w:p>
        </w:tc>
        <w:tc>
          <w:tcPr>
            <w:tcW w:w="1326" w:type="dxa"/>
            <w:tcBorders/>
            <w:vAlign w:val="center"/>
          </w:tcPr>
          <w:p>
            <w:pPr>
              <w:pStyle w:val="TableContents"/>
              <w:bidi w:val="0"/>
              <w:spacing w:before="0" w:after="283"/>
              <w:jc w:val="right"/>
              <w:rPr/>
            </w:pPr>
            <w:r>
              <w:rPr/>
              <w:t>40,729</w:t>
            </w:r>
          </w:p>
        </w:tc>
        <w:tc>
          <w:tcPr>
            <w:tcW w:w="228" w:type="dxa"/>
            <w:tcBorders/>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Cash (cost— $90,446 and $81,955, respectively)</w:t>
            </w:r>
          </w:p>
        </w:tc>
        <w:tc>
          <w:tcPr>
            <w:tcW w:w="253" w:type="dxa"/>
            <w:tcBorders/>
            <w:vAlign w:val="center"/>
          </w:tcPr>
          <w:p>
            <w:pPr>
              <w:pStyle w:val="TableContents"/>
              <w:bidi w:val="0"/>
              <w:spacing w:before="0" w:after="283"/>
              <w:jc w:val="right"/>
              <w:rPr/>
            </w:pPr>
            <w:r>
              <w:rPr/>
              <w:t> </w:t>
            </w:r>
          </w:p>
        </w:tc>
        <w:tc>
          <w:tcPr>
            <w:tcW w:w="1196" w:type="dxa"/>
            <w:tcBorders/>
            <w:vAlign w:val="center"/>
          </w:tcPr>
          <w:p>
            <w:pPr>
              <w:pStyle w:val="TableContents"/>
              <w:bidi w:val="0"/>
              <w:spacing w:before="0" w:after="283"/>
              <w:jc w:val="right"/>
              <w:rPr/>
            </w:pPr>
            <w:r>
              <w:rPr/>
              <w:t>90,444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 </w:t>
            </w:r>
          </w:p>
        </w:tc>
        <w:tc>
          <w:tcPr>
            <w:tcW w:w="1326" w:type="dxa"/>
            <w:tcBorders/>
            <w:vAlign w:val="center"/>
          </w:tcPr>
          <w:p>
            <w:pPr>
              <w:pStyle w:val="TableContents"/>
              <w:bidi w:val="0"/>
              <w:spacing w:before="0" w:after="283"/>
              <w:jc w:val="right"/>
              <w:rPr/>
            </w:pPr>
            <w:r>
              <w:rPr/>
              <w:t>81,959</w:t>
            </w:r>
          </w:p>
        </w:tc>
        <w:tc>
          <w:tcPr>
            <w:tcW w:w="228" w:type="dxa"/>
            <w:tcBorders/>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Interest receivable</w:t>
            </w:r>
          </w:p>
        </w:tc>
        <w:tc>
          <w:tcPr>
            <w:tcW w:w="253" w:type="dxa"/>
            <w:tcBorders/>
            <w:vAlign w:val="center"/>
          </w:tcPr>
          <w:p>
            <w:pPr>
              <w:pStyle w:val="TableContents"/>
              <w:bidi w:val="0"/>
              <w:spacing w:before="0" w:after="283"/>
              <w:jc w:val="right"/>
              <w:rPr/>
            </w:pPr>
            <w:r>
              <w:rPr/>
              <w:t> </w:t>
            </w:r>
          </w:p>
        </w:tc>
        <w:tc>
          <w:tcPr>
            <w:tcW w:w="1196" w:type="dxa"/>
            <w:tcBorders/>
            <w:vAlign w:val="center"/>
          </w:tcPr>
          <w:p>
            <w:pPr>
              <w:pStyle w:val="TableContents"/>
              <w:bidi w:val="0"/>
              <w:spacing w:before="0" w:after="283"/>
              <w:jc w:val="right"/>
              <w:rPr/>
            </w:pPr>
            <w:r>
              <w:rPr/>
              <w:t>12,611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 </w:t>
            </w:r>
          </w:p>
        </w:tc>
        <w:tc>
          <w:tcPr>
            <w:tcW w:w="1326" w:type="dxa"/>
            <w:tcBorders/>
            <w:vAlign w:val="center"/>
          </w:tcPr>
          <w:p>
            <w:pPr>
              <w:pStyle w:val="TableContents"/>
              <w:bidi w:val="0"/>
              <w:spacing w:before="0" w:after="283"/>
              <w:jc w:val="right"/>
              <w:rPr/>
            </w:pPr>
            <w:r>
              <w:rPr/>
              <w:t>13,832</w:t>
            </w:r>
          </w:p>
        </w:tc>
        <w:tc>
          <w:tcPr>
            <w:tcW w:w="228" w:type="dxa"/>
            <w:tcBorders/>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Distributions receivable</w:t>
            </w:r>
          </w:p>
        </w:tc>
        <w:tc>
          <w:tcPr>
            <w:tcW w:w="253" w:type="dxa"/>
            <w:tcBorders/>
            <w:vAlign w:val="center"/>
          </w:tcPr>
          <w:p>
            <w:pPr>
              <w:pStyle w:val="TableContents"/>
              <w:bidi w:val="0"/>
              <w:spacing w:before="0" w:after="283"/>
              <w:jc w:val="right"/>
              <w:rPr/>
            </w:pPr>
            <w:r>
              <w:rPr/>
              <w:t> </w:t>
            </w:r>
          </w:p>
        </w:tc>
        <w:tc>
          <w:tcPr>
            <w:tcW w:w="1196" w:type="dxa"/>
            <w:tcBorders/>
            <w:vAlign w:val="center"/>
          </w:tcPr>
          <w:p>
            <w:pPr>
              <w:pStyle w:val="TableContents"/>
              <w:bidi w:val="0"/>
              <w:spacing w:before="0" w:after="283"/>
              <w:jc w:val="right"/>
              <w:rPr/>
            </w:pPr>
            <w:r>
              <w:rPr/>
              <w:t>900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 </w:t>
            </w:r>
          </w:p>
        </w:tc>
        <w:tc>
          <w:tcPr>
            <w:tcW w:w="1326" w:type="dxa"/>
            <w:tcBorders/>
            <w:vAlign w:val="center"/>
          </w:tcPr>
          <w:p>
            <w:pPr>
              <w:pStyle w:val="TableContents"/>
              <w:bidi w:val="0"/>
              <w:spacing w:before="0" w:after="283"/>
              <w:jc w:val="right"/>
              <w:rPr/>
            </w:pPr>
            <w:r>
              <w:rPr/>
              <w:t>—</w:t>
            </w:r>
          </w:p>
        </w:tc>
        <w:tc>
          <w:tcPr>
            <w:tcW w:w="228" w:type="dxa"/>
            <w:tcBorders/>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Receivable for investments sold</w:t>
            </w:r>
          </w:p>
        </w:tc>
        <w:tc>
          <w:tcPr>
            <w:tcW w:w="253" w:type="dxa"/>
            <w:tcBorders/>
            <w:vAlign w:val="center"/>
          </w:tcPr>
          <w:p>
            <w:pPr>
              <w:pStyle w:val="TableContents"/>
              <w:bidi w:val="0"/>
              <w:spacing w:before="0" w:after="283"/>
              <w:jc w:val="right"/>
              <w:rPr/>
            </w:pPr>
            <w:r>
              <w:rPr/>
              <w:t> </w:t>
            </w:r>
          </w:p>
        </w:tc>
        <w:tc>
          <w:tcPr>
            <w:tcW w:w="1196" w:type="dxa"/>
            <w:tcBorders/>
            <w:vAlign w:val="center"/>
          </w:tcPr>
          <w:p>
            <w:pPr>
              <w:pStyle w:val="TableContents"/>
              <w:bidi w:val="0"/>
              <w:spacing w:before="0" w:after="283"/>
              <w:jc w:val="right"/>
              <w:rPr/>
            </w:pPr>
            <w:r>
              <w:rPr/>
              <w:t>30,052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 </w:t>
            </w:r>
          </w:p>
        </w:tc>
        <w:tc>
          <w:tcPr>
            <w:tcW w:w="1326" w:type="dxa"/>
            <w:tcBorders/>
            <w:vAlign w:val="center"/>
          </w:tcPr>
          <w:p>
            <w:pPr>
              <w:pStyle w:val="TableContents"/>
              <w:bidi w:val="0"/>
              <w:spacing w:before="0" w:after="283"/>
              <w:jc w:val="right"/>
              <w:rPr/>
            </w:pPr>
            <w:r>
              <w:rPr/>
              <w:t>1,369</w:t>
            </w:r>
          </w:p>
        </w:tc>
        <w:tc>
          <w:tcPr>
            <w:tcW w:w="228" w:type="dxa"/>
            <w:tcBorders/>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Due from affiliate</w:t>
            </w:r>
          </w:p>
        </w:tc>
        <w:tc>
          <w:tcPr>
            <w:tcW w:w="253" w:type="dxa"/>
            <w:tcBorders/>
            <w:vAlign w:val="center"/>
          </w:tcPr>
          <w:p>
            <w:pPr>
              <w:pStyle w:val="TableContents"/>
              <w:bidi w:val="0"/>
              <w:spacing w:before="0" w:after="283"/>
              <w:jc w:val="right"/>
              <w:rPr/>
            </w:pPr>
            <w:r>
              <w:rPr/>
              <w:t> </w:t>
            </w:r>
          </w:p>
        </w:tc>
        <w:tc>
          <w:tcPr>
            <w:tcW w:w="1196" w:type="dxa"/>
            <w:tcBorders/>
            <w:vAlign w:val="center"/>
          </w:tcPr>
          <w:p>
            <w:pPr>
              <w:pStyle w:val="TableContents"/>
              <w:bidi w:val="0"/>
              <w:spacing w:before="0" w:after="283"/>
              <w:jc w:val="right"/>
              <w:rPr/>
            </w:pPr>
            <w:r>
              <w:rPr/>
              <w:t>136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 </w:t>
            </w:r>
          </w:p>
        </w:tc>
        <w:tc>
          <w:tcPr>
            <w:tcW w:w="1326" w:type="dxa"/>
            <w:tcBorders/>
            <w:vAlign w:val="center"/>
          </w:tcPr>
          <w:p>
            <w:pPr>
              <w:pStyle w:val="TableContents"/>
              <w:bidi w:val="0"/>
              <w:spacing w:before="0" w:after="283"/>
              <w:jc w:val="right"/>
              <w:rPr/>
            </w:pPr>
            <w:r>
              <w:rPr/>
              <w:t>321</w:t>
            </w:r>
          </w:p>
        </w:tc>
        <w:tc>
          <w:tcPr>
            <w:tcW w:w="228" w:type="dxa"/>
            <w:tcBorders/>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Prepaid expenses and other assets</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9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2,085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2,143</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594"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assets</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9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2,747,936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2,913,681</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rStyle w:val="StrongEmphasis"/>
              </w:rPr>
              <w:t>Liabilities</w:t>
            </w:r>
          </w:p>
        </w:tc>
        <w:tc>
          <w:tcPr>
            <w:tcW w:w="1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Credit Facility payable, at fair value (cost— $328,355 and $683,855, respectively)</w:t>
            </w:r>
          </w:p>
        </w:tc>
        <w:tc>
          <w:tcPr>
            <w:tcW w:w="253" w:type="dxa"/>
            <w:tcBorders/>
            <w:vAlign w:val="center"/>
          </w:tcPr>
          <w:p>
            <w:pPr>
              <w:pStyle w:val="TableContents"/>
              <w:bidi w:val="0"/>
              <w:spacing w:before="0" w:after="283"/>
              <w:jc w:val="right"/>
              <w:rPr/>
            </w:pPr>
            <w:r>
              <w:rPr/>
              <w:t> </w:t>
            </w:r>
          </w:p>
        </w:tc>
        <w:tc>
          <w:tcPr>
            <w:tcW w:w="1196" w:type="dxa"/>
            <w:tcBorders/>
            <w:vAlign w:val="center"/>
          </w:tcPr>
          <w:p>
            <w:pPr>
              <w:pStyle w:val="TableContents"/>
              <w:bidi w:val="0"/>
              <w:spacing w:before="0" w:after="283"/>
              <w:jc w:val="right"/>
              <w:rPr/>
            </w:pPr>
            <w:r>
              <w:rPr/>
              <w:t>328,333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 </w:t>
            </w:r>
          </w:p>
        </w:tc>
        <w:tc>
          <w:tcPr>
            <w:tcW w:w="1326" w:type="dxa"/>
            <w:tcBorders/>
            <w:vAlign w:val="center"/>
          </w:tcPr>
          <w:p>
            <w:pPr>
              <w:pStyle w:val="TableContents"/>
              <w:bidi w:val="0"/>
              <w:spacing w:before="0" w:after="283"/>
              <w:jc w:val="right"/>
              <w:rPr/>
            </w:pPr>
            <w:r>
              <w:rPr/>
              <w:t>683,837</w:t>
            </w:r>
          </w:p>
        </w:tc>
        <w:tc>
          <w:tcPr>
            <w:tcW w:w="228" w:type="dxa"/>
            <w:tcBorders/>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2026 Notes payable, net (par—$185,000) (unamortized deferred financing costs of $2 and $391, respectively)</w:t>
            </w:r>
          </w:p>
        </w:tc>
        <w:tc>
          <w:tcPr>
            <w:tcW w:w="253" w:type="dxa"/>
            <w:tcBorders/>
            <w:vAlign w:val="center"/>
          </w:tcPr>
          <w:p>
            <w:pPr>
              <w:pStyle w:val="TableContents"/>
              <w:bidi w:val="0"/>
              <w:spacing w:before="0" w:after="283"/>
              <w:jc w:val="right"/>
              <w:rPr/>
            </w:pPr>
            <w:r>
              <w:rPr/>
              <w:t> </w:t>
            </w:r>
          </w:p>
        </w:tc>
        <w:tc>
          <w:tcPr>
            <w:tcW w:w="1196" w:type="dxa"/>
            <w:tcBorders/>
            <w:vAlign w:val="center"/>
          </w:tcPr>
          <w:p>
            <w:pPr>
              <w:pStyle w:val="TableContents"/>
              <w:bidi w:val="0"/>
              <w:spacing w:before="0" w:after="283"/>
              <w:jc w:val="right"/>
              <w:rPr/>
            </w:pPr>
            <w:r>
              <w:rPr/>
              <w:t>184,998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 </w:t>
            </w:r>
          </w:p>
        </w:tc>
        <w:tc>
          <w:tcPr>
            <w:tcW w:w="1326" w:type="dxa"/>
            <w:tcBorders/>
            <w:vAlign w:val="center"/>
          </w:tcPr>
          <w:p>
            <w:pPr>
              <w:pStyle w:val="TableContents"/>
              <w:bidi w:val="0"/>
              <w:spacing w:before="0" w:after="283"/>
              <w:jc w:val="right"/>
              <w:rPr/>
            </w:pPr>
            <w:r>
              <w:rPr/>
              <w:t>184,609</w:t>
            </w:r>
          </w:p>
        </w:tc>
        <w:tc>
          <w:tcPr>
            <w:tcW w:w="228" w:type="dxa"/>
            <w:tcBorders/>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2029 Notes payable, net (par—$200,000 and $0) (unamortized deferred financing costs of $4,132 and $0, respectively)</w:t>
            </w:r>
          </w:p>
        </w:tc>
        <w:tc>
          <w:tcPr>
            <w:tcW w:w="253" w:type="dxa"/>
            <w:tcBorders/>
            <w:vAlign w:val="center"/>
          </w:tcPr>
          <w:p>
            <w:pPr>
              <w:pStyle w:val="TableContents"/>
              <w:bidi w:val="0"/>
              <w:spacing w:before="0" w:after="283"/>
              <w:jc w:val="right"/>
              <w:rPr/>
            </w:pPr>
            <w:r>
              <w:rPr/>
              <w:t> </w:t>
            </w:r>
          </w:p>
        </w:tc>
        <w:tc>
          <w:tcPr>
            <w:tcW w:w="1196" w:type="dxa"/>
            <w:tcBorders/>
            <w:vAlign w:val="center"/>
          </w:tcPr>
          <w:p>
            <w:pPr>
              <w:pStyle w:val="TableContents"/>
              <w:bidi w:val="0"/>
              <w:spacing w:before="0" w:after="283"/>
              <w:jc w:val="right"/>
              <w:rPr/>
            </w:pPr>
            <w:r>
              <w:rPr/>
              <w:t>195,868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 </w:t>
            </w:r>
          </w:p>
        </w:tc>
        <w:tc>
          <w:tcPr>
            <w:tcW w:w="1326" w:type="dxa"/>
            <w:tcBorders/>
            <w:vAlign w:val="center"/>
          </w:tcPr>
          <w:p>
            <w:pPr>
              <w:pStyle w:val="TableContents"/>
              <w:bidi w:val="0"/>
              <w:spacing w:before="0" w:after="283"/>
              <w:jc w:val="right"/>
              <w:rPr/>
            </w:pPr>
            <w:r>
              <w:rPr/>
              <w:t>—</w:t>
            </w:r>
          </w:p>
        </w:tc>
        <w:tc>
          <w:tcPr>
            <w:tcW w:w="228" w:type="dxa"/>
            <w:tcBorders/>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2036 Asset-Backed Debt, net (par—$0 and $287,000) (unamortized deferred financing costs of $0 and $2,373, respectively)</w:t>
            </w:r>
          </w:p>
        </w:tc>
        <w:tc>
          <w:tcPr>
            <w:tcW w:w="253" w:type="dxa"/>
            <w:tcBorders/>
            <w:vAlign w:val="center"/>
          </w:tcPr>
          <w:p>
            <w:pPr>
              <w:pStyle w:val="TableContents"/>
              <w:bidi w:val="0"/>
              <w:spacing w:before="0" w:after="283"/>
              <w:jc w:val="right"/>
              <w:rPr/>
            </w:pPr>
            <w:r>
              <w:rPr/>
              <w:t> </w:t>
            </w:r>
          </w:p>
        </w:tc>
        <w:tc>
          <w:tcPr>
            <w:tcW w:w="119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 </w:t>
            </w:r>
          </w:p>
        </w:tc>
        <w:tc>
          <w:tcPr>
            <w:tcW w:w="1326" w:type="dxa"/>
            <w:tcBorders/>
            <w:vAlign w:val="center"/>
          </w:tcPr>
          <w:p>
            <w:pPr>
              <w:pStyle w:val="TableContents"/>
              <w:bidi w:val="0"/>
              <w:spacing w:before="0" w:after="283"/>
              <w:jc w:val="right"/>
              <w:rPr/>
            </w:pPr>
            <w:r>
              <w:rPr/>
              <w:t>284,627</w:t>
            </w:r>
          </w:p>
        </w:tc>
        <w:tc>
          <w:tcPr>
            <w:tcW w:w="228" w:type="dxa"/>
            <w:tcBorders/>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2036-R Asset-Backed Debt, net (par— $287,000 and $266,000) (unamortized deferred financing costs of $415 and $634, respectively)</w:t>
            </w:r>
          </w:p>
        </w:tc>
        <w:tc>
          <w:tcPr>
            <w:tcW w:w="253" w:type="dxa"/>
            <w:tcBorders/>
            <w:vAlign w:val="center"/>
          </w:tcPr>
          <w:p>
            <w:pPr>
              <w:pStyle w:val="TableContents"/>
              <w:bidi w:val="0"/>
              <w:spacing w:before="0" w:after="283"/>
              <w:jc w:val="right"/>
              <w:rPr/>
            </w:pPr>
            <w:r>
              <w:rPr/>
              <w:t> </w:t>
            </w:r>
          </w:p>
        </w:tc>
        <w:tc>
          <w:tcPr>
            <w:tcW w:w="1196" w:type="dxa"/>
            <w:tcBorders/>
            <w:vAlign w:val="center"/>
          </w:tcPr>
          <w:p>
            <w:pPr>
              <w:pStyle w:val="TableContents"/>
              <w:bidi w:val="0"/>
              <w:spacing w:before="0" w:after="283"/>
              <w:jc w:val="right"/>
              <w:rPr/>
            </w:pPr>
            <w:r>
              <w:rPr/>
              <w:t>286,585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 </w:t>
            </w:r>
          </w:p>
        </w:tc>
        <w:tc>
          <w:tcPr>
            <w:tcW w:w="1326" w:type="dxa"/>
            <w:tcBorders/>
            <w:vAlign w:val="center"/>
          </w:tcPr>
          <w:p>
            <w:pPr>
              <w:pStyle w:val="TableContents"/>
              <w:bidi w:val="0"/>
              <w:spacing w:before="0" w:after="283"/>
              <w:jc w:val="right"/>
              <w:rPr/>
            </w:pPr>
            <w:r>
              <w:rPr/>
              <w:t>265,366</w:t>
            </w:r>
          </w:p>
        </w:tc>
        <w:tc>
          <w:tcPr>
            <w:tcW w:w="228" w:type="dxa"/>
            <w:tcBorders/>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2037 Asset-Backed Debt, net (par— $389,500 and $361,000) (unamortized deferred financing costs of $2,355 and $2,669, respectively)</w:t>
            </w:r>
          </w:p>
        </w:tc>
        <w:tc>
          <w:tcPr>
            <w:tcW w:w="253" w:type="dxa"/>
            <w:tcBorders/>
            <w:vAlign w:val="center"/>
          </w:tcPr>
          <w:p>
            <w:pPr>
              <w:pStyle w:val="TableContents"/>
              <w:bidi w:val="0"/>
              <w:spacing w:before="0" w:after="283"/>
              <w:jc w:val="right"/>
              <w:rPr/>
            </w:pPr>
            <w:r>
              <w:rPr/>
              <w:t> </w:t>
            </w:r>
          </w:p>
        </w:tc>
        <w:tc>
          <w:tcPr>
            <w:tcW w:w="1196" w:type="dxa"/>
            <w:tcBorders/>
            <w:vAlign w:val="center"/>
          </w:tcPr>
          <w:p>
            <w:pPr>
              <w:pStyle w:val="TableContents"/>
              <w:bidi w:val="0"/>
              <w:spacing w:before="0" w:after="283"/>
              <w:jc w:val="right"/>
              <w:rPr/>
            </w:pPr>
            <w:r>
              <w:rPr/>
              <w:t>387,145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 </w:t>
            </w:r>
          </w:p>
        </w:tc>
        <w:tc>
          <w:tcPr>
            <w:tcW w:w="1326" w:type="dxa"/>
            <w:tcBorders/>
            <w:vAlign w:val="center"/>
          </w:tcPr>
          <w:p>
            <w:pPr>
              <w:pStyle w:val="TableContents"/>
              <w:bidi w:val="0"/>
              <w:spacing w:before="0" w:after="283"/>
              <w:jc w:val="right"/>
              <w:rPr/>
            </w:pPr>
            <w:r>
              <w:rPr/>
              <w:t>358,331</w:t>
            </w:r>
          </w:p>
        </w:tc>
        <w:tc>
          <w:tcPr>
            <w:tcW w:w="228" w:type="dxa"/>
            <w:tcBorders/>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2038-R Asset-Backed Debt, net (par—$287,000 and $0) (unamortized deferred financing costs of $2,230 and $0, respectively)</w:t>
            </w:r>
          </w:p>
        </w:tc>
        <w:tc>
          <w:tcPr>
            <w:tcW w:w="253" w:type="dxa"/>
            <w:tcBorders/>
            <w:vAlign w:val="center"/>
          </w:tcPr>
          <w:p>
            <w:pPr>
              <w:pStyle w:val="TableContents"/>
              <w:bidi w:val="0"/>
              <w:spacing w:before="0" w:after="283"/>
              <w:jc w:val="right"/>
              <w:rPr/>
            </w:pPr>
            <w:r>
              <w:rPr/>
              <w:t> </w:t>
            </w:r>
          </w:p>
        </w:tc>
        <w:tc>
          <w:tcPr>
            <w:tcW w:w="1196" w:type="dxa"/>
            <w:tcBorders/>
            <w:vAlign w:val="center"/>
          </w:tcPr>
          <w:p>
            <w:pPr>
              <w:pStyle w:val="TableContents"/>
              <w:bidi w:val="0"/>
              <w:spacing w:before="0" w:after="283"/>
              <w:jc w:val="right"/>
              <w:rPr/>
            </w:pPr>
            <w:r>
              <w:rPr/>
              <w:t>284,770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 </w:t>
            </w:r>
          </w:p>
        </w:tc>
        <w:tc>
          <w:tcPr>
            <w:tcW w:w="1326" w:type="dxa"/>
            <w:tcBorders/>
            <w:vAlign w:val="center"/>
          </w:tcPr>
          <w:p>
            <w:pPr>
              <w:pStyle w:val="TableContents"/>
              <w:bidi w:val="0"/>
              <w:spacing w:before="0" w:after="283"/>
              <w:jc w:val="right"/>
              <w:rPr/>
            </w:pPr>
            <w:r>
              <w:rPr/>
              <w:t>—</w:t>
            </w:r>
          </w:p>
        </w:tc>
        <w:tc>
          <w:tcPr>
            <w:tcW w:w="228" w:type="dxa"/>
            <w:tcBorders/>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Payable for investments purchased</w:t>
            </w:r>
          </w:p>
        </w:tc>
        <w:tc>
          <w:tcPr>
            <w:tcW w:w="253" w:type="dxa"/>
            <w:tcBorders/>
            <w:vAlign w:val="center"/>
          </w:tcPr>
          <w:p>
            <w:pPr>
              <w:pStyle w:val="TableContents"/>
              <w:bidi w:val="0"/>
              <w:spacing w:before="0" w:after="283"/>
              <w:jc w:val="right"/>
              <w:rPr/>
            </w:pPr>
            <w:r>
              <w:rPr/>
              <w:t> </w:t>
            </w:r>
          </w:p>
        </w:tc>
        <w:tc>
          <w:tcPr>
            <w:tcW w:w="119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 </w:t>
            </w:r>
          </w:p>
        </w:tc>
        <w:tc>
          <w:tcPr>
            <w:tcW w:w="1326" w:type="dxa"/>
            <w:tcBorders/>
            <w:vAlign w:val="center"/>
          </w:tcPr>
          <w:p>
            <w:pPr>
              <w:pStyle w:val="TableContents"/>
              <w:bidi w:val="0"/>
              <w:spacing w:before="0" w:after="283"/>
              <w:jc w:val="right"/>
              <w:rPr/>
            </w:pPr>
            <w:r>
              <w:rPr/>
              <w:t>14,852</w:t>
            </w:r>
          </w:p>
        </w:tc>
        <w:tc>
          <w:tcPr>
            <w:tcW w:w="228" w:type="dxa"/>
            <w:tcBorders/>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Interest payable on debt</w:t>
            </w:r>
          </w:p>
        </w:tc>
        <w:tc>
          <w:tcPr>
            <w:tcW w:w="253" w:type="dxa"/>
            <w:tcBorders/>
            <w:vAlign w:val="center"/>
          </w:tcPr>
          <w:p>
            <w:pPr>
              <w:pStyle w:val="TableContents"/>
              <w:bidi w:val="0"/>
              <w:spacing w:before="0" w:after="283"/>
              <w:jc w:val="right"/>
              <w:rPr/>
            </w:pPr>
            <w:r>
              <w:rPr/>
              <w:t> </w:t>
            </w:r>
          </w:p>
        </w:tc>
        <w:tc>
          <w:tcPr>
            <w:tcW w:w="1196" w:type="dxa"/>
            <w:tcBorders/>
            <w:vAlign w:val="center"/>
          </w:tcPr>
          <w:p>
            <w:pPr>
              <w:pStyle w:val="TableContents"/>
              <w:bidi w:val="0"/>
              <w:spacing w:before="0" w:after="283"/>
              <w:jc w:val="right"/>
              <w:rPr/>
            </w:pPr>
            <w:r>
              <w:rPr/>
              <w:t>15,407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 </w:t>
            </w:r>
          </w:p>
        </w:tc>
        <w:tc>
          <w:tcPr>
            <w:tcW w:w="1326" w:type="dxa"/>
            <w:tcBorders/>
            <w:vAlign w:val="center"/>
          </w:tcPr>
          <w:p>
            <w:pPr>
              <w:pStyle w:val="TableContents"/>
              <w:bidi w:val="0"/>
              <w:spacing w:before="0" w:after="283"/>
              <w:jc w:val="right"/>
              <w:rPr/>
            </w:pPr>
            <w:r>
              <w:rPr/>
              <w:t>19,172</w:t>
            </w:r>
          </w:p>
        </w:tc>
        <w:tc>
          <w:tcPr>
            <w:tcW w:w="228" w:type="dxa"/>
            <w:tcBorders/>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Distributions payable</w:t>
            </w:r>
          </w:p>
        </w:tc>
        <w:tc>
          <w:tcPr>
            <w:tcW w:w="253" w:type="dxa"/>
            <w:tcBorders/>
            <w:vAlign w:val="center"/>
          </w:tcPr>
          <w:p>
            <w:pPr>
              <w:pStyle w:val="TableContents"/>
              <w:bidi w:val="0"/>
              <w:spacing w:before="0" w:after="283"/>
              <w:jc w:val="right"/>
              <w:rPr/>
            </w:pPr>
            <w:r>
              <w:rPr/>
              <w:t> </w:t>
            </w:r>
          </w:p>
        </w:tc>
        <w:tc>
          <w:tcPr>
            <w:tcW w:w="1196" w:type="dxa"/>
            <w:tcBorders/>
            <w:vAlign w:val="center"/>
          </w:tcPr>
          <w:p>
            <w:pPr>
              <w:pStyle w:val="TableContents"/>
              <w:bidi w:val="0"/>
              <w:spacing w:before="0" w:after="283"/>
              <w:jc w:val="right"/>
              <w:rPr/>
            </w:pPr>
            <w:r>
              <w:rPr/>
              <w:t>10,170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 </w:t>
            </w:r>
          </w:p>
        </w:tc>
        <w:tc>
          <w:tcPr>
            <w:tcW w:w="1326" w:type="dxa"/>
            <w:tcBorders/>
            <w:vAlign w:val="center"/>
          </w:tcPr>
          <w:p>
            <w:pPr>
              <w:pStyle w:val="TableContents"/>
              <w:bidi w:val="0"/>
              <w:spacing w:before="0" w:after="283"/>
              <w:jc w:val="right"/>
              <w:rPr/>
            </w:pPr>
            <w:r>
              <w:rPr/>
              <w:t>10,170</w:t>
            </w:r>
          </w:p>
        </w:tc>
        <w:tc>
          <w:tcPr>
            <w:tcW w:w="228" w:type="dxa"/>
            <w:tcBorders/>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Base management fee payable</w:t>
            </w:r>
          </w:p>
        </w:tc>
        <w:tc>
          <w:tcPr>
            <w:tcW w:w="253" w:type="dxa"/>
            <w:tcBorders/>
            <w:vAlign w:val="center"/>
          </w:tcPr>
          <w:p>
            <w:pPr>
              <w:pStyle w:val="TableContents"/>
              <w:bidi w:val="0"/>
              <w:spacing w:before="0" w:after="283"/>
              <w:jc w:val="right"/>
              <w:rPr/>
            </w:pPr>
            <w:r>
              <w:rPr/>
              <w:t> </w:t>
            </w:r>
          </w:p>
        </w:tc>
        <w:tc>
          <w:tcPr>
            <w:tcW w:w="1196" w:type="dxa"/>
            <w:tcBorders/>
            <w:vAlign w:val="center"/>
          </w:tcPr>
          <w:p>
            <w:pPr>
              <w:pStyle w:val="TableContents"/>
              <w:bidi w:val="0"/>
              <w:spacing w:before="0" w:after="283"/>
              <w:jc w:val="right"/>
              <w:rPr/>
            </w:pPr>
            <w:r>
              <w:rPr/>
              <w:t>6,427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 </w:t>
            </w:r>
          </w:p>
        </w:tc>
        <w:tc>
          <w:tcPr>
            <w:tcW w:w="1326" w:type="dxa"/>
            <w:tcBorders/>
            <w:vAlign w:val="center"/>
          </w:tcPr>
          <w:p>
            <w:pPr>
              <w:pStyle w:val="TableContents"/>
              <w:bidi w:val="0"/>
              <w:spacing w:before="0" w:after="283"/>
              <w:jc w:val="right"/>
              <w:rPr/>
            </w:pPr>
            <w:r>
              <w:rPr/>
              <w:t>6,549</w:t>
            </w:r>
          </w:p>
        </w:tc>
        <w:tc>
          <w:tcPr>
            <w:tcW w:w="228" w:type="dxa"/>
            <w:tcBorders/>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Incentive fee payable</w:t>
            </w:r>
          </w:p>
        </w:tc>
        <w:tc>
          <w:tcPr>
            <w:tcW w:w="253" w:type="dxa"/>
            <w:tcBorders/>
            <w:vAlign w:val="center"/>
          </w:tcPr>
          <w:p>
            <w:pPr>
              <w:pStyle w:val="TableContents"/>
              <w:bidi w:val="0"/>
              <w:spacing w:before="0" w:after="283"/>
              <w:jc w:val="right"/>
              <w:rPr/>
            </w:pPr>
            <w:r>
              <w:rPr/>
              <w:t> </w:t>
            </w:r>
          </w:p>
        </w:tc>
        <w:tc>
          <w:tcPr>
            <w:tcW w:w="1196" w:type="dxa"/>
            <w:tcBorders/>
            <w:vAlign w:val="center"/>
          </w:tcPr>
          <w:p>
            <w:pPr>
              <w:pStyle w:val="TableContents"/>
              <w:bidi w:val="0"/>
              <w:spacing w:before="0" w:after="283"/>
              <w:jc w:val="right"/>
              <w:rPr/>
            </w:pPr>
            <w:r>
              <w:rPr/>
              <w:t>6,437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 </w:t>
            </w:r>
          </w:p>
        </w:tc>
        <w:tc>
          <w:tcPr>
            <w:tcW w:w="1326" w:type="dxa"/>
            <w:tcBorders/>
            <w:vAlign w:val="center"/>
          </w:tcPr>
          <w:p>
            <w:pPr>
              <w:pStyle w:val="TableContents"/>
              <w:bidi w:val="0"/>
              <w:spacing w:before="0" w:after="283"/>
              <w:jc w:val="right"/>
              <w:rPr/>
            </w:pPr>
            <w:r>
              <w:rPr/>
              <w:t>6,883</w:t>
            </w:r>
          </w:p>
        </w:tc>
        <w:tc>
          <w:tcPr>
            <w:tcW w:w="228" w:type="dxa"/>
            <w:tcBorders/>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Accounts payable and accrued expenses</w:t>
            </w:r>
          </w:p>
        </w:tc>
        <w:tc>
          <w:tcPr>
            <w:tcW w:w="253" w:type="dxa"/>
            <w:tcBorders/>
            <w:vAlign w:val="center"/>
          </w:tcPr>
          <w:p>
            <w:pPr>
              <w:pStyle w:val="TableContents"/>
              <w:bidi w:val="0"/>
              <w:spacing w:before="0" w:after="283"/>
              <w:jc w:val="right"/>
              <w:rPr/>
            </w:pPr>
            <w:r>
              <w:rPr/>
              <w:t> </w:t>
            </w:r>
          </w:p>
        </w:tc>
        <w:tc>
          <w:tcPr>
            <w:tcW w:w="1196" w:type="dxa"/>
            <w:tcBorders/>
            <w:vAlign w:val="center"/>
          </w:tcPr>
          <w:p>
            <w:pPr>
              <w:pStyle w:val="TableContents"/>
              <w:bidi w:val="0"/>
              <w:spacing w:before="0" w:after="283"/>
              <w:jc w:val="right"/>
              <w:rPr/>
            </w:pPr>
            <w:r>
              <w:rPr/>
              <w:t>1,581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 </w:t>
            </w:r>
          </w:p>
        </w:tc>
        <w:tc>
          <w:tcPr>
            <w:tcW w:w="1326" w:type="dxa"/>
            <w:tcBorders/>
            <w:vAlign w:val="center"/>
          </w:tcPr>
          <w:p>
            <w:pPr>
              <w:pStyle w:val="TableContents"/>
              <w:bidi w:val="0"/>
              <w:spacing w:before="0" w:after="283"/>
              <w:jc w:val="right"/>
              <w:rPr/>
            </w:pPr>
            <w:r>
              <w:rPr/>
              <w:t>2,166</w:t>
            </w:r>
          </w:p>
        </w:tc>
        <w:tc>
          <w:tcPr>
            <w:tcW w:w="228" w:type="dxa"/>
            <w:tcBorders/>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Deferred tax liability</w:t>
            </w:r>
          </w:p>
        </w:tc>
        <w:tc>
          <w:tcPr>
            <w:tcW w:w="253" w:type="dxa"/>
            <w:tcBorders/>
            <w:vAlign w:val="center"/>
          </w:tcPr>
          <w:p>
            <w:pPr>
              <w:pStyle w:val="TableContents"/>
              <w:bidi w:val="0"/>
              <w:spacing w:before="0" w:after="283"/>
              <w:jc w:val="right"/>
              <w:rPr/>
            </w:pPr>
            <w:r>
              <w:rPr/>
              <w:t> </w:t>
            </w:r>
          </w:p>
        </w:tc>
        <w:tc>
          <w:tcPr>
            <w:tcW w:w="1196" w:type="dxa"/>
            <w:tcBorders/>
            <w:vAlign w:val="center"/>
          </w:tcPr>
          <w:p>
            <w:pPr>
              <w:pStyle w:val="TableContents"/>
              <w:bidi w:val="0"/>
              <w:spacing w:before="0" w:after="283"/>
              <w:jc w:val="right"/>
              <w:rPr/>
            </w:pPr>
            <w:r>
              <w:rPr/>
              <w:t>1,558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 </w:t>
            </w:r>
          </w:p>
        </w:tc>
        <w:tc>
          <w:tcPr>
            <w:tcW w:w="1326" w:type="dxa"/>
            <w:tcBorders/>
            <w:vAlign w:val="center"/>
          </w:tcPr>
          <w:p>
            <w:pPr>
              <w:pStyle w:val="TableContents"/>
              <w:bidi w:val="0"/>
              <w:spacing w:before="0" w:after="283"/>
              <w:jc w:val="right"/>
              <w:rPr/>
            </w:pPr>
            <w:r>
              <w:rPr/>
              <w:t>1,864</w:t>
            </w:r>
          </w:p>
        </w:tc>
        <w:tc>
          <w:tcPr>
            <w:tcW w:w="228" w:type="dxa"/>
            <w:tcBorders/>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Due to affiliates</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9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739</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594"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w:t>
            </w:r>
          </w:p>
        </w:tc>
        <w:tc>
          <w:tcPr>
            <w:tcW w:w="25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9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1,709,279</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3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1,839,165</w:t>
            </w:r>
          </w:p>
        </w:tc>
        <w:tc>
          <w:tcPr>
            <w:tcW w:w="2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rStyle w:val="StrongEmphasis"/>
              </w:rPr>
              <w:t>Net assets</w:t>
            </w:r>
          </w:p>
        </w:tc>
        <w:tc>
          <w:tcPr>
            <w:tcW w:w="163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35" w:type="dxa"/>
            <w:gridSpan w:val="3"/>
            <w:tcBorders/>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Common stock, 99,217,896 and 99,217,896 shares issued and outstanding, respectively Par value $0.001 per share and 200,000,000 shares authorized</w:t>
            </w:r>
          </w:p>
        </w:tc>
        <w:tc>
          <w:tcPr>
            <w:tcW w:w="253" w:type="dxa"/>
            <w:tcBorders/>
            <w:vAlign w:val="center"/>
          </w:tcPr>
          <w:p>
            <w:pPr>
              <w:pStyle w:val="TableContents"/>
              <w:bidi w:val="0"/>
              <w:spacing w:before="0" w:after="283"/>
              <w:jc w:val="right"/>
              <w:rPr/>
            </w:pPr>
            <w:r>
              <w:rPr/>
              <w:t> </w:t>
            </w:r>
          </w:p>
        </w:tc>
        <w:tc>
          <w:tcPr>
            <w:tcW w:w="1196" w:type="dxa"/>
            <w:tcBorders/>
            <w:vAlign w:val="center"/>
          </w:tcPr>
          <w:p>
            <w:pPr>
              <w:pStyle w:val="TableContents"/>
              <w:bidi w:val="0"/>
              <w:spacing w:before="0" w:after="283"/>
              <w:jc w:val="right"/>
              <w:rPr/>
            </w:pPr>
            <w:r>
              <w:rPr/>
              <w:t>99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 </w:t>
            </w:r>
          </w:p>
        </w:tc>
        <w:tc>
          <w:tcPr>
            <w:tcW w:w="1326" w:type="dxa"/>
            <w:tcBorders/>
            <w:vAlign w:val="center"/>
          </w:tcPr>
          <w:p>
            <w:pPr>
              <w:pStyle w:val="TableContents"/>
              <w:bidi w:val="0"/>
              <w:spacing w:before="0" w:after="283"/>
              <w:jc w:val="right"/>
              <w:rPr/>
            </w:pPr>
            <w:r>
              <w:rPr/>
              <w:t>99</w:t>
            </w:r>
          </w:p>
        </w:tc>
        <w:tc>
          <w:tcPr>
            <w:tcW w:w="228" w:type="dxa"/>
            <w:tcBorders/>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Paid-in capital in excess of par value</w:t>
            </w:r>
          </w:p>
        </w:tc>
        <w:tc>
          <w:tcPr>
            <w:tcW w:w="253" w:type="dxa"/>
            <w:tcBorders/>
            <w:vAlign w:val="center"/>
          </w:tcPr>
          <w:p>
            <w:pPr>
              <w:pStyle w:val="TableContents"/>
              <w:bidi w:val="0"/>
              <w:spacing w:before="0" w:after="283"/>
              <w:jc w:val="right"/>
              <w:rPr/>
            </w:pPr>
            <w:r>
              <w:rPr/>
              <w:t> </w:t>
            </w:r>
          </w:p>
        </w:tc>
        <w:tc>
          <w:tcPr>
            <w:tcW w:w="1196" w:type="dxa"/>
            <w:tcBorders/>
            <w:vAlign w:val="center"/>
          </w:tcPr>
          <w:p>
            <w:pPr>
              <w:pStyle w:val="TableContents"/>
              <w:bidi w:val="0"/>
              <w:spacing w:before="0" w:after="283"/>
              <w:jc w:val="right"/>
              <w:rPr/>
            </w:pPr>
            <w:r>
              <w:rPr/>
              <w:t>1,219,502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 </w:t>
            </w:r>
          </w:p>
        </w:tc>
        <w:tc>
          <w:tcPr>
            <w:tcW w:w="1326" w:type="dxa"/>
            <w:tcBorders/>
            <w:vAlign w:val="center"/>
          </w:tcPr>
          <w:p>
            <w:pPr>
              <w:pStyle w:val="TableContents"/>
              <w:bidi w:val="0"/>
              <w:spacing w:before="0" w:after="283"/>
              <w:jc w:val="right"/>
              <w:rPr/>
            </w:pPr>
            <w:r>
              <w:rPr/>
              <w:t>1,219,502</w:t>
            </w:r>
          </w:p>
        </w:tc>
        <w:tc>
          <w:tcPr>
            <w:tcW w:w="228" w:type="dxa"/>
            <w:tcBorders/>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Accumulated deficit</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9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(180,944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8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(145,085</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6594"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net assets</w:t>
            </w:r>
          </w:p>
        </w:tc>
        <w:tc>
          <w:tcPr>
            <w:tcW w:w="25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19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1,038,657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3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1,074,516</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594"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w:t>
            </w:r>
            <w:r>
              <w:rPr/>
              <w:t xml:space="preserve"> </w:t>
            </w:r>
            <w:r>
              <w:rPr>
                <w:rStyle w:val="StrongEmphasis"/>
              </w:rPr>
              <w:t>liabilities</w:t>
            </w:r>
            <w:r>
              <w:rPr/>
              <w:t xml:space="preserve"> </w:t>
            </w:r>
            <w:r>
              <w:rPr>
                <w:rStyle w:val="StrongEmphasis"/>
              </w:rPr>
              <w:t>and</w:t>
            </w:r>
            <w:r>
              <w:rPr/>
              <w:t xml:space="preserve"> </w:t>
            </w:r>
            <w:r>
              <w:rPr>
                <w:rStyle w:val="StrongEmphasis"/>
              </w:rPr>
              <w:t>net</w:t>
            </w:r>
            <w:r>
              <w:rPr/>
              <w:t xml:space="preserve"> </w:t>
            </w:r>
            <w:r>
              <w:rPr>
                <w:rStyle w:val="StrongEmphasis"/>
              </w:rPr>
              <w:t>assets</w:t>
            </w:r>
          </w:p>
        </w:tc>
        <w:tc>
          <w:tcPr>
            <w:tcW w:w="25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9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2,747,936</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3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2,913,681</w:t>
            </w:r>
          </w:p>
        </w:tc>
        <w:tc>
          <w:tcPr>
            <w:tcW w:w="22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rStyle w:val="StrongEmphasis"/>
              </w:rPr>
              <w:t>Net asset value per share</w:t>
            </w:r>
          </w:p>
        </w:tc>
        <w:tc>
          <w:tcPr>
            <w:tcW w:w="25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19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10.47</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3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10.83</w:t>
            </w:r>
          </w:p>
        </w:tc>
        <w:tc>
          <w:tcPr>
            <w:tcW w:w="228"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r>
    </w:p>
    <w:tbl>
      <w:tblPr>
        <w:tblW w:w="10205" w:type="dxa"/>
        <w:jc w:val="left"/>
        <w:tblInd w:w="0" w:type="dxa"/>
        <w:tblLayout w:type="fixed"/>
        <w:tblCellMar>
          <w:top w:w="28" w:type="dxa"/>
          <w:left w:w="28" w:type="dxa"/>
          <w:bottom w:w="28" w:type="dxa"/>
          <w:right w:w="28" w:type="dxa"/>
        </w:tblCellMar>
      </w:tblPr>
      <w:tblGrid>
        <w:gridCol w:w="4239"/>
        <w:gridCol w:w="248"/>
        <w:gridCol w:w="926"/>
        <w:gridCol w:w="199"/>
        <w:gridCol w:w="160"/>
        <w:gridCol w:w="248"/>
        <w:gridCol w:w="926"/>
        <w:gridCol w:w="199"/>
        <w:gridCol w:w="146"/>
        <w:gridCol w:w="236"/>
        <w:gridCol w:w="928"/>
        <w:gridCol w:w="189"/>
        <w:gridCol w:w="152"/>
        <w:gridCol w:w="236"/>
        <w:gridCol w:w="928"/>
        <w:gridCol w:w="245"/>
      </w:tblGrid>
      <w:tr>
        <w:trPr/>
        <w:tc>
          <w:tcPr>
            <w:tcW w:w="10205" w:type="dxa"/>
            <w:gridSpan w:val="16"/>
            <w:tcBorders/>
            <w:vAlign w:val="center"/>
          </w:tcPr>
          <w:p>
            <w:pPr>
              <w:pStyle w:val="TableContents"/>
              <w:bidi w:val="0"/>
              <w:spacing w:before="0" w:after="283"/>
              <w:jc w:val="left"/>
              <w:rPr/>
            </w:pPr>
            <w:r>
              <w:rPr/>
              <w:t> </w:t>
            </w:r>
          </w:p>
        </w:tc>
      </w:tr>
      <w:tr>
        <w:trPr/>
        <w:tc>
          <w:tcPr>
            <w:tcW w:w="10205" w:type="dxa"/>
            <w:gridSpan w:val="16"/>
            <w:tcBorders/>
            <w:vAlign w:val="center"/>
          </w:tcPr>
          <w:p>
            <w:pPr>
              <w:pStyle w:val="TableContents"/>
              <w:bidi w:val="0"/>
              <w:spacing w:before="0" w:after="283"/>
              <w:jc w:val="center"/>
              <w:rPr/>
            </w:pPr>
            <w:r>
              <w:rPr>
                <w:rStyle w:val="StrongEmphasis"/>
              </w:rPr>
              <w:t>PENNANTPARK</w:t>
            </w:r>
            <w:r>
              <w:rPr/>
              <w:t xml:space="preserve"> </w:t>
            </w:r>
            <w:r>
              <w:rPr>
                <w:rStyle w:val="StrongEmphasis"/>
              </w:rPr>
              <w:t>FLOATING</w:t>
            </w:r>
            <w:r>
              <w:rPr/>
              <w:t xml:space="preserve"> </w:t>
            </w:r>
            <w:r>
              <w:rPr>
                <w:rStyle w:val="StrongEmphasis"/>
              </w:rPr>
              <w:t>RATE</w:t>
            </w:r>
            <w:r>
              <w:rPr/>
              <w:t xml:space="preserve"> </w:t>
            </w:r>
            <w:r>
              <w:rPr>
                <w:rStyle w:val="StrongEmphasis"/>
              </w:rPr>
              <w:t>CAPITAL</w:t>
            </w:r>
            <w:r>
              <w:rPr/>
              <w:t xml:space="preserve"> </w:t>
            </w:r>
            <w:r>
              <w:rPr>
                <w:rStyle w:val="StrongEmphasis"/>
              </w:rPr>
              <w:t>LTD. AND</w:t>
            </w:r>
            <w:r>
              <w:rPr/>
              <w:t xml:space="preserve"> </w:t>
            </w:r>
            <w:r>
              <w:rPr>
                <w:rStyle w:val="StrongEmphasis"/>
              </w:rPr>
              <w:t xml:space="preserve">SUBSIDIARIES </w:t>
              <w:br/>
              <w:t>CONSOLIDATED STATEMENTS OF OPERATIONS</w:t>
            </w:r>
            <w:r>
              <w:rPr/>
              <w:br/>
            </w:r>
            <w:r>
              <w:rPr>
                <w:rStyle w:val="StrongEmphasis"/>
              </w:rPr>
              <w:t>(in</w:t>
            </w:r>
            <w:r>
              <w:rPr/>
              <w:t xml:space="preserve"> </w:t>
            </w:r>
            <w:r>
              <w:rPr>
                <w:rStyle w:val="StrongEmphasis"/>
              </w:rPr>
              <w:t>thousands,</w:t>
            </w:r>
            <w:r>
              <w:rPr/>
              <w:t xml:space="preserve"> </w:t>
            </w:r>
            <w:r>
              <w:rPr>
                <w:rStyle w:val="StrongEmphasis"/>
              </w:rPr>
              <w:t>except</w:t>
            </w:r>
            <w:r>
              <w:rPr/>
              <w:t xml:space="preserve"> </w:t>
            </w:r>
            <w:r>
              <w:rPr>
                <w:rStyle w:val="StrongEmphasis"/>
              </w:rPr>
              <w:t>per</w:t>
            </w:r>
            <w:r>
              <w:rPr/>
              <w:t xml:space="preserve"> </w:t>
            </w:r>
            <w:r>
              <w:rPr>
                <w:rStyle w:val="StrongEmphasis"/>
              </w:rPr>
              <w:t>share</w:t>
            </w:r>
            <w:r>
              <w:rPr/>
              <w:t xml:space="preserve"> </w:t>
            </w:r>
            <w:r>
              <w:rPr>
                <w:rStyle w:val="StrongEmphasis"/>
              </w:rPr>
              <w:t>data)</w:t>
            </w:r>
            <w:r>
              <w:rPr/>
              <w:t xml:space="preserve"> </w:t>
              <w:br/>
            </w:r>
            <w:r>
              <w:rPr>
                <w:rStyle w:val="StrongEmphasis"/>
              </w:rPr>
              <w:t>(Unaudited)</w:t>
            </w:r>
          </w:p>
        </w:tc>
      </w:tr>
      <w:tr>
        <w:trPr/>
        <w:tc>
          <w:tcPr>
            <w:tcW w:w="10205" w:type="dxa"/>
            <w:gridSpan w:val="16"/>
            <w:tcBorders/>
            <w:vAlign w:val="center"/>
          </w:tcPr>
          <w:p>
            <w:pPr>
              <w:pStyle w:val="TableContents"/>
              <w:bidi w:val="0"/>
              <w:spacing w:before="0" w:after="283"/>
              <w:jc w:val="left"/>
              <w:rPr/>
            </w:pPr>
            <w:r>
              <w:rPr/>
              <w:t> </w:t>
            </w:r>
          </w:p>
        </w:tc>
      </w:tr>
      <w:tr>
        <w:trPr/>
        <w:tc>
          <w:tcPr>
            <w:tcW w:w="10205" w:type="dxa"/>
            <w:gridSpan w:val="16"/>
            <w:tcBorders/>
            <w:vAlign w:val="center"/>
          </w:tcPr>
          <w:p>
            <w:pPr>
              <w:pStyle w:val="TableContents"/>
              <w:bidi w:val="0"/>
              <w:spacing w:before="0" w:after="283"/>
              <w:jc w:val="left"/>
              <w:rPr/>
            </w:pPr>
            <w:r>
              <w:rPr/>
              <w:t> </w:t>
            </w:r>
          </w:p>
        </w:tc>
      </w:tr>
      <w:tr>
        <w:trPr/>
        <w:tc>
          <w:tcPr>
            <w:tcW w:w="4239" w:type="dxa"/>
            <w:tcBorders/>
            <w:vAlign w:val="center"/>
          </w:tcPr>
          <w:p>
            <w:pPr>
              <w:pStyle w:val="TableContents"/>
              <w:bidi w:val="0"/>
              <w:spacing w:before="0" w:after="283"/>
              <w:jc w:val="left"/>
              <w:rPr/>
            </w:pPr>
            <w:r>
              <w:rPr/>
              <w:t> </w:t>
            </w:r>
          </w:p>
        </w:tc>
        <w:tc>
          <w:tcPr>
            <w:tcW w:w="2906"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March 31,</w:t>
            </w:r>
          </w:p>
        </w:tc>
        <w:tc>
          <w:tcPr>
            <w:tcW w:w="146" w:type="dxa"/>
            <w:tcBorders/>
            <w:vAlign w:val="center"/>
          </w:tcPr>
          <w:p>
            <w:pPr>
              <w:pStyle w:val="TableContents"/>
              <w:bidi w:val="0"/>
              <w:spacing w:before="0" w:after="283"/>
              <w:jc w:val="center"/>
              <w:rPr/>
            </w:pPr>
            <w:r>
              <w:rPr/>
              <w:t> </w:t>
            </w:r>
          </w:p>
        </w:tc>
        <w:tc>
          <w:tcPr>
            <w:tcW w:w="2914"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Six Months Ended March 31,</w:t>
            </w:r>
          </w:p>
        </w:tc>
      </w:tr>
      <w:tr>
        <w:trPr/>
        <w:tc>
          <w:tcPr>
            <w:tcW w:w="4239" w:type="dxa"/>
            <w:tcBorders/>
            <w:vAlign w:val="center"/>
          </w:tcPr>
          <w:p>
            <w:pPr>
              <w:pStyle w:val="TableContents"/>
              <w:bidi w:val="0"/>
              <w:spacing w:before="0" w:after="283"/>
              <w:jc w:val="left"/>
              <w:rPr/>
            </w:pPr>
            <w:r>
              <w:rPr>
                <w:rStyle w:val="StrongEmphasis"/>
              </w:rPr>
              <w:t>Investment income:</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60" w:type="dxa"/>
            <w:tcBorders/>
            <w:vAlign w:val="center"/>
          </w:tcPr>
          <w:p>
            <w:pPr>
              <w:pStyle w:val="TableContents"/>
              <w:bidi w:val="0"/>
              <w:spacing w:before="0" w:after="283"/>
              <w:jc w:val="left"/>
              <w:rPr/>
            </w:pPr>
            <w:r>
              <w:rPr/>
              <w:t> </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28"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52" w:type="dxa"/>
            <w:tcBorders/>
            <w:vAlign w:val="center"/>
          </w:tcPr>
          <w:p>
            <w:pPr>
              <w:pStyle w:val="TableContents"/>
              <w:bidi w:val="0"/>
              <w:spacing w:before="0" w:after="283"/>
              <w:jc w:val="left"/>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28"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24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239" w:type="dxa"/>
            <w:tcBorders/>
            <w:vAlign w:val="center"/>
          </w:tcPr>
          <w:p>
            <w:pPr>
              <w:pStyle w:val="TableContents"/>
              <w:bidi w:val="0"/>
              <w:spacing w:before="0" w:after="283"/>
              <w:jc w:val="left"/>
              <w:rPr/>
            </w:pPr>
            <w:r>
              <w:rPr/>
              <w:t>From non-controlled, non-affiliated investments:</w:t>
            </w:r>
          </w:p>
        </w:tc>
        <w:tc>
          <w:tcPr>
            <w:tcW w:w="1373" w:type="dxa"/>
            <w:gridSpan w:val="3"/>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3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3" w:type="dxa"/>
            <w:gridSpan w:val="3"/>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09" w:type="dxa"/>
            <w:gridSpan w:val="3"/>
            <w:tcBorders/>
            <w:vAlign w:val="center"/>
          </w:tcPr>
          <w:p>
            <w:pPr>
              <w:pStyle w:val="TableContents"/>
              <w:bidi w:val="0"/>
              <w:spacing w:before="0" w:after="283"/>
              <w:jc w:val="left"/>
              <w:rPr/>
            </w:pPr>
            <w:r>
              <w:rPr/>
              <w:t> </w:t>
            </w:r>
          </w:p>
        </w:tc>
      </w:tr>
      <w:tr>
        <w:trPr/>
        <w:tc>
          <w:tcPr>
            <w:tcW w:w="4239"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248" w:type="dxa"/>
            <w:tcBorders/>
            <w:vAlign w:val="center"/>
          </w:tcPr>
          <w:p>
            <w:pPr>
              <w:pStyle w:val="TableContents"/>
              <w:bidi w:val="0"/>
              <w:spacing w:before="0" w:after="283"/>
              <w:jc w:val="right"/>
              <w:rPr/>
            </w:pPr>
            <w:r>
              <w:rPr/>
              <w:t>$</w:t>
            </w:r>
          </w:p>
        </w:tc>
        <w:tc>
          <w:tcPr>
            <w:tcW w:w="926" w:type="dxa"/>
            <w:tcBorders/>
            <w:vAlign w:val="center"/>
          </w:tcPr>
          <w:p>
            <w:pPr>
              <w:pStyle w:val="TableContents"/>
              <w:bidi w:val="0"/>
              <w:spacing w:before="0" w:after="283"/>
              <w:jc w:val="right"/>
              <w:rPr/>
            </w:pPr>
            <w:r>
              <w:rPr/>
              <w:t>50,735</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right"/>
              <w:rPr/>
            </w:pPr>
            <w:r>
              <w:rPr/>
              <w:t>$</w:t>
            </w:r>
          </w:p>
        </w:tc>
        <w:tc>
          <w:tcPr>
            <w:tcW w:w="926" w:type="dxa"/>
            <w:tcBorders/>
            <w:vAlign w:val="center"/>
          </w:tcPr>
          <w:p>
            <w:pPr>
              <w:pStyle w:val="TableContents"/>
              <w:bidi w:val="0"/>
              <w:spacing w:before="0" w:after="283"/>
              <w:jc w:val="right"/>
              <w:rPr/>
            </w:pPr>
            <w:r>
              <w:rPr/>
              <w:t>49,215</w:t>
            </w:r>
          </w:p>
        </w:tc>
        <w:tc>
          <w:tcPr>
            <w:tcW w:w="1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w:t>
            </w:r>
          </w:p>
        </w:tc>
        <w:tc>
          <w:tcPr>
            <w:tcW w:w="928" w:type="dxa"/>
            <w:tcBorders/>
            <w:vAlign w:val="center"/>
          </w:tcPr>
          <w:p>
            <w:pPr>
              <w:pStyle w:val="TableContents"/>
              <w:bidi w:val="0"/>
              <w:spacing w:before="0" w:after="283"/>
              <w:jc w:val="right"/>
              <w:rPr/>
            </w:pPr>
            <w:r>
              <w:rPr/>
              <w:t>107,265</w:t>
            </w:r>
          </w:p>
        </w:tc>
        <w:tc>
          <w:tcPr>
            <w:tcW w:w="189"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w:t>
            </w:r>
          </w:p>
        </w:tc>
        <w:tc>
          <w:tcPr>
            <w:tcW w:w="928" w:type="dxa"/>
            <w:tcBorders/>
            <w:vAlign w:val="center"/>
          </w:tcPr>
          <w:p>
            <w:pPr>
              <w:pStyle w:val="TableContents"/>
              <w:bidi w:val="0"/>
              <w:spacing w:before="0" w:after="283"/>
              <w:jc w:val="right"/>
              <w:rPr/>
            </w:pPr>
            <w:r>
              <w:rPr/>
              <w:t>96,678</w:t>
            </w:r>
          </w:p>
        </w:tc>
        <w:tc>
          <w:tcPr>
            <w:tcW w:w="245" w:type="dxa"/>
            <w:tcBorders/>
            <w:vAlign w:val="center"/>
          </w:tcPr>
          <w:p>
            <w:pPr>
              <w:pStyle w:val="TableContents"/>
              <w:bidi w:val="0"/>
              <w:spacing w:before="0" w:after="283"/>
              <w:jc w:val="left"/>
              <w:rPr/>
            </w:pPr>
            <w:r>
              <w:rPr/>
              <w:t> </w:t>
            </w:r>
          </w:p>
        </w:tc>
      </w:tr>
      <w:tr>
        <w:trPr/>
        <w:tc>
          <w:tcPr>
            <w:tcW w:w="4239" w:type="dxa"/>
            <w:tcBorders/>
            <w:tcMar>
              <w:top w:w="0" w:type="dxa"/>
              <w:left w:w="0" w:type="dxa"/>
              <w:bottom w:w="0" w:type="dxa"/>
              <w:right w:w="0" w:type="dxa"/>
            </w:tcMar>
            <w:vAlign w:val="center"/>
          </w:tcPr>
          <w:p>
            <w:pPr>
              <w:pStyle w:val="TableContents"/>
              <w:bidi w:val="0"/>
              <w:spacing w:before="0" w:after="283"/>
              <w:jc w:val="left"/>
              <w:rPr/>
            </w:pPr>
            <w:r>
              <w:rPr/>
              <w:t>Dividend</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33</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369</w:t>
            </w:r>
          </w:p>
        </w:tc>
        <w:tc>
          <w:tcPr>
            <w:tcW w:w="1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41</w:t>
            </w:r>
          </w:p>
        </w:tc>
        <w:tc>
          <w:tcPr>
            <w:tcW w:w="189"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946</w:t>
            </w:r>
          </w:p>
        </w:tc>
        <w:tc>
          <w:tcPr>
            <w:tcW w:w="245" w:type="dxa"/>
            <w:tcBorders/>
            <w:vAlign w:val="center"/>
          </w:tcPr>
          <w:p>
            <w:pPr>
              <w:pStyle w:val="TableContents"/>
              <w:bidi w:val="0"/>
              <w:spacing w:before="0" w:after="283"/>
              <w:jc w:val="left"/>
              <w:rPr/>
            </w:pPr>
            <w:r>
              <w:rPr/>
              <w:t> </w:t>
            </w:r>
          </w:p>
        </w:tc>
      </w:tr>
      <w:tr>
        <w:trPr/>
        <w:tc>
          <w:tcPr>
            <w:tcW w:w="4239" w:type="dxa"/>
            <w:tcBorders/>
            <w:tcMar>
              <w:top w:w="0" w:type="dxa"/>
              <w:left w:w="0" w:type="dxa"/>
              <w:bottom w:w="0" w:type="dxa"/>
              <w:right w:w="0" w:type="dxa"/>
            </w:tcMar>
            <w:vAlign w:val="center"/>
          </w:tcPr>
          <w:p>
            <w:pPr>
              <w:pStyle w:val="TableContents"/>
              <w:bidi w:val="0"/>
              <w:spacing w:before="0" w:after="283"/>
              <w:jc w:val="left"/>
              <w:rPr/>
            </w:pPr>
            <w:r>
              <w:rPr/>
              <w:t>Other income</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386</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634</w:t>
            </w:r>
          </w:p>
        </w:tc>
        <w:tc>
          <w:tcPr>
            <w:tcW w:w="1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1,148</w:t>
            </w:r>
          </w:p>
        </w:tc>
        <w:tc>
          <w:tcPr>
            <w:tcW w:w="189"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2,114</w:t>
            </w:r>
          </w:p>
        </w:tc>
        <w:tc>
          <w:tcPr>
            <w:tcW w:w="245" w:type="dxa"/>
            <w:tcBorders/>
            <w:vAlign w:val="center"/>
          </w:tcPr>
          <w:p>
            <w:pPr>
              <w:pStyle w:val="TableContents"/>
              <w:bidi w:val="0"/>
              <w:spacing w:before="0" w:after="283"/>
              <w:jc w:val="left"/>
              <w:rPr/>
            </w:pPr>
            <w:r>
              <w:rPr/>
              <w:t> </w:t>
            </w:r>
          </w:p>
        </w:tc>
      </w:tr>
      <w:tr>
        <w:trPr/>
        <w:tc>
          <w:tcPr>
            <w:tcW w:w="10205" w:type="dxa"/>
            <w:gridSpan w:val="16"/>
            <w:tcBorders/>
            <w:vAlign w:val="center"/>
          </w:tcPr>
          <w:p>
            <w:pPr>
              <w:pStyle w:val="TableContents"/>
              <w:bidi w:val="0"/>
              <w:spacing w:before="0" w:after="283"/>
              <w:jc w:val="left"/>
              <w:rPr/>
            </w:pPr>
            <w:r>
              <w:rPr/>
              <w:t>From controlled, affiliated investments:</w:t>
            </w:r>
          </w:p>
        </w:tc>
      </w:tr>
      <w:tr>
        <w:trPr/>
        <w:tc>
          <w:tcPr>
            <w:tcW w:w="4239"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8,652</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7,345</w:t>
            </w:r>
          </w:p>
        </w:tc>
        <w:tc>
          <w:tcPr>
            <w:tcW w:w="1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16,497</w:t>
            </w:r>
          </w:p>
        </w:tc>
        <w:tc>
          <w:tcPr>
            <w:tcW w:w="189"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20,153</w:t>
            </w:r>
          </w:p>
        </w:tc>
        <w:tc>
          <w:tcPr>
            <w:tcW w:w="245" w:type="dxa"/>
            <w:tcBorders/>
            <w:vAlign w:val="center"/>
          </w:tcPr>
          <w:p>
            <w:pPr>
              <w:pStyle w:val="TableContents"/>
              <w:bidi w:val="0"/>
              <w:spacing w:before="0" w:after="283"/>
              <w:jc w:val="left"/>
              <w:rPr/>
            </w:pPr>
            <w:r>
              <w:rPr/>
              <w:t> </w:t>
            </w:r>
          </w:p>
        </w:tc>
      </w:tr>
      <w:tr>
        <w:trPr/>
        <w:tc>
          <w:tcPr>
            <w:tcW w:w="4239" w:type="dxa"/>
            <w:tcBorders/>
            <w:tcMar>
              <w:top w:w="0" w:type="dxa"/>
              <w:left w:w="0" w:type="dxa"/>
              <w:bottom w:w="0" w:type="dxa"/>
              <w:right w:w="0" w:type="dxa"/>
            </w:tcMar>
            <w:vAlign w:val="center"/>
          </w:tcPr>
          <w:p>
            <w:pPr>
              <w:pStyle w:val="TableContents"/>
              <w:bidi w:val="0"/>
              <w:spacing w:before="0" w:after="283"/>
              <w:jc w:val="left"/>
              <w:rPr/>
            </w:pPr>
            <w:r>
              <w:rPr/>
              <w:t>Dividend</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6,150</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4,375</w:t>
            </w:r>
          </w:p>
        </w:tc>
        <w:tc>
          <w:tcPr>
            <w:tcW w:w="1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11,094</w:t>
            </w:r>
          </w:p>
        </w:tc>
        <w:tc>
          <w:tcPr>
            <w:tcW w:w="189"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8,750</w:t>
            </w:r>
          </w:p>
        </w:tc>
        <w:tc>
          <w:tcPr>
            <w:tcW w:w="245" w:type="dxa"/>
            <w:tcBorders/>
            <w:vAlign w:val="center"/>
          </w:tcPr>
          <w:p>
            <w:pPr>
              <w:pStyle w:val="TableContents"/>
              <w:bidi w:val="0"/>
              <w:spacing w:before="0" w:after="283"/>
              <w:jc w:val="left"/>
              <w:rPr/>
            </w:pPr>
            <w:r>
              <w:rPr/>
              <w:t> </w:t>
            </w:r>
          </w:p>
        </w:tc>
      </w:tr>
      <w:tr>
        <w:trPr/>
        <w:tc>
          <w:tcPr>
            <w:tcW w:w="4239" w:type="dxa"/>
            <w:tcBorders/>
            <w:tcMar>
              <w:top w:w="0" w:type="dxa"/>
              <w:left w:w="0" w:type="dxa"/>
              <w:bottom w:w="0" w:type="dxa"/>
              <w:right w:w="0" w:type="dxa"/>
            </w:tcMar>
            <w:vAlign w:val="center"/>
          </w:tcPr>
          <w:p>
            <w:pPr>
              <w:pStyle w:val="TableContents"/>
              <w:bidi w:val="0"/>
              <w:spacing w:before="0" w:after="283"/>
              <w:jc w:val="left"/>
              <w:rPr/>
            </w:pPr>
            <w:r>
              <w:rPr/>
              <w:t>Other income</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306</w:t>
            </w:r>
          </w:p>
        </w:tc>
        <w:tc>
          <w:tcPr>
            <w:tcW w:w="24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39"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investment income</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65,956</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61,938</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136,045</w:t>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128,947</w:t>
            </w:r>
          </w:p>
        </w:tc>
        <w:tc>
          <w:tcPr>
            <w:tcW w:w="24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205" w:type="dxa"/>
            <w:gridSpan w:val="16"/>
            <w:tcBorders/>
            <w:vAlign w:val="center"/>
          </w:tcPr>
          <w:p>
            <w:pPr>
              <w:pStyle w:val="TableContents"/>
              <w:bidi w:val="0"/>
              <w:spacing w:before="0" w:after="283"/>
              <w:jc w:val="left"/>
              <w:rPr/>
            </w:pPr>
            <w:r>
              <w:rPr>
                <w:rStyle w:val="StrongEmphasis"/>
              </w:rPr>
              <w:t>Expenses:</w:t>
            </w:r>
          </w:p>
        </w:tc>
      </w:tr>
      <w:tr>
        <w:trPr/>
        <w:tc>
          <w:tcPr>
            <w:tcW w:w="4239" w:type="dxa"/>
            <w:tcBorders/>
            <w:tcMar>
              <w:top w:w="0" w:type="dxa"/>
              <w:left w:w="0" w:type="dxa"/>
              <w:bottom w:w="0" w:type="dxa"/>
              <w:right w:w="0" w:type="dxa"/>
            </w:tcMar>
            <w:vAlign w:val="center"/>
          </w:tcPr>
          <w:p>
            <w:pPr>
              <w:pStyle w:val="TableContents"/>
              <w:bidi w:val="0"/>
              <w:spacing w:before="0" w:after="283"/>
              <w:jc w:val="left"/>
              <w:rPr/>
            </w:pPr>
            <w:r>
              <w:rPr/>
              <w:t>Interest and expenses on debt</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24,139</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22,529</w:t>
            </w:r>
          </w:p>
        </w:tc>
        <w:tc>
          <w:tcPr>
            <w:tcW w:w="1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51,293</w:t>
            </w:r>
          </w:p>
        </w:tc>
        <w:tc>
          <w:tcPr>
            <w:tcW w:w="189"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44,890</w:t>
            </w:r>
          </w:p>
        </w:tc>
        <w:tc>
          <w:tcPr>
            <w:tcW w:w="245" w:type="dxa"/>
            <w:tcBorders/>
            <w:vAlign w:val="center"/>
          </w:tcPr>
          <w:p>
            <w:pPr>
              <w:pStyle w:val="TableContents"/>
              <w:bidi w:val="0"/>
              <w:spacing w:before="0" w:after="283"/>
              <w:jc w:val="left"/>
              <w:rPr/>
            </w:pPr>
            <w:r>
              <w:rPr/>
              <w:t> </w:t>
            </w:r>
          </w:p>
        </w:tc>
      </w:tr>
      <w:tr>
        <w:trPr/>
        <w:tc>
          <w:tcPr>
            <w:tcW w:w="4239" w:type="dxa"/>
            <w:tcBorders/>
            <w:tcMar>
              <w:top w:w="0" w:type="dxa"/>
              <w:left w:w="0" w:type="dxa"/>
              <w:bottom w:w="0" w:type="dxa"/>
              <w:right w:w="0" w:type="dxa"/>
            </w:tcMar>
            <w:vAlign w:val="center"/>
          </w:tcPr>
          <w:p>
            <w:pPr>
              <w:pStyle w:val="TableContents"/>
              <w:bidi w:val="0"/>
              <w:spacing w:before="0" w:after="283"/>
              <w:jc w:val="left"/>
              <w:rPr/>
            </w:pPr>
            <w:r>
              <w:rPr/>
              <w:t>Performance-based incentive fee</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6,437</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6,258</w:t>
            </w:r>
          </w:p>
        </w:tc>
        <w:tc>
          <w:tcPr>
            <w:tcW w:w="1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13,097</w:t>
            </w:r>
          </w:p>
        </w:tc>
        <w:tc>
          <w:tcPr>
            <w:tcW w:w="189"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13,750</w:t>
            </w:r>
          </w:p>
        </w:tc>
        <w:tc>
          <w:tcPr>
            <w:tcW w:w="245" w:type="dxa"/>
            <w:tcBorders/>
            <w:vAlign w:val="center"/>
          </w:tcPr>
          <w:p>
            <w:pPr>
              <w:pStyle w:val="TableContents"/>
              <w:bidi w:val="0"/>
              <w:spacing w:before="0" w:after="283"/>
              <w:jc w:val="left"/>
              <w:rPr/>
            </w:pPr>
            <w:r>
              <w:rPr/>
              <w:t> </w:t>
            </w:r>
          </w:p>
        </w:tc>
      </w:tr>
      <w:tr>
        <w:trPr/>
        <w:tc>
          <w:tcPr>
            <w:tcW w:w="4239" w:type="dxa"/>
            <w:tcBorders/>
            <w:tcMar>
              <w:top w:w="0" w:type="dxa"/>
              <w:left w:w="0" w:type="dxa"/>
              <w:bottom w:w="0" w:type="dxa"/>
              <w:right w:w="0" w:type="dxa"/>
            </w:tcMar>
            <w:vAlign w:val="center"/>
          </w:tcPr>
          <w:p>
            <w:pPr>
              <w:pStyle w:val="TableContents"/>
              <w:bidi w:val="0"/>
              <w:spacing w:before="0" w:after="283"/>
              <w:jc w:val="left"/>
              <w:rPr/>
            </w:pPr>
            <w:r>
              <w:rPr/>
              <w:t>Base management fee</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6,427</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5,604</w:t>
            </w:r>
          </w:p>
        </w:tc>
        <w:tc>
          <w:tcPr>
            <w:tcW w:w="1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13,241</w:t>
            </w:r>
          </w:p>
        </w:tc>
        <w:tc>
          <w:tcPr>
            <w:tcW w:w="189"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10,868</w:t>
            </w:r>
          </w:p>
        </w:tc>
        <w:tc>
          <w:tcPr>
            <w:tcW w:w="245" w:type="dxa"/>
            <w:tcBorders/>
            <w:vAlign w:val="center"/>
          </w:tcPr>
          <w:p>
            <w:pPr>
              <w:pStyle w:val="TableContents"/>
              <w:bidi w:val="0"/>
              <w:spacing w:before="0" w:after="283"/>
              <w:jc w:val="left"/>
              <w:rPr/>
            </w:pPr>
            <w:r>
              <w:rPr/>
              <w:t> </w:t>
            </w:r>
          </w:p>
        </w:tc>
      </w:tr>
      <w:tr>
        <w:trPr/>
        <w:tc>
          <w:tcPr>
            <w:tcW w:w="4239" w:type="dxa"/>
            <w:tcBorders/>
            <w:tcMar>
              <w:top w:w="0" w:type="dxa"/>
              <w:left w:w="0" w:type="dxa"/>
              <w:bottom w:w="0" w:type="dxa"/>
              <w:right w:w="0" w:type="dxa"/>
            </w:tcMar>
            <w:vAlign w:val="center"/>
          </w:tcPr>
          <w:p>
            <w:pPr>
              <w:pStyle w:val="TableContents"/>
              <w:bidi w:val="0"/>
              <w:spacing w:before="0" w:after="283"/>
              <w:jc w:val="left"/>
              <w:rPr/>
            </w:pPr>
            <w:r>
              <w:rPr/>
              <w:t>General and administrative expenses</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1,200</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1,200</w:t>
            </w:r>
          </w:p>
        </w:tc>
        <w:tc>
          <w:tcPr>
            <w:tcW w:w="1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2,400</w:t>
            </w:r>
          </w:p>
        </w:tc>
        <w:tc>
          <w:tcPr>
            <w:tcW w:w="189"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2,400</w:t>
            </w:r>
          </w:p>
        </w:tc>
        <w:tc>
          <w:tcPr>
            <w:tcW w:w="245" w:type="dxa"/>
            <w:tcBorders/>
            <w:vAlign w:val="center"/>
          </w:tcPr>
          <w:p>
            <w:pPr>
              <w:pStyle w:val="TableContents"/>
              <w:bidi w:val="0"/>
              <w:spacing w:before="0" w:after="283"/>
              <w:jc w:val="left"/>
              <w:rPr/>
            </w:pPr>
            <w:r>
              <w:rPr/>
              <w:t> </w:t>
            </w:r>
          </w:p>
        </w:tc>
      </w:tr>
      <w:tr>
        <w:trPr/>
        <w:tc>
          <w:tcPr>
            <w:tcW w:w="4239" w:type="dxa"/>
            <w:tcBorders/>
            <w:tcMar>
              <w:top w:w="0" w:type="dxa"/>
              <w:left w:w="0" w:type="dxa"/>
              <w:bottom w:w="0" w:type="dxa"/>
              <w:right w:w="0" w:type="dxa"/>
            </w:tcMar>
            <w:vAlign w:val="center"/>
          </w:tcPr>
          <w:p>
            <w:pPr>
              <w:pStyle w:val="TableContents"/>
              <w:bidi w:val="0"/>
              <w:spacing w:before="0" w:after="283"/>
              <w:jc w:val="left"/>
              <w:rPr/>
            </w:pPr>
            <w:r>
              <w:rPr/>
              <w:t>Administrative services expenses</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900</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650</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1,800</w:t>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1,150</w:t>
            </w:r>
          </w:p>
        </w:tc>
        <w:tc>
          <w:tcPr>
            <w:tcW w:w="24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39" w:type="dxa"/>
            <w:tcBorders/>
            <w:tcMar>
              <w:top w:w="0" w:type="dxa"/>
              <w:left w:w="0" w:type="dxa"/>
              <w:bottom w:w="0" w:type="dxa"/>
              <w:right w:w="0" w:type="dxa"/>
            </w:tcMar>
            <w:vAlign w:val="center"/>
          </w:tcPr>
          <w:p>
            <w:pPr>
              <w:pStyle w:val="TableContents"/>
              <w:bidi w:val="0"/>
              <w:spacing w:before="0" w:after="283"/>
              <w:jc w:val="left"/>
              <w:rPr/>
            </w:pPr>
            <w:r>
              <w:rPr>
                <w:rStyle w:val="StrongEmphasis"/>
              </w:rPr>
              <w:t>Expenses</w:t>
            </w:r>
            <w:r>
              <w:rPr/>
              <w:t xml:space="preserve"> </w:t>
            </w:r>
            <w:r>
              <w:rPr>
                <w:rStyle w:val="StrongEmphasis"/>
              </w:rPr>
              <w:t>before</w:t>
            </w:r>
            <w:r>
              <w:rPr/>
              <w:t xml:space="preserve"> </w:t>
            </w:r>
            <w:r>
              <w:rPr>
                <w:rStyle w:val="StrongEmphasis"/>
              </w:rPr>
              <w:t>amendment</w:t>
            </w:r>
            <w:r>
              <w:rPr/>
              <w:t xml:space="preserve"> </w:t>
            </w:r>
            <w:r>
              <w:rPr>
                <w:rStyle w:val="StrongEmphasis"/>
              </w:rPr>
              <w:t>costs,</w:t>
            </w:r>
            <w:r>
              <w:rPr/>
              <w:t xml:space="preserve"> </w:t>
            </w:r>
            <w:r>
              <w:rPr>
                <w:rStyle w:val="StrongEmphasis"/>
              </w:rPr>
              <w:t>debt</w:t>
            </w:r>
            <w:r>
              <w:rPr/>
              <w:t xml:space="preserve"> </w:t>
            </w:r>
            <w:r>
              <w:rPr>
                <w:rStyle w:val="StrongEmphasis"/>
              </w:rPr>
              <w:t>issuance</w:t>
            </w:r>
            <w:r>
              <w:rPr/>
              <w:t xml:space="preserve"> </w:t>
            </w:r>
            <w:r>
              <w:rPr>
                <w:rStyle w:val="StrongEmphasis"/>
              </w:rPr>
              <w:t>costs</w:t>
            </w:r>
            <w:r>
              <w:rPr/>
              <w:t xml:space="preserve"> </w:t>
            </w:r>
            <w:r>
              <w:rPr>
                <w:rStyle w:val="StrongEmphasis"/>
              </w:rPr>
              <w:t>and</w:t>
            </w:r>
            <w:r>
              <w:rPr/>
              <w:t xml:space="preserve"> </w:t>
            </w:r>
            <w:r>
              <w:rPr>
                <w:rStyle w:val="StrongEmphasis"/>
              </w:rPr>
              <w:t>provision</w:t>
            </w:r>
            <w:r>
              <w:rPr/>
              <w:t xml:space="preserve"> </w:t>
            </w:r>
            <w:r>
              <w:rPr>
                <w:rStyle w:val="StrongEmphasis"/>
              </w:rPr>
              <w:t>for taxes</w:t>
            </w:r>
          </w:p>
        </w:tc>
        <w:tc>
          <w:tcPr>
            <w:tcW w:w="24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39,103</w:t>
            </w:r>
          </w:p>
        </w:tc>
        <w:tc>
          <w:tcPr>
            <w:tcW w:w="19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36,241</w:t>
            </w:r>
          </w:p>
        </w:tc>
        <w:tc>
          <w:tcPr>
            <w:tcW w:w="19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2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81,831</w:t>
            </w:r>
          </w:p>
        </w:tc>
        <w:tc>
          <w:tcPr>
            <w:tcW w:w="18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2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73,058</w:t>
            </w:r>
          </w:p>
        </w:tc>
        <w:tc>
          <w:tcPr>
            <w:tcW w:w="245"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239" w:type="dxa"/>
            <w:tcBorders/>
            <w:tcMar>
              <w:top w:w="0" w:type="dxa"/>
              <w:left w:w="0" w:type="dxa"/>
              <w:bottom w:w="0" w:type="dxa"/>
              <w:right w:w="0" w:type="dxa"/>
            </w:tcMar>
            <w:vAlign w:val="center"/>
          </w:tcPr>
          <w:p>
            <w:pPr>
              <w:pStyle w:val="TableContents"/>
              <w:bidi w:val="0"/>
              <w:spacing w:before="0" w:after="283"/>
              <w:jc w:val="left"/>
              <w:rPr/>
            </w:pPr>
            <w:r>
              <w:rPr/>
              <w:t>Provision for taxes on net investment income</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25</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225</w:t>
            </w:r>
          </w:p>
        </w:tc>
        <w:tc>
          <w:tcPr>
            <w:tcW w:w="1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250</w:t>
            </w:r>
          </w:p>
        </w:tc>
        <w:tc>
          <w:tcPr>
            <w:tcW w:w="189"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450</w:t>
            </w:r>
          </w:p>
        </w:tc>
        <w:tc>
          <w:tcPr>
            <w:tcW w:w="245" w:type="dxa"/>
            <w:tcBorders/>
            <w:vAlign w:val="center"/>
          </w:tcPr>
          <w:p>
            <w:pPr>
              <w:pStyle w:val="TableContents"/>
              <w:bidi w:val="0"/>
              <w:spacing w:before="0" w:after="283"/>
              <w:jc w:val="left"/>
              <w:rPr/>
            </w:pPr>
            <w:r>
              <w:rPr/>
              <w:t> </w:t>
            </w:r>
          </w:p>
        </w:tc>
      </w:tr>
      <w:tr>
        <w:trPr/>
        <w:tc>
          <w:tcPr>
            <w:tcW w:w="4239" w:type="dxa"/>
            <w:tcBorders/>
            <w:tcMar>
              <w:top w:w="0" w:type="dxa"/>
              <w:left w:w="0" w:type="dxa"/>
              <w:bottom w:w="0" w:type="dxa"/>
              <w:right w:w="0" w:type="dxa"/>
            </w:tcMar>
            <w:vAlign w:val="center"/>
          </w:tcPr>
          <w:p>
            <w:pPr>
              <w:pStyle w:val="TableContents"/>
              <w:bidi w:val="0"/>
              <w:spacing w:before="0" w:after="283"/>
              <w:jc w:val="left"/>
              <w:rPr/>
            </w:pPr>
            <w:r>
              <w:rPr/>
              <w:t>Credit Facility amendment and debt issuance costs</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1,080</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442</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1,578</w:t>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442</w:t>
            </w:r>
          </w:p>
        </w:tc>
        <w:tc>
          <w:tcPr>
            <w:tcW w:w="24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39"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expenses</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40,208</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36,908</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83,659</w:t>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73,950</w:t>
            </w:r>
          </w:p>
        </w:tc>
        <w:tc>
          <w:tcPr>
            <w:tcW w:w="24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39"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investment income</w:t>
            </w:r>
          </w:p>
        </w:tc>
        <w:tc>
          <w:tcPr>
            <w:tcW w:w="2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25,748</w:t>
            </w:r>
          </w:p>
        </w:tc>
        <w:tc>
          <w:tcPr>
            <w:tcW w:w="1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25,030</w:t>
            </w:r>
          </w:p>
        </w:tc>
        <w:tc>
          <w:tcPr>
            <w:tcW w:w="1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52,386</w:t>
            </w:r>
          </w:p>
        </w:tc>
        <w:tc>
          <w:tcPr>
            <w:tcW w:w="18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54,997</w:t>
            </w:r>
          </w:p>
        </w:tc>
        <w:tc>
          <w:tcPr>
            <w:tcW w:w="24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239" w:type="dxa"/>
            <w:tcBorders/>
            <w:vAlign w:val="center"/>
          </w:tcPr>
          <w:p>
            <w:pPr>
              <w:pStyle w:val="TableContents"/>
              <w:bidi w:val="0"/>
              <w:spacing w:before="0" w:after="283"/>
              <w:jc w:val="left"/>
              <w:rPr/>
            </w:pPr>
            <w:r>
              <w:rPr>
                <w:rStyle w:val="StrongEmphasis"/>
              </w:rPr>
              <w:t>Realized</w:t>
            </w:r>
            <w:r>
              <w:rPr/>
              <w:t xml:space="preserve"> </w:t>
            </w:r>
            <w:r>
              <w:rPr>
                <w:rStyle w:val="StrongEmphasis"/>
              </w:rPr>
              <w:t>and</w:t>
            </w:r>
            <w:r>
              <w:rPr/>
              <w:t xml:space="preserve"> </w:t>
            </w:r>
            <w:r>
              <w:rPr>
                <w:rStyle w:val="StrongEmphasis"/>
              </w:rPr>
              <w:t>unrealized</w:t>
            </w:r>
            <w:r>
              <w:rPr/>
              <w:t xml:space="preserve"> </w:t>
            </w:r>
            <w:r>
              <w:rPr>
                <w:rStyle w:val="StrongEmphasis"/>
              </w:rPr>
              <w:t>gain</w:t>
            </w:r>
            <w:r>
              <w:rPr/>
              <w:t xml:space="preserve"> </w:t>
            </w:r>
            <w:r>
              <w:rPr>
                <w:rStyle w:val="StrongEmphasis"/>
              </w:rPr>
              <w:t>(loss)</w:t>
            </w:r>
            <w:r>
              <w:rPr/>
              <w:t xml:space="preserve"> </w:t>
            </w:r>
            <w:r>
              <w:rPr>
                <w:rStyle w:val="StrongEmphasis"/>
              </w:rPr>
              <w:t>on</w:t>
            </w:r>
            <w:r>
              <w:rPr/>
              <w:t xml:space="preserve"> </w:t>
            </w:r>
            <w:r>
              <w:rPr>
                <w:rStyle w:val="StrongEmphasis"/>
              </w:rPr>
              <w:t>investments</w:t>
            </w:r>
            <w:r>
              <w:rPr/>
              <w:t xml:space="preserve"> </w:t>
            </w:r>
            <w:r>
              <w:rPr>
                <w:rStyle w:val="StrongEmphasis"/>
              </w:rPr>
              <w:t>and</w:t>
            </w:r>
            <w:r>
              <w:rPr/>
              <w:t xml:space="preserve"> </w:t>
            </w:r>
            <w:r>
              <w:rPr>
                <w:rStyle w:val="StrongEmphasis"/>
              </w:rPr>
              <w:t>debt:</w:t>
            </w:r>
          </w:p>
        </w:tc>
        <w:tc>
          <w:tcPr>
            <w:tcW w:w="1373" w:type="dxa"/>
            <w:gridSpan w:val="3"/>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3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3" w:type="dxa"/>
            <w:gridSpan w:val="3"/>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09" w:type="dxa"/>
            <w:gridSpan w:val="3"/>
            <w:tcBorders/>
            <w:vAlign w:val="center"/>
          </w:tcPr>
          <w:p>
            <w:pPr>
              <w:pStyle w:val="TableContents"/>
              <w:bidi w:val="0"/>
              <w:spacing w:before="0" w:after="283"/>
              <w:jc w:val="left"/>
              <w:rPr/>
            </w:pPr>
            <w:r>
              <w:rPr/>
              <w:t> </w:t>
            </w:r>
          </w:p>
        </w:tc>
      </w:tr>
      <w:tr>
        <w:trPr/>
        <w:tc>
          <w:tcPr>
            <w:tcW w:w="4239" w:type="dxa"/>
            <w:tcBorders/>
            <w:vAlign w:val="center"/>
          </w:tcPr>
          <w:p>
            <w:pPr>
              <w:pStyle w:val="TableContents"/>
              <w:bidi w:val="0"/>
              <w:spacing w:before="0" w:after="283"/>
              <w:jc w:val="left"/>
              <w:rPr/>
            </w:pPr>
            <w:r>
              <w:rPr/>
              <w:t>Net realized gain (loss) on:</w:t>
            </w:r>
          </w:p>
        </w:tc>
        <w:tc>
          <w:tcPr>
            <w:tcW w:w="1373" w:type="dxa"/>
            <w:gridSpan w:val="3"/>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3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3" w:type="dxa"/>
            <w:gridSpan w:val="3"/>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09" w:type="dxa"/>
            <w:gridSpan w:val="3"/>
            <w:tcBorders/>
            <w:vAlign w:val="center"/>
          </w:tcPr>
          <w:p>
            <w:pPr>
              <w:pStyle w:val="TableContents"/>
              <w:bidi w:val="0"/>
              <w:spacing w:before="0" w:after="283"/>
              <w:jc w:val="left"/>
              <w:rPr/>
            </w:pPr>
            <w:r>
              <w:rPr/>
              <w:t> </w:t>
            </w:r>
          </w:p>
        </w:tc>
      </w:tr>
      <w:tr>
        <w:trPr/>
        <w:tc>
          <w:tcPr>
            <w:tcW w:w="4239"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(7,535</w:t>
            </w:r>
          </w:p>
        </w:tc>
        <w:tc>
          <w:tcPr>
            <w:tcW w:w="199"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(795</w:t>
            </w:r>
          </w:p>
        </w:tc>
        <w:tc>
          <w:tcPr>
            <w:tcW w:w="19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(6,079</w:t>
            </w:r>
          </w:p>
        </w:tc>
        <w:tc>
          <w:tcPr>
            <w:tcW w:w="189"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386</w:t>
            </w:r>
          </w:p>
        </w:tc>
        <w:tc>
          <w:tcPr>
            <w:tcW w:w="245" w:type="dxa"/>
            <w:tcBorders/>
            <w:vAlign w:val="center"/>
          </w:tcPr>
          <w:p>
            <w:pPr>
              <w:pStyle w:val="TableContents"/>
              <w:bidi w:val="0"/>
              <w:spacing w:before="0" w:after="283"/>
              <w:jc w:val="left"/>
              <w:rPr/>
            </w:pPr>
            <w:r>
              <w:rPr/>
              <w:t> </w:t>
            </w:r>
          </w:p>
        </w:tc>
      </w:tr>
      <w:tr>
        <w:trPr/>
        <w:tc>
          <w:tcPr>
            <w:tcW w:w="4239" w:type="dxa"/>
            <w:tcBorders/>
            <w:tcMar>
              <w:top w:w="0" w:type="dxa"/>
              <w:left w:w="0" w:type="dxa"/>
              <w:bottom w:w="0" w:type="dxa"/>
              <w:right w:w="0" w:type="dxa"/>
            </w:tcMar>
            <w:vAlign w:val="center"/>
          </w:tcPr>
          <w:p>
            <w:pPr>
              <w:pStyle w:val="TableContents"/>
              <w:bidi w:val="0"/>
              <w:spacing w:before="0" w:after="283"/>
              <w:jc w:val="left"/>
              <w:rPr/>
            </w:pPr>
            <w:r>
              <w:rPr/>
              <w:t>Non-controlled and controlled, affiliated investments</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(2,682</w:t>
            </w:r>
          </w:p>
        </w:tc>
        <w:tc>
          <w:tcPr>
            <w:tcW w:w="19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w:t>
            </w:r>
          </w:p>
        </w:tc>
        <w:tc>
          <w:tcPr>
            <w:tcW w:w="189"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22,811</w:t>
            </w:r>
          </w:p>
        </w:tc>
        <w:tc>
          <w:tcPr>
            <w:tcW w:w="245" w:type="dxa"/>
            <w:tcBorders/>
            <w:vAlign w:val="center"/>
          </w:tcPr>
          <w:p>
            <w:pPr>
              <w:pStyle w:val="TableContents"/>
              <w:bidi w:val="0"/>
              <w:spacing w:before="0" w:after="283"/>
              <w:jc w:val="left"/>
              <w:rPr/>
            </w:pPr>
            <w:r>
              <w:rPr/>
              <w:t> </w:t>
            </w:r>
          </w:p>
        </w:tc>
      </w:tr>
      <w:tr>
        <w:trPr/>
        <w:tc>
          <w:tcPr>
            <w:tcW w:w="4239" w:type="dxa"/>
            <w:tcBorders/>
            <w:tcMar>
              <w:top w:w="0" w:type="dxa"/>
              <w:left w:w="0" w:type="dxa"/>
              <w:bottom w:w="0" w:type="dxa"/>
              <w:right w:w="0" w:type="dxa"/>
            </w:tcMar>
            <w:vAlign w:val="center"/>
          </w:tcPr>
          <w:p>
            <w:pPr>
              <w:pStyle w:val="TableContents"/>
              <w:bidi w:val="0"/>
              <w:spacing w:before="0" w:after="283"/>
              <w:jc w:val="left"/>
              <w:rPr/>
            </w:pPr>
            <w:r>
              <w:rPr/>
              <w:t>Provision for taxes on realized gain (loss) on investments</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(21</w:t>
            </w:r>
          </w:p>
        </w:tc>
        <w:tc>
          <w:tcPr>
            <w:tcW w:w="19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w:t>
            </w:r>
          </w:p>
        </w:tc>
        <w:tc>
          <w:tcPr>
            <w:tcW w:w="189"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(94</w:t>
            </w:r>
          </w:p>
        </w:tc>
        <w:tc>
          <w:tcPr>
            <w:tcW w:w="245" w:type="dxa"/>
            <w:tcBorders/>
            <w:vAlign w:val="center"/>
          </w:tcPr>
          <w:p>
            <w:pPr>
              <w:pStyle w:val="TableContents"/>
              <w:bidi w:val="0"/>
              <w:spacing w:before="0" w:after="283"/>
              <w:jc w:val="left"/>
              <w:rPr/>
            </w:pPr>
            <w:r>
              <w:rPr/>
              <w:t>)</w:t>
            </w:r>
          </w:p>
        </w:tc>
      </w:tr>
      <w:tr>
        <w:trPr/>
        <w:tc>
          <w:tcPr>
            <w:tcW w:w="4239" w:type="dxa"/>
            <w:tcBorders/>
            <w:tcMar>
              <w:top w:w="0" w:type="dxa"/>
              <w:left w:w="0" w:type="dxa"/>
              <w:bottom w:w="0" w:type="dxa"/>
              <w:right w:w="0" w:type="dxa"/>
            </w:tcMar>
            <w:vAlign w:val="center"/>
          </w:tcPr>
          <w:p>
            <w:pPr>
              <w:pStyle w:val="TableContents"/>
              <w:bidi w:val="0"/>
              <w:spacing w:before="0" w:after="283"/>
              <w:jc w:val="left"/>
              <w:rPr/>
            </w:pPr>
            <w:r>
              <w:rPr/>
              <w:t>Debt extinguishment</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(1,380</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 </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(1,380</w:t>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left"/>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4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39"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w:t>
            </w:r>
            <w:r>
              <w:rPr/>
              <w:t xml:space="preserve"> </w:t>
            </w:r>
            <w:r>
              <w:rPr>
                <w:rStyle w:val="StrongEmphasis"/>
              </w:rPr>
              <w:t>realized</w:t>
            </w:r>
            <w:r>
              <w:rPr/>
              <w:t xml:space="preserve"> </w:t>
            </w:r>
            <w:r>
              <w:rPr>
                <w:rStyle w:val="StrongEmphasis"/>
              </w:rPr>
              <w:t>gain</w:t>
            </w:r>
            <w:r>
              <w:rPr/>
              <w:t xml:space="preserve"> </w:t>
            </w:r>
            <w:r>
              <w:rPr>
                <w:rStyle w:val="StrongEmphasis"/>
              </w:rPr>
              <w:t>(loss)</w:t>
            </w:r>
            <w:r>
              <w:rPr/>
              <w:t xml:space="preserve"> </w:t>
            </w:r>
            <w:r>
              <w:rPr>
                <w:rStyle w:val="StrongEmphasis"/>
              </w:rPr>
              <w:t>on</w:t>
            </w:r>
            <w:r>
              <w:rPr/>
              <w:t xml:space="preserve"> </w:t>
            </w:r>
            <w:r>
              <w:rPr>
                <w:rStyle w:val="StrongEmphasis"/>
              </w:rPr>
              <w:t>investments</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(8,915</w:t>
            </w:r>
          </w:p>
        </w:tc>
        <w:tc>
          <w:tcPr>
            <w:tcW w:w="199"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(3,498</w:t>
            </w:r>
          </w:p>
        </w:tc>
        <w:tc>
          <w:tcPr>
            <w:tcW w:w="19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(7,459</w:t>
            </w:r>
          </w:p>
        </w:tc>
        <w:tc>
          <w:tcPr>
            <w:tcW w:w="189"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23,103</w:t>
            </w:r>
          </w:p>
        </w:tc>
        <w:tc>
          <w:tcPr>
            <w:tcW w:w="245" w:type="dxa"/>
            <w:tcBorders/>
            <w:vAlign w:val="center"/>
          </w:tcPr>
          <w:p>
            <w:pPr>
              <w:pStyle w:val="TableContents"/>
              <w:bidi w:val="0"/>
              <w:spacing w:before="0" w:after="283"/>
              <w:jc w:val="left"/>
              <w:rPr/>
            </w:pPr>
            <w:r>
              <w:rPr/>
              <w:t> </w:t>
            </w:r>
          </w:p>
        </w:tc>
      </w:tr>
      <w:tr>
        <w:trPr/>
        <w:tc>
          <w:tcPr>
            <w:tcW w:w="10205" w:type="dxa"/>
            <w:gridSpan w:val="16"/>
            <w:tcBorders/>
            <w:vAlign w:val="center"/>
          </w:tcPr>
          <w:p>
            <w:pPr>
              <w:pStyle w:val="TableContents"/>
              <w:bidi w:val="0"/>
              <w:spacing w:before="0" w:after="283"/>
              <w:jc w:val="left"/>
              <w:rPr/>
            </w:pPr>
            <w:r>
              <w:rPr/>
              <w:t>Net change in unrealized appreciation (depreciation) on:</w:t>
            </w:r>
          </w:p>
        </w:tc>
      </w:tr>
      <w:tr>
        <w:trPr/>
        <w:tc>
          <w:tcPr>
            <w:tcW w:w="4239"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25,010</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(9,630</w:t>
            </w:r>
          </w:p>
        </w:tc>
        <w:tc>
          <w:tcPr>
            <w:tcW w:w="19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3,744</w:t>
            </w:r>
          </w:p>
        </w:tc>
        <w:tc>
          <w:tcPr>
            <w:tcW w:w="189"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(6,688</w:t>
            </w:r>
          </w:p>
        </w:tc>
        <w:tc>
          <w:tcPr>
            <w:tcW w:w="245" w:type="dxa"/>
            <w:tcBorders/>
            <w:vAlign w:val="center"/>
          </w:tcPr>
          <w:p>
            <w:pPr>
              <w:pStyle w:val="TableContents"/>
              <w:bidi w:val="0"/>
              <w:spacing w:before="0" w:after="283"/>
              <w:jc w:val="left"/>
              <w:rPr/>
            </w:pPr>
            <w:r>
              <w:rPr/>
              <w:t>)</w:t>
            </w:r>
          </w:p>
        </w:tc>
      </w:tr>
      <w:tr>
        <w:trPr/>
        <w:tc>
          <w:tcPr>
            <w:tcW w:w="4239" w:type="dxa"/>
            <w:tcBorders/>
            <w:tcMar>
              <w:top w:w="0" w:type="dxa"/>
              <w:left w:w="0" w:type="dxa"/>
              <w:bottom w:w="0" w:type="dxa"/>
              <w:right w:w="0" w:type="dxa"/>
            </w:tcMar>
            <w:vAlign w:val="center"/>
          </w:tcPr>
          <w:p>
            <w:pPr>
              <w:pStyle w:val="TableContents"/>
              <w:bidi w:val="0"/>
              <w:spacing w:before="0" w:after="283"/>
              <w:jc w:val="left"/>
              <w:rPr/>
            </w:pPr>
            <w:r>
              <w:rPr/>
              <w:t>Controlled and non-controlled, affiliated investments</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(12,802</w:t>
            </w:r>
          </w:p>
        </w:tc>
        <w:tc>
          <w:tcPr>
            <w:tcW w:w="199"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(11,146</w:t>
            </w:r>
          </w:p>
        </w:tc>
        <w:tc>
          <w:tcPr>
            <w:tcW w:w="19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(23,823</w:t>
            </w:r>
          </w:p>
        </w:tc>
        <w:tc>
          <w:tcPr>
            <w:tcW w:w="189"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(43,050</w:t>
            </w:r>
          </w:p>
        </w:tc>
        <w:tc>
          <w:tcPr>
            <w:tcW w:w="245" w:type="dxa"/>
            <w:tcBorders/>
            <w:vAlign w:val="center"/>
          </w:tcPr>
          <w:p>
            <w:pPr>
              <w:pStyle w:val="TableContents"/>
              <w:bidi w:val="0"/>
              <w:spacing w:before="0" w:after="283"/>
              <w:jc w:val="left"/>
              <w:rPr/>
            </w:pPr>
            <w:r>
              <w:rPr/>
              <w:t>)</w:t>
            </w:r>
          </w:p>
        </w:tc>
      </w:tr>
      <w:tr>
        <w:trPr/>
        <w:tc>
          <w:tcPr>
            <w:tcW w:w="4239" w:type="dxa"/>
            <w:tcBorders/>
            <w:tcMar>
              <w:top w:w="0" w:type="dxa"/>
              <w:left w:w="0" w:type="dxa"/>
              <w:bottom w:w="0" w:type="dxa"/>
              <w:right w:w="0" w:type="dxa"/>
            </w:tcMar>
            <w:vAlign w:val="center"/>
          </w:tcPr>
          <w:p>
            <w:pPr>
              <w:pStyle w:val="TableContents"/>
              <w:bidi w:val="0"/>
              <w:spacing w:before="0" w:after="283"/>
              <w:jc w:val="left"/>
              <w:rPr/>
            </w:pPr>
            <w:r>
              <w:rPr/>
              <w:t>Provision for taxes on unrealized appreciation (depreciation) on investments</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(329</w:t>
            </w:r>
          </w:p>
        </w:tc>
        <w:tc>
          <w:tcPr>
            <w:tcW w:w="199"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right"/>
              <w:rPr/>
            </w:pPr>
            <w:r>
              <w:rPr/>
              <w:t> </w:t>
            </w:r>
          </w:p>
        </w:tc>
        <w:tc>
          <w:tcPr>
            <w:tcW w:w="926" w:type="dxa"/>
            <w:tcBorders/>
            <w:vAlign w:val="center"/>
          </w:tcPr>
          <w:p>
            <w:pPr>
              <w:pStyle w:val="TableContents"/>
              <w:bidi w:val="0"/>
              <w:spacing w:before="0" w:after="283"/>
              <w:jc w:val="right"/>
              <w:rPr/>
            </w:pPr>
            <w:r>
              <w:rPr/>
              <w:t>468</w:t>
            </w:r>
          </w:p>
        </w:tc>
        <w:tc>
          <w:tcPr>
            <w:tcW w:w="1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307</w:t>
            </w:r>
          </w:p>
        </w:tc>
        <w:tc>
          <w:tcPr>
            <w:tcW w:w="189"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1,100</w:t>
            </w:r>
          </w:p>
        </w:tc>
        <w:tc>
          <w:tcPr>
            <w:tcW w:w="245" w:type="dxa"/>
            <w:tcBorders/>
            <w:vAlign w:val="center"/>
          </w:tcPr>
          <w:p>
            <w:pPr>
              <w:pStyle w:val="TableContents"/>
              <w:bidi w:val="0"/>
              <w:spacing w:before="0" w:after="283"/>
              <w:jc w:val="left"/>
              <w:rPr/>
            </w:pPr>
            <w:r>
              <w:rPr/>
              <w:t> </w:t>
            </w:r>
          </w:p>
        </w:tc>
      </w:tr>
      <w:tr>
        <w:trPr/>
        <w:tc>
          <w:tcPr>
            <w:tcW w:w="4239" w:type="dxa"/>
            <w:tcBorders/>
            <w:tcMar>
              <w:top w:w="0" w:type="dxa"/>
              <w:left w:w="0" w:type="dxa"/>
              <w:bottom w:w="0" w:type="dxa"/>
              <w:right w:w="0" w:type="dxa"/>
            </w:tcMar>
            <w:vAlign w:val="center"/>
          </w:tcPr>
          <w:p>
            <w:pPr>
              <w:pStyle w:val="TableContents"/>
              <w:bidi w:val="0"/>
              <w:spacing w:before="0" w:after="283"/>
              <w:jc w:val="left"/>
              <w:rPr/>
            </w:pPr>
            <w:r>
              <w:rPr/>
              <w:t>Debt appreciation (depreciation)</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26</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w:t>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91</w:t>
            </w:r>
          </w:p>
        </w:tc>
        <w:tc>
          <w:tcPr>
            <w:tcW w:w="24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39"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w:t>
            </w:r>
            <w:r>
              <w:rPr/>
              <w:t xml:space="preserve"> </w:t>
            </w:r>
            <w:r>
              <w:rPr>
                <w:rStyle w:val="StrongEmphasis"/>
              </w:rPr>
              <w:t>change</w:t>
            </w:r>
            <w:r>
              <w:rPr/>
              <w:t xml:space="preserve"> </w:t>
            </w:r>
            <w:r>
              <w:rPr>
                <w:rStyle w:val="StrongEmphasis"/>
              </w:rPr>
              <w:t>in</w:t>
            </w:r>
            <w:r>
              <w:rPr/>
              <w:t xml:space="preserve"> </w:t>
            </w:r>
            <w:r>
              <w:rPr>
                <w:rStyle w:val="StrongEmphasis"/>
              </w:rPr>
              <w:t>unrealized</w:t>
            </w:r>
            <w:r>
              <w:rPr/>
              <w:t xml:space="preserve"> </w:t>
            </w:r>
            <w:r>
              <w:rPr>
                <w:rStyle w:val="StrongEmphasis"/>
              </w:rPr>
              <w:t>appreciation</w:t>
            </w:r>
            <w:r>
              <w:rPr/>
              <w:t xml:space="preserve"> </w:t>
            </w:r>
            <w:r>
              <w:rPr>
                <w:rStyle w:val="StrongEmphasis"/>
              </w:rPr>
              <w:t>(depreciation)</w:t>
            </w:r>
            <w:r>
              <w:rPr/>
              <w:t xml:space="preserve"> </w:t>
            </w:r>
            <w:r>
              <w:rPr>
                <w:rStyle w:val="StrongEmphasis"/>
              </w:rPr>
              <w:t>on</w:t>
            </w:r>
            <w:r>
              <w:rPr/>
              <w:t xml:space="preserve"> </w:t>
            </w:r>
            <w:r>
              <w:rPr>
                <w:rStyle w:val="StrongEmphasis"/>
              </w:rPr>
              <w:t>investments</w:t>
            </w:r>
            <w:r>
              <w:rPr/>
              <w:t xml:space="preserve"> </w:t>
            </w:r>
            <w:r>
              <w:rPr>
                <w:rStyle w:val="StrongEmphasis"/>
              </w:rPr>
              <w:t>and debt</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11,905</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(20,307</w:t>
            </w:r>
          </w:p>
        </w:tc>
        <w:tc>
          <w:tcPr>
            <w:tcW w:w="19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(19,768</w:t>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left"/>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(48,547</w:t>
            </w:r>
          </w:p>
        </w:tc>
        <w:tc>
          <w:tcPr>
            <w:tcW w:w="24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239" w:type="dxa"/>
            <w:tcBorders/>
            <w:vAlign w:val="center"/>
          </w:tcPr>
          <w:p>
            <w:pPr>
              <w:pStyle w:val="TableContents"/>
              <w:bidi w:val="0"/>
              <w:spacing w:before="0" w:after="283"/>
              <w:jc w:val="left"/>
              <w:rPr/>
            </w:pPr>
            <w:r>
              <w:rPr>
                <w:rStyle w:val="StrongEmphasis"/>
              </w:rPr>
              <w:t>Net</w:t>
            </w:r>
            <w:r>
              <w:rPr/>
              <w:t xml:space="preserve"> </w:t>
            </w:r>
            <w:r>
              <w:rPr>
                <w:rStyle w:val="StrongEmphasis"/>
              </w:rPr>
              <w:t>realized</w:t>
            </w:r>
            <w:r>
              <w:rPr/>
              <w:t xml:space="preserve"> </w:t>
            </w:r>
            <w:r>
              <w:rPr>
                <w:rStyle w:val="StrongEmphasis"/>
              </w:rPr>
              <w:t>and</w:t>
            </w:r>
            <w:r>
              <w:rPr/>
              <w:t xml:space="preserve"> </w:t>
            </w:r>
            <w:r>
              <w:rPr>
                <w:rStyle w:val="StrongEmphasis"/>
              </w:rPr>
              <w:t>unrealized</w:t>
            </w:r>
            <w:r>
              <w:rPr/>
              <w:t xml:space="preserve"> </w:t>
            </w:r>
            <w:r>
              <w:rPr>
                <w:rStyle w:val="StrongEmphasis"/>
              </w:rPr>
              <w:t>gain</w:t>
            </w:r>
            <w:r>
              <w:rPr/>
              <w:t xml:space="preserve"> </w:t>
            </w:r>
            <w:r>
              <w:rPr>
                <w:rStyle w:val="StrongEmphasis"/>
              </w:rPr>
              <w:t>(loss)</w:t>
            </w:r>
            <w:r>
              <w:rPr/>
              <w:t xml:space="preserve"> </w:t>
            </w:r>
            <w:r>
              <w:rPr>
                <w:rStyle w:val="StrongEmphasis"/>
              </w:rPr>
              <w:t>from</w:t>
            </w:r>
            <w:r>
              <w:rPr/>
              <w:t xml:space="preserve"> </w:t>
            </w:r>
            <w:r>
              <w:rPr>
                <w:rStyle w:val="StrongEmphasis"/>
              </w:rPr>
              <w:t>investments</w:t>
            </w:r>
            <w:r>
              <w:rPr/>
              <w:t xml:space="preserve"> </w:t>
            </w:r>
            <w:r>
              <w:rPr>
                <w:rStyle w:val="StrongEmphasis"/>
              </w:rPr>
              <w:t>and debt</w:t>
            </w:r>
          </w:p>
        </w:tc>
        <w:tc>
          <w:tcPr>
            <w:tcW w:w="2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2,990</w:t>
            </w:r>
          </w:p>
        </w:tc>
        <w:tc>
          <w:tcPr>
            <w:tcW w:w="1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(23,805</w:t>
            </w:r>
          </w:p>
        </w:tc>
        <w:tc>
          <w:tcPr>
            <w:tcW w:w="1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(27,227</w:t>
            </w:r>
          </w:p>
        </w:tc>
        <w:tc>
          <w:tcPr>
            <w:tcW w:w="18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left"/>
              <w:rPr/>
            </w:pPr>
            <w:r>
              <w:rPr/>
              <w:t> </w:t>
            </w:r>
          </w:p>
        </w:tc>
        <w:tc>
          <w:tcPr>
            <w:tcW w:w="2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(25,444</w:t>
            </w:r>
          </w:p>
        </w:tc>
        <w:tc>
          <w:tcPr>
            <w:tcW w:w="24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4239" w:type="dxa"/>
            <w:tcBorders/>
            <w:vAlign w:val="center"/>
          </w:tcPr>
          <w:p>
            <w:pPr>
              <w:pStyle w:val="TableContents"/>
              <w:bidi w:val="0"/>
              <w:spacing w:before="0" w:after="283"/>
              <w:jc w:val="left"/>
              <w:rPr/>
            </w:pPr>
            <w:r>
              <w:rPr>
                <w:rStyle w:val="StrongEmphasis"/>
              </w:rPr>
              <w:t>Net</w:t>
            </w:r>
            <w:r>
              <w:rPr/>
              <w:t xml:space="preserve"> </w:t>
            </w:r>
            <w:r>
              <w:rPr>
                <w:rStyle w:val="StrongEmphasis"/>
              </w:rPr>
              <w:t>increase</w:t>
            </w:r>
            <w:r>
              <w:rPr/>
              <w:t xml:space="preserve"> </w:t>
            </w:r>
            <w:r>
              <w:rPr>
                <w:rStyle w:val="StrongEmphasis"/>
              </w:rPr>
              <w:t>(decrease)</w:t>
            </w:r>
            <w:r>
              <w:rPr/>
              <w:t xml:space="preserve"> </w:t>
            </w:r>
            <w:r>
              <w:rPr>
                <w:rStyle w:val="StrongEmphasis"/>
              </w:rPr>
              <w:t>in</w:t>
            </w:r>
            <w:r>
              <w:rPr/>
              <w:t xml:space="preserve"> </w:t>
            </w:r>
            <w:r>
              <w:rPr>
                <w:rStyle w:val="StrongEmphasis"/>
              </w:rPr>
              <w:t>net</w:t>
            </w:r>
            <w:r>
              <w:rPr/>
              <w:t xml:space="preserve"> </w:t>
            </w:r>
            <w:r>
              <w:rPr>
                <w:rStyle w:val="StrongEmphasis"/>
              </w:rPr>
              <w:t>assets</w:t>
            </w:r>
            <w:r>
              <w:rPr/>
              <w:t xml:space="preserve"> </w:t>
            </w:r>
            <w:r>
              <w:rPr>
                <w:rStyle w:val="StrongEmphasis"/>
              </w:rPr>
              <w:t>resulting</w:t>
            </w:r>
            <w:r>
              <w:rPr/>
              <w:t xml:space="preserve"> </w:t>
            </w:r>
            <w:r>
              <w:rPr>
                <w:rStyle w:val="StrongEmphasis"/>
              </w:rPr>
              <w:t>from operations</w:t>
            </w:r>
          </w:p>
        </w:tc>
        <w:tc>
          <w:tcPr>
            <w:tcW w:w="24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28,738</w:t>
            </w:r>
          </w:p>
        </w:tc>
        <w:tc>
          <w:tcPr>
            <w:tcW w:w="199"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1,225</w:t>
            </w:r>
          </w:p>
        </w:tc>
        <w:tc>
          <w:tcPr>
            <w:tcW w:w="199"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2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25,159</w:t>
            </w:r>
          </w:p>
        </w:tc>
        <w:tc>
          <w:tcPr>
            <w:tcW w:w="189"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2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29,553</w:t>
            </w:r>
          </w:p>
        </w:tc>
        <w:tc>
          <w:tcPr>
            <w:tcW w:w="245"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39" w:type="dxa"/>
            <w:tcBorders/>
            <w:vAlign w:val="center"/>
          </w:tcPr>
          <w:p>
            <w:pPr>
              <w:pStyle w:val="TableContents"/>
              <w:bidi w:val="0"/>
              <w:spacing w:before="0" w:after="283"/>
              <w:jc w:val="left"/>
              <w:rPr/>
            </w:pPr>
            <w:r>
              <w:rPr>
                <w:rStyle w:val="StrongEmphasis"/>
              </w:rPr>
              <w:t>Net</w:t>
            </w:r>
            <w:r>
              <w:rPr/>
              <w:t xml:space="preserve"> </w:t>
            </w:r>
            <w:r>
              <w:rPr>
                <w:rStyle w:val="StrongEmphasis"/>
              </w:rPr>
              <w:t>increase</w:t>
            </w:r>
            <w:r>
              <w:rPr/>
              <w:t xml:space="preserve"> </w:t>
            </w:r>
            <w:r>
              <w:rPr>
                <w:rStyle w:val="StrongEmphasis"/>
              </w:rPr>
              <w:t>(decrease)</w:t>
            </w:r>
            <w:r>
              <w:rPr/>
              <w:t xml:space="preserve"> </w:t>
            </w:r>
            <w:r>
              <w:rPr>
                <w:rStyle w:val="StrongEmphasis"/>
              </w:rPr>
              <w:t>in</w:t>
            </w:r>
            <w:r>
              <w:rPr/>
              <w:t xml:space="preserve"> </w:t>
            </w:r>
            <w:r>
              <w:rPr>
                <w:rStyle w:val="StrongEmphasis"/>
              </w:rPr>
              <w:t>net</w:t>
            </w:r>
            <w:r>
              <w:rPr/>
              <w:t xml:space="preserve"> </w:t>
            </w:r>
            <w:r>
              <w:rPr>
                <w:rStyle w:val="StrongEmphasis"/>
              </w:rPr>
              <w:t>assets</w:t>
            </w:r>
            <w:r>
              <w:rPr/>
              <w:t xml:space="preserve"> </w:t>
            </w:r>
            <w:r>
              <w:rPr>
                <w:rStyle w:val="StrongEmphasis"/>
              </w:rPr>
              <w:t>resulting</w:t>
            </w:r>
            <w:r>
              <w:rPr/>
              <w:t xml:space="preserve"> </w:t>
            </w:r>
            <w:r>
              <w:rPr>
                <w:rStyle w:val="StrongEmphasis"/>
              </w:rPr>
              <w:t>from</w:t>
            </w:r>
            <w:r>
              <w:rPr/>
              <w:t xml:space="preserve"> </w:t>
            </w:r>
            <w:r>
              <w:rPr>
                <w:rStyle w:val="StrongEmphasis"/>
              </w:rPr>
              <w:t>operations</w:t>
            </w:r>
            <w:r>
              <w:rPr/>
              <w:t xml:space="preserve"> </w:t>
            </w:r>
            <w:r>
              <w:rPr>
                <w:rStyle w:val="StrongEmphasis"/>
              </w:rPr>
              <w:t>per</w:t>
            </w:r>
            <w:r>
              <w:rPr/>
              <w:t xml:space="preserve"> </w:t>
            </w:r>
            <w:r>
              <w:rPr>
                <w:rStyle w:val="StrongEmphasis"/>
              </w:rPr>
              <w:t>common share</w:t>
            </w:r>
          </w:p>
        </w:tc>
        <w:tc>
          <w:tcPr>
            <w:tcW w:w="24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0.29</w:t>
            </w:r>
          </w:p>
        </w:tc>
        <w:tc>
          <w:tcPr>
            <w:tcW w:w="199"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0.01</w:t>
            </w:r>
          </w:p>
        </w:tc>
        <w:tc>
          <w:tcPr>
            <w:tcW w:w="199"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2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0.25</w:t>
            </w:r>
          </w:p>
        </w:tc>
        <w:tc>
          <w:tcPr>
            <w:tcW w:w="189"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2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0.34</w:t>
            </w:r>
          </w:p>
        </w:tc>
        <w:tc>
          <w:tcPr>
            <w:tcW w:w="245"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4239" w:type="dxa"/>
            <w:tcBorders/>
            <w:vAlign w:val="center"/>
          </w:tcPr>
          <w:p>
            <w:pPr>
              <w:pStyle w:val="TableContents"/>
              <w:bidi w:val="0"/>
              <w:spacing w:before="0" w:after="283"/>
              <w:jc w:val="left"/>
              <w:rPr/>
            </w:pPr>
            <w:r>
              <w:rPr/>
              <w:t>Net investment income per common share</w:t>
            </w:r>
          </w:p>
        </w:tc>
        <w:tc>
          <w:tcPr>
            <w:tcW w:w="24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0.26</w:t>
            </w:r>
          </w:p>
        </w:tc>
        <w:tc>
          <w:tcPr>
            <w:tcW w:w="199"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0.28</w:t>
            </w:r>
          </w:p>
        </w:tc>
        <w:tc>
          <w:tcPr>
            <w:tcW w:w="199"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2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0.53</w:t>
            </w:r>
          </w:p>
        </w:tc>
        <w:tc>
          <w:tcPr>
            <w:tcW w:w="189"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2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0.64</w:t>
            </w:r>
          </w:p>
        </w:tc>
        <w:tc>
          <w:tcPr>
            <w:tcW w:w="245"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39"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bl>
    <w:p>
      <w:pPr>
        <w:pStyle w:val="TextBody"/>
        <w:bidi w:val="0"/>
        <w:spacing w:before="0" w:after="283"/>
        <w:jc w:val="left"/>
        <w:rPr/>
      </w:pPr>
      <w:r>
        <w:rPr>
          <w:rStyle w:val="StrongEmphasis"/>
        </w:rPr>
        <w:t>ABOUT PENNANTPARK FLOATING RATE CAPITAL LTD.</w:t>
      </w:r>
    </w:p>
    <w:p>
      <w:pPr>
        <w:pStyle w:val="TextBody"/>
        <w:bidi w:val="0"/>
        <w:jc w:val="both"/>
        <w:rPr/>
      </w:pPr>
      <w:r>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pStyle w:val="TextBody"/>
        <w:bidi w:val="0"/>
        <w:spacing w:before="0" w:after="283"/>
        <w:jc w:val="left"/>
        <w:rPr/>
      </w:pPr>
      <w:r>
        <w:rPr>
          <w:rStyle w:val="StrongEmphasis"/>
        </w:rPr>
        <w:t>ABOUT PENNANTPARK INVESTMENT ADVISERS, LLC</w:t>
      </w:r>
    </w:p>
    <w:p>
      <w:pPr>
        <w:pStyle w:val="TextBody"/>
        <w:bidi w:val="0"/>
        <w:jc w:val="both"/>
        <w:rPr/>
      </w:pPr>
      <w:r>
        <w:rPr/>
        <w:t xml:space="preserve">PennantPark Investment Advisers, LLC, a leading middle-market credit platform, and its affiliates, manage approximately $10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t>
      </w:r>
      <w:r>
        <w:rPr>
          <w:u w:val="single"/>
        </w:rPr>
        <w:t>www.pennantpark.com</w:t>
      </w:r>
      <w:r>
        <w:rPr/>
        <w:t>.</w:t>
      </w:r>
    </w:p>
    <w:p>
      <w:pPr>
        <w:pStyle w:val="TextBody"/>
        <w:bidi w:val="0"/>
        <w:spacing w:before="0" w:after="283"/>
        <w:jc w:val="left"/>
        <w:rPr/>
      </w:pPr>
      <w:r>
        <w:rPr>
          <w:rStyle w:val="StrongEmphasis"/>
        </w:rPr>
        <w:t>FORWARD-LOOKING</w:t>
      </w:r>
      <w:r>
        <w:rPr/>
        <w:t xml:space="preserve"> </w:t>
      </w:r>
      <w:r>
        <w:rPr>
          <w:rStyle w:val="StrongEmphasis"/>
        </w:rPr>
        <w:t>STATEMENTS</w:t>
      </w:r>
      <w:r>
        <w:rPr/>
        <w:t xml:space="preserve"> </w:t>
      </w:r>
      <w:r>
        <w:rPr>
          <w:rStyle w:val="StrongEmphasis"/>
        </w:rPr>
        <w:t>AND</w:t>
      </w:r>
      <w:r>
        <w:rPr/>
        <w:t xml:space="preserve"> </w:t>
      </w:r>
      <w:r>
        <w:rPr>
          <w:rStyle w:val="StrongEmphasis"/>
        </w:rPr>
        <w:t>OTHER</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tbl>
      <w:tblPr>
        <w:tblW w:w="5282" w:type="dxa"/>
        <w:jc w:val="left"/>
        <w:tblInd w:w="0" w:type="dxa"/>
        <w:tblLayout w:type="fixed"/>
        <w:tblCellMar>
          <w:top w:w="28" w:type="dxa"/>
          <w:left w:w="28" w:type="dxa"/>
          <w:bottom w:w="28" w:type="dxa"/>
          <w:right w:w="28" w:type="dxa"/>
        </w:tblCellMar>
      </w:tblPr>
      <w:tblGrid>
        <w:gridCol w:w="1411"/>
        <w:gridCol w:w="3871"/>
      </w:tblGrid>
      <w:tr>
        <w:trPr/>
        <w:tc>
          <w:tcPr>
            <w:tcW w:w="1411" w:type="dxa"/>
            <w:tcBorders/>
            <w:vAlign w:val="center"/>
          </w:tcPr>
          <w:p>
            <w:pPr>
              <w:pStyle w:val="TableContents"/>
              <w:bidi w:val="0"/>
              <w:spacing w:before="0" w:after="283"/>
              <w:jc w:val="left"/>
              <w:rPr/>
            </w:pPr>
            <w:r>
              <w:rPr/>
              <w:t>CONTACT: </w:t>
            </w:r>
          </w:p>
        </w:tc>
        <w:tc>
          <w:tcPr>
            <w:tcW w:w="3871" w:type="dxa"/>
            <w:tcBorders/>
            <w:vAlign w:val="center"/>
          </w:tcPr>
          <w:p>
            <w:pPr>
              <w:pStyle w:val="TableContents"/>
              <w:bidi w:val="0"/>
              <w:spacing w:before="0" w:after="283"/>
              <w:jc w:val="left"/>
              <w:rPr/>
            </w:pPr>
            <w:r>
              <w:rPr/>
              <w:t>Richard T. Allorto, Jr.</w:t>
              <w:br/>
              <w:t>PennantPark Floating Rate Capital Ltd.</w:t>
              <w:br/>
              <w:t>(212) 905-1000</w:t>
              <w:br/>
            </w:r>
            <w:r>
              <w:rPr>
                <w:u w:val="single"/>
              </w:rPr>
              <w:t>www.pennantpark.com</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5267</Words>
  <Characters>29114</Characters>
  <CharactersWithSpaces>34499</CharactersWithSpaces>
  <Paragraphs>1179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