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4,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October 4, 2019, the Registrant issued a press release, a copy of which is attached hereto as Exhibit 99.1 and is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 99.1. </w:t>
      </w:r>
      <w:hyperlink w:anchor="page4">
        <w:r>
          <w:rPr>
            <w:rFonts w:ascii="Arial" w:cs="Arial" w:eastAsia="Arial" w:hAnsi="Arial"/>
            <w:sz w:val="18"/>
            <w:szCs w:val="18"/>
            <w:u w:val="single" w:color="auto"/>
            <w:color w:val="0000EE"/>
          </w:rPr>
          <w:t>Press release dated October 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5020" w:type="dxa"/>
            <w:vAlign w:val="bottom"/>
            <w:gridSpan w:val="3"/>
          </w:tcPr>
          <w:p>
            <w:pPr>
              <w:ind w:left="19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Date: October 4, 2019</w:t>
            </w:r>
          </w:p>
        </w:tc>
        <w:tc>
          <w:tcPr>
            <w:tcW w:w="5020" w:type="dxa"/>
            <w:vAlign w:val="bottom"/>
            <w:gridSpan w:val="3"/>
          </w:tcPr>
          <w:p>
            <w:pPr>
              <w:ind w:left="1920"/>
              <w:spacing w:after="0"/>
              <w:rPr>
                <w:sz w:val="20"/>
                <w:szCs w:val="20"/>
                <w:color w:val="auto"/>
              </w:rPr>
            </w:pPr>
            <w:r>
              <w:rPr>
                <w:rFonts w:ascii="Arial" w:cs="Arial" w:eastAsia="Arial" w:hAnsi="Arial"/>
                <w:sz w:val="18"/>
                <w:szCs w:val="18"/>
                <w:color w:val="auto"/>
              </w:rPr>
              <w:t>By: /s/ Aviv Efrat</w:t>
            </w:r>
          </w:p>
        </w:tc>
      </w:tr>
      <w:tr>
        <w:trPr>
          <w:trHeight w:val="222"/>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Oct. 04, 2019 (GLOBE NEWSWIRE) -- PennantPark Floating Rate Capital Ltd. (the "Company") (NASDAQ: PFLT) (TASE: PFLT) declares its monthly distribution for October 2019 of $0.095 per share, payable on November 1, 2019 to stockholders of record as of October 17, 2019.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are pleased that through our focus on investing in lower risk, first lien senior secured middle market loans we have been able to maintain a steady and stable dividend over a long period of time," said Art Penn, Chairman and Chief Executive Officer.</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$3.2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2020-05-05T12:04:45Z</dcterms:created>
  <dcterms:modified xsi:type="dcterms:W3CDTF">2020-05-05T12:04:45Z</dcterms:modified>
</cp:coreProperties>
</file>