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5,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August 5, 2020, PennantPark Floating Rate Capital Ltd., or the Company, issued a press release announcing its financial results for the third fiscal quarter ended June 30, 2020. A copy of the press release is furnished as Exhibit 99.1 to this report pursuant to Item 2.02 on Form 8-K and Regulation FD.</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potential impact on the Company’s business and operating results, see the Company’s Quarterly Report on Form 10-Q for the quarter ended June 30, 2020, including “Item 2. Management's Discussion and Analysis of Financial Condition and Results of Operations – COVID-19 Developments” and “Part II - Other Information – Item 1A. Risk Factors” therein.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Floating Rate Capital Ltd. dated August 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060" w:type="dxa"/>
            <w:vAlign w:val="bottom"/>
            <w:gridSpan w:val="3"/>
          </w:tcPr>
          <w:p>
            <w:pPr>
              <w:ind w:left="19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00" w:type="dxa"/>
            <w:vAlign w:val="bottom"/>
          </w:tcPr>
          <w:p>
            <w:pPr>
              <w:spacing w:after="0"/>
              <w:rPr>
                <w:sz w:val="20"/>
                <w:szCs w:val="20"/>
                <w:color w:val="auto"/>
              </w:rPr>
            </w:pPr>
            <w:r>
              <w:rPr>
                <w:rFonts w:ascii="Arial" w:cs="Arial" w:eastAsia="Arial" w:hAnsi="Arial"/>
                <w:sz w:val="18"/>
                <w:szCs w:val="18"/>
                <w:color w:val="auto"/>
              </w:rPr>
              <w:t>Date: August 5, 2020</w:t>
            </w:r>
          </w:p>
        </w:tc>
        <w:tc>
          <w:tcPr>
            <w:tcW w:w="5060" w:type="dxa"/>
            <w:vAlign w:val="bottom"/>
            <w:gridSpan w:val="3"/>
          </w:tcPr>
          <w:p>
            <w:pPr>
              <w:ind w:left="1960"/>
              <w:spacing w:after="0"/>
              <w:rPr>
                <w:sz w:val="20"/>
                <w:szCs w:val="20"/>
                <w:color w:val="auto"/>
              </w:rPr>
            </w:pPr>
            <w:r>
              <w:rPr>
                <w:rFonts w:ascii="Arial" w:cs="Arial" w:eastAsia="Arial" w:hAnsi="Arial"/>
                <w:sz w:val="18"/>
                <w:szCs w:val="18"/>
                <w:color w:val="auto"/>
              </w:rPr>
              <w:t>By: /s/ Aviv Efrat</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June 30, 2020</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NEW YORK, Aug. 05, 2020 (GLOBE NEWSWIRE) -- PennantPark Floating Rate Capital Ltd. (NASDAQ: PFLT) (TASE: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PFLT) announced today financial results for the third fiscal quarter ended June 30, 2020.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280" w:type="dxa"/>
            <w:vAlign w:val="bottom"/>
          </w:tcPr>
          <w:p>
            <w:pPr>
              <w:spacing w:after="0"/>
              <w:rPr>
                <w:sz w:val="20"/>
                <w:szCs w:val="20"/>
                <w:color w:val="auto"/>
              </w:rPr>
            </w:pPr>
            <w:r>
              <w:rPr>
                <w:rFonts w:ascii="Arial" w:cs="Arial" w:eastAsia="Arial" w:hAnsi="Arial"/>
                <w:sz w:val="22"/>
                <w:szCs w:val="22"/>
                <w:b w:val="1"/>
                <w:bCs w:val="1"/>
                <w:color w:val="auto"/>
              </w:rPr>
              <w:t>HIGHLIGHTS</w:t>
            </w:r>
          </w:p>
        </w:tc>
        <w:tc>
          <w:tcPr>
            <w:tcW w:w="3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7280" w:type="dxa"/>
            <w:vAlign w:val="bottom"/>
          </w:tcPr>
          <w:p>
            <w:pPr>
              <w:spacing w:after="0"/>
              <w:rPr>
                <w:sz w:val="20"/>
                <w:szCs w:val="20"/>
                <w:color w:val="auto"/>
              </w:rPr>
            </w:pPr>
            <w:r>
              <w:rPr>
                <w:rFonts w:ascii="Arial" w:cs="Arial" w:eastAsia="Arial" w:hAnsi="Arial"/>
                <w:sz w:val="22"/>
                <w:szCs w:val="22"/>
                <w:color w:val="auto"/>
              </w:rPr>
              <w:t>Quarter ended June 30, 2020</w:t>
            </w:r>
          </w:p>
        </w:tc>
        <w:tc>
          <w:tcPr>
            <w:tcW w:w="3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280" w:type="dxa"/>
            <w:vAlign w:val="bottom"/>
          </w:tcPr>
          <w:p>
            <w:pPr>
              <w:spacing w:after="0"/>
              <w:rPr>
                <w:sz w:val="20"/>
                <w:szCs w:val="20"/>
                <w:color w:val="auto"/>
              </w:rPr>
            </w:pPr>
            <w:r>
              <w:rPr>
                <w:rFonts w:ascii="Arial" w:cs="Arial" w:eastAsia="Arial" w:hAnsi="Arial"/>
                <w:sz w:val="22"/>
                <w:szCs w:val="22"/>
                <w:color w:val="auto"/>
              </w:rPr>
              <w:t>($ in millions, except per share amounts)</w:t>
            </w:r>
          </w:p>
        </w:tc>
        <w:tc>
          <w:tcPr>
            <w:tcW w:w="3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7280" w:type="dxa"/>
            <w:vAlign w:val="bottom"/>
          </w:tcPr>
          <w:p>
            <w:pPr>
              <w:ind w:left="20"/>
              <w:spacing w:after="0"/>
              <w:rPr>
                <w:sz w:val="20"/>
                <w:szCs w:val="20"/>
                <w:color w:val="auto"/>
              </w:rPr>
            </w:pPr>
            <w:r>
              <w:rPr>
                <w:rFonts w:ascii="Arial" w:cs="Arial" w:eastAsia="Arial" w:hAnsi="Arial"/>
                <w:sz w:val="22"/>
                <w:szCs w:val="22"/>
                <w:color w:val="auto"/>
              </w:rPr>
              <w:t>Assets and Liabilities:</w:t>
            </w:r>
          </w:p>
        </w:tc>
        <w:tc>
          <w:tcPr>
            <w:tcW w:w="3180" w:type="dxa"/>
            <w:vAlign w:val="bottom"/>
            <w:vMerge w:val="restart"/>
          </w:tcPr>
          <w:p>
            <w:pPr>
              <w:jc w:val="right"/>
              <w:ind w:right="12"/>
              <w:spacing w:after="0"/>
              <w:rPr>
                <w:sz w:val="20"/>
                <w:szCs w:val="20"/>
                <w:color w:val="auto"/>
              </w:rPr>
            </w:pPr>
            <w:r>
              <w:rPr>
                <w:rFonts w:ascii="Arial" w:cs="Arial" w:eastAsia="Arial" w:hAnsi="Arial"/>
                <w:sz w:val="22"/>
                <w:szCs w:val="22"/>
                <w:color w:val="auto"/>
              </w:rPr>
              <w: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280" w:type="dxa"/>
            <w:vAlign w:val="bottom"/>
          </w:tcPr>
          <w:p>
            <w:pPr>
              <w:ind w:left="22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3180" w:type="dxa"/>
            <w:vAlign w:val="bottom"/>
            <w:vMerge w:val="continue"/>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1,104.4</w:t>
            </w: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Arial" w:cs="Arial" w:eastAsia="Arial" w:hAnsi="Arial"/>
                <w:sz w:val="22"/>
                <w:szCs w:val="22"/>
                <w:color w:val="auto"/>
              </w:rPr>
              <w:t>PSSL investment portfolio</w:t>
            </w:r>
          </w:p>
        </w:tc>
        <w:tc>
          <w:tcPr>
            <w:tcW w:w="31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458.5</w:t>
            </w: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Arial" w:cs="Arial" w:eastAsia="Arial" w:hAnsi="Arial"/>
                <w:sz w:val="22"/>
                <w:szCs w:val="22"/>
                <w:color w:val="auto"/>
              </w:rPr>
              <w:t>Net assets</w:t>
            </w:r>
          </w:p>
        </w:tc>
        <w:tc>
          <w:tcPr>
            <w:tcW w:w="31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471.3</w:t>
            </w: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Arial" w:cs="Arial" w:eastAsia="Arial" w:hAnsi="Arial"/>
                <w:sz w:val="22"/>
                <w:szCs w:val="22"/>
                <w:color w:val="auto"/>
              </w:rPr>
              <w:t>GAAP net asset value per share</w:t>
            </w:r>
          </w:p>
        </w:tc>
        <w:tc>
          <w:tcPr>
            <w:tcW w:w="31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12.16</w:t>
            </w:r>
          </w:p>
        </w:tc>
        <w:tc>
          <w:tcPr>
            <w:tcW w:w="0" w:type="dxa"/>
            <w:vAlign w:val="bottom"/>
          </w:tcPr>
          <w:p>
            <w:pPr>
              <w:spacing w:after="0"/>
              <w:rPr>
                <w:sz w:val="1"/>
                <w:szCs w:val="1"/>
                <w:color w:val="auto"/>
              </w:rPr>
            </w:pPr>
          </w:p>
        </w:tc>
      </w:tr>
      <w:tr>
        <w:trPr>
          <w:trHeight w:val="274"/>
        </w:trPr>
        <w:tc>
          <w:tcPr>
            <w:tcW w:w="7280" w:type="dxa"/>
            <w:vAlign w:val="bottom"/>
          </w:tcPr>
          <w:p>
            <w:pPr>
              <w:ind w:left="220"/>
              <w:spacing w:after="0"/>
              <w:rPr>
                <w:sz w:val="20"/>
                <w:szCs w:val="20"/>
                <w:color w:val="auto"/>
              </w:rPr>
            </w:pPr>
            <w:r>
              <w:rPr>
                <w:rFonts w:ascii="Arial" w:cs="Arial" w:eastAsia="Arial" w:hAnsi="Arial"/>
                <w:sz w:val="22"/>
                <w:szCs w:val="22"/>
                <w:color w:val="auto"/>
              </w:rPr>
              <w:t>Increase GAAP net asset value per share</w:t>
            </w:r>
          </w:p>
        </w:tc>
        <w:tc>
          <w:tcPr>
            <w:tcW w:w="3180" w:type="dxa"/>
            <w:vAlign w:val="bottom"/>
            <w:vMerge w:val="restart"/>
          </w:tcPr>
          <w:p>
            <w:pPr>
              <w:jc w:val="right"/>
              <w:ind w:right="12"/>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0.3%</w:t>
            </w:r>
          </w:p>
        </w:tc>
        <w:tc>
          <w:tcPr>
            <w:tcW w:w="0" w:type="dxa"/>
            <w:vAlign w:val="bottom"/>
          </w:tcPr>
          <w:p>
            <w:pPr>
              <w:spacing w:after="0"/>
              <w:rPr>
                <w:sz w:val="1"/>
                <w:szCs w:val="1"/>
                <w:color w:val="auto"/>
              </w:rPr>
            </w:pPr>
          </w:p>
        </w:tc>
      </w:tr>
      <w:tr>
        <w:trPr>
          <w:trHeight w:val="327"/>
        </w:trPr>
        <w:tc>
          <w:tcPr>
            <w:tcW w:w="7280" w:type="dxa"/>
            <w:vAlign w:val="bottom"/>
          </w:tcPr>
          <w:p>
            <w:pPr>
              <w:ind w:left="220"/>
              <w:spacing w:after="0" w:line="326" w:lineRule="exact"/>
              <w:rPr>
                <w:sz w:val="20"/>
                <w:szCs w:val="20"/>
                <w:color w:val="auto"/>
              </w:rPr>
            </w:pPr>
            <w:r>
              <w:rPr>
                <w:rFonts w:ascii="Arial" w:cs="Arial" w:eastAsia="Arial" w:hAnsi="Arial"/>
                <w:sz w:val="22"/>
                <w:szCs w:val="22"/>
                <w:color w:val="auto"/>
              </w:rPr>
              <w:t xml:space="preserve">Adjusted net asset value per share </w:t>
            </w:r>
            <w:r>
              <w:rPr>
                <w:rFonts w:ascii="Arial" w:cs="Arial" w:eastAsia="Arial" w:hAnsi="Arial"/>
                <w:sz w:val="35"/>
                <w:szCs w:val="35"/>
                <w:color w:val="auto"/>
                <w:vertAlign w:val="superscript"/>
              </w:rPr>
              <w:t>(2)</w:t>
            </w:r>
          </w:p>
        </w:tc>
        <w:tc>
          <w:tcPr>
            <w:tcW w:w="3180" w:type="dxa"/>
            <w:vAlign w:val="bottom"/>
            <w:vMerge w:val="continue"/>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11.44</w:t>
            </w:r>
          </w:p>
        </w:tc>
        <w:tc>
          <w:tcPr>
            <w:tcW w:w="0" w:type="dxa"/>
            <w:vAlign w:val="bottom"/>
          </w:tcPr>
          <w:p>
            <w:pPr>
              <w:spacing w:after="0"/>
              <w:rPr>
                <w:sz w:val="1"/>
                <w:szCs w:val="1"/>
                <w:color w:val="auto"/>
              </w:rPr>
            </w:pPr>
          </w:p>
        </w:tc>
      </w:tr>
      <w:tr>
        <w:trPr>
          <w:trHeight w:val="471"/>
        </w:trPr>
        <w:tc>
          <w:tcPr>
            <w:tcW w:w="7280" w:type="dxa"/>
            <w:vAlign w:val="bottom"/>
          </w:tcPr>
          <w:p>
            <w:pPr>
              <w:ind w:left="220"/>
              <w:spacing w:after="0"/>
              <w:rPr>
                <w:sz w:val="20"/>
                <w:szCs w:val="20"/>
                <w:color w:val="auto"/>
              </w:rPr>
            </w:pPr>
            <w:r>
              <w:rPr>
                <w:rFonts w:ascii="Arial" w:cs="Arial" w:eastAsia="Arial" w:hAnsi="Arial"/>
                <w:sz w:val="22"/>
                <w:szCs w:val="22"/>
                <w:color w:val="auto"/>
              </w:rPr>
              <w:t xml:space="preserve">Increase in adjusted net asset value per share </w:t>
            </w:r>
            <w:r>
              <w:rPr>
                <w:rFonts w:ascii="Arial" w:cs="Arial" w:eastAsia="Arial" w:hAnsi="Arial"/>
                <w:sz w:val="35"/>
                <w:szCs w:val="35"/>
                <w:color w:val="auto"/>
                <w:vertAlign w:val="superscript"/>
              </w:rPr>
              <w:t>(2)</w:t>
            </w:r>
          </w:p>
        </w:tc>
        <w:tc>
          <w:tcPr>
            <w:tcW w:w="3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386"/>
        </w:trPr>
        <w:tc>
          <w:tcPr>
            <w:tcW w:w="7280" w:type="dxa"/>
            <w:vAlign w:val="bottom"/>
          </w:tcPr>
          <w:p>
            <w:pPr>
              <w:ind w:left="220"/>
              <w:spacing w:after="0"/>
              <w:rPr>
                <w:sz w:val="20"/>
                <w:szCs w:val="20"/>
                <w:color w:val="auto"/>
              </w:rPr>
            </w:pPr>
            <w:r>
              <w:rPr>
                <w:rFonts w:ascii="Arial" w:cs="Arial" w:eastAsia="Arial" w:hAnsi="Arial"/>
                <w:sz w:val="22"/>
                <w:szCs w:val="22"/>
                <w:color w:val="auto"/>
              </w:rPr>
              <w:t>Credit Facility</w:t>
            </w:r>
          </w:p>
        </w:tc>
        <w:tc>
          <w:tcPr>
            <w:tcW w:w="31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340.9</w:t>
            </w: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Arial" w:cs="Arial" w:eastAsia="Arial" w:hAnsi="Arial"/>
                <w:sz w:val="22"/>
                <w:szCs w:val="22"/>
                <w:color w:val="auto"/>
              </w:rPr>
              <w:t>2023 Notes</w:t>
            </w:r>
          </w:p>
        </w:tc>
        <w:tc>
          <w:tcPr>
            <w:tcW w:w="31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121.9</w:t>
            </w: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Arial" w:cs="Arial" w:eastAsia="Arial" w:hAnsi="Arial"/>
                <w:sz w:val="22"/>
                <w:szCs w:val="22"/>
                <w:color w:val="auto"/>
              </w:rPr>
              <w:t>2031 Asset-Backed Debt</w:t>
            </w:r>
          </w:p>
        </w:tc>
        <w:tc>
          <w:tcPr>
            <w:tcW w:w="31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224.7</w:t>
            </w:r>
          </w:p>
        </w:tc>
        <w:tc>
          <w:tcPr>
            <w:tcW w:w="0" w:type="dxa"/>
            <w:vAlign w:val="bottom"/>
          </w:tcPr>
          <w:p>
            <w:pPr>
              <w:spacing w:after="0"/>
              <w:rPr>
                <w:sz w:val="1"/>
                <w:szCs w:val="1"/>
                <w:color w:val="auto"/>
              </w:rPr>
            </w:pPr>
          </w:p>
        </w:tc>
      </w:tr>
      <w:tr>
        <w:trPr>
          <w:trHeight w:val="274"/>
        </w:trPr>
        <w:tc>
          <w:tcPr>
            <w:tcW w:w="7280" w:type="dxa"/>
            <w:vAlign w:val="bottom"/>
          </w:tcPr>
          <w:p>
            <w:pPr>
              <w:ind w:left="220"/>
              <w:spacing w:after="0"/>
              <w:rPr>
                <w:sz w:val="20"/>
                <w:szCs w:val="20"/>
                <w:color w:val="auto"/>
              </w:rPr>
            </w:pPr>
            <w:r>
              <w:rPr>
                <w:rFonts w:ascii="Arial" w:cs="Arial" w:eastAsia="Arial" w:hAnsi="Arial"/>
                <w:sz w:val="22"/>
                <w:szCs w:val="22"/>
                <w:color w:val="auto"/>
              </w:rPr>
              <w:t>Regulatory Debt to Equity</w:t>
            </w:r>
          </w:p>
        </w:tc>
        <w:tc>
          <w:tcPr>
            <w:tcW w:w="3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1.62x</w:t>
            </w:r>
          </w:p>
        </w:tc>
        <w:tc>
          <w:tcPr>
            <w:tcW w:w="0" w:type="dxa"/>
            <w:vAlign w:val="bottom"/>
          </w:tcPr>
          <w:p>
            <w:pPr>
              <w:spacing w:after="0"/>
              <w:rPr>
                <w:sz w:val="1"/>
                <w:szCs w:val="1"/>
                <w:color w:val="auto"/>
              </w:rPr>
            </w:pPr>
          </w:p>
        </w:tc>
      </w:tr>
      <w:tr>
        <w:trPr>
          <w:trHeight w:val="327"/>
        </w:trPr>
        <w:tc>
          <w:tcPr>
            <w:tcW w:w="7280" w:type="dxa"/>
            <w:vAlign w:val="bottom"/>
          </w:tcPr>
          <w:p>
            <w:pPr>
              <w:ind w:left="220"/>
              <w:spacing w:after="0" w:line="326" w:lineRule="exact"/>
              <w:rPr>
                <w:sz w:val="20"/>
                <w:szCs w:val="20"/>
                <w:color w:val="auto"/>
              </w:rPr>
            </w:pPr>
            <w:r>
              <w:rPr>
                <w:rFonts w:ascii="Arial" w:cs="Arial" w:eastAsia="Arial" w:hAnsi="Arial"/>
                <w:sz w:val="22"/>
                <w:szCs w:val="22"/>
                <w:color w:val="auto"/>
              </w:rPr>
              <w:t xml:space="preserve">Regulatory Net Debt to Equity </w:t>
            </w:r>
            <w:r>
              <w:rPr>
                <w:rFonts w:ascii="Arial" w:cs="Arial" w:eastAsia="Arial" w:hAnsi="Arial"/>
                <w:sz w:val="35"/>
                <w:szCs w:val="35"/>
                <w:color w:val="auto"/>
                <w:vertAlign w:val="superscript"/>
              </w:rPr>
              <w:t>(3)</w:t>
            </w:r>
          </w:p>
        </w:tc>
        <w:tc>
          <w:tcPr>
            <w:tcW w:w="3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1.50x</w:t>
            </w:r>
          </w:p>
        </w:tc>
        <w:tc>
          <w:tcPr>
            <w:tcW w:w="0" w:type="dxa"/>
            <w:vAlign w:val="bottom"/>
          </w:tcPr>
          <w:p>
            <w:pPr>
              <w:spacing w:after="0"/>
              <w:rPr>
                <w:sz w:val="1"/>
                <w:szCs w:val="1"/>
                <w:color w:val="auto"/>
              </w:rPr>
            </w:pPr>
          </w:p>
        </w:tc>
      </w:tr>
      <w:tr>
        <w:trPr>
          <w:trHeight w:val="471"/>
        </w:trPr>
        <w:tc>
          <w:tcPr>
            <w:tcW w:w="7280" w:type="dxa"/>
            <w:vAlign w:val="bottom"/>
          </w:tcPr>
          <w:p>
            <w:pPr>
              <w:ind w:left="220"/>
              <w:spacing w:after="0"/>
              <w:rPr>
                <w:sz w:val="20"/>
                <w:szCs w:val="20"/>
                <w:color w:val="auto"/>
              </w:rPr>
            </w:pPr>
            <w:r>
              <w:rPr>
                <w:rFonts w:ascii="Arial" w:cs="Arial" w:eastAsia="Arial" w:hAnsi="Arial"/>
                <w:sz w:val="22"/>
                <w:szCs w:val="22"/>
                <w:color w:val="auto"/>
              </w:rPr>
              <w:t xml:space="preserve">GAAP Net Debt to Equity </w:t>
            </w:r>
            <w:r>
              <w:rPr>
                <w:rFonts w:ascii="Arial" w:cs="Arial" w:eastAsia="Arial" w:hAnsi="Arial"/>
                <w:sz w:val="35"/>
                <w:szCs w:val="35"/>
                <w:color w:val="auto"/>
                <w:vertAlign w:val="superscript"/>
              </w:rPr>
              <w:t>(4)</w:t>
            </w:r>
          </w:p>
        </w:tc>
        <w:tc>
          <w:tcPr>
            <w:tcW w:w="3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1.35x</w:t>
            </w:r>
          </w:p>
        </w:tc>
        <w:tc>
          <w:tcPr>
            <w:tcW w:w="0" w:type="dxa"/>
            <w:vAlign w:val="bottom"/>
          </w:tcPr>
          <w:p>
            <w:pPr>
              <w:spacing w:after="0"/>
              <w:rPr>
                <w:sz w:val="1"/>
                <w:szCs w:val="1"/>
                <w:color w:val="auto"/>
              </w:rPr>
            </w:pPr>
          </w:p>
        </w:tc>
      </w:tr>
      <w:tr>
        <w:trPr>
          <w:trHeight w:val="390"/>
        </w:trPr>
        <w:tc>
          <w:tcPr>
            <w:tcW w:w="7280" w:type="dxa"/>
            <w:vAlign w:val="bottom"/>
          </w:tcPr>
          <w:p>
            <w:pPr>
              <w:ind w:left="220"/>
              <w:spacing w:after="0"/>
              <w:rPr>
                <w:sz w:val="20"/>
                <w:szCs w:val="20"/>
                <w:color w:val="auto"/>
              </w:rPr>
            </w:pPr>
            <w:r>
              <w:rPr>
                <w:rFonts w:ascii="Arial" w:cs="Arial" w:eastAsia="Arial" w:hAnsi="Arial"/>
                <w:sz w:val="22"/>
                <w:szCs w:val="22"/>
                <w:color w:val="auto"/>
              </w:rPr>
              <w:t>Yield on debt investments at quarter-end</w:t>
            </w:r>
          </w:p>
        </w:tc>
        <w:tc>
          <w:tcPr>
            <w:tcW w:w="3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7320" w:type="dxa"/>
            <w:vAlign w:val="bottom"/>
          </w:tcPr>
          <w:p>
            <w:pPr>
              <w:spacing w:after="0"/>
              <w:rPr>
                <w:sz w:val="20"/>
                <w:szCs w:val="20"/>
                <w:color w:val="auto"/>
              </w:rPr>
            </w:pPr>
            <w:r>
              <w:rPr>
                <w:rFonts w:ascii="Arial" w:cs="Arial" w:eastAsia="Arial" w:hAnsi="Arial"/>
                <w:sz w:val="22"/>
                <w:szCs w:val="22"/>
                <w:color w:val="auto"/>
              </w:rPr>
              <w:t>Operating Results:</w:t>
            </w:r>
          </w:p>
        </w:tc>
        <w:tc>
          <w:tcPr>
            <w:tcW w:w="32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7320" w:type="dxa"/>
            <w:vAlign w:val="bottom"/>
          </w:tcPr>
          <w:p>
            <w:pPr>
              <w:ind w:left="200"/>
              <w:spacing w:after="0"/>
              <w:rPr>
                <w:sz w:val="20"/>
                <w:szCs w:val="20"/>
                <w:color w:val="auto"/>
              </w:rPr>
            </w:pPr>
            <w:r>
              <w:rPr>
                <w:rFonts w:ascii="Arial" w:cs="Arial" w:eastAsia="Arial" w:hAnsi="Arial"/>
                <w:sz w:val="22"/>
                <w:szCs w:val="22"/>
                <w:color w:val="auto"/>
              </w:rPr>
              <w:t>Net investment income</w:t>
            </w:r>
          </w:p>
        </w:tc>
        <w:tc>
          <w:tcPr>
            <w:tcW w:w="320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68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270"/>
        </w:trPr>
        <w:tc>
          <w:tcPr>
            <w:tcW w:w="7320" w:type="dxa"/>
            <w:vAlign w:val="bottom"/>
          </w:tcPr>
          <w:p>
            <w:pPr>
              <w:ind w:left="200"/>
              <w:spacing w:after="0"/>
              <w:rPr>
                <w:sz w:val="20"/>
                <w:szCs w:val="20"/>
                <w:color w:val="auto"/>
              </w:rPr>
            </w:pPr>
            <w:r>
              <w:rPr>
                <w:rFonts w:ascii="Arial" w:cs="Arial" w:eastAsia="Arial" w:hAnsi="Arial"/>
                <w:sz w:val="22"/>
                <w:szCs w:val="22"/>
                <w:color w:val="auto"/>
              </w:rPr>
              <w:t>Net investment income per share</w:t>
            </w:r>
          </w:p>
        </w:tc>
        <w:tc>
          <w:tcPr>
            <w:tcW w:w="320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680" w:type="dxa"/>
            <w:vAlign w:val="bottom"/>
          </w:tcPr>
          <w:p>
            <w:pPr>
              <w:jc w:val="right"/>
              <w:spacing w:after="0"/>
              <w:rPr>
                <w:sz w:val="20"/>
                <w:szCs w:val="20"/>
                <w:color w:val="auto"/>
              </w:rPr>
            </w:pPr>
            <w:r>
              <w:rPr>
                <w:rFonts w:ascii="Arial" w:cs="Arial" w:eastAsia="Arial" w:hAnsi="Arial"/>
                <w:sz w:val="22"/>
                <w:szCs w:val="22"/>
                <w:color w:val="auto"/>
              </w:rPr>
              <w:t>0.26</w:t>
            </w:r>
          </w:p>
        </w:tc>
      </w:tr>
      <w:tr>
        <w:trPr>
          <w:trHeight w:val="274"/>
        </w:trPr>
        <w:tc>
          <w:tcPr>
            <w:tcW w:w="7320" w:type="dxa"/>
            <w:vAlign w:val="bottom"/>
          </w:tcPr>
          <w:p>
            <w:pPr>
              <w:ind w:left="200"/>
              <w:spacing w:after="0"/>
              <w:rPr>
                <w:sz w:val="20"/>
                <w:szCs w:val="20"/>
                <w:color w:val="auto"/>
              </w:rPr>
            </w:pPr>
            <w:r>
              <w:rPr>
                <w:rFonts w:ascii="Arial" w:cs="Arial" w:eastAsia="Arial" w:hAnsi="Arial"/>
                <w:sz w:val="22"/>
                <w:szCs w:val="22"/>
                <w:color w:val="auto"/>
              </w:rPr>
              <w:t>Distributions declared per share</w:t>
            </w:r>
          </w:p>
        </w:tc>
        <w:tc>
          <w:tcPr>
            <w:tcW w:w="320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680" w:type="dxa"/>
            <w:vAlign w:val="bottom"/>
          </w:tcPr>
          <w:p>
            <w:pPr>
              <w:jc w:val="right"/>
              <w:spacing w:after="0"/>
              <w:rPr>
                <w:sz w:val="20"/>
                <w:szCs w:val="20"/>
                <w:color w:val="auto"/>
              </w:rPr>
            </w:pPr>
            <w:r>
              <w:rPr>
                <w:rFonts w:ascii="Arial" w:cs="Arial" w:eastAsia="Arial" w:hAnsi="Arial"/>
                <w:sz w:val="22"/>
                <w:szCs w:val="22"/>
                <w:color w:val="auto"/>
              </w:rPr>
              <w:t>0.285</w:t>
            </w:r>
          </w:p>
        </w:tc>
      </w:tr>
      <w:tr>
        <w:trPr>
          <w:trHeight w:val="536"/>
        </w:trPr>
        <w:tc>
          <w:tcPr>
            <w:tcW w:w="7320" w:type="dxa"/>
            <w:vAlign w:val="bottom"/>
          </w:tcPr>
          <w:p>
            <w:pPr>
              <w:spacing w:after="0"/>
              <w:rPr>
                <w:sz w:val="20"/>
                <w:szCs w:val="20"/>
                <w:color w:val="auto"/>
              </w:rPr>
            </w:pPr>
            <w:r>
              <w:rPr>
                <w:rFonts w:ascii="Arial" w:cs="Arial" w:eastAsia="Arial" w:hAnsi="Arial"/>
                <w:sz w:val="22"/>
                <w:szCs w:val="22"/>
                <w:color w:val="auto"/>
              </w:rPr>
              <w:t>Portfolio Activity:</w:t>
            </w:r>
          </w:p>
        </w:tc>
        <w:tc>
          <w:tcPr>
            <w:tcW w:w="3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7320" w:type="dxa"/>
            <w:vAlign w:val="bottom"/>
          </w:tcPr>
          <w:p>
            <w:pPr>
              <w:ind w:left="200"/>
              <w:spacing w:after="0"/>
              <w:rPr>
                <w:sz w:val="20"/>
                <w:szCs w:val="20"/>
                <w:color w:val="auto"/>
              </w:rPr>
            </w:pPr>
            <w:r>
              <w:rPr>
                <w:rFonts w:ascii="Arial" w:cs="Arial" w:eastAsia="Arial" w:hAnsi="Arial"/>
                <w:sz w:val="22"/>
                <w:szCs w:val="22"/>
                <w:color w:val="auto"/>
              </w:rPr>
              <w:t>Purchases of investments</w:t>
            </w:r>
          </w:p>
        </w:tc>
        <w:tc>
          <w:tcPr>
            <w:tcW w:w="320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680" w:type="dxa"/>
            <w:vAlign w:val="bottom"/>
          </w:tcPr>
          <w:p>
            <w:pPr>
              <w:jc w:val="right"/>
              <w:spacing w:after="0"/>
              <w:rPr>
                <w:sz w:val="20"/>
                <w:szCs w:val="20"/>
                <w:color w:val="auto"/>
              </w:rPr>
            </w:pPr>
            <w:r>
              <w:rPr>
                <w:rFonts w:ascii="Arial" w:cs="Arial" w:eastAsia="Arial" w:hAnsi="Arial"/>
                <w:sz w:val="22"/>
                <w:szCs w:val="22"/>
                <w:color w:val="auto"/>
              </w:rPr>
              <w:t>14.4</w:t>
            </w:r>
          </w:p>
        </w:tc>
      </w:tr>
      <w:tr>
        <w:trPr>
          <w:trHeight w:val="274"/>
        </w:trPr>
        <w:tc>
          <w:tcPr>
            <w:tcW w:w="7320" w:type="dxa"/>
            <w:vAlign w:val="bottom"/>
          </w:tcPr>
          <w:p>
            <w:pPr>
              <w:ind w:left="200"/>
              <w:spacing w:after="0"/>
              <w:rPr>
                <w:sz w:val="20"/>
                <w:szCs w:val="20"/>
                <w:color w:val="auto"/>
              </w:rPr>
            </w:pPr>
            <w:r>
              <w:rPr>
                <w:rFonts w:ascii="Arial" w:cs="Arial" w:eastAsia="Arial" w:hAnsi="Arial"/>
                <w:sz w:val="22"/>
                <w:szCs w:val="22"/>
                <w:color w:val="auto"/>
              </w:rPr>
              <w:t>Sales and repayments of investments</w:t>
            </w:r>
          </w:p>
        </w:tc>
        <w:tc>
          <w:tcPr>
            <w:tcW w:w="320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680" w:type="dxa"/>
            <w:vAlign w:val="bottom"/>
          </w:tcPr>
          <w:p>
            <w:pPr>
              <w:jc w:val="right"/>
              <w:spacing w:after="0"/>
              <w:rPr>
                <w:sz w:val="20"/>
                <w:szCs w:val="20"/>
                <w:color w:val="auto"/>
              </w:rPr>
            </w:pPr>
            <w:r>
              <w:rPr>
                <w:rFonts w:ascii="Arial" w:cs="Arial" w:eastAsia="Arial" w:hAnsi="Arial"/>
                <w:sz w:val="22"/>
                <w:szCs w:val="22"/>
                <w:color w:val="auto"/>
              </w:rPr>
              <w:t>104.1</w:t>
            </w:r>
          </w:p>
        </w:tc>
      </w:tr>
      <w:tr>
        <w:trPr>
          <w:trHeight w:val="536"/>
        </w:trPr>
        <w:tc>
          <w:tcPr>
            <w:tcW w:w="7320" w:type="dxa"/>
            <w:vAlign w:val="bottom"/>
          </w:tcPr>
          <w:p>
            <w:pPr>
              <w:ind w:left="200"/>
              <w:spacing w:after="0"/>
              <w:rPr>
                <w:sz w:val="20"/>
                <w:szCs w:val="20"/>
                <w:color w:val="auto"/>
              </w:rPr>
            </w:pPr>
            <w:r>
              <w:rPr>
                <w:rFonts w:ascii="Arial" w:cs="Arial" w:eastAsia="Arial" w:hAnsi="Arial"/>
                <w:sz w:val="22"/>
                <w:szCs w:val="22"/>
                <w:color w:val="auto"/>
              </w:rPr>
              <w:t>Number of new portfolio companies invested</w:t>
            </w:r>
          </w:p>
        </w:tc>
        <w:tc>
          <w:tcPr>
            <w:tcW w:w="3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0"/>
        </w:trPr>
        <w:tc>
          <w:tcPr>
            <w:tcW w:w="7320" w:type="dxa"/>
            <w:vAlign w:val="bottom"/>
          </w:tcPr>
          <w:p>
            <w:pPr>
              <w:ind w:left="200"/>
              <w:spacing w:after="0"/>
              <w:rPr>
                <w:sz w:val="20"/>
                <w:szCs w:val="20"/>
                <w:color w:val="auto"/>
              </w:rPr>
            </w:pPr>
            <w:r>
              <w:rPr>
                <w:rFonts w:ascii="Arial" w:cs="Arial" w:eastAsia="Arial" w:hAnsi="Arial"/>
                <w:sz w:val="22"/>
                <w:szCs w:val="22"/>
                <w:color w:val="auto"/>
              </w:rPr>
              <w:t>Number of existing portfolio companies invested</w:t>
            </w:r>
          </w:p>
        </w:tc>
        <w:tc>
          <w:tcPr>
            <w:tcW w:w="3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74"/>
        </w:trPr>
        <w:tc>
          <w:tcPr>
            <w:tcW w:w="7320" w:type="dxa"/>
            <w:vAlign w:val="bottom"/>
          </w:tcPr>
          <w:p>
            <w:pPr>
              <w:ind w:left="200"/>
              <w:spacing w:after="0"/>
              <w:rPr>
                <w:sz w:val="20"/>
                <w:szCs w:val="20"/>
                <w:color w:val="auto"/>
              </w:rPr>
            </w:pPr>
            <w:r>
              <w:rPr>
                <w:rFonts w:ascii="Arial" w:cs="Arial" w:eastAsia="Arial" w:hAnsi="Arial"/>
                <w:sz w:val="22"/>
                <w:szCs w:val="22"/>
                <w:color w:val="auto"/>
              </w:rPr>
              <w:t>Number of ending portfolio companies</w:t>
            </w:r>
          </w:p>
        </w:tc>
        <w:tc>
          <w:tcPr>
            <w:tcW w:w="3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auto"/>
              </w:rPr>
              <w:t>104</w:t>
            </w:r>
          </w:p>
        </w:tc>
      </w:tr>
    </w:tbl>
    <w:p>
      <w:pPr>
        <w:spacing w:after="0" w:line="198" w:lineRule="exact"/>
        <w:rPr>
          <w:sz w:val="20"/>
          <w:szCs w:val="20"/>
          <w:color w:val="auto"/>
        </w:rPr>
      </w:pPr>
    </w:p>
    <w:p>
      <w:pPr>
        <w:ind w:right="360" w:firstLine="8"/>
        <w:spacing w:after="0" w:line="250" w:lineRule="auto"/>
        <w:tabs>
          <w:tab w:leader="none" w:pos="306" w:val="left"/>
        </w:tabs>
        <w:numPr>
          <w:ilvl w:val="0"/>
          <w:numId w:val="3"/>
        </w:numPr>
        <w:rPr>
          <w:rFonts w:ascii="Arial" w:cs="Arial" w:eastAsia="Arial" w:hAnsi="Arial"/>
          <w:sz w:val="22"/>
          <w:szCs w:val="22"/>
          <w:color w:val="auto"/>
        </w:rPr>
      </w:pPr>
      <w:r>
        <w:rPr>
          <w:rFonts w:ascii="Arial" w:cs="Arial" w:eastAsia="Arial" w:hAnsi="Arial"/>
          <w:sz w:val="22"/>
          <w:szCs w:val="22"/>
          <w:color w:val="auto"/>
        </w:rPr>
        <w:t>Includes investments in PennantPark Senior Secured Loan Fund I LLC, or PSSL, an unconsolidated joint venture, totaling $159.4 million, at fair value.</w:t>
      </w:r>
    </w:p>
    <w:p>
      <w:pPr>
        <w:spacing w:after="0" w:line="174" w:lineRule="exact"/>
        <w:rPr>
          <w:rFonts w:ascii="Arial" w:cs="Arial" w:eastAsia="Arial" w:hAnsi="Arial"/>
          <w:sz w:val="22"/>
          <w:szCs w:val="22"/>
          <w:color w:val="auto"/>
        </w:rPr>
      </w:pPr>
    </w:p>
    <w:p>
      <w:pPr>
        <w:ind w:right="40" w:firstLine="8"/>
        <w:spacing w:after="0" w:line="235" w:lineRule="auto"/>
        <w:tabs>
          <w:tab w:leader="none" w:pos="306"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excluding the impact of the $27.8 million unrealized loss on our multi-currency senior secured revolving credit facility, as amended and restated with Truist Bank (formerly SunTrust Bank) and other lenders, or the Credit Facility, and our 4.3% Series A notes due 2023, or the 2023 Notes. The presentation of this additional information is not meant to be considered in isolation or as a substitute for financial results prepared in accordance with GAAP.</w:t>
      </w:r>
    </w:p>
    <w:p>
      <w:pPr>
        <w:spacing w:after="0" w:line="187" w:lineRule="exact"/>
        <w:rPr>
          <w:rFonts w:ascii="Arial" w:cs="Arial" w:eastAsia="Arial" w:hAnsi="Arial"/>
          <w:sz w:val="22"/>
          <w:szCs w:val="22"/>
          <w:color w:val="auto"/>
        </w:rPr>
      </w:pPr>
    </w:p>
    <w:p>
      <w:pPr>
        <w:ind w:right="140" w:firstLine="8"/>
        <w:spacing w:after="0" w:line="238" w:lineRule="auto"/>
        <w:tabs>
          <w:tab w:leader="none" w:pos="306"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net of $53.4 million of cash and equivalents. The presentation of this additional information is not meant to be considered in isolation or as a substitute for financial results prepared in accordance with GAAP.</w:t>
      </w:r>
    </w:p>
    <w:p>
      <w:pPr>
        <w:sectPr>
          <w:pgSz w:w="11900" w:h="16838" w:orient="portrait"/>
          <w:cols w:equalWidth="0" w:num="1">
            <w:col w:w="11240"/>
          </w:cols>
          <w:pgMar w:left="320" w:top="112" w:right="339" w:bottom="45" w:gutter="0" w:footer="0" w:header="0"/>
        </w:sectPr>
      </w:pPr>
    </w:p>
    <w:bookmarkStart w:id="4" w:name="page5"/>
    <w:bookmarkEnd w:id="4"/>
    <w:p>
      <w:pPr>
        <w:spacing w:after="0" w:line="23" w:lineRule="exact"/>
        <w:rPr>
          <w:sz w:val="20"/>
          <w:szCs w:val="20"/>
          <w:color w:val="auto"/>
        </w:rPr>
      </w:pPr>
    </w:p>
    <w:p>
      <w:pPr>
        <w:ind w:firstLine="8"/>
        <w:spacing w:after="0" w:line="287" w:lineRule="auto"/>
        <w:tabs>
          <w:tab w:leader="none" w:pos="306" w:val="left"/>
        </w:tabs>
        <w:numPr>
          <w:ilvl w:val="0"/>
          <w:numId w:val="4"/>
        </w:numPr>
        <w:rPr>
          <w:rFonts w:ascii="Arial" w:cs="Arial" w:eastAsia="Arial" w:hAnsi="Arial"/>
          <w:sz w:val="19"/>
          <w:szCs w:val="19"/>
          <w:color w:val="auto"/>
        </w:rPr>
      </w:pPr>
      <w:r>
        <w:rPr>
          <w:rFonts w:ascii="Arial" w:cs="Arial" w:eastAsia="Arial" w:hAnsi="Arial"/>
          <w:sz w:val="19"/>
          <w:szCs w:val="19"/>
          <w:color w:val="auto"/>
        </w:rPr>
        <w:t>This is a non-GAAP financial measure. The Company believes that this number provides useful information to investors and management because it reflects the Company’s financial performance including the impact of the $27.8 million unrealized loss on the Credit Facility and the 2023 Notes net of $53.4 million of cash and equivalents. The presentation of this additional information is not meant to be considered in isolation or as a substitute for financial results prepared in accordance with GAAP.</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AUGUST 6, 2020</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PennantPark Floating Rate Capital Ltd. (“we,” “our,” “us” or the “Company”) will host a conference call at 10:00 a.m. (Eastern Time) on Thursday, August 6, 2020 to discuss its financial results. All interested parties are welcome to participate. You can access the conference call by dialing toll-free (866) 548-4713 approximately 5-10 minutes prior to the call. International callers should dial (323) 794-2093. All callers should reference conference ID #6656028 or PennantPark Floating Rate Capital Ltd. An archived replay of the call will be available through August 20, 2020 by calling toll-free (888) 203-1112. International callers please dial (719) 457-0820. For all phone replays, please reference conference ID #6656028.</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are pleased that we accomplished several key goals this past quarter. We achieved a 3% increase in adjusted NAV as well as reduced leverage and increased liquidity,” said Arthur Penn, Chairman and CEO. “We believe our rigorous underwriting process and disciplined investment approach has successfully positioned us to manage through this environment.”</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June 30, 2020, our portfolio totaled $1,104.4 million and consisted of $993.6 million of first lien secured debt (including $123.4 million in PSSL), $31.7 million of second lien secured debt and $79.0 million of preferred and common equity (including $36.0 million in PSSL). Our debt portfolio consisted of 99% variable-rate investments. As of June 30, 2020, we had three portfolio companies on non-accrual, representing 2.2% and 1.8% of our overall portfolio on a cost and fair value basis, respectively. Overall, the portfolio had net unrealized depreciation of $49.9 million. Our overall portfolio consisted of 104 companies with an average investment size of $10.6 million, had a weighted average yield on debt investments of 7.4%, and was invested 90% in first lien secured debt (including 11% in PSSL), 3% in second lien secured debt and 7% in preferred and common equity (including 3% in PSSL). As of June 30, 2020, 98% of the investments held by PSSL were first lien secured debt. For more information on how the COVID-19 pandemic has affected our business and results of operations, see the “Effects of COVID-19” section below.</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September 30, 2019, our portfolio totaled $1,081.7 million and consisted of $944.9 million of first lien secured debt (including $122.2 million in PSSL), $34.4 million of second lien secured debt and $102.4 million of preferred and common equity (including $50.0 million in PSSL). Our debt portfolio consisted of 99% variable-rate investments. As of September 30, 2019, we had one portfolio company on non-accrual, representing 0.4% and zero of our overall portfolio on a cost and fair value basis, respectively. Overall, the portfolio had net unrealized depreciation of $3.5 million. Our overall portfolio consisted of 95 companies with an average investment size of $11.4 million, had a weighted average yield on debt investments of 8.7%, and was invested 87% in first lien secured debt (including 11% in PSSL), 3% in second lien secured debt and 10% in preferred and common equity (including 5% in PSSL). As of September 30, 2019, 97% of the investments held by PSSL were first lien secured debt.</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2020, we invested $14.4 million in one new and 18 existing portfolio companies with a weighted average yield on debt investments of 8.1%. Sales and repayments of investments for the three months ended June 30, 2020 totaled $104.1 million. For the nine months ended June 30, 2020, we invested $421.4 million in 18 new and 86 existing portfolio companies with a weighted average yield on debt investments of 8.0%. Sales and repayments of investments for the nine months ended June 30, 2020 totaled $347.2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2019, we invested $182.7 million in eight new and 14 existing portfolio companies with a weighted average yield on debt investments of 9.3%. Sales and repayments of investments for the three months ended June 30, 2019 totaled $66.6 million. For the nine months ended June 30, 2019, we invested $499.5 million in 22 new and 60 existing portfolio companies with a weighted average yield on debt investments of 8.9%. Sales and repayments of investments for the nine months ended June 30, 2019 totaled $400.1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June 30, 2020, PSSL’s portfolio totaled $458.5 million, consisted of 49 companies with an average investment size of $9.4 million and had a weighted average yield on debt investments of 6.8%. As of September 30, 2019, PSSL’s portfolio totaled $488.5 million, consisted of 45 companies with an average investment size of $10.9 million and had a weighted average yield on debt investments of 7.6%.</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the three months ended June 30, 2020, PSSL made zero new or follow-on investments. Sales and repayments of investments for the three months ended June 30, 2020 totaled $28.3 million. For the nine months ended June 30, 2020, PSSL invested $87.1 million (including $86.7 million purchased from the Company) in 11 new and two existing portfolio companies with a weighted average yield on debt investments of 7.4%. Sales and repayments of investments for the nine months ended June 30, 2020 totaled $102.6 million.</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For the three months ended June 30, 2019, PSSL invested $8.4 million in one new and three existing portfolio companies with a weighted average yield on debt investments of 9.0%. PSSL’s sales and repayments of investments for the three months ended June 30, 2019 totaled $39.7 million. For the nine months ended June 30, 2019 PSSL invested $176.0 million (including $57.7 million purchased from the Company) in 11 new and 13 existing portfolio companies with a weighted average yield on debt</w:t>
      </w:r>
    </w:p>
    <w:p>
      <w:pPr>
        <w:sectPr>
          <w:pgSz w:w="11900" w:h="16862" w:orient="portrait"/>
          <w:cols w:equalWidth="0" w:num="1">
            <w:col w:w="11240"/>
          </w:cols>
          <w:pgMar w:left="320" w:top="118" w:right="339" w:bottom="0" w:gutter="0" w:footer="0" w:header="0"/>
        </w:sectPr>
      </w:pPr>
    </w:p>
    <w:bookmarkStart w:id="5" w:name="page6"/>
    <w:bookmarkEnd w:id="5"/>
    <w:p>
      <w:pPr>
        <w:jc w:val="both"/>
        <w:spacing w:after="0" w:line="251" w:lineRule="auto"/>
        <w:rPr>
          <w:sz w:val="20"/>
          <w:szCs w:val="20"/>
          <w:color w:val="auto"/>
        </w:rPr>
      </w:pPr>
      <w:r>
        <w:rPr>
          <w:rFonts w:ascii="Arial" w:cs="Arial" w:eastAsia="Arial" w:hAnsi="Arial"/>
          <w:sz w:val="22"/>
          <w:szCs w:val="22"/>
          <w:color w:val="auto"/>
        </w:rPr>
        <w:t>investments of 8.1%. PSSL’s sales and repayments of investments for the nine months ended June 30, 2019 totaled $128.2 million.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2020 and 2019.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Investment Income</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Investment income for the three and nine months ended June 30, 2020 was $22.8 million and $73.7 million, respectively, and was attributable to $21.0 million and $67.5 million from first lien secured debt and $1.8 million and $6.2 million from other investments, respectively. This compares to investment income for the three and nine months ended June 30, 2019, which was $22.9 million and $69.1 million, respectively, and was attributable to $19.9 million and $62.0 million from first lien secured debt and $3.0 million and $7.0 million from other investments, respectively. The increase in investment income compared to the same periods in the prior year was primarily due to the growth of our portfolio.</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Expenses</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Expenses for the three and nine months ended June 30, 2020 totaled $12.6 million and $40.7 million, respectively. Base management fee for the same periods totaled $2.9 million and $8.7 million, incentive fee totaled $2.0 million and $7.2 million, debt related interest and expenses totaled $6.7 million and $21.6 million and general and administrative expenses totaled $1.0 million and $2.9 million, respectively. This compares to expenses for the three and nine months ended June 30, 2019 which totaled $11.5 million and $35.0 million, respectively. Base management fee for the same periods totaled $2.6 million and $7.5 million, incentive fee totaled $2.4 million and $3.7 million (including $(1.4) million on realized and unrealized gains accrued but not payable), debt related interest and expenses totaled $5.7 million and $20.8 million (including $4.5 million in Credit Facility amendment costs), and general and administrative expenses totaled $1.0 million and $3.0 million, respectively. The increase in expenses for the three and nine months ended June 30, 2020 compared to the same periods in the prior year was primarily due to the growth of our portfolio.</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Investment Income</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Net investment income totaled $10.2 million and $33.1 million, or $0.26 and $0.85 per share, for the three and nine months ended June 30, 2020, respectively. Net investment income totaled $11.3 million and $34.1 million, or $0.29 and $0.88 per share, for the three and nine months ended June 30, 2019,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Realized Gains or Losses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nine months ended June 30, 2020 totaled $104.1 million and $347.2 million, respectively, and net realized losses totaled $7.4 million and $8.0 million, respectively. Sales and repayments of investments for the three and nine months ended June 30, 2019 totaled $66.6 million and $400.1 million, respectively, and net realized losses totaled $18.4 million and $16.4 million, respectively. The change in realized gains/losses was primarily due to changes in the market conditions of our investments and the values at which they were realized.</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Unrealized Appreciation or Depreciation on Investments, the Credit Facility and the 2023 Notes</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For the three and nine months ended June 30, 2020, we reported net change in unrealized appreciation (depreciation) on investments of $21.9 million and $(46.4) million, respectively. For the three and nine months ended June 30, 2019, we reported net change in unrealized appreciation (depreciation) on investments of $11.9 million and $(13.2) million, respectively. As of June 30, 2020 and September 30, 2019, our net unrealized depreciation on investments totaled $49.9 million and $3.5 million, respectively. The net change in unrealized depreciation on our investments compared to the same periods in the prior year was primarily due to changes in the capital market conditions as well as the financial performance of certain portfolio companies primarily driven by the market disruption caused by the COVID-19 pandemic and the uncertainty surrounding its continued adverse economic impact. For more information on how the COVID-19 pandemic has affected our business and results of operations, see the “Effects of COVID-19” section below.</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the three and nine months ended June 30, 2020, the Credit Facility and the 2023 Notes had a net change in unrealized (appreciation) depreciation of $(12.2) million and $22.7 million, respectively. For the three and nine months ended June 30, 2019, the Credit Facility and the 2023 Notes had a net change in unrealized appreciation of $0.4 million and $0.4 million, respectively. As of June 30, 2020 and September 30, 2019, the net unrealized depreciation on the Credit Facility and the 2023 Notes totaled $27.4 million and $4.7 million, respectively. The net change in net unrealized depreciation compared to the same period in the prior year was primarily due to changes in the capital markets.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Change in Net Assets Resulting from Operations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Net change in net assets resulting from operations totaled $12.6 million and $1.4 million, or $0.32 and $0.04 per share, respectively, for the three and nine months ended June 30, 2020. This compares to a net change in net assets resulting from operations of $4.5 million and $4.0 million, or $0.12 and $0.10 per share, respectively, for the three and nine months ended June 30, 2019. The increase in the net change in net assets from operations for the three months ended June 30, 2020 compared to the same period in the prior year was primarily due to changes in the capital markets. The decrease in the net change in net assets</w:t>
      </w:r>
    </w:p>
    <w:p>
      <w:pPr>
        <w:sectPr>
          <w:pgSz w:w="11900" w:h="16838" w:orient="portrait"/>
          <w:cols w:equalWidth="0" w:num="1">
            <w:col w:w="11240"/>
          </w:cols>
          <w:pgMar w:left="320" w:top="118" w:right="339" w:bottom="0" w:gutter="0" w:footer="0" w:header="0"/>
        </w:sectPr>
      </w:pPr>
    </w:p>
    <w:bookmarkStart w:id="6" w:name="page7"/>
    <w:bookmarkEnd w:id="6"/>
    <w:p>
      <w:pPr>
        <w:jc w:val="both"/>
        <w:spacing w:after="0" w:line="252" w:lineRule="auto"/>
        <w:rPr>
          <w:sz w:val="20"/>
          <w:szCs w:val="20"/>
          <w:color w:val="auto"/>
        </w:rPr>
      </w:pPr>
      <w:r>
        <w:rPr>
          <w:rFonts w:ascii="Arial" w:cs="Arial" w:eastAsia="Arial" w:hAnsi="Arial"/>
          <w:sz w:val="21"/>
          <w:szCs w:val="21"/>
          <w:color w:val="auto"/>
        </w:rPr>
        <w:t>from operations for the nine months ended June 30, 2020 compared to the same period in the prior year was primarily due to depreciation of the portfolio primarily driven by the market disruption caused by the COVID-19 pandemic and the uncertainty surrounding its continued adverse economic impact. For more information on how the COVID-19 pandemic has affected our business and results of operations, see the “Effects of COVID-19” section below.</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Facility, see the “Effects of COVID-19” section below.</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annualized weighted average cost of debt for the nine months ended June 30, 2020 and 2019, inclusive of the fee on the undrawn commitment on the Credit Facility, amendment costs and debt issuance costs, was 3.9% and 5.3%, respectively (excluding amendment and debt issuance costs, amounts were 3.9% and 4.4%, respectively). As of June 30, 2020 and September 30, 2019, we had $168.4 million and $254.7 million of unused borrowing capacity under the Credit Facility, respectively, subject to leverage and borrowing base restrictions.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of June 30, 2020 and September 30, 2019, PennantPark Floating Rate Funding I, LLC had $351.6 million and 265.3 million of outstanding borrowings under the Credit Facility, respectively. The Credit Facility had a weighted average interest rate of 2.2% and 4.1%, exclusive of the fee on undrawn commitments as of June 30, 2020 and September 30, 2019, respectively.</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June 30, 2020 and September 30, 2019, we had cash equivalents of $53.4 million and $63.3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used cash of $63.0 million for the nine months ended June 30, 2020, and our financing activities provided cash of $53.1 million for the same period. Our operating activities used cash primarily for our investment activities and our financing activities provided cash primarily from draws on our Credit Facility, partially offset by distributions paid to stockholders.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used cash of $96.0 million for the nine months ended June 30, 2019 and our financing activities provided cash of $48.4 million for the same period. Our operating activities used cash primarily for our investment activities and our financing activities provided cash primarily from draws on Credit Facility, partially offset by for distributions paid to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During the three and nine months ended June 30, 2020 and 2019, we declared distributions of $0.285 and $0.855 per share, respectively, for total distributions of $11.1 and $33.2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EFFECTS OF COVID-19</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spread of COVID-19 has had a significant impact on the U.S. economy and has resulted in governmental orders imposing travel restrictions and prolonged closures of many corporate offices, retail stores, manufacturing facilities, factories and other common places of public congregation around the world. These restrictions and “stay-at-home” orders have essentially resulted in the shutdown of all non-essential businesses, as defined by each governmental authority imposing the respective orders. The COVID-19 pandemic has had, and continues to have, an adverse impact on our operating results and the operating results of our portfolio companies. Any future impact to our business and results of operations will depend to a large extent on future developments and new information that may emerge regarding the duration and severity of COVID-19 and the actions taken by authorities and other entities to reduce the spread of the virus, all of which are beyond our control.</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had a significant reduction of our net asset value as of June 30, 2020 as compared to our net asset value as of September 30, 2019. This reduction resulted from an increase in the overall net unrealized depreciation of the Company’s portfolio, including unrealized depreciations in the Company's investments, the Credit Facility and the 2023 Notes as of June 30, 2020, which was primarily due to the immediate adverse economic impact of the COVID-19 pandemic, the continuing uncertainty surrounding its long-term effects as well as the re-pricing of credit risk in the broadly syndicated credit market. As of June 30, 2020, we are in compliance with asset coverage requirements under the Investment Company Act of 1940, as amended. In addition, we are not in default of any asset coverage requirements under the Credit Facility as of June 30, 2020. However, any continued increase in unrealized depreciation of our investment portfolio or further significant reductions in our net asset value, as a result of the effects of the COVID-19 pandemic or otherwise, increases the risk of breaching the relevant covenants. As such, we may run into</w:t>
      </w:r>
    </w:p>
    <w:p>
      <w:pPr>
        <w:sectPr>
          <w:pgSz w:w="11900" w:h="16838" w:orient="portrait"/>
          <w:cols w:equalWidth="0" w:num="1">
            <w:col w:w="11240"/>
          </w:cols>
          <w:pgMar w:left="320" w:top="118" w:right="339" w:bottom="0" w:gutter="0" w:footer="0" w:header="0"/>
        </w:sectPr>
      </w:pPr>
    </w:p>
    <w:bookmarkStart w:id="7" w:name="page8"/>
    <w:bookmarkEnd w:id="7"/>
    <w:p>
      <w:pPr>
        <w:jc w:val="both"/>
        <w:spacing w:after="0" w:line="251" w:lineRule="auto"/>
        <w:rPr>
          <w:sz w:val="20"/>
          <w:szCs w:val="20"/>
          <w:color w:val="auto"/>
        </w:rPr>
      </w:pPr>
      <w:r>
        <w:rPr>
          <w:rFonts w:ascii="Arial" w:cs="Arial" w:eastAsia="Arial" w:hAnsi="Arial"/>
          <w:sz w:val="22"/>
          <w:szCs w:val="22"/>
          <w:color w:val="auto"/>
        </w:rPr>
        <w:t>liquidity issues in the future if we are unable to draw on the unused borrowing capacity under our Credit Facility due the breach of financial covenants.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will continue to monitor the rapidly evolving situation surrounding the COVID-19 pandemic and guidance from U.S. and international authorities, including federal, state and local public health authorities, and may take further actions based on their recommendations. There may be developments outside our control requiring us to adjust our plans accordingly. While we are closely monitoring this situation, we cannot predict the impact of COVID-19 on our future financial condition, results of operations or cash flows with any level of certainty. However, we expect that the COVID-19 pandemic will continue to have a material adverse impact on our future net investment income, the fair value of our portfolio investments, and the results of operations and financial condition of our portfolio companies. For information concerning the COVID-19 pandemic and its potential impact on our business and our operating results, see our Quarterly Report on Form 10-Q for the quarter ended June 30, 2020, including “Item 2. Management's Discussion and Analysis of Financial Condition and Results of Operations – COVID-19 Developments” and “Part II - Other Information – Item 1A. Risk Factors” therein.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pacing w:after="0" w:line="169"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14" w:lineRule="exact"/>
        <w:rPr>
          <w:sz w:val="20"/>
          <w:szCs w:val="20"/>
          <w:color w:val="auto"/>
        </w:rPr>
      </w:pPr>
    </w:p>
    <w:p>
      <w:pPr>
        <w:ind w:left="2440"/>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22"/>
                <w:szCs w:val="22"/>
                <w:b w:val="1"/>
                <w:bCs w:val="1"/>
                <w:color w:val="auto"/>
                <w:w w:val="91"/>
              </w:rPr>
              <w:t>September 30,</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3"/>
                <w:szCs w:val="23"/>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22"/>
                <w:szCs w:val="22"/>
                <w:b w:val="1"/>
                <w:bCs w:val="1"/>
                <w:color w:val="auto"/>
                <w:w w:val="93"/>
              </w:rPr>
              <w:t>June 30, 2020</w:t>
            </w:r>
          </w:p>
        </w:tc>
        <w:tc>
          <w:tcPr>
            <w:tcW w:w="160" w:type="dxa"/>
            <w:vAlign w:val="bottom"/>
          </w:tcPr>
          <w:p>
            <w:pPr>
              <w:spacing w:after="0"/>
              <w:rPr>
                <w:sz w:val="23"/>
                <w:szCs w:val="23"/>
                <w:color w:val="auto"/>
              </w:rPr>
            </w:pPr>
          </w:p>
        </w:tc>
        <w:tc>
          <w:tcPr>
            <w:tcW w:w="1320" w:type="dxa"/>
            <w:vAlign w:val="bottom"/>
          </w:tcPr>
          <w:p>
            <w:pPr>
              <w:jc w:val="right"/>
              <w:ind w:right="412"/>
              <w:spacing w:after="0"/>
              <w:rPr>
                <w:sz w:val="20"/>
                <w:szCs w:val="20"/>
                <w:color w:val="auto"/>
              </w:rPr>
            </w:pPr>
            <w:r>
              <w:rPr>
                <w:rFonts w:ascii="Arial" w:cs="Arial" w:eastAsia="Arial" w:hAnsi="Arial"/>
                <w:sz w:val="22"/>
                <w:szCs w:val="22"/>
                <w:b w:val="1"/>
                <w:bCs w:val="1"/>
                <w:color w:val="auto"/>
              </w:rPr>
              <w:t>2019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96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160" w:type="dxa"/>
            <w:vAlign w:val="bottom"/>
          </w:tcPr>
          <w:p>
            <w:pPr>
              <w:spacing w:after="0"/>
              <w:rPr>
                <w:sz w:val="24"/>
                <w:szCs w:val="2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22"/>
                <w:szCs w:val="22"/>
                <w:b w:val="1"/>
                <w:bCs w:val="1"/>
                <w:color w:val="auto"/>
                <w:w w:val="90"/>
              </w:rPr>
              <w:t>(unaudited)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960" w:type="dxa"/>
            <w:vAlign w:val="bottom"/>
            <w:vMerge w:val="continue"/>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796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60"/>
              <w:spacing w:after="0" w:line="243" w:lineRule="exact"/>
              <w:rPr>
                <w:sz w:val="20"/>
                <w:szCs w:val="20"/>
                <w:color w:val="auto"/>
              </w:rPr>
            </w:pPr>
            <w:r>
              <w:rPr>
                <w:rFonts w:ascii="Arial" w:cs="Arial" w:eastAsia="Arial" w:hAnsi="Arial"/>
                <w:sz w:val="22"/>
                <w:szCs w:val="22"/>
                <w:color w:val="auto"/>
                <w:w w:val="95"/>
              </w:rPr>
              <w:t>Non-controlled, non-affiliated investments (cost—$956,767,973 and $886,955,156,</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935,279,231</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889,113,264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60"/>
              <w:spacing w:after="0" w:line="243" w:lineRule="exact"/>
              <w:rPr>
                <w:sz w:val="20"/>
                <w:szCs w:val="20"/>
                <w:color w:val="auto"/>
              </w:rPr>
            </w:pPr>
            <w:r>
              <w:rPr>
                <w:rFonts w:ascii="Arial" w:cs="Arial" w:eastAsia="Arial" w:hAnsi="Arial"/>
                <w:sz w:val="22"/>
                <w:szCs w:val="22"/>
                <w:color w:val="auto"/>
              </w:rPr>
              <w:t>Non-controlled, affiliated investments (cost—$21,136,074 and $23,645,693,</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9,677,605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20,430,565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960" w:type="dxa"/>
            <w:vAlign w:val="bottom"/>
          </w:tcPr>
          <w:p>
            <w:pPr>
              <w:ind w:left="260"/>
              <w:spacing w:after="0"/>
              <w:rPr>
                <w:sz w:val="20"/>
                <w:szCs w:val="20"/>
                <w:color w:val="auto"/>
              </w:rPr>
            </w:pPr>
            <w:r>
              <w:rPr>
                <w:rFonts w:ascii="Arial" w:cs="Arial" w:eastAsia="Arial" w:hAnsi="Arial"/>
                <w:sz w:val="22"/>
                <w:szCs w:val="22"/>
                <w:color w:val="auto"/>
                <w:w w:val="90"/>
              </w:rPr>
              <w:t>Controlled, affiliated investments (cost—$176,312,500 and $174,562,500, respectively)</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159,396,415</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172,163,080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7960" w:type="dxa"/>
            <w:vAlign w:val="bottom"/>
          </w:tcPr>
          <w:p>
            <w:pPr>
              <w:ind w:left="260"/>
              <w:spacing w:after="0"/>
              <w:rPr>
                <w:sz w:val="20"/>
                <w:szCs w:val="20"/>
                <w:color w:val="auto"/>
              </w:rPr>
            </w:pPr>
            <w:r>
              <w:rPr>
                <w:rFonts w:ascii="Arial" w:cs="Arial" w:eastAsia="Arial" w:hAnsi="Arial"/>
                <w:sz w:val="22"/>
                <w:szCs w:val="22"/>
                <w:color w:val="auto"/>
              </w:rPr>
              <w:t>Total of investments (cost—$1,154,216,547 and $1,085,172,349, respectively)</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w w:val="90"/>
              </w:rPr>
              <w:t>1,104,353,251</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w w:val="90"/>
              </w:rPr>
              <w:t>1,081,706,909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Cash and cash equivalents (cost—$53,473,103 and $63,367,237, respectively)</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53,405,925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63,337,728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8,441,713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2,997,546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Interest receivable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3,626,998</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3,892,292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Distribution receivable from controlled, affiliated investment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1,225,000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796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614,370</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441,337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96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0"/>
              </w:rPr>
              <w:t>1,171,667,257</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0"/>
              </w:rPr>
              <w:t>1,152,375,812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96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Distributions payable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3,683,347</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3,683,347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6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12,033,794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w w:val="91"/>
              </w:rPr>
              <w:t>Credit Facility payable, at fair value (cost—$351,598,500 and $265,307,500, respectively)</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340,926,080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263,988,583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2023 Notes payable, at fair value (par—$138,579,858)</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121,853,269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135,240,084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2031 Asset-Backed Debt, net (par—$228,000,000)</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224,708,624</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224,321,845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2,644,746</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3,275,481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2,872,725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2,728,019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1,975,831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2,532,205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96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1,668,257</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1,514,943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96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700,332,879</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649,318,301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6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6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60" w:type="dxa"/>
            <w:vAlign w:val="bottom"/>
          </w:tcPr>
          <w:p>
            <w:pPr>
              <w:spacing w:after="0" w:line="243" w:lineRule="exact"/>
              <w:rPr>
                <w:sz w:val="20"/>
                <w:szCs w:val="20"/>
                <w:color w:val="auto"/>
              </w:rPr>
            </w:pPr>
            <w:r>
              <w:rPr>
                <w:rFonts w:ascii="Arial" w:cs="Arial" w:eastAsia="Arial" w:hAnsi="Arial"/>
                <w:sz w:val="22"/>
                <w:szCs w:val="22"/>
                <w:color w:val="auto"/>
                <w:w w:val="89"/>
              </w:rPr>
              <w:t>Common stock, 38,772,074 shares issued and outstanding Par value $0.001 per share and</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100,000,000 shares authorized</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38,772</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38,772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538,632,828</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538,632,828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960" w:type="dxa"/>
            <w:vAlign w:val="bottom"/>
          </w:tcPr>
          <w:p>
            <w:pPr>
              <w:spacing w:after="0"/>
              <w:rPr>
                <w:sz w:val="20"/>
                <w:szCs w:val="20"/>
                <w:color w:val="auto"/>
              </w:rPr>
            </w:pPr>
            <w:r>
              <w:rPr>
                <w:rFonts w:ascii="Arial" w:cs="Arial" w:eastAsia="Arial" w:hAnsi="Arial"/>
                <w:sz w:val="22"/>
                <w:szCs w:val="22"/>
                <w:color w:val="auto"/>
              </w:rPr>
              <w:t>Distributable income</w:t>
            </w:r>
          </w:p>
        </w:tc>
        <w:tc>
          <w:tcPr>
            <w:tcW w:w="160" w:type="dxa"/>
            <w:vAlign w:val="bottom"/>
          </w:tcPr>
          <w:p>
            <w:pPr>
              <w:spacing w:after="0"/>
              <w:rPr>
                <w:sz w:val="23"/>
                <w:szCs w:val="23"/>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22"/>
                <w:szCs w:val="22"/>
                <w:color w:val="auto"/>
              </w:rPr>
              <w:t>(67,337,222)</w:t>
            </w:r>
          </w:p>
        </w:tc>
        <w:tc>
          <w:tcPr>
            <w:tcW w:w="160" w:type="dxa"/>
            <w:vAlign w:val="bottom"/>
          </w:tcPr>
          <w:p>
            <w:pPr>
              <w:spacing w:after="0"/>
              <w:rPr>
                <w:sz w:val="23"/>
                <w:szCs w:val="23"/>
                <w:color w:val="auto"/>
              </w:rPr>
            </w:pP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(35,614,089)</w:t>
            </w:r>
          </w:p>
        </w:tc>
        <w:tc>
          <w:tcPr>
            <w:tcW w:w="0" w:type="dxa"/>
            <w:vAlign w:val="bottom"/>
          </w:tcPr>
          <w:p>
            <w:pPr>
              <w:spacing w:after="0"/>
              <w:rPr>
                <w:sz w:val="1"/>
                <w:szCs w:val="1"/>
                <w:color w:val="auto"/>
              </w:rPr>
            </w:pPr>
          </w:p>
        </w:tc>
      </w:tr>
      <w:tr>
        <w:trPr>
          <w:trHeight w:val="267"/>
        </w:trPr>
        <w:tc>
          <w:tcPr>
            <w:tcW w:w="796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471,334,378</w:t>
            </w: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503,057,511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96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0"/>
              </w:rPr>
              <w:t>1,171,667,257</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0"/>
              </w:rPr>
              <w:t>1,152,375,812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96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12.16</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40"/>
        <w:spacing w:after="0" w:line="243" w:lineRule="auto"/>
        <w:rPr>
          <w:sz w:val="20"/>
          <w:szCs w:val="20"/>
          <w:color w:val="auto"/>
        </w:rPr>
      </w:pPr>
      <w:r>
        <w:rPr>
          <w:rFonts w:ascii="Arial" w:cs="Arial" w:eastAsia="Arial" w:hAnsi="Arial"/>
          <w:sz w:val="22"/>
          <w:szCs w:val="22"/>
          <w:b w:val="1"/>
          <w:bCs w:val="1"/>
          <w:color w:val="auto"/>
        </w:rPr>
        <w:t>PENNANTPARK FLOATING RATE CAPITAL LTD. AND SUBSIDIARIES CONSOLIDATED STATEMENTS OF OPERATIONS (Unaudited)</w:t>
      </w:r>
    </w:p>
    <w:p>
      <w:pPr>
        <w:sectPr>
          <w:pgSz w:w="11900" w:h="16838" w:orient="portrait"/>
          <w:cols w:equalWidth="0" w:num="1">
            <w:col w:w="11240"/>
          </w:cols>
          <w:pgMar w:left="320" w:top="118" w:right="339" w:bottom="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253"/>
        </w:trPr>
        <w:tc>
          <w:tcPr>
            <w:tcW w:w="5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gridSpan w:val="5"/>
          </w:tcPr>
          <w:p>
            <w:pPr>
              <w:jc w:val="right"/>
              <w:ind w:right="452"/>
              <w:spacing w:after="0"/>
              <w:rPr>
                <w:sz w:val="20"/>
                <w:szCs w:val="20"/>
                <w:color w:val="auto"/>
              </w:rPr>
            </w:pPr>
            <w:r>
              <w:rPr>
                <w:rFonts w:ascii="Arial" w:cs="Arial" w:eastAsia="Arial" w:hAnsi="Arial"/>
                <w:sz w:val="22"/>
                <w:szCs w:val="22"/>
                <w:b w:val="1"/>
                <w:bCs w:val="1"/>
                <w:color w:val="auto"/>
                <w:w w:val="98"/>
              </w:rPr>
              <w:t>Three Months Ended</w:t>
            </w:r>
          </w:p>
        </w:tc>
        <w:tc>
          <w:tcPr>
            <w:tcW w:w="140" w:type="dxa"/>
            <w:vAlign w:val="bottom"/>
          </w:tcPr>
          <w:p>
            <w:pPr>
              <w:spacing w:after="0"/>
              <w:rPr>
                <w:sz w:val="21"/>
                <w:szCs w:val="21"/>
                <w:color w:val="auto"/>
              </w:rPr>
            </w:pPr>
          </w:p>
        </w:tc>
        <w:tc>
          <w:tcPr>
            <w:tcW w:w="2600" w:type="dxa"/>
            <w:vAlign w:val="bottom"/>
            <w:gridSpan w:val="5"/>
          </w:tcPr>
          <w:p>
            <w:pPr>
              <w:jc w:val="right"/>
              <w:ind w:right="372"/>
              <w:spacing w:after="0"/>
              <w:rPr>
                <w:sz w:val="20"/>
                <w:szCs w:val="20"/>
                <w:color w:val="auto"/>
              </w:rPr>
            </w:pPr>
            <w:r>
              <w:rPr>
                <w:rFonts w:ascii="Arial" w:cs="Arial" w:eastAsia="Arial" w:hAnsi="Arial"/>
                <w:sz w:val="22"/>
                <w:szCs w:val="22"/>
                <w:b w:val="1"/>
                <w:bCs w:val="1"/>
                <w:color w:val="auto"/>
              </w:rPr>
              <w:t>Nine Months Ended</w:t>
            </w:r>
          </w:p>
        </w:tc>
        <w:tc>
          <w:tcPr>
            <w:tcW w:w="0" w:type="dxa"/>
            <w:vAlign w:val="bottom"/>
          </w:tcPr>
          <w:p>
            <w:pPr>
              <w:spacing w:after="0"/>
              <w:rPr>
                <w:sz w:val="1"/>
                <w:szCs w:val="1"/>
                <w:color w:val="auto"/>
              </w:rPr>
            </w:pPr>
          </w:p>
        </w:tc>
      </w:tr>
      <w:tr>
        <w:trPr>
          <w:trHeight w:val="282"/>
        </w:trPr>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5"/>
          </w:tcPr>
          <w:p>
            <w:pPr>
              <w:jc w:val="right"/>
              <w:ind w:right="1032"/>
              <w:spacing w:after="0"/>
              <w:rPr>
                <w:sz w:val="20"/>
                <w:szCs w:val="20"/>
                <w:color w:val="auto"/>
              </w:rPr>
            </w:pPr>
            <w:r>
              <w:rPr>
                <w:rFonts w:ascii="Arial" w:cs="Arial" w:eastAsia="Arial" w:hAnsi="Arial"/>
                <w:sz w:val="22"/>
                <w:szCs w:val="22"/>
                <w:b w:val="1"/>
                <w:bCs w:val="1"/>
                <w:color w:val="auto"/>
              </w:rPr>
              <w:t>June 30,</w:t>
            </w:r>
          </w:p>
        </w:tc>
        <w:tc>
          <w:tcPr>
            <w:tcW w:w="140" w:type="dxa"/>
            <w:vAlign w:val="bottom"/>
          </w:tcPr>
          <w:p>
            <w:pPr>
              <w:spacing w:after="0"/>
              <w:rPr>
                <w:sz w:val="24"/>
                <w:szCs w:val="24"/>
                <w:color w:val="auto"/>
              </w:rPr>
            </w:pPr>
          </w:p>
        </w:tc>
        <w:tc>
          <w:tcPr>
            <w:tcW w:w="2600" w:type="dxa"/>
            <w:vAlign w:val="bottom"/>
            <w:gridSpan w:val="5"/>
          </w:tcPr>
          <w:p>
            <w:pPr>
              <w:jc w:val="right"/>
              <w:ind w:right="912"/>
              <w:spacing w:after="0"/>
              <w:rPr>
                <w:sz w:val="20"/>
                <w:szCs w:val="20"/>
                <w:color w:val="auto"/>
              </w:rPr>
            </w:pPr>
            <w:r>
              <w:rPr>
                <w:rFonts w:ascii="Arial" w:cs="Arial" w:eastAsia="Arial" w:hAnsi="Arial"/>
                <w:sz w:val="22"/>
                <w:szCs w:val="22"/>
                <w:b w:val="1"/>
                <w:bCs w:val="1"/>
                <w:color w:val="auto"/>
              </w:rPr>
              <w:t>June 30,</w:t>
            </w:r>
          </w:p>
        </w:tc>
        <w:tc>
          <w:tcPr>
            <w:tcW w:w="0" w:type="dxa"/>
            <w:vAlign w:val="bottom"/>
          </w:tcPr>
          <w:p>
            <w:pPr>
              <w:spacing w:after="0"/>
              <w:rPr>
                <w:sz w:val="1"/>
                <w:szCs w:val="1"/>
                <w:color w:val="auto"/>
              </w:rPr>
            </w:pPr>
          </w:p>
        </w:tc>
      </w:tr>
      <w:tr>
        <w:trPr>
          <w:trHeight w:val="265"/>
        </w:trPr>
        <w:tc>
          <w:tcPr>
            <w:tcW w:w="5600" w:type="dxa"/>
            <w:vAlign w:val="bottom"/>
            <w:vMerge w:val="restart"/>
          </w:tcPr>
          <w:p>
            <w:pPr>
              <w:spacing w:after="0"/>
              <w:rPr>
                <w:sz w:val="20"/>
                <w:szCs w:val="20"/>
                <w:color w:val="auto"/>
              </w:rPr>
            </w:pPr>
            <w:r>
              <w:rPr>
                <w:rFonts w:ascii="Arial" w:cs="Arial" w:eastAsia="Arial" w:hAnsi="Arial"/>
                <w:sz w:val="22"/>
                <w:szCs w:val="22"/>
                <w:b w:val="1"/>
                <w:bCs w:val="1"/>
                <w:color w:val="auto"/>
              </w:rPr>
              <w:t>Investment income:</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2020</w:t>
            </w:r>
          </w:p>
        </w:tc>
        <w:tc>
          <w:tcPr>
            <w:tcW w:w="220" w:type="dxa"/>
            <w:vAlign w:val="bottom"/>
            <w:tcBorders>
              <w:top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2019</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2020</w:t>
            </w:r>
          </w:p>
        </w:tc>
        <w:tc>
          <w:tcPr>
            <w:tcW w:w="220" w:type="dxa"/>
            <w:vAlign w:val="bottom"/>
            <w:tcBorders>
              <w:top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6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60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17,543,157</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16,670,408</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56,760,434</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50,888,582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820,997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974,760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2,734,600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2,971,768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195,904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305,217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655,029</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1,082,208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36,170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109,863</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36,170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124,734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2,944,290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3,240,760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9,169,399</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9,273,287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00" w:type="dxa"/>
            <w:vAlign w:val="bottom"/>
          </w:tcPr>
          <w:p>
            <w:pPr>
              <w:ind w:left="260"/>
              <w:spacing w:after="0"/>
              <w:rPr>
                <w:sz w:val="20"/>
                <w:szCs w:val="20"/>
                <w:color w:val="auto"/>
              </w:rPr>
            </w:pPr>
            <w:r>
              <w:rPr>
                <w:rFonts w:ascii="Arial" w:cs="Arial" w:eastAsia="Arial" w:hAnsi="Arial"/>
                <w:sz w:val="22"/>
                <w:szCs w:val="22"/>
                <w:color w:val="auto"/>
              </w:rPr>
              <w:t>Dividend</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1,225,000</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1,575,000</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4,375,000</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4,725,000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60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22,765,518</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22,876,008</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73,730,632</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69,065,579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2,872,725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2,564,074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8,651,825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7,481,546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1,975,831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2,350,270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7,228,690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3,671,908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6,653,045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5,663,183</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21,586,859</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16,284,841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350,000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350,000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1,050,000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1,200,000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0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616,077</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616,077</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1,848,230</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1,848,229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60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89"/>
              </w:rPr>
              <w:t>Expenses before amendment costs, debt issuance costs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600" w:type="dxa"/>
            <w:vAlign w:val="bottom"/>
          </w:tcPr>
          <w:p>
            <w:pPr>
              <w:ind w:left="260"/>
              <w:spacing w:after="0"/>
              <w:rPr>
                <w:sz w:val="20"/>
                <w:szCs w:val="20"/>
                <w:color w:val="auto"/>
              </w:rPr>
            </w:pPr>
            <w:r>
              <w:rPr>
                <w:rFonts w:ascii="Arial" w:cs="Arial" w:eastAsia="Arial" w:hAnsi="Arial"/>
                <w:sz w:val="22"/>
                <w:szCs w:val="22"/>
                <w:b w:val="1"/>
                <w:bCs w:val="1"/>
                <w:color w:val="auto"/>
              </w:rPr>
              <w:t>and provision for taxes:</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12,467,678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11,543,604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40,365,604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30,486,524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w w:val="95"/>
              </w:rPr>
              <w:t>Credit Facility amendment costs and debt issuance costs</w:t>
            </w:r>
          </w:p>
        </w:tc>
        <w:tc>
          <w:tcPr>
            <w:tcW w:w="14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280" w:type="dxa"/>
            <w:vAlign w:val="bottom"/>
            <w:gridSpan w:val="2"/>
          </w:tcPr>
          <w:p>
            <w:pPr>
              <w:jc w:val="right"/>
              <w:ind w:right="11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4,517,292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0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100,000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right"/>
              <w:ind w:right="11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300,000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5600" w:type="dxa"/>
            <w:vAlign w:val="bottom"/>
          </w:tcPr>
          <w:p>
            <w:pPr>
              <w:ind w:left="260"/>
              <w:spacing w:after="0"/>
              <w:rPr>
                <w:sz w:val="20"/>
                <w:szCs w:val="20"/>
                <w:color w:val="auto"/>
              </w:rPr>
            </w:pPr>
            <w:r>
              <w:rPr>
                <w:rFonts w:ascii="Arial" w:cs="Arial" w:eastAsia="Arial" w:hAnsi="Arial"/>
                <w:sz w:val="22"/>
                <w:szCs w:val="22"/>
                <w:b w:val="1"/>
                <w:bCs w:val="1"/>
                <w:color w:val="auto"/>
              </w:rPr>
              <w:t>Total expenses</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12,567,678</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11,543,604</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40,665,604</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35,003,816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10,197,840</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11,332,404</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33,065,028</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34,061,763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22"/>
                <w:szCs w:val="22"/>
                <w:b w:val="1"/>
                <w:bCs w:val="1"/>
                <w:color w:val="auto"/>
                <w:w w:val="87"/>
              </w:rPr>
              <w:t>Realized and unrealized gain (loss) on investments and debt:</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Net realized loss on investments: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40" w:type="dxa"/>
            <w:vAlign w:val="bottom"/>
          </w:tcPr>
          <w:p>
            <w:pPr>
              <w:spacing w:after="0"/>
              <w:rPr>
                <w:sz w:val="23"/>
                <w:szCs w:val="2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22"/>
                <w:szCs w:val="22"/>
                <w:color w:val="auto"/>
              </w:rPr>
              <w:t>(1,694,710)</w:t>
            </w:r>
          </w:p>
        </w:tc>
        <w:tc>
          <w:tcPr>
            <w:tcW w:w="140" w:type="dxa"/>
            <w:vAlign w:val="bottom"/>
          </w:tcPr>
          <w:p>
            <w:pPr>
              <w:spacing w:after="0"/>
              <w:rPr>
                <w:sz w:val="23"/>
                <w:szCs w:val="23"/>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22"/>
                <w:szCs w:val="22"/>
                <w:color w:val="auto"/>
                <w:w w:val="91"/>
              </w:rPr>
              <w:t>(11,230,236)</w:t>
            </w:r>
          </w:p>
        </w:tc>
        <w:tc>
          <w:tcPr>
            <w:tcW w:w="140" w:type="dxa"/>
            <w:vAlign w:val="bottom"/>
          </w:tcPr>
          <w:p>
            <w:pPr>
              <w:spacing w:after="0"/>
              <w:rPr>
                <w:sz w:val="23"/>
                <w:szCs w:val="2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22"/>
                <w:szCs w:val="22"/>
                <w:color w:val="auto"/>
              </w:rPr>
              <w:t>(2,281,683)</w:t>
            </w: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(9,227,422)</w:t>
            </w:r>
          </w:p>
        </w:tc>
        <w:tc>
          <w:tcPr>
            <w:tcW w:w="0" w:type="dxa"/>
            <w:vAlign w:val="bottom"/>
          </w:tcPr>
          <w:p>
            <w:pPr>
              <w:spacing w:after="0"/>
              <w:rPr>
                <w:sz w:val="1"/>
                <w:szCs w:val="1"/>
                <w:color w:val="auto"/>
              </w:rPr>
            </w:pPr>
          </w:p>
        </w:tc>
      </w:tr>
      <w:tr>
        <w:trPr>
          <w:trHeight w:val="274"/>
        </w:trPr>
        <w:tc>
          <w:tcPr>
            <w:tcW w:w="560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40" w:type="dxa"/>
            <w:vAlign w:val="bottom"/>
          </w:tcPr>
          <w:p>
            <w:pPr>
              <w:spacing w:after="0"/>
              <w:rPr>
                <w:sz w:val="23"/>
                <w:szCs w:val="2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22"/>
                <w:szCs w:val="22"/>
                <w:color w:val="auto"/>
              </w:rPr>
              <w:t>(5,683,145)</w:t>
            </w:r>
          </w:p>
        </w:tc>
        <w:tc>
          <w:tcPr>
            <w:tcW w:w="140" w:type="dxa"/>
            <w:vAlign w:val="bottom"/>
          </w:tcPr>
          <w:p>
            <w:pPr>
              <w:spacing w:after="0"/>
              <w:rPr>
                <w:sz w:val="23"/>
                <w:szCs w:val="23"/>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22"/>
                <w:szCs w:val="22"/>
                <w:color w:val="auto"/>
              </w:rPr>
              <w:t>(7,164,304)</w:t>
            </w:r>
          </w:p>
        </w:tc>
        <w:tc>
          <w:tcPr>
            <w:tcW w:w="140" w:type="dxa"/>
            <w:vAlign w:val="bottom"/>
          </w:tcPr>
          <w:p>
            <w:pPr>
              <w:spacing w:after="0"/>
              <w:rPr>
                <w:sz w:val="23"/>
                <w:szCs w:val="2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22"/>
                <w:szCs w:val="22"/>
                <w:color w:val="auto"/>
              </w:rPr>
              <w:t>(5,683,145)</w:t>
            </w: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(7,164,304)</w:t>
            </w:r>
          </w:p>
        </w:tc>
        <w:tc>
          <w:tcPr>
            <w:tcW w:w="0" w:type="dxa"/>
            <w:vAlign w:val="bottom"/>
          </w:tcPr>
          <w:p>
            <w:pPr>
              <w:spacing w:after="0"/>
              <w:rPr>
                <w:sz w:val="1"/>
                <w:szCs w:val="1"/>
                <w:color w:val="auto"/>
              </w:rPr>
            </w:pPr>
          </w:p>
        </w:tc>
      </w:tr>
      <w:tr>
        <w:trPr>
          <w:trHeight w:val="267"/>
        </w:trPr>
        <w:tc>
          <w:tcPr>
            <w:tcW w:w="5600" w:type="dxa"/>
            <w:vAlign w:val="bottom"/>
          </w:tcPr>
          <w:p>
            <w:pPr>
              <w:ind w:left="260"/>
              <w:spacing w:after="0"/>
              <w:rPr>
                <w:sz w:val="20"/>
                <w:szCs w:val="20"/>
                <w:color w:val="auto"/>
              </w:rPr>
            </w:pPr>
            <w:r>
              <w:rPr>
                <w:rFonts w:ascii="Arial" w:cs="Arial" w:eastAsia="Arial" w:hAnsi="Arial"/>
                <w:sz w:val="22"/>
                <w:szCs w:val="22"/>
                <w:b w:val="1"/>
                <w:bCs w:val="1"/>
                <w:color w:val="auto"/>
              </w:rPr>
              <w:t>Net realized loss on investments</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(7,377,855)</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(18,394,540</w:t>
            </w:r>
          </w:p>
        </w:tc>
        <w:tc>
          <w:tcPr>
            <w:tcW w:w="2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(7,964,828)</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(16,391,726</w:t>
            </w:r>
          </w:p>
        </w:tc>
        <w:tc>
          <w:tcPr>
            <w:tcW w:w="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r>
        <w:trPr>
          <w:trHeight w:val="254"/>
        </w:trPr>
        <w:tc>
          <w:tcPr>
            <w:tcW w:w="5600" w:type="dxa"/>
            <w:vAlign w:val="bottom"/>
          </w:tcPr>
          <w:p>
            <w:pPr>
              <w:spacing w:after="0"/>
              <w:rPr>
                <w:sz w:val="20"/>
                <w:szCs w:val="20"/>
                <w:color w:val="auto"/>
              </w:rPr>
            </w:pPr>
            <w:r>
              <w:rPr>
                <w:rFonts w:ascii="Arial" w:cs="Arial" w:eastAsia="Arial" w:hAnsi="Arial"/>
                <w:sz w:val="22"/>
                <w:szCs w:val="22"/>
                <w:color w:val="auto"/>
              </w:rPr>
              <w:t>Net change in unrealized appreciation (depreciation) on:</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6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13,962,606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8,492,044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22"/>
                <w:szCs w:val="22"/>
                <w:color w:val="auto"/>
                <w:w w:val="91"/>
              </w:rPr>
              <w:t>(23,662,521)</w:t>
            </w: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(9,292,141)</w:t>
            </w: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Controlled and non-controlled, affiliated investments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7,931,471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3,444,481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22"/>
                <w:szCs w:val="22"/>
                <w:color w:val="auto"/>
                <w:w w:val="91"/>
              </w:rPr>
              <w:t>(22,751,006)</w:t>
            </w: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(3,892,061)</w:t>
            </w:r>
          </w:p>
        </w:tc>
        <w:tc>
          <w:tcPr>
            <w:tcW w:w="0" w:type="dxa"/>
            <w:vAlign w:val="bottom"/>
          </w:tcPr>
          <w:p>
            <w:pPr>
              <w:spacing w:after="0"/>
              <w:rPr>
                <w:sz w:val="1"/>
                <w:szCs w:val="1"/>
                <w:color w:val="auto"/>
              </w:rPr>
            </w:pPr>
          </w:p>
        </w:tc>
      </w:tr>
      <w:tr>
        <w:trPr>
          <w:trHeight w:val="274"/>
        </w:trPr>
        <w:tc>
          <w:tcPr>
            <w:tcW w:w="5600" w:type="dxa"/>
            <w:vAlign w:val="bottom"/>
          </w:tcPr>
          <w:p>
            <w:pPr>
              <w:ind w:left="260"/>
              <w:spacing w:after="0"/>
              <w:rPr>
                <w:sz w:val="20"/>
                <w:szCs w:val="20"/>
                <w:color w:val="auto"/>
              </w:rPr>
            </w:pPr>
            <w:r>
              <w:rPr>
                <w:rFonts w:ascii="Arial" w:cs="Arial" w:eastAsia="Arial" w:hAnsi="Arial"/>
                <w:sz w:val="22"/>
                <w:szCs w:val="22"/>
                <w:color w:val="auto"/>
              </w:rPr>
              <w:t>Debt (appreciation) depreciation</w:t>
            </w:r>
          </w:p>
        </w:tc>
        <w:tc>
          <w:tcPr>
            <w:tcW w:w="140" w:type="dxa"/>
            <w:vAlign w:val="bottom"/>
          </w:tcPr>
          <w:p>
            <w:pPr>
              <w:spacing w:after="0"/>
              <w:rPr>
                <w:sz w:val="23"/>
                <w:szCs w:val="2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22"/>
                <w:szCs w:val="22"/>
                <w:color w:val="auto"/>
                <w:w w:val="87"/>
              </w:rPr>
              <w:t>(12,158,917 )</w:t>
            </w:r>
          </w:p>
        </w:tc>
        <w:tc>
          <w:tcPr>
            <w:tcW w:w="140" w:type="dxa"/>
            <w:vAlign w:val="bottom"/>
          </w:tcPr>
          <w:p>
            <w:pPr>
              <w:spacing w:after="0"/>
              <w:rPr>
                <w:sz w:val="23"/>
                <w:szCs w:val="23"/>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22"/>
                <w:szCs w:val="22"/>
                <w:color w:val="auto"/>
              </w:rPr>
              <w:t>(355,573)</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22,740,317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(443,549)</w:t>
            </w:r>
          </w:p>
        </w:tc>
        <w:tc>
          <w:tcPr>
            <w:tcW w:w="0" w:type="dxa"/>
            <w:vAlign w:val="bottom"/>
          </w:tcPr>
          <w:p>
            <w:pPr>
              <w:spacing w:after="0"/>
              <w:rPr>
                <w:sz w:val="1"/>
                <w:szCs w:val="1"/>
                <w:color w:val="auto"/>
              </w:rPr>
            </w:pPr>
          </w:p>
        </w:tc>
      </w:tr>
      <w:tr>
        <w:trPr>
          <w:trHeight w:val="213"/>
        </w:trPr>
        <w:tc>
          <w:tcPr>
            <w:tcW w:w="560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1"/>
              </w:rPr>
              <w:t>Net change in unrealized appreciation (depreciation) on</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00" w:type="dxa"/>
            <w:vAlign w:val="bottom"/>
          </w:tcPr>
          <w:p>
            <w:pPr>
              <w:ind w:left="260"/>
              <w:spacing w:after="0"/>
              <w:rPr>
                <w:sz w:val="20"/>
                <w:szCs w:val="20"/>
                <w:color w:val="auto"/>
              </w:rPr>
            </w:pPr>
            <w:r>
              <w:rPr>
                <w:rFonts w:ascii="Arial" w:cs="Arial" w:eastAsia="Arial" w:hAnsi="Arial"/>
                <w:sz w:val="22"/>
                <w:szCs w:val="22"/>
                <w:b w:val="1"/>
                <w:bCs w:val="1"/>
                <w:color w:val="auto"/>
              </w:rPr>
              <w:t>investments and debt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9,735,160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11,580,952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22"/>
                <w:szCs w:val="22"/>
                <w:color w:val="auto"/>
                <w:w w:val="87"/>
              </w:rPr>
              <w:t>(23,673,210 )</w:t>
            </w:r>
          </w:p>
        </w:tc>
        <w:tc>
          <w:tcPr>
            <w:tcW w:w="1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w w:val="87"/>
              </w:rPr>
              <w:t>(13,627,751 )</w:t>
            </w:r>
          </w:p>
        </w:tc>
        <w:tc>
          <w:tcPr>
            <w:tcW w:w="0" w:type="dxa"/>
            <w:vAlign w:val="bottom"/>
          </w:tcPr>
          <w:p>
            <w:pPr>
              <w:spacing w:after="0"/>
              <w:rPr>
                <w:sz w:val="1"/>
                <w:szCs w:val="1"/>
                <w:color w:val="auto"/>
              </w:rPr>
            </w:pPr>
          </w:p>
        </w:tc>
      </w:tr>
      <w:tr>
        <w:trPr>
          <w:trHeight w:val="213"/>
        </w:trPr>
        <w:tc>
          <w:tcPr>
            <w:tcW w:w="5600" w:type="dxa"/>
            <w:vAlign w:val="bottom"/>
          </w:tcPr>
          <w:p>
            <w:pPr>
              <w:spacing w:after="0" w:line="212" w:lineRule="exact"/>
              <w:rPr>
                <w:sz w:val="20"/>
                <w:szCs w:val="20"/>
                <w:color w:val="auto"/>
              </w:rPr>
            </w:pPr>
            <w:r>
              <w:rPr>
                <w:rFonts w:ascii="Arial" w:cs="Arial" w:eastAsia="Arial" w:hAnsi="Arial"/>
                <w:sz w:val="22"/>
                <w:szCs w:val="22"/>
                <w:b w:val="1"/>
                <w:bCs w:val="1"/>
                <w:color w:val="auto"/>
                <w:w w:val="87"/>
              </w:rPr>
              <w:t>Net realized and unrealized gain (loss) from investments and</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00" w:type="dxa"/>
            <w:vAlign w:val="bottom"/>
          </w:tcPr>
          <w:p>
            <w:pPr>
              <w:spacing w:after="0"/>
              <w:rPr>
                <w:sz w:val="20"/>
                <w:szCs w:val="20"/>
                <w:color w:val="auto"/>
              </w:rPr>
            </w:pPr>
            <w:r>
              <w:rPr>
                <w:rFonts w:ascii="Arial" w:cs="Arial" w:eastAsia="Arial" w:hAnsi="Arial"/>
                <w:sz w:val="22"/>
                <w:szCs w:val="22"/>
                <w:b w:val="1"/>
                <w:bCs w:val="1"/>
                <w:color w:val="auto"/>
              </w:rPr>
              <w:t>debt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2,357,305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22"/>
                <w:szCs w:val="22"/>
                <w:color w:val="auto"/>
              </w:rPr>
              <w:t>(6,813,588)</w:t>
            </w:r>
          </w:p>
        </w:tc>
        <w:tc>
          <w:tcPr>
            <w:tcW w:w="14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22"/>
                <w:szCs w:val="22"/>
                <w:color w:val="auto"/>
                <w:w w:val="87"/>
              </w:rPr>
              <w:t>(31,638,038 )</w:t>
            </w:r>
          </w:p>
        </w:tc>
        <w:tc>
          <w:tcPr>
            <w:tcW w:w="1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w w:val="87"/>
              </w:rPr>
              <w:t>(30,019,477 )</w:t>
            </w:r>
          </w:p>
        </w:tc>
        <w:tc>
          <w:tcPr>
            <w:tcW w:w="0" w:type="dxa"/>
            <w:vAlign w:val="bottom"/>
          </w:tcPr>
          <w:p>
            <w:pPr>
              <w:spacing w:after="0"/>
              <w:rPr>
                <w:sz w:val="1"/>
                <w:szCs w:val="1"/>
                <w:color w:val="auto"/>
              </w:rPr>
            </w:pPr>
          </w:p>
        </w:tc>
      </w:tr>
      <w:tr>
        <w:trPr>
          <w:trHeight w:val="267"/>
        </w:trPr>
        <w:tc>
          <w:tcPr>
            <w:tcW w:w="560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12,555,145</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4,518,816</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1,426,990</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4,042,286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line="242" w:lineRule="exact"/>
              <w:rPr>
                <w:sz w:val="20"/>
                <w:szCs w:val="20"/>
                <w:color w:val="auto"/>
              </w:rPr>
            </w:pPr>
            <w:r>
              <w:rPr>
                <w:rFonts w:ascii="Arial" w:cs="Arial" w:eastAsia="Arial" w:hAnsi="Arial"/>
                <w:sz w:val="22"/>
                <w:szCs w:val="22"/>
                <w:color w:val="auto"/>
                <w:w w:val="88"/>
              </w:rPr>
              <w:t>Net increase in net assets resulting from operations per common</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600" w:type="dxa"/>
            <w:vAlign w:val="bottom"/>
            <w:vMerge w:val="continue"/>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0.32</w:t>
            </w:r>
          </w:p>
        </w:tc>
        <w:tc>
          <w:tcPr>
            <w:tcW w:w="2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vMerge w:val="restart"/>
          </w:tcPr>
          <w:p>
            <w:pPr>
              <w:jc w:val="right"/>
              <w:spacing w:after="0"/>
              <w:rPr>
                <w:sz w:val="20"/>
                <w:szCs w:val="20"/>
                <w:color w:val="auto"/>
              </w:rPr>
            </w:pPr>
            <w:r>
              <w:rPr>
                <w:rFonts w:ascii="Arial" w:cs="Arial" w:eastAsia="Arial" w:hAnsi="Arial"/>
                <w:sz w:val="22"/>
                <w:szCs w:val="22"/>
                <w:color w:val="auto"/>
              </w:rPr>
              <w:t>0.12</w:t>
            </w:r>
          </w:p>
        </w:tc>
        <w:tc>
          <w:tcPr>
            <w:tcW w:w="2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0.04</w:t>
            </w:r>
          </w:p>
        </w:tc>
        <w:tc>
          <w:tcPr>
            <w:tcW w:w="2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line="251" w:lineRule="exact"/>
              <w:rPr>
                <w:sz w:val="20"/>
                <w:szCs w:val="20"/>
                <w:color w:val="auto"/>
              </w:rPr>
            </w:pPr>
            <w:r>
              <w:rPr>
                <w:rFonts w:ascii="Arial" w:cs="Arial" w:eastAsia="Arial" w:hAnsi="Arial"/>
                <w:sz w:val="22"/>
                <w:szCs w:val="22"/>
                <w:color w:val="auto"/>
              </w:rPr>
              <w:t>share</w:t>
            </w:r>
          </w:p>
        </w:tc>
        <w:tc>
          <w:tcPr>
            <w:tcW w:w="1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22"/>
                <w:szCs w:val="22"/>
                <w:color w:val="auto"/>
              </w:rPr>
              <w:t>Net investment income per common share</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600" w:type="dxa"/>
            <w:vAlign w:val="bottom"/>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0.26</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0.29</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0.85</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0.88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$3.6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ectPr>
          <w:pgSz w:w="11900" w:h="16838" w:orient="portrait"/>
          <w:cols w:equalWidth="0" w:num="1">
            <w:col w:w="11240"/>
          </w:cols>
          <w:pgMar w:left="320" w:top="102" w:right="339" w:bottom="0" w:gutter="0" w:footer="0" w:header="0"/>
        </w:sectPr>
      </w:pPr>
    </w:p>
    <w:bookmarkStart w:id="9" w:name="page10"/>
    <w:bookmarkEnd w:id="9"/>
    <w:p>
      <w:pPr>
        <w:jc w:val="both"/>
        <w:spacing w:after="0" w:line="245"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CONTACT: Aviv Efrat</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PennantPark Floating Rate</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Capital Ltd.</w:t>
      </w:r>
    </w:p>
    <w:p>
      <w:pPr>
        <w:spacing w:after="0" w:line="3" w:lineRule="exact"/>
        <w:rPr>
          <w:sz w:val="20"/>
          <w:szCs w:val="20"/>
          <w:color w:val="auto"/>
        </w:rPr>
      </w:pPr>
    </w:p>
    <w:p>
      <w:pPr>
        <w:ind w:left="1180" w:right="8060" w:firstLine="2"/>
        <w:spacing w:after="0" w:line="353" w:lineRule="auto"/>
        <w:tabs>
          <w:tab w:leader="none" w:pos="1702" w:val="left"/>
        </w:tabs>
        <w:numPr>
          <w:ilvl w:val="0"/>
          <w:numId w:val="5"/>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2020-08-05T17:22:49Z</dcterms:created>
  <dcterms:modified xsi:type="dcterms:W3CDTF">2020-08-05T17:22:49Z</dcterms:modified>
</cp:coreProperties>
</file>