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9,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PENNANTPARK FLOATING RATE CAPITAL LTD.</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File No. 814-00891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On behalf of PennantPark Floating Rate Capital Ltd. (the “Corporation”), enclosed for filing, pursuant to Rule 17g-1 of the Investment Company Act of 1940, as amended (the “1940 Act”), are the following documents:</w:t>
      </w:r>
    </w:p>
    <w:p>
      <w:pPr>
        <w:spacing w:after="0" w:line="76" w:lineRule="exact"/>
        <w:rPr>
          <w:sz w:val="24"/>
          <w:szCs w:val="24"/>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and any riders thereto for the Corporation and other joint insureds (attached as Exhibit A);</w:t>
      </w:r>
    </w:p>
    <w:p>
      <w:pPr>
        <w:spacing w:after="0" w:line="130" w:lineRule="exact"/>
        <w:rPr>
          <w:rFonts w:ascii="Arial" w:cs="Arial" w:eastAsia="Arial" w:hAnsi="Arial"/>
          <w:sz w:val="18"/>
          <w:szCs w:val="18"/>
          <w:color w:val="auto"/>
        </w:rPr>
      </w:pPr>
    </w:p>
    <w:p>
      <w:pPr>
        <w:ind w:left="960" w:right="100" w:hanging="532"/>
        <w:spacing w:after="0" w:line="259"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certified copy of the resolutions approved at the May 8, 2020 meeting of the Board of Directors of the Corporation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92"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Agreement, by and among the Corporation and other joint insureds, pursuant to paragraph (f) of Rule 17g-1 (attached as Exhibit C).</w:t>
      </w:r>
    </w:p>
    <w:p>
      <w:pPr>
        <w:spacing w:after="0" w:line="170" w:lineRule="exact"/>
        <w:rPr>
          <w:sz w:val="24"/>
          <w:szCs w:val="24"/>
          <w:color w:val="auto"/>
        </w:rPr>
      </w:pPr>
    </w:p>
    <w:p>
      <w:pPr>
        <w:jc w:val="both"/>
        <w:ind w:right="380"/>
        <w:spacing w:after="0" w:line="263" w:lineRule="auto"/>
        <w:rPr>
          <w:sz w:val="20"/>
          <w:szCs w:val="20"/>
          <w:color w:val="auto"/>
        </w:rPr>
      </w:pPr>
      <w:r>
        <w:rPr>
          <w:rFonts w:ascii="Arial" w:cs="Arial" w:eastAsia="Arial" w:hAnsi="Arial"/>
          <w:sz w:val="18"/>
          <w:szCs w:val="18"/>
          <w:color w:val="auto"/>
        </w:rPr>
        <w:t>If the Corporation had not been named as a co-insured under this Joint Fidelity Bond Agreement, the Corporation would have maintained a single-insured fidelity bond in the amount of at least $1,250,000 as required under paragraph (d)(1) of Rule 17g-1. A premium of $2,331 was paid for the period May 31, 2020 through May 31, 2021.</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me at (212) 905-1000 if you have any questions.</w:t>
      </w:r>
    </w:p>
    <w:p>
      <w:pPr>
        <w:spacing w:after="0" w:line="252"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Aviv Efrat</w:t>
      </w:r>
    </w:p>
    <w:p>
      <w:pPr>
        <w:spacing w:after="0" w:line="116"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Chief Financial Officer and Treasurer</w:t>
      </w:r>
    </w:p>
    <w:p>
      <w:pPr>
        <w:spacing w:after="0" w:line="117"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PennantPark Floating Rate Capital Ltd.</w:t>
      </w:r>
    </w:p>
    <w:p>
      <w:pPr>
        <w:sectPr>
          <w:pgSz w:w="11900" w:h="16838" w:orient="portrait"/>
          <w:cols w:equalWidth="0" w:num="1">
            <w:col w:w="10940"/>
          </w:cols>
          <w:pgMar w:left="440" w:top="233" w:right="51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 of the Secretary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undersigned, Thomas J. Friedmann, Secretary of PennantPark Floating Rate Capital Ltd., a Maryland corporation (the “Corporation”), does hereby certify that:</w:t>
      </w:r>
    </w:p>
    <w:p>
      <w:pPr>
        <w:spacing w:after="0" w:line="76" w:lineRule="exact"/>
        <w:rPr>
          <w:sz w:val="20"/>
          <w:szCs w:val="20"/>
          <w:color w:val="auto"/>
        </w:rPr>
      </w:pPr>
    </w:p>
    <w:p>
      <w:pPr>
        <w:ind w:left="960" w:right="6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89"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May 31, 2020 through May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9</w:t>
      </w:r>
      <w:r>
        <w:rPr>
          <w:rFonts w:ascii="Arial" w:cs="Arial" w:eastAsia="Arial" w:hAnsi="Arial"/>
          <w:sz w:val="15"/>
          <w:szCs w:val="15"/>
          <w:color w:val="auto"/>
        </w:rPr>
        <w:t>th</w:t>
      </w:r>
      <w:r>
        <w:rPr>
          <w:rFonts w:ascii="Arial" w:cs="Arial" w:eastAsia="Arial" w:hAnsi="Arial"/>
          <w:sz w:val="18"/>
          <w:szCs w:val="18"/>
          <w:color w:val="auto"/>
        </w:rPr>
        <w:t xml:space="preserve"> day of June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Thomas J. Friedmann</w:t>
      </w:r>
    </w:p>
    <w:p>
      <w:pPr>
        <w:spacing w:after="0" w:line="1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920"/>
          </w:cols>
          <w:pgMar w:left="440" w:top="270" w:right="5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534160"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16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NY 10022</w:t>
      </w:r>
    </w:p>
    <w:p>
      <w:pPr>
        <w:spacing w:after="0" w:line="20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Re: Important Information about </w:t>
      </w:r>
      <w:r>
        <w:rPr>
          <w:rFonts w:ascii="Arial" w:cs="Arial" w:eastAsia="Arial" w:hAnsi="Arial"/>
          <w:sz w:val="18"/>
          <w:szCs w:val="18"/>
          <w:b w:val="1"/>
          <w:bCs w:val="1"/>
          <w:u w:val="single" w:color="auto"/>
          <w:color w:val="auto"/>
        </w:rPr>
        <w:t>Claims Information 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Dear </w:t>
      </w:r>
      <w:r>
        <w:rPr>
          <w:rFonts w:ascii="Arial" w:cs="Arial" w:eastAsia="Arial" w:hAnsi="Arial"/>
          <w:sz w:val="18"/>
          <w:szCs w:val="18"/>
          <w:b w:val="1"/>
          <w:bCs w:val="1"/>
          <w:color w:val="auto"/>
        </w:rPr>
        <w:t>PENNANTPARK INVESTMENT CORPORATION</w:t>
      </w:r>
    </w:p>
    <w:p>
      <w:pPr>
        <w:spacing w:after="0" w:line="22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 xml:space="preserve">Travelers Bond &amp; Specialty Insurance is pleased to announce its </w:t>
      </w:r>
      <w:r>
        <w:rPr>
          <w:rFonts w:ascii="Arial" w:cs="Arial" w:eastAsia="Arial" w:hAnsi="Arial"/>
          <w:sz w:val="18"/>
          <w:szCs w:val="18"/>
          <w:b w:val="1"/>
          <w:bCs w:val="1"/>
          <w:color w:val="auto"/>
        </w:rPr>
        <w:t>1-800-842-8496</w:t>
      </w:r>
      <w:r>
        <w:rPr>
          <w:rFonts w:ascii="Arial" w:cs="Arial" w:eastAsia="Arial" w:hAnsi="Arial"/>
          <w:sz w:val="18"/>
          <w:szCs w:val="18"/>
          <w:color w:val="auto"/>
        </w:rPr>
        <w:t xml:space="preserve"> Claims Information Line. This line is designed to provide insureds with an additional resource on how to report claims or those circumstances or events which may become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Policyholders will be able to obtain assistance on the following topics from the Claims Information Line:</w:t>
      </w:r>
    </w:p>
    <w:p>
      <w:pPr>
        <w:spacing w:after="0" w:line="131"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that needs to be included with the claim notice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address, electronic mail address and/or facsimile number to which the policyholder can send claims related information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Get questions on the claim process answered</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Declarations Page of your policy sets forth where you should report claims and claims related information. You should also review the policy’s reporting requirements to be aware of how much time you have to report a claim to Travelers. The sooner Travelers is notified, the sooner we can become involved in the process and offer assistance to our policyholder. A delay in reporting may result in all or part of a matter to fall outside of the coverage provided.</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Claims Information Line should streamline the claim reporting process and allow policyholders to ask questions on what information is needed as well as other questions which will assist them in working with Travelers. While the Claims Information Line provides policyholders a valuable resource by answering questions and providing information, the line does not replace the reporting requirements contained in the Policy.</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hope this improvement to customer service is something our policyholders will find helps them understand the claim process and provides them a resource for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Mike C Sabino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LTR-4035 Ed. 06-09 Printed in U.S.A.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©2009 The Travelers Companies, Inc. All Rights Reserved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380" w:space="720"/>
            <w:col w:w="920"/>
          </w:cols>
          <w:pgMar w:left="440" w:top="270" w:right="439" w:bottom="1440" w:gutter="0" w:footer="0" w:header="0"/>
          <w:type w:val="continuous"/>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534160"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34160" cy="316865"/>
                    </a:xfrm>
                    <a:prstGeom prst="rect">
                      <a:avLst/>
                    </a:prstGeom>
                    <a:noFill/>
                  </pic:spPr>
                </pic:pic>
              </a:graphicData>
            </a:graphic>
          </wp:anchor>
        </w:drawing>
        <w:t>One Tower Square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Hartford, CT 06183</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05/26/2020</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PENNANTPARK INVESTMENT CORPORATION</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590 MADISON AVENUE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RE: Risk Management PLUS+ Online </w:t>
      </w:r>
      <w:r>
        <w:rPr>
          <w:rFonts w:ascii="Arial" w:cs="Arial" w:eastAsia="Arial" w:hAnsi="Arial"/>
          <w:sz w:val="12"/>
          <w:szCs w:val="12"/>
          <w:b w:val="1"/>
          <w:bCs w:val="1"/>
          <w:color w:val="auto"/>
        </w:rPr>
        <w:t>®</w:t>
      </w:r>
      <w:r>
        <w:rPr>
          <w:rFonts w:ascii="Arial" w:cs="Arial" w:eastAsia="Arial" w:hAnsi="Arial"/>
          <w:sz w:val="18"/>
          <w:szCs w:val="18"/>
          <w:b w:val="1"/>
          <w:bCs w:val="1"/>
          <w:color w:val="auto"/>
        </w:rPr>
        <w:t xml:space="preserve"> from Travelers Bond &amp; Specialty Insurance </w:t>
      </w:r>
      <w:r>
        <w:rPr>
          <w:rFonts w:ascii="Arial" w:cs="Arial" w:eastAsia="Arial" w:hAnsi="Arial"/>
          <w:sz w:val="18"/>
          <w:szCs w:val="18"/>
          <w:color w:val="auto"/>
        </w:rPr>
        <w:t>(www.rmplusonline.com)</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 Travelers Bond &amp; Specialty Insured you receive risk management services, at no cost, to help protect you and your business.</w:t>
      </w:r>
    </w:p>
    <w:p>
      <w:pPr>
        <w:spacing w:after="0" w:line="225"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Risk Management PLUS+ Online, is a robust website to assist you in the mitigation of risk relative to employment practices, directors and officers, fiduciary liability, cyber, crime, kidnap &amp; ransom, and identity fraud exposures.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Highlights of Risk Management PLUS+ Online include:</w:t>
      </w:r>
    </w:p>
    <w:p>
      <w:pPr>
        <w:spacing w:after="0" w:line="131" w:lineRule="exact"/>
        <w:rPr>
          <w:sz w:val="20"/>
          <w:szCs w:val="20"/>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Thousands of articles on a variety of risk management topics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Topical webinars and podcasts on current issues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Checklists to assist in managing risk</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Web based training</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Model Employee Handbook, including policies and forms for downloading or printing that reduce risks in the workplace.</w:t>
      </w:r>
    </w:p>
    <w:p>
      <w:pPr>
        <w:spacing w:after="0" w:line="225" w:lineRule="exact"/>
        <w:rPr>
          <w:sz w:val="20"/>
          <w:szCs w:val="20"/>
          <w:color w:val="auto"/>
        </w:rPr>
      </w:pPr>
    </w:p>
    <w:p>
      <w:pPr>
        <w:ind w:left="4" w:right="200"/>
        <w:spacing w:after="0" w:line="308" w:lineRule="auto"/>
        <w:rPr>
          <w:sz w:val="20"/>
          <w:szCs w:val="20"/>
          <w:color w:val="auto"/>
        </w:rPr>
      </w:pPr>
      <w:r>
        <w:rPr>
          <w:rFonts w:ascii="Arial" w:cs="Arial" w:eastAsia="Arial" w:hAnsi="Arial"/>
          <w:sz w:val="17"/>
          <w:szCs w:val="17"/>
          <w:color w:val="auto"/>
        </w:rPr>
        <w:t>The following Risk Management PLUS+ Online Registration Instructions contain easy, step-by-step instructions to register for this valuable tool. For more information, call 1-888-712-7667 and ask for your Risk Management PLUS+ Online representative. It’s that simple.</w:t>
      </w:r>
    </w:p>
    <w:p>
      <w:pPr>
        <w:spacing w:after="0" w:line="146"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Thank you for choosing Travelers Bond &amp; Specialty Insurance for your insurance needs. Travelers is a market leader in providing management liability and crime coverages that are specifically customized for your organization.</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Instructions for Registration &amp; Orientation to Risk Management PLUS+ Online</w:t>
      </w:r>
      <w:r>
        <w:rPr>
          <w:rFonts w:ascii="Arial" w:cs="Arial" w:eastAsia="Arial" w:hAnsi="Arial"/>
          <w:sz w:val="15"/>
          <w:szCs w:val="15"/>
          <w:u w:val="single" w:color="auto"/>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Registration for Site Administrators:</w:t>
      </w:r>
    </w:p>
    <w:p>
      <w:pPr>
        <w:spacing w:after="0" w:line="117"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The Site Administrator is the person in your organization who will oversee Risk Management PLUS+ Online for the organization. The Site Administrator is typically a person who leads human resources and/or financial functions or is responsible for legal matters pertaining to personnel. The Site Administrator may add other Site Administrators later to assist with their responsibilities. To register:</w:t>
      </w:r>
    </w:p>
    <w:p>
      <w:pPr>
        <w:spacing w:after="0" w:line="89"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Go to www.rmplusonline.com.</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the Sign-In box, click </w:t>
      </w:r>
      <w:r>
        <w:rPr>
          <w:rFonts w:ascii="Arial" w:cs="Arial" w:eastAsia="Arial" w:hAnsi="Arial"/>
          <w:sz w:val="18"/>
          <w:szCs w:val="18"/>
          <w:b w:val="1"/>
          <w:bCs w:val="1"/>
          <w:color w:val="auto"/>
        </w:rPr>
        <w:t>Register</w:t>
      </w:r>
      <w:r>
        <w:rPr>
          <w:rFonts w:ascii="Arial" w:cs="Arial" w:eastAsia="Arial" w:hAnsi="Arial"/>
          <w:sz w:val="18"/>
          <w:szCs w:val="18"/>
          <w:i w:val="1"/>
          <w:iCs w:val="1"/>
          <w:color w:val="auto"/>
        </w:rPr>
        <w:t>.</w:t>
      </w:r>
    </w:p>
    <w:p>
      <w:pPr>
        <w:spacing w:after="0" w:line="134" w:lineRule="exact"/>
        <w:rPr>
          <w:rFonts w:ascii="Arial" w:cs="Arial" w:eastAsia="Arial" w:hAnsi="Arial"/>
          <w:sz w:val="18"/>
          <w:szCs w:val="18"/>
          <w:color w:val="auto"/>
        </w:rPr>
      </w:pPr>
    </w:p>
    <w:p>
      <w:pPr>
        <w:ind w:left="424" w:right="320" w:hanging="424"/>
        <w:spacing w:after="0" w:line="27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the password/passcode: &lt;TRVP300100 for Insurance Companies&gt; &lt;TRVP300400 for Banks and Diversified&gt; &lt;TRVP300300 for Asset Management&gt;</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Fill in the Registration Information and click </w:t>
      </w:r>
      <w:r>
        <w:rPr>
          <w:rFonts w:ascii="Arial" w:cs="Arial" w:eastAsia="Arial" w:hAnsi="Arial"/>
          <w:sz w:val="18"/>
          <w:szCs w:val="18"/>
          <w:b w:val="1"/>
          <w:bCs w:val="1"/>
          <w:color w:val="auto"/>
        </w:rPr>
        <w:t>Submit</w:t>
      </w:r>
      <w:r>
        <w:rPr>
          <w:rFonts w:ascii="Arial" w:cs="Arial" w:eastAsia="Arial" w:hAnsi="Arial"/>
          <w:sz w:val="18"/>
          <w:szCs w:val="18"/>
          <w:i w:val="1"/>
          <w:iCs w:val="1"/>
          <w:color w:val="auto"/>
        </w:rPr>
        <w:t>.</w:t>
      </w:r>
    </w:p>
    <w:p>
      <w:pPr>
        <w:spacing w:after="0" w:line="134"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Your organization is registered, and you are registered as Site Administrator.</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Learning to Navigate the Site:</w:t>
      </w:r>
    </w:p>
    <w:p>
      <w:pPr>
        <w:spacing w:after="0" w:line="131"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Go to www.rmplusonline.com. On each page, you will see a box outlined in blue that contains the instructions for use of that page.</w:t>
      </w:r>
    </w:p>
    <w:p>
      <w:pPr>
        <w:spacing w:after="0" w:line="126" w:lineRule="exact"/>
        <w:rPr>
          <w:rFonts w:ascii="Arial" w:cs="Arial" w:eastAsia="Arial" w:hAnsi="Arial"/>
          <w:sz w:val="18"/>
          <w:szCs w:val="18"/>
          <w:color w:val="auto"/>
        </w:rPr>
      </w:pPr>
    </w:p>
    <w:p>
      <w:pPr>
        <w:ind w:left="424" w:right="240" w:hanging="424"/>
        <w:spacing w:after="0" w:line="282"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If you have any questions, just click on </w:t>
      </w:r>
      <w:r>
        <w:rPr>
          <w:rFonts w:ascii="Arial" w:cs="Arial" w:eastAsia="Arial" w:hAnsi="Arial"/>
          <w:sz w:val="18"/>
          <w:szCs w:val="18"/>
          <w:b w:val="1"/>
          <w:bCs w:val="1"/>
          <w:color w:val="auto"/>
        </w:rPr>
        <w:t>Contact Us</w:t>
      </w:r>
      <w:r>
        <w:rPr>
          <w:rFonts w:ascii="Arial" w:cs="Arial" w:eastAsia="Arial" w:hAnsi="Arial"/>
          <w:sz w:val="18"/>
          <w:szCs w:val="18"/>
          <w:color w:val="auto"/>
        </w:rPr>
        <w:t xml:space="preserve"> on the front page</w:t>
      </w:r>
      <w:r>
        <w:rPr>
          <w:rFonts w:ascii="Arial" w:cs="Arial" w:eastAsia="Arial" w:hAnsi="Arial"/>
          <w:sz w:val="18"/>
          <w:szCs w:val="18"/>
          <w:i w:val="1"/>
          <w:iCs w:val="1"/>
          <w:color w:val="auto"/>
        </w:rPr>
        <w:t>.</w:t>
      </w:r>
      <w:r>
        <w:rPr>
          <w:rFonts w:ascii="Arial" w:cs="Arial" w:eastAsia="Arial" w:hAnsi="Arial"/>
          <w:sz w:val="18"/>
          <w:szCs w:val="18"/>
          <w:color w:val="auto"/>
        </w:rPr>
        <w:t xml:space="preserve"> Enter your question in the form provided, and the System Administrator will get back to you quickly with the answer.</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can also schedule a live walk-through of the site by sending a request for a walk-through via the contact link on the front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44"/>
          </w:cols>
          <w:pgMar w:left="436" w:top="985" w:right="51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LTR-4107 Rev. 06-18</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2018 The Travelers Indemnity Company. All rights reserved.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384" w:space="720"/>
            <w:col w:w="840"/>
          </w:cols>
          <w:pgMar w:left="436" w:top="985" w:right="5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This notice provides no coverage, nor does it change any policy terms.</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To determine the scope of coverage and the insured’s rights and duties</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under the policy, read the entire policy carefully. For more information</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about the content of this notice, the insured should contact their agent or</w:t>
            </w:r>
          </w:p>
        </w:tc>
        <w:tc>
          <w:tcPr>
            <w:tcW w:w="4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Independent Agent And Broker</w:t>
            </w:r>
          </w:p>
        </w:tc>
        <w:tc>
          <w:tcPr>
            <w:tcW w:w="0" w:type="dxa"/>
            <w:vAlign w:val="bottom"/>
          </w:tcPr>
          <w:p>
            <w:pPr>
              <w:spacing w:after="0"/>
              <w:rPr>
                <w:sz w:val="1"/>
                <w:szCs w:val="1"/>
                <w:color w:val="auto"/>
              </w:rPr>
            </w:pPr>
          </w:p>
        </w:tc>
      </w:tr>
      <w:tr>
        <w:trPr>
          <w:trHeight w:val="212"/>
        </w:trPr>
        <w:tc>
          <w:tcPr>
            <w:tcW w:w="6920" w:type="dxa"/>
            <w:vAlign w:val="bottom"/>
          </w:tcPr>
          <w:p>
            <w:pPr>
              <w:spacing w:after="0"/>
              <w:rPr>
                <w:sz w:val="20"/>
                <w:szCs w:val="20"/>
                <w:color w:val="auto"/>
              </w:rPr>
            </w:pPr>
            <w:r>
              <w:rPr>
                <w:rFonts w:ascii="Arial" w:cs="Arial" w:eastAsia="Arial" w:hAnsi="Arial"/>
                <w:sz w:val="18"/>
                <w:szCs w:val="18"/>
                <w:color w:val="auto"/>
              </w:rPr>
              <w:t>broker. If there is any conflict between the policy and this notice, the</w:t>
            </w:r>
          </w:p>
        </w:tc>
        <w:tc>
          <w:tcPr>
            <w:tcW w:w="4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20" w:type="dxa"/>
            <w:vAlign w:val="bottom"/>
          </w:tcPr>
          <w:p>
            <w:pPr>
              <w:spacing w:after="0"/>
              <w:rPr>
                <w:sz w:val="20"/>
                <w:szCs w:val="20"/>
                <w:color w:val="auto"/>
              </w:rPr>
            </w:pPr>
            <w:r>
              <w:rPr>
                <w:rFonts w:ascii="Arial" w:cs="Arial" w:eastAsia="Arial" w:hAnsi="Arial"/>
                <w:sz w:val="18"/>
                <w:szCs w:val="18"/>
                <w:color w:val="auto"/>
              </w:rPr>
              <w:t>terms of the policy prevail.</w:t>
            </w:r>
          </w:p>
        </w:tc>
        <w:tc>
          <w:tcPr>
            <w:tcW w:w="4100" w:type="dxa"/>
            <w:vAlign w:val="bottom"/>
          </w:tcPr>
          <w:p>
            <w:pPr>
              <w:jc w:val="right"/>
              <w:spacing w:after="0"/>
              <w:rPr>
                <w:sz w:val="20"/>
                <w:szCs w:val="20"/>
                <w:color w:val="auto"/>
              </w:rPr>
            </w:pPr>
            <w:r>
              <w:rPr>
                <w:rFonts w:ascii="Arial" w:cs="Arial" w:eastAsia="Arial" w:hAnsi="Arial"/>
                <w:sz w:val="18"/>
                <w:szCs w:val="18"/>
                <w:b w:val="1"/>
                <w:bCs w:val="1"/>
                <w:color w:val="auto"/>
              </w:rPr>
              <w:t>Compensation Notice</w:t>
            </w:r>
          </w:p>
        </w:tc>
        <w:tc>
          <w:tcPr>
            <w:tcW w:w="0" w:type="dxa"/>
            <w:vAlign w:val="bottom"/>
          </w:tcPr>
          <w:p>
            <w:pPr>
              <w:spacing w:after="0"/>
              <w:rPr>
                <w:sz w:val="1"/>
                <w:szCs w:val="1"/>
                <w:color w:val="auto"/>
              </w:rPr>
            </w:pPr>
          </w:p>
        </w:tc>
      </w:tr>
      <w:tr>
        <w:trPr>
          <w:trHeight w:val="182"/>
        </w:trPr>
        <w:tc>
          <w:tcPr>
            <w:tcW w:w="11020"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1020" w:type="dxa"/>
            <w:vAlign w:val="bottom"/>
            <w:gridSpan w:val="2"/>
          </w:tcPr>
          <w:p>
            <w:pPr>
              <w:spacing w:after="0"/>
              <w:rPr>
                <w:sz w:val="20"/>
                <w:szCs w:val="20"/>
                <w:color w:val="auto"/>
              </w:rPr>
            </w:pPr>
            <w:r>
              <w:rPr>
                <w:rFonts w:ascii="Arial" w:cs="Arial" w:eastAsia="Arial" w:hAnsi="Arial"/>
                <w:sz w:val="18"/>
                <w:szCs w:val="18"/>
                <w:color w:val="auto"/>
              </w:rPr>
              <w:t>For information on how Travelers compensates independent agents, brokers, or other insurance producers, please visit this website:</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www.travelers.com/w3c/legal/Producer_Compensation_Disclosure.html.</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20" w:type="dxa"/>
            <w:vAlign w:val="bottom"/>
          </w:tcPr>
          <w:p>
            <w:pPr>
              <w:spacing w:after="0"/>
              <w:rPr>
                <w:sz w:val="20"/>
                <w:szCs w:val="20"/>
                <w:color w:val="auto"/>
              </w:rPr>
            </w:pPr>
            <w:r>
              <w:rPr>
                <w:rFonts w:ascii="Arial" w:cs="Arial" w:eastAsia="Arial" w:hAnsi="Arial"/>
                <w:sz w:val="18"/>
                <w:szCs w:val="18"/>
                <w:color w:val="auto"/>
              </w:rPr>
              <w:t>Or write or call:</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920" w:type="dxa"/>
            <w:vAlign w:val="bottom"/>
          </w:tcPr>
          <w:p>
            <w:pPr>
              <w:ind w:left="440"/>
              <w:spacing w:after="0"/>
              <w:rPr>
                <w:sz w:val="20"/>
                <w:szCs w:val="20"/>
                <w:color w:val="auto"/>
              </w:rPr>
            </w:pPr>
            <w:r>
              <w:rPr>
                <w:rFonts w:ascii="Arial" w:cs="Arial" w:eastAsia="Arial" w:hAnsi="Arial"/>
                <w:sz w:val="18"/>
                <w:szCs w:val="18"/>
                <w:b w:val="1"/>
                <w:bCs w:val="1"/>
                <w:color w:val="auto"/>
              </w:rPr>
              <w:t>Travelers, Agency Compensation</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b w:val="1"/>
                <w:bCs w:val="1"/>
                <w:color w:val="auto"/>
              </w:rPr>
              <w:t>One Tower Square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20" w:type="dxa"/>
            <w:vAlign w:val="bottom"/>
          </w:tcPr>
          <w:p>
            <w:pPr>
              <w:ind w:left="440"/>
              <w:spacing w:after="0"/>
              <w:rPr>
                <w:sz w:val="20"/>
                <w:szCs w:val="20"/>
                <w:color w:val="auto"/>
              </w:rPr>
            </w:pPr>
            <w:r>
              <w:rPr>
                <w:rFonts w:ascii="Arial" w:cs="Arial" w:eastAsia="Arial" w:hAnsi="Arial"/>
                <w:sz w:val="18"/>
                <w:szCs w:val="18"/>
                <w:b w:val="1"/>
                <w:bCs w:val="1"/>
                <w:color w:val="auto"/>
              </w:rPr>
              <w:t>Hartford, Connecticut 06183</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920" w:type="dxa"/>
            <w:vAlign w:val="bottom"/>
          </w:tcPr>
          <w:p>
            <w:pPr>
              <w:ind w:left="440"/>
              <w:spacing w:after="0"/>
              <w:rPr>
                <w:sz w:val="20"/>
                <w:szCs w:val="20"/>
                <w:color w:val="auto"/>
              </w:rPr>
            </w:pPr>
            <w:r>
              <w:rPr>
                <w:rFonts w:ascii="Arial" w:cs="Arial" w:eastAsia="Arial" w:hAnsi="Arial"/>
                <w:sz w:val="18"/>
                <w:szCs w:val="18"/>
                <w:b w:val="1"/>
                <w:bCs w:val="1"/>
                <w:color w:val="auto"/>
              </w:rPr>
              <w:t>(866) 904.8348</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92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NTC-19036 Rev. 01-19</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Page 1 of 1</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 2019 The Travelers Indemnity Company. All rights reserved.</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328"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534160" cy="316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34160" cy="316865"/>
                    </a:xfrm>
                    <a:prstGeom prst="rect">
                      <a:avLst/>
                    </a:prstGeom>
                    <a:noFill/>
                  </pic:spPr>
                </pic:pic>
              </a:graphicData>
            </a:graphic>
          </wp:anchor>
        </w:drawing>
        <w:drawing>
          <wp:anchor simplePos="0" relativeHeight="251657728" behindDoc="1" locked="0" layoutInCell="0" allowOverlap="1">
            <wp:simplePos x="0" y="0"/>
            <wp:positionH relativeFrom="page">
              <wp:posOffset>6363335</wp:posOffset>
            </wp:positionH>
            <wp:positionV relativeFrom="page">
              <wp:posOffset>320040</wp:posOffset>
            </wp:positionV>
            <wp:extent cx="90868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908685" cy="137160"/>
                    </a:xfrm>
                    <a:prstGeom prst="rect">
                      <a:avLst/>
                    </a:prstGeom>
                    <a:noFill/>
                  </pic:spPr>
                </pic:pic>
              </a:graphicData>
            </a:graphic>
          </wp:anchor>
        </w:drawing>
        <w:t>Investment Company Bond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1"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 xml:space="preserve">BOND NO. </w:t>
      </w:r>
      <w:r>
        <w:rPr>
          <w:rFonts w:ascii="Arial" w:cs="Arial" w:eastAsia="Arial" w:hAnsi="Arial"/>
          <w:sz w:val="18"/>
          <w:szCs w:val="18"/>
          <w:color w:val="auto"/>
        </w:rPr>
        <w:t>106736322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Tower Square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Hartford, Connecticut 06183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Stock Insurance Company, herein called the Company)</w:t>
      </w:r>
    </w:p>
    <w:p>
      <w:pPr>
        <w:spacing w:after="0" w:line="24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PENNANTPARK INVESTMENT CORPORATION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Principal Address:</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 YORK, NY 10022</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(hereinafter, “Insured”)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ITEM 2   POLICY PERIOD:</w:t>
            </w:r>
          </w:p>
        </w:tc>
        <w:tc>
          <w:tcPr>
            <w:tcW w:w="6040" w:type="dxa"/>
            <w:vAlign w:val="bottom"/>
            <w:tcBorders>
              <w:top w:val="single" w:sz="8" w:color="auto"/>
            </w:tcBorders>
          </w:tcPr>
          <w:p>
            <w:pPr>
              <w:spacing w:after="0"/>
              <w:rPr>
                <w:sz w:val="21"/>
                <w:szCs w:val="21"/>
                <w:color w:val="auto"/>
              </w:rPr>
            </w:pPr>
          </w:p>
        </w:tc>
      </w:tr>
      <w:tr>
        <w:trPr>
          <w:trHeight w:val="291"/>
        </w:trPr>
        <w:tc>
          <w:tcPr>
            <w:tcW w:w="4980" w:type="dxa"/>
            <w:vAlign w:val="bottom"/>
          </w:tcPr>
          <w:p>
            <w:pPr>
              <w:ind w:left="880"/>
              <w:spacing w:after="0"/>
              <w:rPr>
                <w:sz w:val="20"/>
                <w:szCs w:val="20"/>
                <w:color w:val="auto"/>
              </w:rPr>
            </w:pPr>
            <w:r>
              <w:rPr>
                <w:rFonts w:ascii="Arial" w:cs="Arial" w:eastAsia="Arial" w:hAnsi="Arial"/>
                <w:sz w:val="18"/>
                <w:szCs w:val="18"/>
                <w:color w:val="auto"/>
              </w:rPr>
              <w:t>Inception Date: May 31, 2020</w:t>
            </w:r>
          </w:p>
        </w:tc>
        <w:tc>
          <w:tcPr>
            <w:tcW w:w="6040" w:type="dxa"/>
            <w:vAlign w:val="bottom"/>
          </w:tcPr>
          <w:p>
            <w:pPr>
              <w:ind w:left="280"/>
              <w:spacing w:after="0"/>
              <w:rPr>
                <w:sz w:val="20"/>
                <w:szCs w:val="20"/>
                <w:color w:val="auto"/>
              </w:rPr>
            </w:pPr>
            <w:r>
              <w:rPr>
                <w:rFonts w:ascii="Arial" w:cs="Arial" w:eastAsia="Arial" w:hAnsi="Arial"/>
                <w:sz w:val="18"/>
                <w:szCs w:val="18"/>
                <w:color w:val="auto"/>
              </w:rPr>
              <w:t>Expiration Date: May 31, 2021</w:t>
            </w:r>
          </w:p>
        </w:tc>
      </w:tr>
      <w:tr>
        <w:trPr>
          <w:trHeight w:val="230"/>
        </w:trPr>
        <w:tc>
          <w:tcPr>
            <w:tcW w:w="11020" w:type="dxa"/>
            <w:vAlign w:val="bottom"/>
            <w:gridSpan w:val="2"/>
          </w:tcPr>
          <w:p>
            <w:pPr>
              <w:ind w:left="880"/>
              <w:spacing w:after="0"/>
              <w:rPr>
                <w:sz w:val="20"/>
                <w:szCs w:val="20"/>
                <w:color w:val="auto"/>
              </w:rPr>
            </w:pPr>
            <w:r>
              <w:rPr>
                <w:rFonts w:ascii="Arial" w:cs="Arial" w:eastAsia="Arial" w:hAnsi="Arial"/>
                <w:sz w:val="18"/>
                <w:szCs w:val="18"/>
                <w:color w:val="auto"/>
              </w:rPr>
              <w:t>12:01 A.M. local time as to both dates at the Principal Address stated in ITEM 1.</w:t>
            </w:r>
          </w:p>
        </w:tc>
      </w:tr>
      <w:tr>
        <w:trPr>
          <w:trHeight w:val="257"/>
        </w:trPr>
        <w:tc>
          <w:tcPr>
            <w:tcW w:w="11020" w:type="dxa"/>
            <w:vAlign w:val="bottom"/>
            <w:tcBorders>
              <w:bottom w:val="single" w:sz="8" w:color="auto"/>
            </w:tcBorders>
            <w:gridSpan w:val="2"/>
          </w:tcPr>
          <w:p>
            <w:pPr>
              <w:spacing w:after="0"/>
              <w:rPr>
                <w:sz w:val="22"/>
                <w:szCs w:val="22"/>
                <w:color w:val="auto"/>
              </w:rPr>
            </w:pPr>
          </w:p>
        </w:tc>
      </w:tr>
      <w:tr>
        <w:trPr>
          <w:trHeight w:val="191"/>
        </w:trPr>
        <w:tc>
          <w:tcPr>
            <w:tcW w:w="110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ITEM 3   ALL NOTICES OF CLAIM OR LOSS MUST BE SENT TO THE COMPANY BY EMAIL, FACSIMILE, OR MAIL AS SET</w:t>
            </w:r>
          </w:p>
        </w:tc>
      </w:tr>
      <w:tr>
        <w:trPr>
          <w:trHeight w:val="234"/>
        </w:trPr>
        <w:tc>
          <w:tcPr>
            <w:tcW w:w="4980" w:type="dxa"/>
            <w:vAlign w:val="bottom"/>
          </w:tcPr>
          <w:p>
            <w:pPr>
              <w:ind w:left="880"/>
              <w:spacing w:after="0"/>
              <w:rPr>
                <w:sz w:val="20"/>
                <w:szCs w:val="20"/>
                <w:color w:val="auto"/>
              </w:rPr>
            </w:pPr>
            <w:r>
              <w:rPr>
                <w:rFonts w:ascii="Arial" w:cs="Arial" w:eastAsia="Arial" w:hAnsi="Arial"/>
                <w:sz w:val="18"/>
                <w:szCs w:val="18"/>
                <w:b w:val="1"/>
                <w:bCs w:val="1"/>
                <w:color w:val="auto"/>
              </w:rPr>
              <w:t>FORTH BELOW:</w:t>
            </w:r>
          </w:p>
        </w:tc>
        <w:tc>
          <w:tcPr>
            <w:tcW w:w="6040" w:type="dxa"/>
            <w:vAlign w:val="bottom"/>
          </w:tcPr>
          <w:p>
            <w:pPr>
              <w:spacing w:after="0"/>
              <w:rPr>
                <w:sz w:val="20"/>
                <w:szCs w:val="20"/>
                <w:color w:val="auto"/>
              </w:rPr>
            </w:pPr>
          </w:p>
        </w:tc>
      </w:tr>
      <w:tr>
        <w:trPr>
          <w:trHeight w:val="310"/>
        </w:trPr>
        <w:tc>
          <w:tcPr>
            <w:tcW w:w="4980" w:type="dxa"/>
            <w:vAlign w:val="bottom"/>
          </w:tcPr>
          <w:p>
            <w:pPr>
              <w:ind w:left="880"/>
              <w:spacing w:after="0"/>
              <w:rPr>
                <w:sz w:val="20"/>
                <w:szCs w:val="20"/>
                <w:color w:val="auto"/>
              </w:rPr>
            </w:pPr>
            <w:r>
              <w:rPr>
                <w:rFonts w:ascii="Arial" w:cs="Arial" w:eastAsia="Arial" w:hAnsi="Arial"/>
                <w:sz w:val="18"/>
                <w:szCs w:val="18"/>
                <w:color w:val="auto"/>
              </w:rPr>
              <w:t>Email: BSIclaims@travelers.com</w:t>
            </w:r>
          </w:p>
        </w:tc>
        <w:tc>
          <w:tcPr>
            <w:tcW w:w="6040" w:type="dxa"/>
            <w:vAlign w:val="bottom"/>
          </w:tcPr>
          <w:p>
            <w:pPr>
              <w:spacing w:after="0"/>
              <w:rPr>
                <w:sz w:val="24"/>
                <w:szCs w:val="24"/>
                <w:color w:val="auto"/>
              </w:rPr>
            </w:pPr>
          </w:p>
        </w:tc>
      </w:tr>
      <w:tr>
        <w:trPr>
          <w:trHeight w:val="230"/>
        </w:trPr>
        <w:tc>
          <w:tcPr>
            <w:tcW w:w="4980" w:type="dxa"/>
            <w:vAlign w:val="bottom"/>
          </w:tcPr>
          <w:p>
            <w:pPr>
              <w:ind w:left="880"/>
              <w:spacing w:after="0"/>
              <w:rPr>
                <w:sz w:val="20"/>
                <w:szCs w:val="20"/>
                <w:color w:val="auto"/>
              </w:rPr>
            </w:pPr>
            <w:r>
              <w:rPr>
                <w:rFonts w:ascii="Arial" w:cs="Arial" w:eastAsia="Arial" w:hAnsi="Arial"/>
                <w:sz w:val="18"/>
                <w:szCs w:val="18"/>
                <w:color w:val="auto"/>
              </w:rPr>
              <w:t>Fax: (888) 460-6622</w:t>
            </w:r>
          </w:p>
        </w:tc>
        <w:tc>
          <w:tcPr>
            <w:tcW w:w="6040" w:type="dxa"/>
            <w:vAlign w:val="bottom"/>
          </w:tcPr>
          <w:p>
            <w:pPr>
              <w:spacing w:after="0"/>
              <w:rPr>
                <w:sz w:val="20"/>
                <w:szCs w:val="20"/>
                <w:color w:val="auto"/>
              </w:rPr>
            </w:pPr>
          </w:p>
        </w:tc>
      </w:tr>
      <w:tr>
        <w:trPr>
          <w:trHeight w:val="310"/>
        </w:trPr>
        <w:tc>
          <w:tcPr>
            <w:tcW w:w="4980" w:type="dxa"/>
            <w:vAlign w:val="bottom"/>
          </w:tcPr>
          <w:p>
            <w:pPr>
              <w:ind w:left="880"/>
              <w:spacing w:after="0"/>
              <w:rPr>
                <w:sz w:val="20"/>
                <w:szCs w:val="20"/>
                <w:color w:val="auto"/>
              </w:rPr>
            </w:pPr>
            <w:r>
              <w:rPr>
                <w:rFonts w:ascii="Arial" w:cs="Arial" w:eastAsia="Arial" w:hAnsi="Arial"/>
                <w:sz w:val="18"/>
                <w:szCs w:val="18"/>
                <w:color w:val="auto"/>
              </w:rPr>
              <w:t>Mail: Travelers Bond &amp; Specialty Insurance Claim</w:t>
            </w:r>
          </w:p>
        </w:tc>
        <w:tc>
          <w:tcPr>
            <w:tcW w:w="6040" w:type="dxa"/>
            <w:vAlign w:val="bottom"/>
          </w:tcPr>
          <w:p>
            <w:pPr>
              <w:spacing w:after="0"/>
              <w:rPr>
                <w:sz w:val="24"/>
                <w:szCs w:val="24"/>
                <w:color w:val="auto"/>
              </w:rPr>
            </w:pPr>
          </w:p>
        </w:tc>
      </w:tr>
      <w:tr>
        <w:trPr>
          <w:trHeight w:val="216"/>
        </w:trPr>
        <w:tc>
          <w:tcPr>
            <w:tcW w:w="4980" w:type="dxa"/>
            <w:vAlign w:val="bottom"/>
          </w:tcPr>
          <w:p>
            <w:pPr>
              <w:ind w:left="1340"/>
              <w:spacing w:after="0"/>
              <w:rPr>
                <w:sz w:val="20"/>
                <w:szCs w:val="20"/>
                <w:color w:val="auto"/>
              </w:rPr>
            </w:pPr>
            <w:r>
              <w:rPr>
                <w:rFonts w:ascii="Arial" w:cs="Arial" w:eastAsia="Arial" w:hAnsi="Arial"/>
                <w:sz w:val="18"/>
                <w:szCs w:val="18"/>
                <w:color w:val="auto"/>
                <w:w w:val="99"/>
              </w:rPr>
              <w:t>385 Washington St. – Mail Code 9275-NB03F</w:t>
            </w:r>
          </w:p>
        </w:tc>
        <w:tc>
          <w:tcPr>
            <w:tcW w:w="6040" w:type="dxa"/>
            <w:vAlign w:val="bottom"/>
          </w:tcPr>
          <w:p>
            <w:pPr>
              <w:spacing w:after="0"/>
              <w:rPr>
                <w:sz w:val="18"/>
                <w:szCs w:val="18"/>
                <w:color w:val="auto"/>
              </w:rPr>
            </w:pPr>
          </w:p>
        </w:tc>
      </w:tr>
      <w:tr>
        <w:trPr>
          <w:trHeight w:val="230"/>
        </w:trPr>
        <w:tc>
          <w:tcPr>
            <w:tcW w:w="4980" w:type="dxa"/>
            <w:vAlign w:val="bottom"/>
          </w:tcPr>
          <w:p>
            <w:pPr>
              <w:ind w:left="1340"/>
              <w:spacing w:after="0"/>
              <w:rPr>
                <w:sz w:val="20"/>
                <w:szCs w:val="20"/>
                <w:color w:val="auto"/>
              </w:rPr>
            </w:pPr>
            <w:r>
              <w:rPr>
                <w:rFonts w:ascii="Arial" w:cs="Arial" w:eastAsia="Arial" w:hAnsi="Arial"/>
                <w:sz w:val="18"/>
                <w:szCs w:val="18"/>
                <w:color w:val="auto"/>
              </w:rPr>
              <w:t>St Paul, MN 55102</w:t>
            </w:r>
          </w:p>
        </w:tc>
        <w:tc>
          <w:tcPr>
            <w:tcW w:w="6040" w:type="dxa"/>
            <w:vAlign w:val="bottom"/>
          </w:tcPr>
          <w:p>
            <w:pPr>
              <w:spacing w:after="0"/>
              <w:rPr>
                <w:sz w:val="20"/>
                <w:szCs w:val="20"/>
                <w:color w:val="auto"/>
              </w:rPr>
            </w:pPr>
          </w:p>
        </w:tc>
      </w:tr>
      <w:tr>
        <w:trPr>
          <w:trHeight w:val="324"/>
        </w:trPr>
        <w:tc>
          <w:tcPr>
            <w:tcW w:w="11020" w:type="dxa"/>
            <w:vAlign w:val="bottom"/>
            <w:gridSpan w:val="2"/>
          </w:tcPr>
          <w:p>
            <w:pPr>
              <w:ind w:left="880"/>
              <w:spacing w:after="0"/>
              <w:rPr>
                <w:sz w:val="20"/>
                <w:szCs w:val="20"/>
                <w:color w:val="auto"/>
              </w:rPr>
            </w:pPr>
            <w:r>
              <w:rPr>
                <w:rFonts w:ascii="Arial" w:cs="Arial" w:eastAsia="Arial" w:hAnsi="Arial"/>
                <w:sz w:val="18"/>
                <w:szCs w:val="18"/>
                <w:color w:val="auto"/>
              </w:rPr>
              <w:t>Travelers Bond &amp; Specialty Insurance Claim telephone number: 800-842-8496</w:t>
            </w:r>
          </w:p>
        </w:tc>
      </w:tr>
    </w:tbl>
    <w:p>
      <w:pPr>
        <w:spacing w:after="0" w:line="252" w:lineRule="exact"/>
        <w:rPr>
          <w:sz w:val="20"/>
          <w:szCs w:val="20"/>
          <w:color w:val="auto"/>
        </w:rPr>
      </w:pPr>
    </w:p>
    <w:p>
      <w:pPr>
        <w:ind w:left="880" w:right="500" w:hanging="890"/>
        <w:spacing w:after="0" w:line="308" w:lineRule="auto"/>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color w:val="auto"/>
        </w:rPr>
        <w:t>If “</w:t>
      </w:r>
      <w:r>
        <w:rPr>
          <w:rFonts w:ascii="Arial" w:cs="Arial" w:eastAsia="Arial" w:hAnsi="Arial"/>
          <w:sz w:val="17"/>
          <w:szCs w:val="17"/>
          <w:i w:val="1"/>
          <w:iCs w:val="1"/>
          <w:color w:val="auto"/>
        </w:rPr>
        <w:t>Not Covered</w:t>
      </w:r>
      <w:r>
        <w:rPr>
          <w:rFonts w:ascii="Arial" w:cs="Arial" w:eastAsia="Arial" w:hAnsi="Arial"/>
          <w:sz w:val="17"/>
          <w:szCs w:val="17"/>
          <w:color w:val="auto"/>
        </w:rPr>
        <w:t>” is inserted opposite any specified Insuring Agreement below, or if no amount is included in the Single Loss Limit of Insurance, such Insuring Agreement and any other reference thereto is deemed to be deleted from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-314960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SINGLE LOSS</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SINGLE LOSS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INSURING AGREEMENT</w:t>
            </w:r>
          </w:p>
        </w:tc>
        <w:tc>
          <w:tcPr>
            <w:tcW w:w="12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LIMIT OF</w:t>
            </w:r>
          </w:p>
        </w:tc>
        <w:tc>
          <w:tcPr>
            <w:tcW w:w="2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DEDUCTIBLE</w:t>
            </w:r>
          </w:p>
        </w:tc>
        <w:tc>
          <w:tcPr>
            <w:tcW w:w="0" w:type="dxa"/>
            <w:vAlign w:val="bottom"/>
          </w:tcPr>
          <w:p>
            <w:pPr>
              <w:spacing w:after="0"/>
              <w:rPr>
                <w:sz w:val="1"/>
                <w:szCs w:val="1"/>
                <w:color w:val="auto"/>
              </w:rPr>
            </w:pPr>
          </w:p>
        </w:tc>
      </w:tr>
      <w:tr>
        <w:trPr>
          <w:trHeight w:val="178"/>
        </w:trPr>
        <w:tc>
          <w:tcPr>
            <w:tcW w:w="880" w:type="dxa"/>
            <w:vAlign w:val="bottom"/>
          </w:tcPr>
          <w:p>
            <w:pPr>
              <w:spacing w:after="0"/>
              <w:rPr>
                <w:sz w:val="15"/>
                <w:szCs w:val="15"/>
                <w:color w:val="auto"/>
              </w:rPr>
            </w:pPr>
          </w:p>
        </w:tc>
        <w:tc>
          <w:tcPr>
            <w:tcW w:w="7720" w:type="dxa"/>
            <w:vAlign w:val="bottom"/>
            <w:gridSpan w:val="3"/>
            <w:vMerge w:val="continue"/>
          </w:tcPr>
          <w:p>
            <w:pPr>
              <w:spacing w:after="0"/>
              <w:rPr>
                <w:sz w:val="15"/>
                <w:szCs w:val="15"/>
                <w:color w:val="auto"/>
              </w:rPr>
            </w:pPr>
          </w:p>
        </w:tc>
        <w:tc>
          <w:tcPr>
            <w:tcW w:w="118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INSURANCE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2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w:t>
            </w:r>
          </w:p>
        </w:tc>
        <w:tc>
          <w:tcPr>
            <w:tcW w:w="1440" w:type="dxa"/>
            <w:vAlign w:val="bottom"/>
            <w:tcBorders>
              <w:top w:val="single" w:sz="8" w:color="auto"/>
            </w:tcBorders>
            <w:shd w:val="clear" w:color="auto" w:fill="CCEEFF"/>
          </w:tcPr>
          <w:p>
            <w:pPr>
              <w:ind w:left="100"/>
              <w:spacing w:after="0" w:line="189" w:lineRule="exact"/>
              <w:rPr>
                <w:sz w:val="20"/>
                <w:szCs w:val="20"/>
                <w:color w:val="auto"/>
              </w:rPr>
            </w:pPr>
            <w:r>
              <w:rPr>
                <w:rFonts w:ascii="Arial" w:cs="Arial" w:eastAsia="Arial" w:hAnsi="Arial"/>
                <w:sz w:val="18"/>
                <w:szCs w:val="18"/>
                <w:b w:val="1"/>
                <w:bCs w:val="1"/>
                <w:color w:val="auto"/>
              </w:rPr>
              <w:t>FIDELITY</w:t>
            </w:r>
          </w:p>
        </w:tc>
        <w:tc>
          <w:tcPr>
            <w:tcW w:w="60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60" w:type="dxa"/>
            <w:vAlign w:val="bottom"/>
            <w:gridSpan w:val="2"/>
          </w:tcPr>
          <w:p>
            <w:pPr>
              <w:ind w:left="100"/>
              <w:spacing w:after="0"/>
              <w:rPr>
                <w:sz w:val="20"/>
                <w:szCs w:val="20"/>
                <w:color w:val="auto"/>
              </w:rPr>
            </w:pPr>
            <w:r>
              <w:rPr>
                <w:rFonts w:ascii="Arial" w:cs="Arial" w:eastAsia="Arial" w:hAnsi="Arial"/>
                <w:sz w:val="18"/>
                <w:szCs w:val="18"/>
                <w:color w:val="auto"/>
              </w:rPr>
              <w:t>Coverage A.1.   Larceny or Embezzlement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5,000,000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Coverage A.2.   Restoration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B.</w:t>
            </w:r>
          </w:p>
        </w:tc>
        <w:tc>
          <w:tcPr>
            <w:tcW w:w="7460" w:type="dxa"/>
            <w:vAlign w:val="bottom"/>
            <w:gridSpan w:val="2"/>
          </w:tcPr>
          <w:p>
            <w:pPr>
              <w:ind w:left="100"/>
              <w:spacing w:after="0"/>
              <w:rPr>
                <w:sz w:val="20"/>
                <w:szCs w:val="20"/>
                <w:color w:val="auto"/>
              </w:rPr>
            </w:pPr>
            <w:r>
              <w:rPr>
                <w:rFonts w:ascii="Arial" w:cs="Arial" w:eastAsia="Arial" w:hAnsi="Arial"/>
                <w:sz w:val="18"/>
                <w:szCs w:val="18"/>
                <w:b w:val="1"/>
                <w:bCs w:val="1"/>
                <w:color w:val="auto"/>
              </w:rPr>
              <w:t>ON PREMISES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5,000,000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96"/>
        </w:trPr>
        <w:tc>
          <w:tcPr>
            <w:tcW w:w="8600" w:type="dxa"/>
            <w:vAlign w:val="bottom"/>
            <w:tcBorders>
              <w:bottom w:val="single" w:sz="8" w:color="auto"/>
            </w:tcBorders>
            <w:gridSpan w:val="4"/>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00" w:type="dxa"/>
            <w:vAlign w:val="bottom"/>
            <w:gridSpan w:val="4"/>
          </w:tcPr>
          <w:p>
            <w:pPr>
              <w:spacing w:after="0"/>
              <w:rPr>
                <w:sz w:val="20"/>
                <w:szCs w:val="20"/>
                <w:color w:val="auto"/>
              </w:rPr>
            </w:pPr>
            <w:r>
              <w:rPr>
                <w:rFonts w:ascii="Arial" w:cs="Arial" w:eastAsia="Arial" w:hAnsi="Arial"/>
                <w:sz w:val="18"/>
                <w:szCs w:val="18"/>
                <w:color w:val="auto"/>
              </w:rPr>
              <w:t>IVBB-15001 Ed. 01-16</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w w:val="97"/>
              </w:rPr>
              <w:t>Page 1 of 3</w:t>
            </w:r>
          </w:p>
        </w:tc>
        <w:tc>
          <w:tcPr>
            <w:tcW w:w="0" w:type="dxa"/>
            <w:vAlign w:val="bottom"/>
          </w:tcPr>
          <w:p>
            <w:pPr>
              <w:spacing w:after="0"/>
              <w:rPr>
                <w:sz w:val="1"/>
                <w:szCs w:val="1"/>
                <w:color w:val="auto"/>
              </w:rPr>
            </w:pPr>
          </w:p>
        </w:tc>
      </w:tr>
      <w:tr>
        <w:trPr>
          <w:trHeight w:val="230"/>
        </w:trPr>
        <w:tc>
          <w:tcPr>
            <w:tcW w:w="8600" w:type="dxa"/>
            <w:vAlign w:val="bottom"/>
            <w:gridSpan w:val="4"/>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706"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880" w:type="dxa"/>
        <w:tblCellMar>
          <w:top w:w="0" w:type="dxa"/>
          <w:left w:w="0" w:type="dxa"/>
          <w:bottom w:w="0" w:type="dxa"/>
          <w:right w:w="0" w:type="dxa"/>
        </w:tblCellMar>
      </w:tblPr>
      <w:tr>
        <w:trPr>
          <w:trHeight w:val="216"/>
        </w:trPr>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w:t>
            </w: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IN TRANSIT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5,000,000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r>
      <w:tr>
        <w:trPr>
          <w:trHeight w:val="324"/>
        </w:trPr>
        <w:tc>
          <w:tcPr>
            <w:tcW w:w="260" w:type="dxa"/>
            <w:vAlign w:val="bottom"/>
          </w:tcPr>
          <w:p>
            <w:pPr>
              <w:spacing w:after="0"/>
              <w:rPr>
                <w:sz w:val="20"/>
                <w:szCs w:val="20"/>
                <w:color w:val="auto"/>
              </w:rPr>
            </w:pPr>
            <w:r>
              <w:rPr>
                <w:rFonts w:ascii="Arial" w:cs="Arial" w:eastAsia="Arial" w:hAnsi="Arial"/>
                <w:sz w:val="18"/>
                <w:szCs w:val="18"/>
                <w:b w:val="1"/>
                <w:bCs w:val="1"/>
                <w:color w:val="auto"/>
              </w:rPr>
              <w:t>D.</w:t>
            </w:r>
          </w:p>
        </w:tc>
        <w:tc>
          <w:tcPr>
            <w:tcW w:w="7000" w:type="dxa"/>
            <w:vAlign w:val="bottom"/>
          </w:tcPr>
          <w:p>
            <w:pPr>
              <w:ind w:left="100"/>
              <w:spacing w:after="0"/>
              <w:rPr>
                <w:sz w:val="20"/>
                <w:szCs w:val="20"/>
                <w:color w:val="auto"/>
              </w:rPr>
            </w:pPr>
            <w:r>
              <w:rPr>
                <w:rFonts w:ascii="Arial" w:cs="Arial" w:eastAsia="Arial" w:hAnsi="Arial"/>
                <w:sz w:val="18"/>
                <w:szCs w:val="18"/>
                <w:b w:val="1"/>
                <w:bCs w:val="1"/>
                <w:color w:val="auto"/>
              </w:rPr>
              <w:t>FORGERY OR ALTERATION</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87"/>
              </w:rPr>
              <w:t>5,000,000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r>
      <w:tr>
        <w:trPr>
          <w:trHeight w:val="108"/>
        </w:trPr>
        <w:tc>
          <w:tcPr>
            <w:tcW w:w="260" w:type="dxa"/>
            <w:vAlign w:val="bottom"/>
          </w:tcPr>
          <w:p>
            <w:pPr>
              <w:spacing w:after="0"/>
              <w:rPr>
                <w:sz w:val="9"/>
                <w:szCs w:val="9"/>
                <w:color w:val="auto"/>
              </w:rPr>
            </w:pPr>
          </w:p>
        </w:tc>
        <w:tc>
          <w:tcPr>
            <w:tcW w:w="7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216"/>
        </w:trPr>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w:t>
            </w: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SECURITIES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5,000,000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r>
      <w:tr>
        <w:trPr>
          <w:trHeight w:val="324"/>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F.  COUNTERFEIT MONEY AND COUNTERFEIT MONEY ORDERS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87"/>
              </w:rPr>
              <w:t>5,000,000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r>
      <w:tr>
        <w:trPr>
          <w:trHeight w:val="108"/>
        </w:trPr>
        <w:tc>
          <w:tcPr>
            <w:tcW w:w="7260" w:type="dxa"/>
            <w:vAlign w:val="bottom"/>
            <w:gridSpan w:val="2"/>
          </w:tcPr>
          <w:p>
            <w:pPr>
              <w:spacing w:after="0"/>
              <w:rPr>
                <w:sz w:val="9"/>
                <w:szCs w:val="9"/>
                <w:color w:val="auto"/>
              </w:rPr>
            </w:pPr>
          </w:p>
        </w:tc>
        <w:tc>
          <w:tcPr>
            <w:tcW w:w="1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  CLAIM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324"/>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H.  STOP PAYMENT ORDERS OR WRONGFUL DISHONOR OF CHECKS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r>
    </w:tbl>
    <w:p>
      <w:pPr>
        <w:spacing w:after="0" w:line="90" w:lineRule="exact"/>
        <w:rPr>
          <w:sz w:val="20"/>
          <w:szCs w:val="20"/>
          <w:color w:val="auto"/>
        </w:rPr>
      </w:pPr>
    </w:p>
    <w:p>
      <w:pPr>
        <w:ind w:left="1220" w:hanging="333"/>
        <w:spacing w:after="0"/>
        <w:tabs>
          <w:tab w:leader="none" w:pos="1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COMPUTER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-119380</wp:posOffset>
            </wp:positionV>
            <wp:extent cx="642937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spacing w:after="0" w:line="7"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9"/>
              </w:rPr>
              <w:t>Coverage I.1.</w:t>
            </w:r>
          </w:p>
        </w:tc>
        <w:tc>
          <w:tcPr>
            <w:tcW w:w="4580" w:type="dxa"/>
            <w:vAlign w:val="bottom"/>
          </w:tcPr>
          <w:p>
            <w:pPr>
              <w:ind w:left="100"/>
              <w:spacing w:after="0"/>
              <w:rPr>
                <w:sz w:val="20"/>
                <w:szCs w:val="20"/>
                <w:color w:val="auto"/>
              </w:rPr>
            </w:pPr>
            <w:r>
              <w:rPr>
                <w:rFonts w:ascii="Arial" w:cs="Arial" w:eastAsia="Arial" w:hAnsi="Arial"/>
                <w:sz w:val="18"/>
                <w:szCs w:val="18"/>
                <w:color w:val="auto"/>
              </w:rPr>
              <w:t>Computer Fraud</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87"/>
              </w:rPr>
              <w:t>5,000,000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r>
      <w:tr>
        <w:trPr>
          <w:trHeight w:val="216"/>
        </w:trPr>
        <w:tc>
          <w:tcPr>
            <w:tcW w:w="1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Coverage I.2.</w:t>
            </w:r>
          </w:p>
        </w:tc>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Fraudulent Instructions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5,000,000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9"/>
              </w:rPr>
              <w:t>Coverage I.3.</w:t>
            </w:r>
          </w:p>
        </w:tc>
        <w:tc>
          <w:tcPr>
            <w:tcW w:w="4580" w:type="dxa"/>
            <w:vAlign w:val="bottom"/>
          </w:tcPr>
          <w:p>
            <w:pPr>
              <w:ind w:left="100"/>
              <w:spacing w:after="0"/>
              <w:rPr>
                <w:sz w:val="20"/>
                <w:szCs w:val="20"/>
                <w:color w:val="auto"/>
              </w:rPr>
            </w:pPr>
            <w:r>
              <w:rPr>
                <w:rFonts w:ascii="Arial" w:cs="Arial" w:eastAsia="Arial" w:hAnsi="Arial"/>
                <w:sz w:val="18"/>
                <w:szCs w:val="18"/>
                <w:color w:val="auto"/>
              </w:rPr>
              <w:t>Restoration Expense</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87"/>
              </w:rPr>
              <w:t>5,000,000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r>
      <w:tr>
        <w:trPr>
          <w:trHeight w:val="94"/>
        </w:trPr>
        <w:tc>
          <w:tcPr>
            <w:tcW w:w="6040" w:type="dxa"/>
            <w:vAlign w:val="bottom"/>
            <w:gridSpan w:val="2"/>
          </w:tcPr>
          <w:p>
            <w:pPr>
              <w:spacing w:after="0"/>
              <w:rPr>
                <w:sz w:val="8"/>
                <w:szCs w:val="8"/>
                <w:color w:val="auto"/>
              </w:rPr>
            </w:pPr>
          </w:p>
        </w:tc>
        <w:tc>
          <w:tcPr>
            <w:tcW w:w="2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  UNCOLLECTIBLE ITEMS OF DEPOSIT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bl>
    <w:p>
      <w:pPr>
        <w:spacing w:after="0" w:line="23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PREVIOUS BONDS OR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Insured, by acceptance of this bond, gives notice to the Company canceling or terminating prior bond or policy numbers: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such cancellation or termination to be effective as of the time this bond becomes effective.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ITEM 6   DISCOVERY PERIOD:</w:t>
            </w:r>
          </w:p>
        </w:tc>
        <w:tc>
          <w:tcPr>
            <w:tcW w:w="7500" w:type="dxa"/>
            <w:vAlign w:val="bottom"/>
            <w:tcBorders>
              <w:top w:val="single" w:sz="8" w:color="auto"/>
            </w:tcBorders>
          </w:tcPr>
          <w:p>
            <w:pPr>
              <w:spacing w:after="0"/>
              <w:rPr>
                <w:sz w:val="21"/>
                <w:szCs w:val="21"/>
                <w:color w:val="auto"/>
              </w:rPr>
            </w:pPr>
          </w:p>
        </w:tc>
      </w:tr>
      <w:tr>
        <w:trPr>
          <w:trHeight w:val="306"/>
        </w:trPr>
        <w:tc>
          <w:tcPr>
            <w:tcW w:w="3520" w:type="dxa"/>
            <w:vAlign w:val="bottom"/>
          </w:tcPr>
          <w:p>
            <w:pPr>
              <w:ind w:left="880"/>
              <w:spacing w:after="0"/>
              <w:rPr>
                <w:sz w:val="20"/>
                <w:szCs w:val="20"/>
                <w:color w:val="auto"/>
              </w:rPr>
            </w:pPr>
            <w:r>
              <w:rPr>
                <w:rFonts w:ascii="Arial" w:cs="Arial" w:eastAsia="Arial" w:hAnsi="Arial"/>
                <w:sz w:val="18"/>
                <w:szCs w:val="18"/>
                <w:color w:val="auto"/>
              </w:rPr>
              <w:t>Additional Premium Percentage:</w:t>
            </w:r>
          </w:p>
        </w:tc>
        <w:tc>
          <w:tcPr>
            <w:tcW w:w="7500" w:type="dxa"/>
            <w:vAlign w:val="bottom"/>
          </w:tcPr>
          <w:p>
            <w:pPr>
              <w:ind w:left="260"/>
              <w:spacing w:after="0"/>
              <w:rPr>
                <w:sz w:val="20"/>
                <w:szCs w:val="20"/>
                <w:color w:val="auto"/>
              </w:rPr>
            </w:pPr>
            <w:r>
              <w:rPr>
                <w:rFonts w:ascii="Arial" w:cs="Arial" w:eastAsia="Arial" w:hAnsi="Arial"/>
                <w:sz w:val="18"/>
                <w:szCs w:val="18"/>
                <w:color w:val="auto"/>
              </w:rPr>
              <w:t>100% of the annualized premium</w:t>
            </w:r>
          </w:p>
        </w:tc>
      </w:tr>
      <w:tr>
        <w:trPr>
          <w:trHeight w:val="324"/>
        </w:trPr>
        <w:tc>
          <w:tcPr>
            <w:tcW w:w="3520" w:type="dxa"/>
            <w:vAlign w:val="bottom"/>
          </w:tcPr>
          <w:p>
            <w:pPr>
              <w:ind w:left="880"/>
              <w:spacing w:after="0"/>
              <w:rPr>
                <w:sz w:val="20"/>
                <w:szCs w:val="20"/>
                <w:color w:val="auto"/>
              </w:rPr>
            </w:pPr>
            <w:r>
              <w:rPr>
                <w:rFonts w:ascii="Arial" w:cs="Arial" w:eastAsia="Arial" w:hAnsi="Arial"/>
                <w:sz w:val="18"/>
                <w:szCs w:val="18"/>
                <w:color w:val="auto"/>
              </w:rPr>
              <w:t>Additional Months:</w:t>
            </w:r>
          </w:p>
        </w:tc>
        <w:tc>
          <w:tcPr>
            <w:tcW w:w="7500" w:type="dxa"/>
            <w:vAlign w:val="bottom"/>
          </w:tcPr>
          <w:p>
            <w:pPr>
              <w:ind w:left="260"/>
              <w:spacing w:after="0"/>
              <w:rPr>
                <w:sz w:val="20"/>
                <w:szCs w:val="20"/>
                <w:color w:val="auto"/>
              </w:rPr>
            </w:pPr>
            <w:r>
              <w:rPr>
                <w:rFonts w:ascii="Arial" w:cs="Arial" w:eastAsia="Arial" w:hAnsi="Arial"/>
                <w:sz w:val="18"/>
                <w:szCs w:val="18"/>
                <w:color w:val="auto"/>
              </w:rPr>
              <w:t>12 months</w:t>
            </w:r>
          </w:p>
        </w:tc>
      </w:tr>
    </w:tbl>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exercised in accordance with section VI. CONDITIONS, S. DISCOVERY PERIOD)</w:t>
      </w:r>
    </w:p>
    <w:p>
      <w:pPr>
        <w:spacing w:after="0" w:line="27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FORMS AND ENDORSEMENTS ATTACHED AT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IVBB-16001-0116; IVBB-19004-0116; IVBB-19010-0116; IVBB-19044-0518; IVBB-19045-0319; IVBB-18023-1217; IVBB-17022-1019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WTW NORTHEAST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LIBERTY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396" w:right="43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IVBB-15001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Page 2 of 3</w:t>
      </w:r>
    </w:p>
    <w:p>
      <w:pPr>
        <w:sectPr>
          <w:pgSz w:w="11900" w:h="16838" w:orient="portrait"/>
          <w:cols w:equalWidth="0" w:num="2">
            <w:col w:w="9380" w:space="720"/>
            <w:col w:w="920"/>
          </w:cols>
          <w:pgMar w:left="440" w:top="396" w:right="4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t>Countersigned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bond to be signed by its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2065655" cy="386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65655" cy="386080"/>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168910</wp:posOffset>
            </wp:positionV>
            <wp:extent cx="2160270" cy="548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602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President, Bond &amp; Specialty Insurance</w:t>
            </w:r>
          </w:p>
        </w:tc>
        <w:tc>
          <w:tcPr>
            <w:tcW w:w="5600" w:type="dxa"/>
            <w:vAlign w:val="bottom"/>
          </w:tcPr>
          <w:p>
            <w:pPr>
              <w:ind w:left="860"/>
              <w:spacing w:after="0"/>
              <w:rPr>
                <w:sz w:val="20"/>
                <w:szCs w:val="20"/>
                <w:color w:val="auto"/>
              </w:rPr>
            </w:pPr>
            <w:r>
              <w:rPr>
                <w:rFonts w:ascii="Arial" w:cs="Arial" w:eastAsia="Arial" w:hAnsi="Arial"/>
                <w:sz w:val="18"/>
                <w:szCs w:val="18"/>
                <w:color w:val="auto"/>
              </w:rPr>
              <w:t>Corporate Secretary</w:t>
            </w:r>
          </w:p>
        </w:tc>
      </w:tr>
      <w:tr>
        <w:trPr>
          <w:trHeight w:val="196"/>
        </w:trPr>
        <w:tc>
          <w:tcPr>
            <w:tcW w:w="5420" w:type="dxa"/>
            <w:vAlign w:val="bottom"/>
            <w:tcBorders>
              <w:bottom w:val="single" w:sz="8" w:color="auto"/>
            </w:tcBorders>
          </w:tcPr>
          <w:p>
            <w:pPr>
              <w:spacing w:after="0"/>
              <w:rPr>
                <w:sz w:val="17"/>
                <w:szCs w:val="17"/>
                <w:color w:val="auto"/>
              </w:rPr>
            </w:pPr>
          </w:p>
        </w:tc>
        <w:tc>
          <w:tcPr>
            <w:tcW w:w="5600" w:type="dxa"/>
            <w:vAlign w:val="bottom"/>
            <w:tcBorders>
              <w:bottom w:val="single" w:sz="8" w:color="auto"/>
            </w:tcBorders>
          </w:tcPr>
          <w:p>
            <w:pPr>
              <w:spacing w:after="0"/>
              <w:rPr>
                <w:sz w:val="17"/>
                <w:szCs w:val="17"/>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IVBB-15001 Ed. 01-16</w:t>
            </w:r>
          </w:p>
        </w:tc>
        <w:tc>
          <w:tcPr>
            <w:tcW w:w="5600" w:type="dxa"/>
            <w:vAlign w:val="bottom"/>
          </w:tcPr>
          <w:p>
            <w:pPr>
              <w:ind w:left="4680"/>
              <w:spacing w:after="0"/>
              <w:rPr>
                <w:sz w:val="20"/>
                <w:szCs w:val="20"/>
                <w:color w:val="auto"/>
              </w:rPr>
            </w:pPr>
            <w:r>
              <w:rPr>
                <w:rFonts w:ascii="Arial" w:cs="Arial" w:eastAsia="Arial" w:hAnsi="Arial"/>
                <w:sz w:val="18"/>
                <w:szCs w:val="18"/>
                <w:color w:val="auto"/>
                <w:w w:val="97"/>
              </w:rPr>
              <w:t>Page 3 of 3</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5600" w:type="dxa"/>
            <w:vAlign w:val="bottom"/>
          </w:tcPr>
          <w:p>
            <w:pPr>
              <w:spacing w:after="0"/>
              <w:rPr>
                <w:sz w:val="20"/>
                <w:szCs w:val="20"/>
                <w:color w:val="auto"/>
              </w:rPr>
            </w:pPr>
          </w:p>
        </w:tc>
      </w:tr>
    </w:tbl>
    <w:p>
      <w:pPr>
        <w:sectPr>
          <w:pgSz w:w="11900" w:h="16838" w:orient="portrait"/>
          <w:cols w:equalWidth="0" w:num="1">
            <w:col w:w="11020"/>
          </w:cols>
          <w:pgMar w:left="440" w:top="517"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534160" cy="316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534160" cy="3168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300" w:type="dxa"/>
            <w:vAlign w:val="bottom"/>
            <w:gridSpan w:val="2"/>
          </w:tcPr>
          <w:p>
            <w:pPr>
              <w:jc w:val="right"/>
              <w:ind w:right="10"/>
              <w:spacing w:after="0"/>
              <w:rPr>
                <w:sz w:val="20"/>
                <w:szCs w:val="20"/>
                <w:color w:val="auto"/>
              </w:rPr>
            </w:pPr>
            <w:r>
              <w:rPr>
                <w:rFonts w:ascii="Arial" w:cs="Arial" w:eastAsia="Arial" w:hAnsi="Arial"/>
                <w:sz w:val="18"/>
                <w:szCs w:val="18"/>
                <w:b w:val="1"/>
                <w:bCs w:val="1"/>
                <w:i w:val="1"/>
                <w:iCs w:val="1"/>
                <w:color w:val="auto"/>
              </w:rPr>
              <w:t>Investment Company Bond</w:t>
            </w:r>
          </w:p>
        </w:tc>
      </w:tr>
      <w:tr>
        <w:trPr>
          <w:trHeight w:val="230"/>
        </w:trPr>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i w:val="1"/>
                <w:iCs w:val="1"/>
                <w:color w:val="auto"/>
              </w:rPr>
              <w:t>Table of Contents</w:t>
            </w:r>
          </w:p>
        </w:tc>
      </w:tr>
      <w:tr>
        <w:trPr>
          <w:trHeight w:val="61"/>
        </w:trPr>
        <w:tc>
          <w:tcPr>
            <w:tcW w:w="440" w:type="dxa"/>
            <w:vAlign w:val="bottom"/>
            <w:tcBorders>
              <w:bottom w:val="single" w:sz="8" w:color="auto"/>
            </w:tcBorders>
          </w:tcPr>
          <w:p>
            <w:pPr>
              <w:spacing w:after="0"/>
              <w:rPr>
                <w:sz w:val="5"/>
                <w:szCs w:val="5"/>
                <w:color w:val="auto"/>
              </w:rPr>
            </w:pPr>
          </w:p>
        </w:tc>
        <w:tc>
          <w:tcPr>
            <w:tcW w:w="8840" w:type="dxa"/>
            <w:vAlign w:val="bottom"/>
            <w:tcBorders>
              <w:bottom w:val="single" w:sz="8" w:color="auto"/>
            </w:tcBorders>
            <w:gridSpan w:val="3"/>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r>
      <w:tr>
        <w:trPr>
          <w:trHeight w:val="608"/>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I.</w:t>
            </w:r>
          </w:p>
        </w:tc>
        <w:tc>
          <w:tcPr>
            <w:tcW w:w="8840" w:type="dxa"/>
            <w:vAlign w:val="bottom"/>
            <w:gridSpan w:val="3"/>
          </w:tcPr>
          <w:p>
            <w:pPr>
              <w:ind w:left="200"/>
              <w:spacing w:after="0"/>
              <w:rPr>
                <w:sz w:val="20"/>
                <w:szCs w:val="20"/>
                <w:color w:val="auto"/>
              </w:rPr>
            </w:pPr>
            <w:r>
              <w:rPr>
                <w:rFonts w:ascii="Arial" w:cs="Arial" w:eastAsia="Arial" w:hAnsi="Arial"/>
                <w:sz w:val="18"/>
                <w:szCs w:val="18"/>
                <w:b w:val="1"/>
                <w:bCs w:val="1"/>
                <w:i w:val="1"/>
                <w:iCs w:val="1"/>
                <w:color w:val="auto"/>
              </w:rPr>
              <w:t>CONSIDERATION CLAUSE</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II.</w:t>
            </w:r>
          </w:p>
        </w:tc>
        <w:tc>
          <w:tcPr>
            <w:tcW w:w="8840" w:type="dxa"/>
            <w:vAlign w:val="bottom"/>
            <w:gridSpan w:val="3"/>
          </w:tcPr>
          <w:p>
            <w:pPr>
              <w:ind w:left="200"/>
              <w:spacing w:after="0"/>
              <w:rPr>
                <w:sz w:val="20"/>
                <w:szCs w:val="20"/>
                <w:color w:val="auto"/>
              </w:rPr>
            </w:pPr>
            <w:r>
              <w:rPr>
                <w:rFonts w:ascii="Arial" w:cs="Arial" w:eastAsia="Arial" w:hAnsi="Arial"/>
                <w:sz w:val="18"/>
                <w:szCs w:val="18"/>
                <w:b w:val="1"/>
                <w:bCs w:val="1"/>
                <w:i w:val="1"/>
                <w:iCs w:val="1"/>
                <w:color w:val="auto"/>
              </w:rPr>
              <w:t>INSURING AGREEMENTS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A.</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FIDELITY</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Coverage A.1.</w:t>
            </w:r>
          </w:p>
        </w:tc>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Larceny or Embezzlement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Coverage A.2.</w:t>
            </w:r>
          </w:p>
        </w:tc>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Restoration Expenses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B.</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ON PREMISES</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C.</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IN TRANSIT</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D.</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FORGERY OR ALTERATION</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E.</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SECURITIES</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F.</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COUNTERFEIT MONEY AND COUNTERFEIT MONEY ORDERS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G.</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CLAIM EXPENSE</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H.</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STOP PAYMENT ORDERS OR WRONGFUL DISHONOR OF CHECKS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I.</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COMPUTER SYSTEMS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Coverage I.1.</w:t>
            </w:r>
          </w:p>
        </w:tc>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Computer Fraud</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Coverage I.2.</w:t>
            </w:r>
          </w:p>
        </w:tc>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Fraudulent Instructions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Coverage I.3.</w:t>
            </w:r>
          </w:p>
        </w:tc>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Restoration Expenses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J.</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UNCOLLECTIBLE ITEMS OF DEPOSIT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III.</w:t>
            </w:r>
          </w:p>
        </w:tc>
        <w:tc>
          <w:tcPr>
            <w:tcW w:w="8840" w:type="dxa"/>
            <w:vAlign w:val="bottom"/>
            <w:gridSpan w:val="3"/>
          </w:tcPr>
          <w:p>
            <w:pPr>
              <w:ind w:left="200"/>
              <w:spacing w:after="0"/>
              <w:rPr>
                <w:sz w:val="20"/>
                <w:szCs w:val="20"/>
                <w:color w:val="auto"/>
              </w:rPr>
            </w:pPr>
            <w:r>
              <w:rPr>
                <w:rFonts w:ascii="Arial" w:cs="Arial" w:eastAsia="Arial" w:hAnsi="Arial"/>
                <w:sz w:val="18"/>
                <w:szCs w:val="18"/>
                <w:b w:val="1"/>
                <w:bCs w:val="1"/>
                <w:i w:val="1"/>
                <w:iCs w:val="1"/>
                <w:color w:val="auto"/>
              </w:rPr>
              <w:t>GENERAL AGREEMENTS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A.</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ORGANIC GROWTH</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B.</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CONSOLIDATION - MERGER - PURCHASE OR ACQUISITION OF ASSETS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C.</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REPRESENTATION OF INSURED</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D.</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JOINT INSURED</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E.</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COURT COSTS AND ATTORNEY’S FEES - LEGAL PROCEEDINGS - ELECTION TO DEFEND</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IV.</w:t>
            </w:r>
          </w:p>
        </w:tc>
        <w:tc>
          <w:tcPr>
            <w:tcW w:w="228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DEFINITIONS</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V.</w:t>
            </w:r>
          </w:p>
        </w:tc>
        <w:tc>
          <w:tcPr>
            <w:tcW w:w="228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EXCLUSIONS</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i w:val="1"/>
                <w:iCs w:val="1"/>
                <w:color w:val="auto"/>
              </w:rPr>
              <w:t>VI.</w:t>
            </w:r>
          </w:p>
        </w:tc>
        <w:tc>
          <w:tcPr>
            <w:tcW w:w="228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CONDITIONS</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A.</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ADDITIONAL COMPANIES INCLUDED AS INSURED</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B.</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DISCOVERY</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C.</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BOND PERIOD</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D.</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SINGLE LOSS</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E.</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SINGLE LOSS LIMIT OF INSURANCE</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F.</w:t>
            </w:r>
          </w:p>
        </w:tc>
        <w:tc>
          <w:tcPr>
            <w:tcW w:w="1700" w:type="dxa"/>
            <w:vAlign w:val="bottom"/>
          </w:tcPr>
          <w:p>
            <w:pPr>
              <w:ind w:left="200"/>
              <w:spacing w:after="0"/>
              <w:rPr>
                <w:sz w:val="20"/>
                <w:szCs w:val="20"/>
                <w:color w:val="auto"/>
              </w:rPr>
            </w:pPr>
            <w:r>
              <w:rPr>
                <w:rFonts w:ascii="Arial" w:cs="Arial" w:eastAsia="Arial" w:hAnsi="Arial"/>
                <w:sz w:val="18"/>
                <w:szCs w:val="18"/>
                <w:b w:val="1"/>
                <w:bCs w:val="1"/>
                <w:color w:val="auto"/>
              </w:rPr>
              <w:t>DEDUCTIBLE</w:t>
            </w:r>
          </w:p>
        </w:tc>
        <w:tc>
          <w:tcPr>
            <w:tcW w:w="6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G.</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NON-ACCUMULATION OF LIMITS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b w:val="1"/>
                <w:bCs w:val="1"/>
                <w:color w:val="auto"/>
              </w:rPr>
              <w:t>H.</w:t>
            </w:r>
          </w:p>
        </w:tc>
        <w:tc>
          <w:tcPr>
            <w:tcW w:w="8260" w:type="dxa"/>
            <w:vAlign w:val="bottom"/>
            <w:gridSpan w:val="2"/>
          </w:tcPr>
          <w:p>
            <w:pPr>
              <w:ind w:left="200"/>
              <w:spacing w:after="0"/>
              <w:rPr>
                <w:sz w:val="20"/>
                <w:szCs w:val="20"/>
                <w:color w:val="auto"/>
              </w:rPr>
            </w:pPr>
            <w:r>
              <w:rPr>
                <w:rFonts w:ascii="Arial" w:cs="Arial" w:eastAsia="Arial" w:hAnsi="Arial"/>
                <w:sz w:val="18"/>
                <w:szCs w:val="18"/>
                <w:b w:val="1"/>
                <w:bCs w:val="1"/>
                <w:color w:val="auto"/>
              </w:rPr>
              <w:t>NOTICE - PROOF OF LOSS - LEGAL PROCEEDINGS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196"/>
        </w:trPr>
        <w:tc>
          <w:tcPr>
            <w:tcW w:w="2720" w:type="dxa"/>
            <w:vAlign w:val="bottom"/>
            <w:tcBorders>
              <w:bottom w:val="single" w:sz="8" w:color="auto"/>
            </w:tcBorders>
            <w:gridSpan w:val="3"/>
          </w:tcPr>
          <w:p>
            <w:pPr>
              <w:spacing w:after="0"/>
              <w:rPr>
                <w:sz w:val="17"/>
                <w:szCs w:val="17"/>
                <w:color w:val="auto"/>
              </w:rPr>
            </w:pPr>
          </w:p>
        </w:tc>
        <w:tc>
          <w:tcPr>
            <w:tcW w:w="65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r>
      <w:tr>
        <w:trPr>
          <w:trHeight w:val="242"/>
        </w:trPr>
        <w:tc>
          <w:tcPr>
            <w:tcW w:w="2720" w:type="dxa"/>
            <w:vAlign w:val="bottom"/>
            <w:gridSpan w:val="3"/>
          </w:tcPr>
          <w:p>
            <w:pPr>
              <w:spacing w:after="0"/>
              <w:rPr>
                <w:sz w:val="20"/>
                <w:szCs w:val="20"/>
                <w:color w:val="auto"/>
              </w:rPr>
            </w:pPr>
            <w:r>
              <w:rPr>
                <w:rFonts w:ascii="Arial" w:cs="Arial" w:eastAsia="Arial" w:hAnsi="Arial"/>
                <w:sz w:val="18"/>
                <w:szCs w:val="18"/>
                <w:color w:val="auto"/>
              </w:rPr>
              <w:t>IVBB-16001 Ed. 01-16</w:t>
            </w:r>
          </w:p>
        </w:tc>
        <w:tc>
          <w:tcPr>
            <w:tcW w:w="65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Page 1 of 25</w:t>
            </w:r>
          </w:p>
        </w:tc>
      </w:tr>
      <w:tr>
        <w:trPr>
          <w:trHeight w:val="230"/>
        </w:trPr>
        <w:tc>
          <w:tcPr>
            <w:tcW w:w="9280" w:type="dxa"/>
            <w:vAlign w:val="bottom"/>
            <w:gridSpan w:val="4"/>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1740" w:type="dxa"/>
            <w:vAlign w:val="bottom"/>
          </w:tcPr>
          <w:p>
            <w:pPr>
              <w:spacing w:after="0"/>
              <w:rPr>
                <w:sz w:val="20"/>
                <w:szCs w:val="20"/>
                <w:color w:val="auto"/>
              </w:rPr>
            </w:pPr>
          </w:p>
        </w:tc>
      </w:tr>
    </w:tbl>
    <w:p>
      <w:pPr>
        <w:sectPr>
          <w:pgSz w:w="11900" w:h="16838" w:orient="portrait"/>
          <w:cols w:equalWidth="0" w:num="1">
            <w:col w:w="11020"/>
          </w:cols>
          <w:pgMar w:left="440" w:top="584"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I.</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VALUATION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J.</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ASSIGNMENT</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K.</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SUBROGATION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L.</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RECOVERIES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M.</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COOPERATION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N.</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ANTI-BUNDLING</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O.</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LIMIT OF INSURANCE UNDER THIS BOND AND PRIOR INSURANCE</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P.</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OTHER INSURANCE OR INDEMNITY</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Q.</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COVERED PROPERTY</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R.</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CANCELATION, TERMINATION, CHANGE OR MODIFICATION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S.</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DISCOVERY PERIOD</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24"/>
        </w:trPr>
        <w:tc>
          <w:tcPr>
            <w:tcW w:w="1080" w:type="dxa"/>
            <w:vAlign w:val="bottom"/>
          </w:tcPr>
          <w:p>
            <w:pPr>
              <w:ind w:left="640"/>
              <w:spacing w:after="0"/>
              <w:rPr>
                <w:sz w:val="20"/>
                <w:szCs w:val="20"/>
                <w:color w:val="auto"/>
              </w:rPr>
            </w:pPr>
            <w:r>
              <w:rPr>
                <w:rFonts w:ascii="Arial" w:cs="Arial" w:eastAsia="Arial" w:hAnsi="Arial"/>
                <w:sz w:val="18"/>
                <w:szCs w:val="18"/>
                <w:b w:val="1"/>
                <w:bCs w:val="1"/>
                <w:color w:val="auto"/>
              </w:rPr>
              <w:t>T.</w:t>
            </w:r>
          </w:p>
        </w:tc>
        <w:tc>
          <w:tcPr>
            <w:tcW w:w="7520" w:type="dxa"/>
            <w:vAlign w:val="bottom"/>
          </w:tcPr>
          <w:p>
            <w:pPr>
              <w:ind w:left="220"/>
              <w:spacing w:after="0"/>
              <w:rPr>
                <w:sz w:val="20"/>
                <w:szCs w:val="20"/>
                <w:color w:val="auto"/>
              </w:rPr>
            </w:pPr>
            <w:r>
              <w:rPr>
                <w:rFonts w:ascii="Arial" w:cs="Arial" w:eastAsia="Arial" w:hAnsi="Arial"/>
                <w:sz w:val="18"/>
                <w:szCs w:val="18"/>
                <w:b w:val="1"/>
                <w:bCs w:val="1"/>
                <w:color w:val="auto"/>
              </w:rPr>
              <w:t>HEADINGS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196"/>
        </w:trPr>
        <w:tc>
          <w:tcPr>
            <w:tcW w:w="8600" w:type="dxa"/>
            <w:vAlign w:val="bottom"/>
            <w:tcBorders>
              <w:bottom w:val="single" w:sz="8" w:color="auto"/>
            </w:tcBorders>
            <w:gridSpan w:val="2"/>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r>
      <w:tr>
        <w:trPr>
          <w:trHeight w:val="229"/>
        </w:trPr>
        <w:tc>
          <w:tcPr>
            <w:tcW w:w="8600" w:type="dxa"/>
            <w:vAlign w:val="bottom"/>
            <w:gridSpan w:val="2"/>
          </w:tcPr>
          <w:p>
            <w:pPr>
              <w:spacing w:after="0"/>
              <w:rPr>
                <w:sz w:val="20"/>
                <w:szCs w:val="20"/>
                <w:color w:val="auto"/>
              </w:rPr>
            </w:pPr>
            <w:r>
              <w:rPr>
                <w:rFonts w:ascii="Arial" w:cs="Arial" w:eastAsia="Arial" w:hAnsi="Arial"/>
                <w:sz w:val="18"/>
                <w:szCs w:val="18"/>
                <w:color w:val="auto"/>
              </w:rPr>
              <w:t>IVBB-16001 Ed. 01-16</w:t>
            </w:r>
          </w:p>
        </w:tc>
        <w:tc>
          <w:tcPr>
            <w:tcW w:w="2420" w:type="dxa"/>
            <w:vAlign w:val="bottom"/>
          </w:tcPr>
          <w:p>
            <w:pPr>
              <w:jc w:val="right"/>
              <w:ind w:right="10"/>
              <w:spacing w:after="0"/>
              <w:rPr>
                <w:sz w:val="20"/>
                <w:szCs w:val="20"/>
                <w:color w:val="auto"/>
              </w:rPr>
            </w:pPr>
            <w:r>
              <w:rPr>
                <w:rFonts w:ascii="Arial" w:cs="Arial" w:eastAsia="Arial" w:hAnsi="Arial"/>
                <w:sz w:val="18"/>
                <w:szCs w:val="18"/>
                <w:color w:val="auto"/>
              </w:rPr>
              <w:t>Page 2 of 25</w:t>
            </w: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242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jc w:val="right"/>
        <w:ind w:right="8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534160"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534160" cy="317500"/>
                    </a:xfrm>
                    <a:prstGeom prst="rect">
                      <a:avLst/>
                    </a:prstGeom>
                    <a:noFill/>
                  </pic:spPr>
                </pic:pic>
              </a:graphicData>
            </a:graphic>
          </wp:anchor>
        </w:drawing>
        <w:t>Investment Company Bond</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i w:val="1"/>
          <w:iCs w:val="1"/>
          <w:color w:val="auto"/>
        </w:rPr>
        <w:t>with Extended Coverages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99516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CONSIDERATION CLAUSE</w:t>
      </w:r>
    </w:p>
    <w:p>
      <w:pPr>
        <w:spacing w:after="0" w:line="180" w:lineRule="exact"/>
        <w:rPr>
          <w:rFonts w:ascii="Arial" w:cs="Arial" w:eastAsia="Arial" w:hAnsi="Arial"/>
          <w:sz w:val="18"/>
          <w:szCs w:val="18"/>
          <w:b w:val="1"/>
          <w:bCs w:val="1"/>
          <w:i w:val="1"/>
          <w:iCs w:val="1"/>
          <w:color w:val="auto"/>
        </w:rPr>
      </w:pPr>
    </w:p>
    <w:p>
      <w:pPr>
        <w:ind w:left="444"/>
        <w:spacing w:after="0" w:line="347" w:lineRule="auto"/>
        <w:rPr>
          <w:rFonts w:ascii="Arial" w:cs="Arial" w:eastAsia="Arial" w:hAnsi="Arial"/>
          <w:sz w:val="18"/>
          <w:szCs w:val="18"/>
          <w:b w:val="1"/>
          <w:bCs w:val="1"/>
          <w:i w:val="1"/>
          <w:iCs w:val="1"/>
          <w:color w:val="auto"/>
        </w:rPr>
      </w:pPr>
      <w:r>
        <w:rPr>
          <w:rFonts w:ascii="Arial" w:cs="Arial" w:eastAsia="Arial" w:hAnsi="Arial"/>
          <w:sz w:val="16"/>
          <w:szCs w:val="16"/>
          <w:b w:val="1"/>
          <w:bCs w:val="1"/>
          <w:color w:val="auto"/>
        </w:rPr>
        <w:t xml:space="preserve">IN CONSIDERATION </w:t>
      </w:r>
      <w:r>
        <w:rPr>
          <w:rFonts w:ascii="Arial" w:cs="Arial" w:eastAsia="Arial" w:hAnsi="Arial"/>
          <w:sz w:val="16"/>
          <w:szCs w:val="16"/>
          <w:color w:val="auto"/>
        </w:rPr>
        <w:t>of the payment of an agreed premium and subject to the Declarations and pursuant to all the terms, conditions, exclusions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limitations of this bond, the Company agrees to indemnify the Insured as set forth in ITEM 1 of the Declarations (herein called Insured)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-402590</wp:posOffset>
            </wp:positionV>
            <wp:extent cx="6995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8"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INSURING AGREEMENTS</w:t>
      </w:r>
    </w:p>
    <w:p>
      <w:pPr>
        <w:spacing w:after="0" w:line="234" w:lineRule="exact"/>
        <w:rPr>
          <w:rFonts w:ascii="Arial" w:cs="Arial" w:eastAsia="Arial" w:hAnsi="Arial"/>
          <w:sz w:val="18"/>
          <w:szCs w:val="18"/>
          <w:b w:val="1"/>
          <w:bCs w:val="1"/>
          <w:i w:val="1"/>
          <w:iCs w:val="1"/>
          <w:color w:val="auto"/>
        </w:rPr>
      </w:pPr>
    </w:p>
    <w:p>
      <w:pPr>
        <w:ind w:left="964" w:hanging="532"/>
        <w:spacing w:after="0"/>
        <w:tabs>
          <w:tab w:leader="none" w:pos="964"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FIDELITY</w:t>
      </w:r>
    </w:p>
    <w:p>
      <w:pPr>
        <w:spacing w:after="0" w:line="121" w:lineRule="exact"/>
        <w:rPr>
          <w:rFonts w:ascii="Arial" w:cs="Arial" w:eastAsia="Arial" w:hAnsi="Arial"/>
          <w:sz w:val="18"/>
          <w:szCs w:val="18"/>
          <w:b w:val="1"/>
          <w:bCs w:val="1"/>
          <w:color w:val="auto"/>
        </w:rPr>
      </w:pP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Coverage A.1. Larceny or Embezzlement</w:t>
      </w:r>
    </w:p>
    <w:p>
      <w:pPr>
        <w:spacing w:after="0" w:line="113" w:lineRule="exact"/>
        <w:rPr>
          <w:rFonts w:ascii="Arial" w:cs="Arial" w:eastAsia="Arial" w:hAnsi="Arial"/>
          <w:sz w:val="18"/>
          <w:szCs w:val="18"/>
          <w:b w:val="1"/>
          <w:bCs w:val="1"/>
          <w:color w:val="auto"/>
        </w:rPr>
      </w:pPr>
    </w:p>
    <w:p>
      <w:pPr>
        <w:ind w:left="984" w:right="540" w:firstLine="441"/>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committed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alone or in collusion with others. Coverage A.2. Restoration Expenses</w:t>
      </w:r>
    </w:p>
    <w:p>
      <w:pPr>
        <w:spacing w:after="0" w:line="1" w:lineRule="exact"/>
        <w:rPr>
          <w:rFonts w:ascii="Arial" w:cs="Arial" w:eastAsia="Arial" w:hAnsi="Arial"/>
          <w:sz w:val="18"/>
          <w:szCs w:val="18"/>
          <w:b w:val="1"/>
          <w:bCs w:val="1"/>
          <w:color w:val="auto"/>
        </w:rPr>
      </w:pPr>
    </w:p>
    <w:p>
      <w:pPr>
        <w:ind w:left="1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and resulting directly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by an</w:t>
      </w:r>
      <w:r>
        <w:rPr>
          <w:rFonts w:ascii="Arial" w:cs="Arial" w:eastAsia="Arial" w:hAnsi="Arial"/>
          <w:sz w:val="18"/>
          <w:szCs w:val="18"/>
          <w:b w:val="1"/>
          <w:bCs w:val="1"/>
          <w:color w:val="auto"/>
        </w:rPr>
        <w:t xml:space="preserve"> Employee</w:t>
      </w:r>
      <w:r>
        <w:rPr>
          <w:rFonts w:ascii="Arial" w:cs="Arial" w:eastAsia="Arial" w:hAnsi="Arial"/>
          <w:sz w:val="18"/>
          <w:szCs w:val="18"/>
          <w:color w:val="auto"/>
        </w:rPr>
        <w:t>.</w:t>
      </w:r>
    </w:p>
    <w:p>
      <w:pPr>
        <w:spacing w:after="0" w:line="373" w:lineRule="exact"/>
        <w:rPr>
          <w:rFonts w:ascii="Arial" w:cs="Arial" w:eastAsia="Arial" w:hAnsi="Arial"/>
          <w:sz w:val="18"/>
          <w:szCs w:val="18"/>
          <w:b w:val="1"/>
          <w:bCs w:val="1"/>
          <w:color w:val="auto"/>
        </w:rPr>
      </w:pPr>
    </w:p>
    <w:p>
      <w:pPr>
        <w:ind w:left="964" w:hanging="532"/>
        <w:spacing w:after="0"/>
        <w:tabs>
          <w:tab w:leader="none" w:pos="964"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ON PREMISES</w:t>
      </w:r>
    </w:p>
    <w:p>
      <w:pPr>
        <w:spacing w:after="0" w:line="130" w:lineRule="exact"/>
        <w:rPr>
          <w:rFonts w:ascii="Arial" w:cs="Arial" w:eastAsia="Arial" w:hAnsi="Arial"/>
          <w:sz w:val="18"/>
          <w:szCs w:val="18"/>
          <w:b w:val="1"/>
          <w:bCs w:val="1"/>
          <w:color w:val="auto"/>
        </w:rPr>
      </w:pPr>
    </w:p>
    <w:p>
      <w:pPr>
        <w:ind w:left="1424" w:hanging="439"/>
        <w:spacing w:after="0"/>
        <w:tabs>
          <w:tab w:leader="none" w:pos="1424" w:val="left"/>
        </w:tabs>
        <w:numPr>
          <w:ilvl w:val="2"/>
          <w:numId w:val="9"/>
        </w:numPr>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w:t>
      </w:r>
    </w:p>
    <w:p>
      <w:pPr>
        <w:spacing w:after="0" w:line="134" w:lineRule="exact"/>
        <w:rPr>
          <w:rFonts w:ascii="Arial" w:cs="Arial" w:eastAsia="Arial" w:hAnsi="Arial"/>
          <w:sz w:val="18"/>
          <w:szCs w:val="18"/>
          <w:color w:val="auto"/>
        </w:rPr>
      </w:pPr>
    </w:p>
    <w:p>
      <w:pPr>
        <w:ind w:left="1964" w:hanging="533"/>
        <w:spacing w:after="0"/>
        <w:tabs>
          <w:tab w:leader="none" w:pos="1964" w:val="left"/>
        </w:tabs>
        <w:numPr>
          <w:ilvl w:val="3"/>
          <w:numId w:val="9"/>
        </w:numPr>
        <w:rPr>
          <w:rFonts w:ascii="Arial" w:cs="Arial" w:eastAsia="Arial" w:hAnsi="Arial"/>
          <w:sz w:val="18"/>
          <w:szCs w:val="18"/>
          <w:color w:val="auto"/>
        </w:rPr>
      </w:pPr>
      <w:r>
        <w:rPr>
          <w:rFonts w:ascii="Arial" w:cs="Arial" w:eastAsia="Arial" w:hAnsi="Arial"/>
          <w:sz w:val="18"/>
          <w:szCs w:val="18"/>
          <w:color w:val="auto"/>
        </w:rPr>
        <w:t>robbery, burglary, mysterious unexplainable disappearance or misplacement and damage or destruction; or</w:t>
      </w:r>
    </w:p>
    <w:p>
      <w:pPr>
        <w:spacing w:after="0" w:line="130" w:lineRule="exact"/>
        <w:rPr>
          <w:rFonts w:ascii="Arial" w:cs="Arial" w:eastAsia="Arial" w:hAnsi="Arial"/>
          <w:sz w:val="18"/>
          <w:szCs w:val="18"/>
          <w:color w:val="auto"/>
        </w:rPr>
      </w:pPr>
    </w:p>
    <w:p>
      <w:pPr>
        <w:ind w:left="1964" w:right="40" w:hanging="533"/>
        <w:spacing w:after="0" w:line="277" w:lineRule="auto"/>
        <w:tabs>
          <w:tab w:leader="none" w:pos="1964" w:val="left"/>
        </w:tabs>
        <w:numPr>
          <w:ilvl w:val="3"/>
          <w:numId w:val="9"/>
        </w:numPr>
        <w:rPr>
          <w:rFonts w:ascii="Arial" w:cs="Arial" w:eastAsia="Arial" w:hAnsi="Arial"/>
          <w:sz w:val="18"/>
          <w:szCs w:val="18"/>
          <w:color w:val="auto"/>
        </w:rPr>
      </w:pPr>
      <w:r>
        <w:rPr>
          <w:rFonts w:ascii="Arial" w:cs="Arial" w:eastAsia="Arial" w:hAnsi="Arial"/>
          <w:sz w:val="18"/>
          <w:szCs w:val="18"/>
          <w:color w:val="auto"/>
        </w:rPr>
        <w:t xml:space="preserve">theft, false pretenses, or common law or statutory larceny, committed by a person physically present in an office of, or on the premises of, the Insured at the time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was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-2239645</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 w:lineRule="exact"/>
        <w:rPr>
          <w:sz w:val="20"/>
          <w:szCs w:val="20"/>
          <w:color w:val="auto"/>
        </w:rPr>
      </w:pPr>
    </w:p>
    <w:p>
      <w:pPr>
        <w:ind w:left="1424" w:right="20"/>
        <w:spacing w:after="0" w:line="255" w:lineRule="auto"/>
        <w:rPr>
          <w:sz w:val="20"/>
          <w:szCs w:val="20"/>
          <w:color w:val="auto"/>
        </w:rPr>
      </w:pPr>
      <w:r>
        <w:rPr>
          <w:rFonts w:ascii="Arial" w:cs="Arial" w:eastAsia="Arial" w:hAnsi="Arial"/>
          <w:sz w:val="18"/>
          <w:szCs w:val="18"/>
          <w:color w:val="auto"/>
        </w:rPr>
        <w:t xml:space="preserve">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lodged or deposited within offices or premises located anywhere. The premises of a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will be deemed premises of the Insured, but solely as respects loss of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Coverage for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held by such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is limited to the extent of the Insured’s interest therein as effected by the making of appropriate entries on the books and records of such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The Company will not be liable under Insuring Agreement B for loss in connection with the central handling of securities within the systems established and maintained by any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unless the amount of such loss exceeds the amount recoverable or recovered under any bond or policy or participants’ fund insuring the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against such loss.</w:t>
      </w:r>
    </w:p>
    <w:p>
      <w:pPr>
        <w:spacing w:after="0" w:line="81" w:lineRule="exact"/>
        <w:rPr>
          <w:sz w:val="20"/>
          <w:szCs w:val="20"/>
          <w:color w:val="auto"/>
        </w:rPr>
      </w:pPr>
    </w:p>
    <w:p>
      <w:pPr>
        <w:ind w:left="1424" w:right="300"/>
        <w:spacing w:after="0" w:line="282" w:lineRule="auto"/>
        <w:rPr>
          <w:sz w:val="20"/>
          <w:szCs w:val="20"/>
          <w:color w:val="auto"/>
        </w:rPr>
      </w:pPr>
      <w:r>
        <w:rPr>
          <w:rFonts w:ascii="Arial" w:cs="Arial" w:eastAsia="Arial" w:hAnsi="Arial"/>
          <w:sz w:val="18"/>
          <w:szCs w:val="18"/>
          <w:color w:val="auto"/>
        </w:rPr>
        <w:t xml:space="preserve">This bond does not afford any coverage in favor of any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or exchange or any nominee in whose name is registered any security included within the </w:t>
      </w:r>
      <w:r>
        <w:rPr>
          <w:rFonts w:ascii="Arial" w:cs="Arial" w:eastAsia="Arial" w:hAnsi="Arial"/>
          <w:sz w:val="18"/>
          <w:szCs w:val="18"/>
          <w:b w:val="1"/>
          <w:bCs w:val="1"/>
          <w:color w:val="auto"/>
        </w:rPr>
        <w:t>Depository’s</w:t>
      </w:r>
      <w:r>
        <w:rPr>
          <w:rFonts w:ascii="Arial" w:cs="Arial" w:eastAsia="Arial" w:hAnsi="Arial"/>
          <w:sz w:val="18"/>
          <w:szCs w:val="18"/>
          <w:color w:val="auto"/>
        </w:rPr>
        <w:t xml:space="preserve"> systems.</w:t>
      </w:r>
    </w:p>
    <w:p>
      <w:pPr>
        <w:spacing w:after="0" w:line="67" w:lineRule="exact"/>
        <w:rPr>
          <w:sz w:val="20"/>
          <w:szCs w:val="20"/>
          <w:color w:val="auto"/>
        </w:rPr>
      </w:pPr>
    </w:p>
    <w:p>
      <w:pPr>
        <w:ind w:left="1424" w:right="220" w:hanging="439"/>
        <w:spacing w:after="0" w:line="258" w:lineRule="auto"/>
        <w:tabs>
          <w:tab w:leader="none" w:pos="1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Direct loss, through any hazard specified in Insuring Agreement B.1.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within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and in the possession of any customer of the Insured, any representative of such customer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whether or not the Insured is liable for the loss thereof, and provided such loss, at the option of the Insured, is included in the Insured’s proof of loss, but excluding, in any event, loss caused by such customer, any representative of such customer, or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699516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04"/>
          </w:cols>
          <w:pgMar w:left="436" w:top="584" w:right="459" w:bottom="1440" w:gutter="0" w:footer="0" w:header="0"/>
        </w:sectPr>
      </w:pPr>
    </w:p>
    <w:p>
      <w:pPr>
        <w:spacing w:after="0" w:line="214"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©2016 The Travelers Indemnity Company. All rights reserved.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Page 3 of 25</w:t>
      </w:r>
    </w:p>
    <w:p>
      <w:pPr>
        <w:sectPr>
          <w:pgSz w:w="11900" w:h="16838" w:orient="portrait"/>
          <w:cols w:equalWidth="0" w:num="2">
            <w:col w:w="9304" w:space="720"/>
            <w:col w:w="980"/>
          </w:cols>
          <w:pgMar w:left="436" w:top="584" w:right="459" w:bottom="1440" w:gutter="0" w:footer="0" w:header="0"/>
          <w:type w:val="continuous"/>
        </w:sectPr>
      </w:pPr>
    </w:p>
    <w:bookmarkStart w:id="11" w:name="page12"/>
    <w:bookmarkEnd w:id="11"/>
    <w:p>
      <w:pPr>
        <w:ind w:left="960" w:hanging="532"/>
        <w:spacing w:after="0"/>
        <w:tabs>
          <w:tab w:leader="none" w:pos="9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TRANSIT</w:t>
      </w:r>
    </w:p>
    <w:p>
      <w:pPr>
        <w:spacing w:after="0" w:line="117" w:lineRule="exact"/>
        <w:rPr>
          <w:rFonts w:ascii="Arial" w:cs="Arial" w:eastAsia="Arial" w:hAnsi="Arial"/>
          <w:sz w:val="18"/>
          <w:szCs w:val="18"/>
          <w:b w:val="1"/>
          <w:bCs w:val="1"/>
          <w:color w:val="auto"/>
        </w:rPr>
      </w:pPr>
    </w:p>
    <w:p>
      <w:pPr>
        <w:ind w:left="98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in transit anywhere in the custody of any person or persons acting as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except while in the mail or with a carrier for hire other than an armored motor vehicle company, for the purpose of transportation, such transit to begin immediately upon receipt of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the transporting person or persons, and to end immediately upon delivery thereof at destination, but only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being conveyed.</w:t>
      </w:r>
    </w:p>
    <w:p>
      <w:pPr>
        <w:spacing w:after="0" w:line="337" w:lineRule="exact"/>
        <w:rPr>
          <w:rFonts w:ascii="Arial" w:cs="Arial" w:eastAsia="Arial" w:hAnsi="Arial"/>
          <w:sz w:val="18"/>
          <w:szCs w:val="18"/>
          <w:b w:val="1"/>
          <w:bCs w:val="1"/>
          <w:color w:val="auto"/>
        </w:rPr>
      </w:pPr>
    </w:p>
    <w:p>
      <w:pPr>
        <w:ind w:left="960" w:hanging="532"/>
        <w:spacing w:after="0"/>
        <w:tabs>
          <w:tab w:leader="none" w:pos="9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FORGERY OR ALTERATION</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7"/>
          <w:szCs w:val="17"/>
          <w:color w:val="auto"/>
        </w:rPr>
        <w:t xml:space="preserve">Loss resulting directly from the Insured having, in good faith, paid or transferred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in reliance on any </w:t>
      </w:r>
      <w:r>
        <w:rPr>
          <w:rFonts w:ascii="Arial" w:cs="Arial" w:eastAsia="Arial" w:hAnsi="Arial"/>
          <w:sz w:val="17"/>
          <w:szCs w:val="17"/>
          <w:b w:val="1"/>
          <w:bCs w:val="1"/>
          <w:color w:val="auto"/>
        </w:rPr>
        <w:t>Written, Original</w:t>
      </w:r>
      <w:r>
        <w:rPr>
          <w:rFonts w:ascii="Arial" w:cs="Arial" w:eastAsia="Arial" w:hAnsi="Arial"/>
          <w:sz w:val="17"/>
          <w:szCs w:val="17"/>
          <w:color w:val="auto"/>
        </w:rPr>
        <w:t>:</w:t>
      </w:r>
    </w:p>
    <w:p>
      <w:pPr>
        <w:spacing w:after="0" w:line="142" w:lineRule="exact"/>
        <w:rPr>
          <w:rFonts w:ascii="Arial" w:cs="Arial" w:eastAsia="Arial" w:hAnsi="Arial"/>
          <w:sz w:val="18"/>
          <w:szCs w:val="18"/>
          <w:b w:val="1"/>
          <w:bCs w:val="1"/>
          <w:color w:val="auto"/>
        </w:rPr>
      </w:pPr>
    </w:p>
    <w:p>
      <w:pPr>
        <w:ind w:left="1420" w:hanging="439"/>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(except an</w:t>
      </w:r>
      <w:r>
        <w:rPr>
          <w:rFonts w:ascii="Arial" w:cs="Arial" w:eastAsia="Arial" w:hAnsi="Arial"/>
          <w:sz w:val="18"/>
          <w:szCs w:val="18"/>
          <w:b w:val="1"/>
          <w:bCs w:val="1"/>
          <w:color w:val="auto"/>
        </w:rPr>
        <w:t xml:space="preserve"> 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Letter of Credit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Withdrawal Order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receipt for the withdrawal of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420" w:right="20" w:hanging="439"/>
        <w:spacing w:after="0" w:line="282" w:lineRule="auto"/>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instruction or advice directed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and purportedly signed by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or by a </w:t>
      </w:r>
      <w:r>
        <w:rPr>
          <w:rFonts w:ascii="Arial" w:cs="Arial" w:eastAsia="Arial" w:hAnsi="Arial"/>
          <w:sz w:val="18"/>
          <w:szCs w:val="18"/>
          <w:b w:val="1"/>
          <w:bCs w:val="1"/>
          <w:color w:val="auto"/>
        </w:rPr>
        <w:t>Financial Institution</w:t>
      </w:r>
      <w:r>
        <w:rPr>
          <w:rFonts w:ascii="Arial" w:cs="Arial" w:eastAsia="Arial" w:hAnsi="Arial"/>
          <w:sz w:val="18"/>
          <w:szCs w:val="18"/>
          <w:color w:val="auto"/>
        </w:rPr>
        <w:t>,</w:t>
      </w:r>
    </w:p>
    <w:p>
      <w:pPr>
        <w:spacing w:after="0" w:line="54" w:lineRule="exact"/>
        <w:rPr>
          <w:sz w:val="20"/>
          <w:szCs w:val="20"/>
          <w:color w:val="auto"/>
        </w:rPr>
      </w:pPr>
    </w:p>
    <w:p>
      <w:pPr>
        <w:ind w:left="980" w:right="260"/>
        <w:spacing w:after="0" w:line="282" w:lineRule="auto"/>
        <w:rPr>
          <w:sz w:val="20"/>
          <w:szCs w:val="20"/>
          <w:color w:val="auto"/>
        </w:rPr>
      </w:pPr>
      <w:r>
        <w:rPr>
          <w:rFonts w:ascii="Arial" w:cs="Arial" w:eastAsia="Arial" w:hAnsi="Arial"/>
          <w:sz w:val="18"/>
          <w:szCs w:val="18"/>
          <w:color w:val="auto"/>
        </w:rPr>
        <w:t xml:space="preserve">which (a) bears a handwritten signature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(b) is altered, but only to the extent the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alteration causes the loss.</w:t>
      </w:r>
    </w:p>
    <w:p>
      <w:pPr>
        <w:spacing w:after="0" w:line="58"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Actual physical possession of the items listed in 1. through 7. above by the Insured is a condition precedent to the Insured’s having relied on the items.</w:t>
      </w:r>
    </w:p>
    <w:p>
      <w:pPr>
        <w:spacing w:after="0" w:line="315" w:lineRule="exact"/>
        <w:rPr>
          <w:sz w:val="20"/>
          <w:szCs w:val="20"/>
          <w:color w:val="auto"/>
        </w:rPr>
      </w:pPr>
    </w:p>
    <w:p>
      <w:pPr>
        <w:ind w:left="960" w:hanging="532"/>
        <w:spacing w:after="0"/>
        <w:tabs>
          <w:tab w:leader="none" w:pos="9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126" w:lineRule="exact"/>
        <w:rPr>
          <w:rFonts w:ascii="Arial" w:cs="Arial" w:eastAsia="Arial" w:hAnsi="Arial"/>
          <w:sz w:val="18"/>
          <w:szCs w:val="18"/>
          <w:b w:val="1"/>
          <w:bCs w:val="1"/>
          <w:color w:val="auto"/>
        </w:rPr>
      </w:pPr>
    </w:p>
    <w:p>
      <w:pPr>
        <w:ind w:left="1420" w:hanging="439"/>
        <w:spacing w:after="0" w:line="282"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acquired , sold, delivered, or given value, extended credit or assumed liability, on the faith of any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(an):</w:t>
      </w:r>
    </w:p>
    <w:p>
      <w:pPr>
        <w:spacing w:after="0" w:line="67" w:lineRule="exact"/>
        <w:rPr>
          <w:rFonts w:ascii="Arial" w:cs="Arial" w:eastAsia="Arial" w:hAnsi="Arial"/>
          <w:sz w:val="18"/>
          <w:szCs w:val="18"/>
          <w:color w:val="auto"/>
        </w:rPr>
      </w:pPr>
    </w:p>
    <w:p>
      <w:pPr>
        <w:ind w:left="1960" w:hanging="533"/>
        <w:spacing w:after="0"/>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b w:val="1"/>
          <w:bCs w:val="1"/>
          <w:color w:val="auto"/>
        </w:rPr>
        <w:t>Certificated Security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b w:val="1"/>
          <w:bCs w:val="1"/>
          <w:color w:val="auto"/>
        </w:rPr>
        <w:t>Document of Title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960" w:hanging="533"/>
        <w:spacing w:after="0"/>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deed, mortgage, or other instrument conveying title to, or creating or discharging a lien on, real property;</w:t>
      </w:r>
    </w:p>
    <w:p>
      <w:pPr>
        <w:spacing w:after="0" w:line="126" w:lineRule="exact"/>
        <w:rPr>
          <w:rFonts w:ascii="Arial" w:cs="Arial" w:eastAsia="Arial" w:hAnsi="Arial"/>
          <w:sz w:val="18"/>
          <w:szCs w:val="18"/>
          <w:color w:val="auto"/>
        </w:rPr>
      </w:pPr>
    </w:p>
    <w:p>
      <w:pPr>
        <w:ind w:left="1960" w:hanging="533"/>
        <w:spacing w:after="0"/>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b w:val="1"/>
          <w:bCs w:val="1"/>
          <w:color w:val="auto"/>
        </w:rPr>
        <w:t>Certificate of Origin or Title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b w:val="1"/>
          <w:bCs w:val="1"/>
          <w:color w:val="auto"/>
        </w:rPr>
        <w:t>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 xml:space="preserve">corporate, partnership, or personal </w:t>
      </w:r>
      <w:r>
        <w:rPr>
          <w:rFonts w:ascii="Arial" w:cs="Arial" w:eastAsia="Arial" w:hAnsi="Arial"/>
          <w:sz w:val="18"/>
          <w:szCs w:val="18"/>
          <w:b w:val="1"/>
          <w:bCs w:val="1"/>
          <w:color w:val="auto"/>
        </w:rPr>
        <w:t>Guarantee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b w:val="1"/>
          <w:bCs w:val="1"/>
          <w:color w:val="auto"/>
        </w:rPr>
        <w:t>Security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Page 4 of 25</w:t>
      </w:r>
    </w:p>
    <w:p>
      <w:pPr>
        <w:sectPr>
          <w:pgSz w:w="11900" w:h="16838" w:orient="portrait"/>
          <w:cols w:equalWidth="0" w:num="2">
            <w:col w:w="9300" w:space="720"/>
            <w:col w:w="960"/>
          </w:cols>
          <w:pgMar w:left="440" w:top="270" w:right="479" w:bottom="1440" w:gutter="0" w:footer="0" w:header="0"/>
          <w:type w:val="continuous"/>
        </w:sectPr>
      </w:pPr>
    </w:p>
    <w:bookmarkStart w:id="12" w:name="page13"/>
    <w:bookmarkEnd w:id="12"/>
    <w:p>
      <w:pPr>
        <w:ind w:left="1960" w:hanging="533"/>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Instruction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Statement of Uncertificated Security</w:t>
      </w:r>
      <w:r>
        <w:rPr>
          <w:rFonts w:ascii="Arial" w:cs="Arial" w:eastAsia="Arial" w:hAnsi="Arial"/>
          <w:sz w:val="18"/>
          <w:szCs w:val="18"/>
          <w:color w:val="auto"/>
        </w:rPr>
        <w:t>, that</w:t>
      </w:r>
    </w:p>
    <w:p>
      <w:pPr>
        <w:spacing w:after="0" w:line="130" w:lineRule="exact"/>
        <w:rPr>
          <w:rFonts w:ascii="Arial" w:cs="Arial" w:eastAsia="Arial" w:hAnsi="Arial"/>
          <w:sz w:val="18"/>
          <w:szCs w:val="18"/>
          <w:color w:val="auto"/>
        </w:rPr>
      </w:pPr>
    </w:p>
    <w:p>
      <w:pPr>
        <w:ind w:left="2400" w:right="420" w:hanging="433"/>
        <w:spacing w:after="0" w:line="282" w:lineRule="auto"/>
        <w:tabs>
          <w:tab w:leader="none" w:pos="24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 xml:space="preserve">bears a handwritten signature material to the validity or enforceability of the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w:t>
      </w:r>
      <w:r>
        <w:rPr>
          <w:rFonts w:ascii="Arial" w:cs="Arial" w:eastAsia="Arial" w:hAnsi="Arial"/>
          <w:sz w:val="18"/>
          <w:szCs w:val="18"/>
          <w:b w:val="1"/>
          <w:bCs w:val="1"/>
          <w:color w:val="auto"/>
        </w:rPr>
        <w:t>Forgery</w:t>
      </w:r>
      <w:r>
        <w:rPr>
          <w:rFonts w:ascii="Arial" w:cs="Arial" w:eastAsia="Arial" w:hAnsi="Arial"/>
          <w:sz w:val="18"/>
          <w:szCs w:val="18"/>
          <w:color w:val="auto"/>
        </w:rPr>
        <w:t>, but only to the extent the</w:t>
      </w:r>
      <w:r>
        <w:rPr>
          <w:rFonts w:ascii="Arial" w:cs="Arial" w:eastAsia="Arial" w:hAnsi="Arial"/>
          <w:sz w:val="18"/>
          <w:szCs w:val="18"/>
          <w:b w:val="1"/>
          <w:bCs w:val="1"/>
          <w:color w:val="auto"/>
        </w:rPr>
        <w:t xml:space="preserve"> Forgery </w:t>
      </w:r>
      <w:r>
        <w:rPr>
          <w:rFonts w:ascii="Arial" w:cs="Arial" w:eastAsia="Arial" w:hAnsi="Arial"/>
          <w:sz w:val="18"/>
          <w:szCs w:val="18"/>
          <w:color w:val="auto"/>
        </w:rPr>
        <w:t>causes the loss;</w:t>
      </w:r>
    </w:p>
    <w:p>
      <w:pPr>
        <w:spacing w:after="0" w:line="71" w:lineRule="exact"/>
        <w:rPr>
          <w:rFonts w:ascii="Arial" w:cs="Arial" w:eastAsia="Arial" w:hAnsi="Arial"/>
          <w:sz w:val="18"/>
          <w:szCs w:val="18"/>
          <w:color w:val="auto"/>
        </w:rPr>
      </w:pPr>
    </w:p>
    <w:p>
      <w:pPr>
        <w:ind w:left="2400" w:hanging="433"/>
        <w:spacing w:after="0"/>
        <w:tabs>
          <w:tab w:leader="none" w:pos="24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is altered, but only to the extent the alteration causes the loss; or</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130" w:lineRule="exact"/>
        <w:rPr>
          <w:rFonts w:ascii="Arial" w:cs="Arial" w:eastAsia="Arial" w:hAnsi="Arial"/>
          <w:sz w:val="18"/>
          <w:szCs w:val="18"/>
          <w:color w:val="auto"/>
        </w:rPr>
      </w:pPr>
    </w:p>
    <w:p>
      <w:pPr>
        <w:ind w:left="1420" w:right="760" w:hanging="439"/>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guaranteed in writing or witnessed any handwritten signature upon any transfer, assignment, bill of sale, power of attorney, </w:t>
      </w:r>
      <w:r>
        <w:rPr>
          <w:rFonts w:ascii="Arial" w:cs="Arial" w:eastAsia="Arial" w:hAnsi="Arial"/>
          <w:sz w:val="18"/>
          <w:szCs w:val="18"/>
          <w:b w:val="1"/>
          <w:bCs w:val="1"/>
          <w:color w:val="auto"/>
        </w:rPr>
        <w:t>Guarantee</w:t>
      </w:r>
      <w:r>
        <w:rPr>
          <w:rFonts w:ascii="Arial" w:cs="Arial" w:eastAsia="Arial" w:hAnsi="Arial"/>
          <w:sz w:val="18"/>
          <w:szCs w:val="18"/>
          <w:color w:val="auto"/>
        </w:rPr>
        <w:t>, endorsement, or any items listed in items 1.a. through 1.i. above; or</w:t>
      </w:r>
    </w:p>
    <w:p>
      <w:pPr>
        <w:spacing w:after="0" w:line="75" w:lineRule="exact"/>
        <w:rPr>
          <w:rFonts w:ascii="Arial" w:cs="Arial" w:eastAsia="Arial" w:hAnsi="Arial"/>
          <w:sz w:val="18"/>
          <w:szCs w:val="18"/>
          <w:color w:val="auto"/>
        </w:rPr>
      </w:pPr>
    </w:p>
    <w:p>
      <w:pPr>
        <w:ind w:left="1420" w:right="500" w:hanging="439"/>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acquired, sold or delivered, given value, extended credit or assumed liability, on the faith of any item listed in 1.a. through 1.d. above, that is a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causes the loss.</w:t>
      </w:r>
    </w:p>
    <w:p>
      <w:pPr>
        <w:spacing w:after="0" w:line="62"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 xml:space="preserve">Actual physical possession, and continued actual physical possession if taken as collateral, of the items listed in 1.a. through 1.j. above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 </w:t>
      </w:r>
      <w:r>
        <w:rPr>
          <w:rFonts w:ascii="Arial" w:cs="Arial" w:eastAsia="Arial" w:hAnsi="Arial"/>
          <w:sz w:val="18"/>
          <w:szCs w:val="18"/>
          <w:b w:val="1"/>
          <w:bCs w:val="1"/>
          <w:color w:val="auto"/>
        </w:rPr>
        <w:t>Custodian</w:t>
      </w:r>
      <w:r>
        <w:rPr>
          <w:rFonts w:ascii="Arial" w:cs="Arial" w:eastAsia="Arial" w:hAnsi="Arial"/>
          <w:sz w:val="18"/>
          <w:szCs w:val="18"/>
          <w:color w:val="auto"/>
        </w:rPr>
        <w:t>, or a Federal or State chartered deposit institution of the Insured is a condition precedent to the Insured’s having relied on the faith of such items. Release or return of such collateral is an acknowledgment by the Insured that it no longer relies on such collateral.</w:t>
      </w:r>
    </w:p>
    <w:p>
      <w:pPr>
        <w:spacing w:after="0" w:line="331" w:lineRule="exact"/>
        <w:rPr>
          <w:sz w:val="20"/>
          <w:szCs w:val="20"/>
          <w:color w:val="auto"/>
        </w:rPr>
      </w:pPr>
    </w:p>
    <w:p>
      <w:pPr>
        <w:ind w:left="960" w:hanging="532"/>
        <w:spacing w:after="0"/>
        <w:tabs>
          <w:tab w:leader="none" w:pos="9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COUNTERFEIT MONEY AND COUNTERFEIT MONEY ORDERS</w:t>
      </w:r>
    </w:p>
    <w:p>
      <w:pPr>
        <w:spacing w:after="0" w:line="117" w:lineRule="exact"/>
        <w:rPr>
          <w:rFonts w:ascii="Arial" w:cs="Arial" w:eastAsia="Arial" w:hAnsi="Arial"/>
          <w:sz w:val="18"/>
          <w:szCs w:val="18"/>
          <w:b w:val="1"/>
          <w:bCs w:val="1"/>
          <w:color w:val="auto"/>
        </w:rPr>
      </w:pPr>
    </w:p>
    <w:p>
      <w:pPr>
        <w:ind w:left="980" w:right="2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from the receipt by the Insured, in good faith, of any </w:t>
      </w:r>
      <w:r>
        <w:rPr>
          <w:rFonts w:ascii="Arial" w:cs="Arial" w:eastAsia="Arial" w:hAnsi="Arial"/>
          <w:sz w:val="18"/>
          <w:szCs w:val="18"/>
          <w:b w:val="1"/>
          <w:bCs w:val="1"/>
          <w:color w:val="auto"/>
        </w:rPr>
        <w:t>Counterfeit Money</w:t>
      </w:r>
      <w:r>
        <w:rPr>
          <w:rFonts w:ascii="Arial" w:cs="Arial" w:eastAsia="Arial" w:hAnsi="Arial"/>
          <w:sz w:val="18"/>
          <w:szCs w:val="18"/>
          <w:color w:val="auto"/>
        </w:rPr>
        <w:t xml:space="preserve"> of the United States of America and its territories and possessions, Canada or any other country, or of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money orders denominated in United States or Canadian currency.</w:t>
      </w:r>
    </w:p>
    <w:p>
      <w:pPr>
        <w:spacing w:after="0" w:line="324" w:lineRule="exact"/>
        <w:rPr>
          <w:rFonts w:ascii="Arial" w:cs="Arial" w:eastAsia="Arial" w:hAnsi="Arial"/>
          <w:sz w:val="18"/>
          <w:szCs w:val="18"/>
          <w:b w:val="1"/>
          <w:bCs w:val="1"/>
          <w:color w:val="auto"/>
        </w:rPr>
      </w:pPr>
    </w:p>
    <w:p>
      <w:pPr>
        <w:ind w:left="960" w:hanging="532"/>
        <w:spacing w:after="0"/>
        <w:tabs>
          <w:tab w:leader="none" w:pos="9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CLAIM EXPENSE</w:t>
      </w:r>
    </w:p>
    <w:p>
      <w:pPr>
        <w:spacing w:after="0" w:line="121" w:lineRule="exact"/>
        <w:rPr>
          <w:rFonts w:ascii="Arial" w:cs="Arial" w:eastAsia="Arial" w:hAnsi="Arial"/>
          <w:sz w:val="18"/>
          <w:szCs w:val="18"/>
          <w:b w:val="1"/>
          <w:bCs w:val="1"/>
          <w:color w:val="auto"/>
        </w:rPr>
      </w:pPr>
    </w:p>
    <w:p>
      <w:pPr>
        <w:ind w:left="98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Arial" w:cs="Arial" w:eastAsia="Arial" w:hAnsi="Arial"/>
          <w:sz w:val="18"/>
          <w:szCs w:val="18"/>
          <w:b w:val="1"/>
          <w:bCs w:val="1"/>
          <w:color w:val="auto"/>
        </w:rPr>
        <w:t>Employees</w:t>
      </w:r>
      <w:r>
        <w:rPr>
          <w:rFonts w:ascii="Arial" w:cs="Arial" w:eastAsia="Arial" w:hAnsi="Arial"/>
          <w:sz w:val="18"/>
          <w:szCs w:val="18"/>
          <w:color w:val="auto"/>
        </w:rPr>
        <w:t>) for that part of audits or examinations performed, whether or not required by State or Federal supervisory authorities and conducted either by such authorities or by independent accountants, by reason of the discovery of loss sustained by the Insured.</w:t>
      </w:r>
    </w:p>
    <w:p>
      <w:pPr>
        <w:spacing w:after="0" w:line="332" w:lineRule="exact"/>
        <w:rPr>
          <w:rFonts w:ascii="Arial" w:cs="Arial" w:eastAsia="Arial" w:hAnsi="Arial"/>
          <w:sz w:val="18"/>
          <w:szCs w:val="18"/>
          <w:b w:val="1"/>
          <w:bCs w:val="1"/>
          <w:color w:val="auto"/>
        </w:rPr>
      </w:pPr>
    </w:p>
    <w:p>
      <w:pPr>
        <w:ind w:left="960" w:hanging="532"/>
        <w:spacing w:after="0"/>
        <w:tabs>
          <w:tab w:leader="none" w:pos="9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STOP PAYMENT ORDERS OR WRONGFUL DISHONOR OF CHECKS</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6"/>
          <w:szCs w:val="16"/>
          <w:color w:val="auto"/>
        </w:rPr>
        <w:t xml:space="preserve">Damages that the Insured becomes legally liable to pay its customers resulting directly from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having:</w:t>
      </w:r>
    </w:p>
    <w:p>
      <w:pPr>
        <w:spacing w:after="0" w:line="157" w:lineRule="exact"/>
        <w:rPr>
          <w:rFonts w:ascii="Arial" w:cs="Arial" w:eastAsia="Arial" w:hAnsi="Arial"/>
          <w:sz w:val="18"/>
          <w:szCs w:val="18"/>
          <w:b w:val="1"/>
          <w:bCs w:val="1"/>
          <w:color w:val="auto"/>
        </w:rPr>
      </w:pPr>
    </w:p>
    <w:p>
      <w:pPr>
        <w:ind w:left="1420" w:right="200" w:hanging="439"/>
        <w:spacing w:after="0" w:line="277"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failed to comply with any notice of any customer of the Insured or any authorized representative of such customer to stop payment on any check or draft made or drawn by such customer; or</w:t>
      </w:r>
    </w:p>
    <w:p>
      <w:pPr>
        <w:spacing w:after="0" w:line="75" w:lineRule="exact"/>
        <w:rPr>
          <w:rFonts w:ascii="Arial" w:cs="Arial" w:eastAsia="Arial" w:hAnsi="Arial"/>
          <w:sz w:val="18"/>
          <w:szCs w:val="18"/>
          <w:color w:val="auto"/>
        </w:rPr>
      </w:pPr>
    </w:p>
    <w:p>
      <w:pPr>
        <w:ind w:left="1420" w:right="560" w:hanging="439"/>
        <w:spacing w:after="0" w:line="277"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wrongfully dishonored or wrongfully failed to certify any check or draft made or drawn by the customer of the Insured or any authorized representative of such customer.</w:t>
      </w:r>
    </w:p>
    <w:p>
      <w:pPr>
        <w:spacing w:after="0" w:line="62" w:lineRule="exact"/>
        <w:rPr>
          <w:sz w:val="20"/>
          <w:szCs w:val="20"/>
          <w:color w:val="auto"/>
        </w:rPr>
      </w:pPr>
    </w:p>
    <w:p>
      <w:pPr>
        <w:ind w:left="980" w:right="240"/>
        <w:spacing w:after="0" w:line="277" w:lineRule="auto"/>
        <w:rPr>
          <w:sz w:val="20"/>
          <w:szCs w:val="20"/>
          <w:color w:val="auto"/>
        </w:rPr>
      </w:pPr>
      <w:r>
        <w:rPr>
          <w:rFonts w:ascii="Arial" w:cs="Arial" w:eastAsia="Arial" w:hAnsi="Arial"/>
          <w:sz w:val="18"/>
          <w:szCs w:val="18"/>
          <w:color w:val="auto"/>
        </w:rPr>
        <w:t>Notwithstanding any other provision of this bond, damages under paragraph 2. above do not include the amount of any check or draft in question, or any amounts paid to the payee, endorser, or accommodation party of such check or 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©2016 The Travelers Indemnity Company. All rights reserved.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Page 5 of 25</w:t>
      </w:r>
    </w:p>
    <w:p>
      <w:pPr>
        <w:sectPr>
          <w:pgSz w:w="11900" w:h="16838" w:orient="portrait"/>
          <w:cols w:equalWidth="0" w:num="2">
            <w:col w:w="9300" w:space="720"/>
            <w:col w:w="1000"/>
          </w:cols>
          <w:pgMar w:left="440" w:top="270" w:right="439" w:bottom="1440" w:gutter="0" w:footer="0" w:header="0"/>
          <w:type w:val="continuous"/>
        </w:sectPr>
      </w:pPr>
    </w:p>
    <w:bookmarkStart w:id="13" w:name="page14"/>
    <w:bookmarkEnd w:id="13"/>
    <w:p>
      <w:pPr>
        <w:ind w:left="984" w:right="7720" w:hanging="552"/>
        <w:spacing w:after="0" w:line="422" w:lineRule="auto"/>
        <w:tabs>
          <w:tab w:leader="none" w:pos="965"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COMPUTER SYSTEMS </w:t>
      </w:r>
      <w:r>
        <w:rPr>
          <w:rFonts w:ascii="Arial" w:cs="Arial" w:eastAsia="Arial" w:hAnsi="Arial"/>
          <w:sz w:val="16"/>
          <w:szCs w:val="16"/>
          <w:color w:val="auto"/>
        </w:rPr>
        <w:t>Coverage I.1. Computer Fraud</w:t>
      </w:r>
    </w:p>
    <w:p>
      <w:pPr>
        <w:spacing w:after="0" w:line="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Coverage I.2. Fraudulent Instructions</w:t>
      </w:r>
    </w:p>
    <w:p>
      <w:pPr>
        <w:spacing w:after="0" w:line="113" w:lineRule="exact"/>
        <w:rPr>
          <w:sz w:val="20"/>
          <w:szCs w:val="20"/>
          <w:color w:val="auto"/>
        </w:rPr>
      </w:pPr>
    </w:p>
    <w:p>
      <w:pPr>
        <w:ind w:left="1424" w:right="20"/>
        <w:spacing w:after="0" w:line="261" w:lineRule="auto"/>
        <w:rPr>
          <w:sz w:val="20"/>
          <w:szCs w:val="20"/>
          <w:color w:val="auto"/>
        </w:rPr>
      </w:pPr>
      <w:r>
        <w:rPr>
          <w:rFonts w:ascii="Arial" w:cs="Arial" w:eastAsia="Arial" w:hAnsi="Arial"/>
          <w:sz w:val="18"/>
          <w:szCs w:val="18"/>
          <w:color w:val="auto"/>
        </w:rPr>
        <w:t xml:space="preserve">Loss resulting directly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having, in good faith, caused a transfer of funds as a result of a </w:t>
      </w:r>
      <w:r>
        <w:rPr>
          <w:rFonts w:ascii="Arial" w:cs="Arial" w:eastAsia="Arial" w:hAnsi="Arial"/>
          <w:sz w:val="18"/>
          <w:szCs w:val="18"/>
          <w:b w:val="1"/>
          <w:bCs w:val="1"/>
          <w:color w:val="auto"/>
        </w:rPr>
        <w:t xml:space="preserve">Fraudulent Instruction </w:t>
      </w:r>
      <w:r>
        <w:rPr>
          <w:rFonts w:ascii="Arial" w:cs="Arial" w:eastAsia="Arial" w:hAnsi="Arial"/>
          <w:sz w:val="18"/>
          <w:szCs w:val="18"/>
          <w:color w:val="auto"/>
        </w:rPr>
        <w:t>when the Insured or an</w:t>
      </w:r>
      <w:r>
        <w:rPr>
          <w:rFonts w:ascii="Arial" w:cs="Arial" w:eastAsia="Arial" w:hAnsi="Arial"/>
          <w:sz w:val="18"/>
          <w:szCs w:val="18"/>
          <w:b w:val="1"/>
          <w:bCs w:val="1"/>
          <w:color w:val="auto"/>
        </w:rPr>
        <w:t xml:space="preserve"> Investment Adviser</w:t>
      </w:r>
      <w:r>
        <w:rPr>
          <w:rFonts w:ascii="Arial" w:cs="Arial" w:eastAsia="Arial" w:hAnsi="Arial"/>
          <w:sz w:val="18"/>
          <w:szCs w:val="18"/>
          <w:color w:val="auto"/>
        </w:rPr>
        <w:t>, prior to causing the transfer of the funds, used its best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verify the identity of the person transmitting the instruction; provided that if the instruction is purported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85" w:lineRule="exact"/>
        <w:rPr>
          <w:sz w:val="20"/>
          <w:szCs w:val="20"/>
          <w:color w:val="auto"/>
        </w:rPr>
      </w:pPr>
    </w:p>
    <w:p>
      <w:pPr>
        <w:ind w:left="2404" w:hanging="433"/>
        <w:spacing w:after="0"/>
        <w:tabs>
          <w:tab w:leader="none" w:pos="24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performed a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with respect to such instruction; or</w:t>
      </w:r>
    </w:p>
    <w:p>
      <w:pPr>
        <w:spacing w:after="0" w:line="130" w:lineRule="exact"/>
        <w:rPr>
          <w:rFonts w:ascii="Arial" w:cs="Arial" w:eastAsia="Arial" w:hAnsi="Arial"/>
          <w:sz w:val="18"/>
          <w:szCs w:val="18"/>
          <w:color w:val="auto"/>
        </w:rPr>
      </w:pPr>
    </w:p>
    <w:p>
      <w:pPr>
        <w:ind w:left="2404" w:hanging="433"/>
        <w:spacing w:after="0"/>
        <w:tabs>
          <w:tab w:leader="none" w:pos="24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followed commercially reasonable </w:t>
      </w:r>
      <w:r>
        <w:rPr>
          <w:rFonts w:ascii="Arial" w:cs="Arial" w:eastAsia="Arial" w:hAnsi="Arial"/>
          <w:sz w:val="18"/>
          <w:szCs w:val="18"/>
          <w:b w:val="1"/>
          <w:bCs w:val="1"/>
          <w:color w:val="auto"/>
        </w:rPr>
        <w:t>Security Procedures</w:t>
      </w:r>
      <w:r>
        <w:rPr>
          <w:rFonts w:ascii="Arial" w:cs="Arial" w:eastAsia="Arial" w:hAnsi="Arial"/>
          <w:sz w:val="18"/>
          <w:szCs w:val="18"/>
          <w:color w:val="auto"/>
        </w:rPr>
        <w:t xml:space="preserve"> applicable to the transaction and instruction.</w:t>
      </w:r>
    </w:p>
    <w:p>
      <w:pPr>
        <w:spacing w:after="0" w:line="117" w:lineRule="exact"/>
        <w:rPr>
          <w:sz w:val="20"/>
          <w:szCs w:val="20"/>
          <w:color w:val="auto"/>
        </w:rPr>
      </w:pPr>
    </w:p>
    <w:p>
      <w:pPr>
        <w:ind w:left="1424" w:right="240"/>
        <w:spacing w:after="0" w:line="282" w:lineRule="auto"/>
        <w:rPr>
          <w:sz w:val="20"/>
          <w:szCs w:val="20"/>
          <w:color w:val="auto"/>
        </w:rPr>
      </w:pPr>
      <w:r>
        <w:rPr>
          <w:rFonts w:ascii="Arial" w:cs="Arial" w:eastAsia="Arial" w:hAnsi="Arial"/>
          <w:sz w:val="18"/>
          <w:szCs w:val="18"/>
          <w:color w:val="auto"/>
        </w:rPr>
        <w:t xml:space="preserve">Such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received and, if applicable,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performed, must be either recorded, logged, or documented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5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Coverage I.3. Restoration Expenses</w:t>
      </w:r>
    </w:p>
    <w:p>
      <w:pPr>
        <w:spacing w:after="0" w:line="113" w:lineRule="exact"/>
        <w:rPr>
          <w:sz w:val="20"/>
          <w:szCs w:val="20"/>
          <w:color w:val="auto"/>
        </w:rPr>
      </w:pPr>
    </w:p>
    <w:p>
      <w:pPr>
        <w:ind w:left="1424" w:right="160"/>
        <w:spacing w:after="0" w:line="282" w:lineRule="auto"/>
        <w:rPr>
          <w:sz w:val="20"/>
          <w:szCs w:val="20"/>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or an</w:t>
      </w:r>
      <w:r>
        <w:rPr>
          <w:rFonts w:ascii="Arial" w:cs="Arial" w:eastAsia="Arial" w:hAnsi="Arial"/>
          <w:sz w:val="18"/>
          <w:szCs w:val="18"/>
          <w:b w:val="1"/>
          <w:bCs w:val="1"/>
          <w:color w:val="auto"/>
        </w:rPr>
        <w:t xml:space="preserve"> Investment Adviser </w:t>
      </w:r>
      <w:r>
        <w:rPr>
          <w:rFonts w:ascii="Arial" w:cs="Arial" w:eastAsia="Arial" w:hAnsi="Arial"/>
          <w:sz w:val="18"/>
          <w:szCs w:val="18"/>
          <w:color w:val="auto"/>
        </w:rPr>
        <w:t>and resulting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by someone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than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310" w:lineRule="exact"/>
        <w:rPr>
          <w:sz w:val="20"/>
          <w:szCs w:val="20"/>
          <w:color w:val="auto"/>
        </w:rPr>
      </w:pPr>
    </w:p>
    <w:p>
      <w:pPr>
        <w:ind w:left="964" w:hanging="532"/>
        <w:spacing w:after="0"/>
        <w:tabs>
          <w:tab w:leader="none" w:pos="96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UNCOLLECTIBLE ITEMS OF DEPOSIT</w:t>
      </w:r>
    </w:p>
    <w:p>
      <w:pPr>
        <w:spacing w:after="0" w:line="117" w:lineRule="exact"/>
        <w:rPr>
          <w:rFonts w:ascii="Arial" w:cs="Arial" w:eastAsia="Arial" w:hAnsi="Arial"/>
          <w:sz w:val="18"/>
          <w:szCs w:val="18"/>
          <w:b w:val="1"/>
          <w:bCs w:val="1"/>
          <w:color w:val="auto"/>
        </w:rPr>
      </w:pPr>
    </w:p>
    <w:p>
      <w:pPr>
        <w:jc w:val="both"/>
        <w:ind w:left="984"/>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 xml:space="preserve">Loss, including dividends and interest accrued not to exceed 15% of the value of each </w:t>
      </w:r>
      <w:r>
        <w:rPr>
          <w:rFonts w:ascii="Arial" w:cs="Arial" w:eastAsia="Arial" w:hAnsi="Arial"/>
          <w:sz w:val="17"/>
          <w:szCs w:val="17"/>
          <w:b w:val="1"/>
          <w:bCs w:val="1"/>
          <w:color w:val="auto"/>
        </w:rPr>
        <w:t>Item of Deposit</w:t>
      </w:r>
      <w:r>
        <w:rPr>
          <w:rFonts w:ascii="Arial" w:cs="Arial" w:eastAsia="Arial" w:hAnsi="Arial"/>
          <w:sz w:val="17"/>
          <w:szCs w:val="17"/>
          <w:color w:val="auto"/>
        </w:rPr>
        <w:t xml:space="preserve"> that is deposited, resulting directly from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having credited an account of a customer, shareholder or subscriber on the faith of any </w:t>
      </w:r>
      <w:r>
        <w:rPr>
          <w:rFonts w:ascii="Arial" w:cs="Arial" w:eastAsia="Arial" w:hAnsi="Arial"/>
          <w:sz w:val="17"/>
          <w:szCs w:val="17"/>
          <w:b w:val="1"/>
          <w:bCs w:val="1"/>
          <w:color w:val="auto"/>
        </w:rPr>
        <w:t>Items of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Deposit </w:t>
      </w:r>
      <w:r>
        <w:rPr>
          <w:rFonts w:ascii="Arial" w:cs="Arial" w:eastAsia="Arial" w:hAnsi="Arial"/>
          <w:sz w:val="17"/>
          <w:szCs w:val="17"/>
          <w:color w:val="auto"/>
        </w:rPr>
        <w:t>that prove to be uncollectible, provided that the crediting of such account causes:</w:t>
      </w:r>
    </w:p>
    <w:p>
      <w:pPr>
        <w:spacing w:after="0" w:line="67" w:lineRule="exact"/>
        <w:rPr>
          <w:rFonts w:ascii="Arial" w:cs="Arial" w:eastAsia="Arial" w:hAnsi="Arial"/>
          <w:sz w:val="18"/>
          <w:szCs w:val="18"/>
          <w:b w:val="1"/>
          <w:bCs w:val="1"/>
          <w:color w:val="auto"/>
        </w:rPr>
      </w:pPr>
    </w:p>
    <w:p>
      <w:pPr>
        <w:ind w:left="1964" w:hanging="533"/>
        <w:spacing w:after="0"/>
        <w:tabs>
          <w:tab w:leader="none" w:pos="1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redemptions or withdrawals to be permitted;</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shares to be issued; or</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dividends to be paid.</w:t>
      </w:r>
    </w:p>
    <w:p>
      <w:pPr>
        <w:spacing w:after="0" w:line="113" w:lineRule="exact"/>
        <w:rPr>
          <w:sz w:val="20"/>
          <w:szCs w:val="20"/>
          <w:color w:val="auto"/>
        </w:rPr>
      </w:pPr>
    </w:p>
    <w:p>
      <w:pPr>
        <w:ind w:left="984"/>
        <w:spacing w:after="0" w:line="266" w:lineRule="auto"/>
        <w:rPr>
          <w:sz w:val="20"/>
          <w:szCs w:val="20"/>
          <w:color w:val="auto"/>
        </w:rPr>
      </w:pPr>
      <w:r>
        <w:rPr>
          <w:rFonts w:ascii="Arial" w:cs="Arial" w:eastAsia="Arial" w:hAnsi="Arial"/>
          <w:sz w:val="18"/>
          <w:szCs w:val="18"/>
          <w:color w:val="auto"/>
        </w:rPr>
        <w:t xml:space="preserve">It is a condition precedent to coverage under this Insuring Agreement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hold funds represented in </w:t>
      </w: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for the maximum number of days allowable under Regulation CC before permitting any redemptions or withdrawals,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issuing any shares or paying any dividends with respect to such </w:t>
      </w:r>
      <w:r>
        <w:rPr>
          <w:rFonts w:ascii="Arial" w:cs="Arial" w:eastAsia="Arial" w:hAnsi="Arial"/>
          <w:sz w:val="18"/>
          <w:szCs w:val="18"/>
          <w:b w:val="1"/>
          <w:bCs w:val="1"/>
          <w:color w:val="auto"/>
        </w:rPr>
        <w:t>Items of Deposit</w:t>
      </w:r>
      <w:r>
        <w:rPr>
          <w:rFonts w:ascii="Arial" w:cs="Arial" w:eastAsia="Arial" w:hAnsi="Arial"/>
          <w:sz w:val="18"/>
          <w:szCs w:val="18"/>
          <w:color w:val="auto"/>
        </w:rPr>
        <w:t>.</w:t>
      </w:r>
    </w:p>
    <w:p>
      <w:pPr>
        <w:spacing w:after="0" w:line="68" w:lineRule="exact"/>
        <w:rPr>
          <w:sz w:val="20"/>
          <w:szCs w:val="20"/>
          <w:color w:val="auto"/>
        </w:rPr>
      </w:pPr>
    </w:p>
    <w:p>
      <w:pPr>
        <w:ind w:left="984" w:right="40"/>
        <w:spacing w:after="0" w:line="282" w:lineRule="auto"/>
        <w:rPr>
          <w:sz w:val="20"/>
          <w:szCs w:val="20"/>
          <w:color w:val="auto"/>
        </w:rPr>
      </w:pP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will not be deemed to be uncollectible until the Insured’s or</w:t>
      </w:r>
      <w:r>
        <w:rPr>
          <w:rFonts w:ascii="Arial" w:cs="Arial" w:eastAsia="Arial" w:hAnsi="Arial"/>
          <w:sz w:val="18"/>
          <w:szCs w:val="18"/>
          <w:b w:val="1"/>
          <w:bCs w:val="1"/>
          <w:color w:val="auto"/>
        </w:rPr>
        <w:t xml:space="preserve"> Investment Adviser’s </w:t>
      </w:r>
      <w:r>
        <w:rPr>
          <w:rFonts w:ascii="Arial" w:cs="Arial" w:eastAsia="Arial" w:hAnsi="Arial"/>
          <w:sz w:val="18"/>
          <w:szCs w:val="18"/>
          <w:color w:val="auto"/>
        </w:rPr>
        <w:t>standard collection procedures have</w:t>
      </w:r>
      <w:r>
        <w:rPr>
          <w:rFonts w:ascii="Arial" w:cs="Arial" w:eastAsia="Arial" w:hAnsi="Arial"/>
          <w:sz w:val="18"/>
          <w:szCs w:val="18"/>
          <w:b w:val="1"/>
          <w:bCs w:val="1"/>
          <w:color w:val="auto"/>
        </w:rPr>
        <w:t xml:space="preserve"> </w:t>
      </w:r>
      <w:r>
        <w:rPr>
          <w:rFonts w:ascii="Arial" w:cs="Arial" w:eastAsia="Arial" w:hAnsi="Arial"/>
          <w:sz w:val="18"/>
          <w:szCs w:val="18"/>
          <w:color w:val="auto"/>
        </w:rPr>
        <w:t>failed.</w:t>
      </w:r>
    </w:p>
    <w:p>
      <w:pPr>
        <w:spacing w:after="0" w:line="58" w:lineRule="exact"/>
        <w:rPr>
          <w:sz w:val="20"/>
          <w:szCs w:val="20"/>
          <w:color w:val="auto"/>
        </w:rPr>
      </w:pPr>
    </w:p>
    <w:p>
      <w:pPr>
        <w:ind w:left="984" w:right="160"/>
        <w:spacing w:after="0" w:line="286" w:lineRule="auto"/>
        <w:rPr>
          <w:sz w:val="20"/>
          <w:szCs w:val="20"/>
          <w:color w:val="auto"/>
        </w:rPr>
      </w:pPr>
      <w:r>
        <w:rPr>
          <w:rFonts w:ascii="Arial" w:cs="Arial" w:eastAsia="Arial" w:hAnsi="Arial"/>
          <w:sz w:val="17"/>
          <w:szCs w:val="17"/>
          <w:color w:val="auto"/>
        </w:rPr>
        <w:t xml:space="preserve">This Insuring Agreement applies to Insureds with exchange privileges if all funds in the exchange program are insured by the Company for </w:t>
      </w:r>
      <w:r>
        <w:rPr>
          <w:rFonts w:ascii="Arial" w:cs="Arial" w:eastAsia="Arial" w:hAnsi="Arial"/>
          <w:sz w:val="17"/>
          <w:szCs w:val="17"/>
          <w:b w:val="1"/>
          <w:bCs w:val="1"/>
          <w:color w:val="auto"/>
        </w:rPr>
        <w:t>Uncollectible Items of Deposit</w:t>
      </w:r>
      <w:r>
        <w:rPr>
          <w:rFonts w:ascii="Arial" w:cs="Arial" w:eastAsia="Arial" w:hAnsi="Arial"/>
          <w:sz w:val="17"/>
          <w:szCs w:val="17"/>
          <w:color w:val="auto"/>
        </w:rPr>
        <w:t>. Regardless of the number of transactions between funds, the maximum number of days allowable under Regulation CC begins from the date a deposit was first credited to any fund in the exchange program.</w:t>
      </w:r>
    </w:p>
    <w:p>
      <w:pPr>
        <w:spacing w:after="0" w:line="314"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GENERAL AGREEMENTS</w:t>
      </w:r>
    </w:p>
    <w:p>
      <w:pPr>
        <w:spacing w:after="0" w:line="234" w:lineRule="exact"/>
        <w:rPr>
          <w:rFonts w:ascii="Arial" w:cs="Arial" w:eastAsia="Arial" w:hAnsi="Arial"/>
          <w:sz w:val="18"/>
          <w:szCs w:val="18"/>
          <w:b w:val="1"/>
          <w:bCs w:val="1"/>
          <w:i w:val="1"/>
          <w:iCs w:val="1"/>
          <w:color w:val="auto"/>
        </w:rPr>
      </w:pPr>
    </w:p>
    <w:p>
      <w:pPr>
        <w:ind w:left="424"/>
        <w:spacing w:after="0"/>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A.ORGANIC GROWTH</w:t>
      </w:r>
    </w:p>
    <w:p>
      <w:pPr>
        <w:spacing w:after="0" w:line="117" w:lineRule="exact"/>
        <w:rPr>
          <w:rFonts w:ascii="Arial" w:cs="Arial" w:eastAsia="Arial" w:hAnsi="Arial"/>
          <w:sz w:val="18"/>
          <w:szCs w:val="18"/>
          <w:b w:val="1"/>
          <w:bCs w:val="1"/>
          <w:i w:val="1"/>
          <w:iCs w:val="1"/>
          <w:color w:val="auto"/>
        </w:rPr>
      </w:pPr>
    </w:p>
    <w:p>
      <w:pPr>
        <w:ind w:left="984" w:right="8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If an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this bond is in force, adds additional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other than by consolidation or merger with, or purchase or acquisition of the assets, assets under management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-614045</wp:posOffset>
            </wp:positionV>
            <wp:extent cx="6995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80010</wp:posOffset>
            </wp:positionV>
            <wp:extent cx="699516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24"/>
          </w:cols>
          <w:pgMar w:left="436" w:top="270" w:right="539" w:bottom="1440" w:gutter="0" w:footer="0" w:header="0"/>
        </w:sectPr>
      </w:pPr>
    </w:p>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Page 6 of 25</w:t>
      </w:r>
    </w:p>
    <w:p>
      <w:pPr>
        <w:sectPr>
          <w:pgSz w:w="11900" w:h="16838" w:orient="portrait"/>
          <w:cols w:equalWidth="0" w:num="2">
            <w:col w:w="9304" w:space="720"/>
            <w:col w:w="900"/>
          </w:cols>
          <w:pgMar w:left="436" w:top="270" w:right="539" w:bottom="1440" w:gutter="0" w:footer="0" w:header="0"/>
          <w:type w:val="continuous"/>
        </w:sectPr>
      </w:pPr>
    </w:p>
    <w:bookmarkStart w:id="14" w:name="page15"/>
    <w:bookmarkEnd w:id="14"/>
    <w:p>
      <w:pPr>
        <w:ind w:left="980" w:right="6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liabilities of, another institution, such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will automatically be covered hereunder from the date of such addition without the requirement of notice to the Company or the payment of additional premium for the remainder of the Policy Period as set forth in ITEM 2 of the Declarations.</w:t>
      </w:r>
    </w:p>
    <w:p>
      <w:pPr>
        <w:spacing w:after="0" w:line="324" w:lineRule="exact"/>
        <w:rPr>
          <w:sz w:val="20"/>
          <w:szCs w:val="20"/>
          <w:color w:val="auto"/>
        </w:rPr>
      </w:pPr>
    </w:p>
    <w:p>
      <w:pPr>
        <w:ind w:left="960" w:hanging="532"/>
        <w:spacing w:after="0"/>
        <w:tabs>
          <w:tab w:leader="none" w:pos="9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 MERGER - PURCHASE OR ACQUISITION OF ASSETS</w:t>
      </w:r>
    </w:p>
    <w:p>
      <w:pPr>
        <w:spacing w:after="0" w:line="117" w:lineRule="exact"/>
        <w:rPr>
          <w:rFonts w:ascii="Arial" w:cs="Arial" w:eastAsia="Arial" w:hAnsi="Arial"/>
          <w:sz w:val="18"/>
          <w:szCs w:val="18"/>
          <w:b w:val="1"/>
          <w:bCs w:val="1"/>
          <w:color w:val="auto"/>
        </w:rPr>
      </w:pPr>
    </w:p>
    <w:p>
      <w:pPr>
        <w:ind w:left="980" w:right="20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If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w:t>
      </w:r>
    </w:p>
    <w:p>
      <w:pPr>
        <w:spacing w:after="0" w:line="85"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has occurred or will occur in the offices or premises of such institution;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has been caused or will be caused by any employee or employees of such institution; or</w:t>
      </w:r>
    </w:p>
    <w:p>
      <w:pPr>
        <w:spacing w:after="0" w:line="130" w:lineRule="exact"/>
        <w:rPr>
          <w:rFonts w:ascii="Arial" w:cs="Arial" w:eastAsia="Arial" w:hAnsi="Arial"/>
          <w:sz w:val="18"/>
          <w:szCs w:val="18"/>
          <w:color w:val="auto"/>
        </w:rPr>
      </w:pPr>
    </w:p>
    <w:p>
      <w:pPr>
        <w:ind w:left="1420" w:right="840" w:hanging="439"/>
        <w:spacing w:after="0" w:line="277"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has arisen or will arise out of the assets, assets under management or liabilities acquired by the Insured as a result of such Transaction,</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is provided as follows:</w:t>
      </w:r>
    </w:p>
    <w:p>
      <w:pPr>
        <w:spacing w:after="0" w:line="131" w:lineRule="exact"/>
        <w:rPr>
          <w:sz w:val="20"/>
          <w:szCs w:val="20"/>
          <w:color w:val="auto"/>
        </w:rPr>
      </w:pPr>
    </w:p>
    <w:p>
      <w:pPr>
        <w:ind w:left="1960" w:hanging="533"/>
        <w:spacing w:after="0"/>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Automatic Loss Sustained Coverage</w:t>
      </w:r>
    </w:p>
    <w:p>
      <w:pPr>
        <w:spacing w:after="0" w:line="117" w:lineRule="exact"/>
        <w:rPr>
          <w:rFonts w:ascii="Arial" w:cs="Arial" w:eastAsia="Arial" w:hAnsi="Arial"/>
          <w:sz w:val="18"/>
          <w:szCs w:val="18"/>
          <w:color w:val="auto"/>
        </w:rPr>
      </w:pPr>
    </w:p>
    <w:p>
      <w:pPr>
        <w:ind w:left="1980"/>
        <w:spacing w:after="0" w:line="272" w:lineRule="auto"/>
        <w:rPr>
          <w:rFonts w:ascii="Arial" w:cs="Arial" w:eastAsia="Arial" w:hAnsi="Arial"/>
          <w:sz w:val="18"/>
          <w:szCs w:val="18"/>
          <w:color w:val="auto"/>
        </w:rPr>
      </w:pPr>
      <w:r>
        <w:rPr>
          <w:rFonts w:ascii="Arial" w:cs="Arial" w:eastAsia="Arial" w:hAnsi="Arial"/>
          <w:sz w:val="17"/>
          <w:szCs w:val="17"/>
          <w:color w:val="auto"/>
        </w:rPr>
        <w:t>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w:t>
      </w:r>
    </w:p>
    <w:p>
      <w:pPr>
        <w:spacing w:after="0" w:line="82" w:lineRule="exact"/>
        <w:rPr>
          <w:rFonts w:ascii="Arial" w:cs="Arial" w:eastAsia="Arial" w:hAnsi="Arial"/>
          <w:sz w:val="18"/>
          <w:szCs w:val="18"/>
          <w:color w:val="auto"/>
        </w:rPr>
      </w:pPr>
    </w:p>
    <w:p>
      <w:pPr>
        <w:ind w:left="1960" w:hanging="533"/>
        <w:spacing w:after="0"/>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Automatic Discovery Coverage</w:t>
      </w:r>
    </w:p>
    <w:p>
      <w:pPr>
        <w:spacing w:after="0" w:line="117" w:lineRule="exact"/>
        <w:rPr>
          <w:rFonts w:ascii="Arial" w:cs="Arial" w:eastAsia="Arial" w:hAnsi="Arial"/>
          <w:sz w:val="18"/>
          <w:szCs w:val="18"/>
          <w:color w:val="auto"/>
        </w:rPr>
      </w:pPr>
    </w:p>
    <w:p>
      <w:pPr>
        <w:ind w:left="1980" w:right="40"/>
        <w:spacing w:after="0" w:line="275" w:lineRule="auto"/>
        <w:rPr>
          <w:rFonts w:ascii="Arial" w:cs="Arial" w:eastAsia="Arial" w:hAnsi="Arial"/>
          <w:sz w:val="18"/>
          <w:szCs w:val="18"/>
          <w:color w:val="auto"/>
        </w:rPr>
      </w:pPr>
      <w:r>
        <w:rPr>
          <w:rFonts w:ascii="Arial" w:cs="Arial" w:eastAsia="Arial" w:hAnsi="Arial"/>
          <w:sz w:val="17"/>
          <w:szCs w:val="17"/>
          <w:color w:val="auto"/>
        </w:rPr>
        <w:t>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w:t>
      </w:r>
    </w:p>
    <w:p>
      <w:pPr>
        <w:spacing w:after="0" w:line="320" w:lineRule="exact"/>
        <w:rPr>
          <w:rFonts w:ascii="Arial" w:cs="Arial" w:eastAsia="Arial" w:hAnsi="Arial"/>
          <w:sz w:val="18"/>
          <w:szCs w:val="18"/>
          <w:color w:val="auto"/>
        </w:rPr>
      </w:pPr>
    </w:p>
    <w:p>
      <w:pPr>
        <w:ind w:left="960" w:hanging="532"/>
        <w:spacing w:after="0"/>
        <w:tabs>
          <w:tab w:leader="none" w:pos="9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OF INSURED</w:t>
      </w:r>
    </w:p>
    <w:p>
      <w:pPr>
        <w:spacing w:after="0" w:line="121" w:lineRule="exact"/>
        <w:rPr>
          <w:rFonts w:ascii="Arial" w:cs="Arial" w:eastAsia="Arial" w:hAnsi="Arial"/>
          <w:sz w:val="18"/>
          <w:szCs w:val="18"/>
          <w:b w:val="1"/>
          <w:bCs w:val="1"/>
          <w:color w:val="auto"/>
        </w:rPr>
      </w:pPr>
    </w:p>
    <w:p>
      <w:pPr>
        <w:ind w:left="98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statement made by or on behalf of the Insured, whether contained in the application or otherwise, is deemed to be a warranty of anything except that it is true to the best of the knowledge and belief of the person making the statement.</w:t>
      </w:r>
    </w:p>
    <w:p>
      <w:pPr>
        <w:spacing w:after="0" w:line="314" w:lineRule="exact"/>
        <w:rPr>
          <w:rFonts w:ascii="Arial" w:cs="Arial" w:eastAsia="Arial" w:hAnsi="Arial"/>
          <w:sz w:val="18"/>
          <w:szCs w:val="18"/>
          <w:b w:val="1"/>
          <w:bCs w:val="1"/>
          <w:color w:val="auto"/>
        </w:rPr>
      </w:pPr>
    </w:p>
    <w:p>
      <w:pPr>
        <w:ind w:left="960" w:hanging="532"/>
        <w:spacing w:after="0"/>
        <w:tabs>
          <w:tab w:leader="none" w:pos="9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JOINT INSURED</w:t>
      </w:r>
    </w:p>
    <w:p>
      <w:pPr>
        <w:spacing w:after="0" w:line="117" w:lineRule="exact"/>
        <w:rPr>
          <w:rFonts w:ascii="Arial" w:cs="Arial" w:eastAsia="Arial" w:hAnsi="Arial"/>
          <w:sz w:val="18"/>
          <w:szCs w:val="18"/>
          <w:b w:val="1"/>
          <w:bCs w:val="1"/>
          <w:color w:val="auto"/>
        </w:rPr>
      </w:pPr>
    </w:p>
    <w:p>
      <w:pPr>
        <w:ind w:left="98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This bond does not indemnify or hold harmless any Insured for loss sustained by an </w:t>
      </w:r>
      <w:r>
        <w:rPr>
          <w:rFonts w:ascii="Arial" w:cs="Arial" w:eastAsia="Arial" w:hAnsi="Arial"/>
          <w:sz w:val="18"/>
          <w:szCs w:val="18"/>
          <w:b w:val="1"/>
          <w:bCs w:val="1"/>
          <w:color w:val="auto"/>
        </w:rPr>
        <w:t>Investment Adviser</w:t>
      </w:r>
      <w:r>
        <w:rPr>
          <w:rFonts w:ascii="Arial" w:cs="Arial" w:eastAsia="Arial" w:hAnsi="Arial"/>
          <w:sz w:val="18"/>
          <w:szCs w:val="18"/>
          <w:color w:val="auto"/>
        </w:rPr>
        <w:t>,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w:t>
      </w:r>
    </w:p>
    <w:p>
      <w:pPr>
        <w:spacing w:after="0" w:line="75" w:lineRule="exact"/>
        <w:rPr>
          <w:rFonts w:ascii="Arial" w:cs="Arial" w:eastAsia="Arial" w:hAnsi="Arial"/>
          <w:sz w:val="18"/>
          <w:szCs w:val="18"/>
          <w:b w:val="1"/>
          <w:bCs w:val="1"/>
          <w:color w:val="auto"/>
        </w:rPr>
      </w:pPr>
    </w:p>
    <w:p>
      <w:pPr>
        <w:jc w:val="both"/>
        <w:ind w:left="980" w:right="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699516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Page 7 of 25</w:t>
      </w:r>
    </w:p>
    <w:p>
      <w:pPr>
        <w:sectPr>
          <w:pgSz w:w="11900" w:h="16838" w:orient="portrait"/>
          <w:cols w:equalWidth="0" w:num="2">
            <w:col w:w="9300" w:space="720"/>
            <w:col w:w="960"/>
          </w:cols>
          <w:pgMar w:left="440" w:top="270" w:right="479" w:bottom="1440" w:gutter="0" w:footer="0" w:header="0"/>
          <w:type w:val="continuous"/>
        </w:sectPr>
      </w:pPr>
    </w:p>
    <w:bookmarkStart w:id="15" w:name="page16"/>
    <w:bookmarkEnd w:id="15"/>
    <w:p>
      <w:pPr>
        <w:ind w:left="9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being specifically next named, the Insured entity having the greatest consolidated assets of all remaining Insureds then becomes the first named Insured. Knowledge possessed or discovery made by any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w:t>
      </w:r>
    </w:p>
    <w:p>
      <w:pPr>
        <w:spacing w:after="0" w:line="316" w:lineRule="exact"/>
        <w:rPr>
          <w:sz w:val="20"/>
          <w:szCs w:val="20"/>
          <w:color w:val="auto"/>
        </w:rPr>
      </w:pPr>
    </w:p>
    <w:p>
      <w:pPr>
        <w:ind w:left="960" w:hanging="532"/>
        <w:spacing w:after="0"/>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COURT COSTS AND ATTORNEY’S FEES - LEGAL PROCEEDINGS - ELECTION TO DEFEND</w:t>
      </w:r>
    </w:p>
    <w:p>
      <w:pPr>
        <w:spacing w:after="0" w:line="121" w:lineRule="exact"/>
        <w:rPr>
          <w:rFonts w:ascii="Arial" w:cs="Arial" w:eastAsia="Arial" w:hAnsi="Arial"/>
          <w:sz w:val="18"/>
          <w:szCs w:val="18"/>
          <w:b w:val="1"/>
          <w:bCs w:val="1"/>
          <w:color w:val="auto"/>
        </w:rPr>
      </w:pPr>
    </w:p>
    <w:p>
      <w:pPr>
        <w:ind w:left="980" w:right="8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w:t>
      </w:r>
    </w:p>
    <w:p>
      <w:pPr>
        <w:spacing w:after="0" w:line="58" w:lineRule="exact"/>
        <w:rPr>
          <w:rFonts w:ascii="Arial" w:cs="Arial" w:eastAsia="Arial" w:hAnsi="Arial"/>
          <w:sz w:val="18"/>
          <w:szCs w:val="18"/>
          <w:b w:val="1"/>
          <w:bCs w:val="1"/>
          <w:color w:val="auto"/>
        </w:rPr>
      </w:pPr>
    </w:p>
    <w:p>
      <w:pPr>
        <w:ind w:left="1960" w:hanging="533"/>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admits to being guilty of </w:t>
      </w:r>
      <w:r>
        <w:rPr>
          <w:rFonts w:ascii="Arial" w:cs="Arial" w:eastAsia="Arial" w:hAnsi="Arial"/>
          <w:sz w:val="18"/>
          <w:szCs w:val="18"/>
          <w:b w:val="1"/>
          <w:bCs w:val="1"/>
          <w:color w:val="auto"/>
        </w:rPr>
        <w:t>Larceny or Embezzlement;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adjudicated to be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960" w:right="100" w:hanging="533"/>
        <w:spacing w:after="0" w:line="282"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in the absence of 1. or 2. above, an arbitration panel agrees, after a review of an agreed statement of facts, that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would be found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if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were prosecuted.</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Such indemnity is in addition to the Single Loss Limit of Insurance for the applicable Insuring Agreement or Coverage.</w:t>
      </w:r>
    </w:p>
    <w:p>
      <w:pPr>
        <w:spacing w:after="0" w:line="113" w:lineRule="exact"/>
        <w:rPr>
          <w:sz w:val="20"/>
          <w:szCs w:val="20"/>
          <w:color w:val="auto"/>
        </w:rPr>
      </w:pPr>
    </w:p>
    <w:p>
      <w:pPr>
        <w:ind w:left="980"/>
        <w:spacing w:after="0" w:line="277" w:lineRule="auto"/>
        <w:rPr>
          <w:sz w:val="20"/>
          <w:szCs w:val="20"/>
          <w:color w:val="auto"/>
        </w:rPr>
      </w:pPr>
      <w:r>
        <w:rPr>
          <w:rFonts w:ascii="Arial" w:cs="Arial" w:eastAsia="Arial" w:hAnsi="Arial"/>
          <w:sz w:val="17"/>
          <w:szCs w:val="17"/>
          <w:color w:val="auto"/>
        </w:rPr>
        <w:t xml:space="preserve">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will give all reasonable information and assistance, other than pecuniary, that the Company deems necessary to the defense of such suit or legal proceeding.</w:t>
      </w:r>
    </w:p>
    <w:p>
      <w:pPr>
        <w:spacing w:after="0" w:line="64" w:lineRule="exact"/>
        <w:rPr>
          <w:sz w:val="20"/>
          <w:szCs w:val="20"/>
          <w:color w:val="auto"/>
        </w:rPr>
      </w:pPr>
    </w:p>
    <w:p>
      <w:pPr>
        <w:ind w:left="980" w:right="20"/>
        <w:spacing w:after="0" w:line="273" w:lineRule="auto"/>
        <w:rPr>
          <w:sz w:val="20"/>
          <w:szCs w:val="20"/>
          <w:color w:val="auto"/>
        </w:rPr>
      </w:pPr>
      <w:r>
        <w:rPr>
          <w:rFonts w:ascii="Arial" w:cs="Arial" w:eastAsia="Arial" w:hAnsi="Arial"/>
          <w:sz w:val="17"/>
          <w:szCs w:val="17"/>
          <w:color w:val="auto"/>
        </w:rPr>
        <w:t>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w:t>
      </w:r>
    </w:p>
    <w:p>
      <w:pPr>
        <w:spacing w:after="0" w:line="70" w:lineRule="exact"/>
        <w:rPr>
          <w:sz w:val="20"/>
          <w:szCs w:val="20"/>
          <w:color w:val="auto"/>
        </w:rPr>
      </w:pPr>
    </w:p>
    <w:p>
      <w:pPr>
        <w:ind w:left="980" w:right="200"/>
        <w:spacing w:after="0" w:line="277" w:lineRule="auto"/>
        <w:rPr>
          <w:sz w:val="20"/>
          <w:szCs w:val="20"/>
          <w:color w:val="auto"/>
        </w:rPr>
      </w:pPr>
      <w:r>
        <w:rPr>
          <w:rFonts w:ascii="Arial" w:cs="Arial" w:eastAsia="Arial" w:hAnsi="Arial"/>
          <w:sz w:val="18"/>
          <w:szCs w:val="18"/>
          <w:color w:val="auto"/>
        </w:rPr>
        <w:t>If the Company pays court costs and attorney’s fees in excess of its proportionate share of such costs and fees, the Insured will promptly reimburse the Company for such excess.</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IV.</w:t>
        <w:tab/>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bond:</w:t>
      </w:r>
    </w:p>
    <w:p>
      <w:pPr>
        <w:spacing w:after="0" w:line="127" w:lineRule="exact"/>
        <w:rPr>
          <w:sz w:val="20"/>
          <w:szCs w:val="20"/>
          <w:color w:val="auto"/>
        </w:rPr>
      </w:pPr>
    </w:p>
    <w:p>
      <w:pPr>
        <w:ind w:left="960" w:hanging="532"/>
        <w:spacing w:after="0"/>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Acceptance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draft that the drawee has, by signature thereon, engaged to honor as presented.</w:t>
      </w:r>
    </w:p>
    <w:p>
      <w:pPr>
        <w:spacing w:after="0" w:line="134" w:lineRule="exact"/>
        <w:rPr>
          <w:rFonts w:ascii="Arial" w:cs="Arial" w:eastAsia="Arial" w:hAnsi="Arial"/>
          <w:sz w:val="18"/>
          <w:szCs w:val="18"/>
          <w:b w:val="1"/>
          <w:bCs w:val="1"/>
          <w:color w:val="auto"/>
        </w:rPr>
      </w:pPr>
    </w:p>
    <w:p>
      <w:pPr>
        <w:ind w:left="960" w:hanging="532"/>
        <w:spacing w:after="0"/>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Bond Period </w:t>
      </w:r>
      <w:r>
        <w:rPr>
          <w:rFonts w:ascii="Arial" w:cs="Arial" w:eastAsia="Arial" w:hAnsi="Arial"/>
          <w:sz w:val="18"/>
          <w:szCs w:val="18"/>
          <w:color w:val="auto"/>
        </w:rPr>
        <w:t>has the meaning set forth in section VI. CONDITIONS, C. BOND PERIOD.</w:t>
      </w:r>
    </w:p>
    <w:p>
      <w:pPr>
        <w:spacing w:after="0" w:line="126" w:lineRule="exact"/>
        <w:rPr>
          <w:rFonts w:ascii="Arial" w:cs="Arial" w:eastAsia="Arial" w:hAnsi="Arial"/>
          <w:sz w:val="18"/>
          <w:szCs w:val="18"/>
          <w:b w:val="1"/>
          <w:bCs w:val="1"/>
          <w:color w:val="auto"/>
        </w:rPr>
      </w:pPr>
    </w:p>
    <w:p>
      <w:pPr>
        <w:ind w:left="960" w:right="80" w:hanging="532"/>
        <w:spacing w:after="0" w:line="282" w:lineRule="auto"/>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Callback Verification </w:t>
      </w:r>
      <w:r>
        <w:rPr>
          <w:rFonts w:ascii="Arial" w:cs="Arial" w:eastAsia="Arial" w:hAnsi="Arial"/>
          <w:sz w:val="18"/>
          <w:szCs w:val="18"/>
          <w:color w:val="auto"/>
        </w:rPr>
        <w:t>means a verbal conversation with the purported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using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Pre-Determined Telephone Number</w:t>
      </w:r>
      <w:r>
        <w:rPr>
          <w:rFonts w:ascii="Arial" w:cs="Arial" w:eastAsia="Arial" w:hAnsi="Arial"/>
          <w:sz w:val="18"/>
          <w:szCs w:val="18"/>
          <w:color w:val="auto"/>
        </w:rPr>
        <w:t>, to verify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identity of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and the authenticity of a funds transfer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Page 8 of 25</w:t>
      </w:r>
    </w:p>
    <w:p>
      <w:pPr>
        <w:sectPr>
          <w:pgSz w:w="11900" w:h="16838" w:orient="portrait"/>
          <w:cols w:equalWidth="0" w:num="2">
            <w:col w:w="9300" w:space="720"/>
            <w:col w:w="980"/>
          </w:cols>
          <w:pgMar w:left="440" w:top="274" w:right="459" w:bottom="1440" w:gutter="0" w:footer="0" w:header="0"/>
          <w:type w:val="continuous"/>
        </w:sectPr>
      </w:pPr>
    </w:p>
    <w:bookmarkStart w:id="16" w:name="page17"/>
    <w:bookmarkEnd w:id="16"/>
    <w:p>
      <w:pPr>
        <w:ind w:left="960" w:right="800" w:hanging="532"/>
        <w:spacing w:after="0" w:line="282" w:lineRule="auto"/>
        <w:tabs>
          <w:tab w:leader="none" w:pos="9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Certificate of Deposit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acknowledgment by an Insured or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Money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to repay it.</w:t>
      </w:r>
    </w:p>
    <w:p>
      <w:pPr>
        <w:spacing w:after="0" w:line="67" w:lineRule="exact"/>
        <w:rPr>
          <w:rFonts w:ascii="Arial" w:cs="Arial" w:eastAsia="Arial" w:hAnsi="Arial"/>
          <w:sz w:val="18"/>
          <w:szCs w:val="18"/>
          <w:b w:val="1"/>
          <w:bCs w:val="1"/>
          <w:color w:val="auto"/>
        </w:rPr>
      </w:pPr>
    </w:p>
    <w:p>
      <w:pPr>
        <w:ind w:left="960" w:right="580" w:hanging="532"/>
        <w:spacing w:after="0" w:line="282" w:lineRule="auto"/>
        <w:tabs>
          <w:tab w:leader="none" w:pos="9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 of Origin or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issued by a manufacturer of personal property or a governmental agency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ownership of the personal property and by which ownership is transferred.</w:t>
      </w:r>
    </w:p>
    <w:p>
      <w:pPr>
        <w:spacing w:after="0" w:line="71" w:lineRule="exact"/>
        <w:rPr>
          <w:rFonts w:ascii="Arial" w:cs="Arial" w:eastAsia="Arial" w:hAnsi="Arial"/>
          <w:sz w:val="18"/>
          <w:szCs w:val="18"/>
          <w:b w:val="1"/>
          <w:bCs w:val="1"/>
          <w:color w:val="auto"/>
        </w:rPr>
      </w:pPr>
    </w:p>
    <w:p>
      <w:pPr>
        <w:ind w:left="960" w:right="360" w:hanging="532"/>
        <w:spacing w:after="0" w:line="277" w:lineRule="auto"/>
        <w:tabs>
          <w:tab w:leader="none" w:pos="9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Certificated Security </w:t>
      </w:r>
      <w:r>
        <w:rPr>
          <w:rFonts w:ascii="Arial" w:cs="Arial" w:eastAsia="Arial" w:hAnsi="Arial"/>
          <w:sz w:val="18"/>
          <w:szCs w:val="18"/>
          <w:color w:val="auto"/>
        </w:rPr>
        <w:t>means a share, participation or other interest in property of, or an enterprise of, the issuer or an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issuer, that is:</w:t>
      </w:r>
    </w:p>
    <w:p>
      <w:pPr>
        <w:spacing w:after="0" w:line="71"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w:t>
      </w:r>
    </w:p>
    <w:p>
      <w:pPr>
        <w:spacing w:after="0" w:line="134" w:lineRule="exact"/>
        <w:rPr>
          <w:rFonts w:ascii="Arial" w:cs="Arial" w:eastAsia="Arial" w:hAnsi="Arial"/>
          <w:sz w:val="18"/>
          <w:szCs w:val="18"/>
          <w:color w:val="auto"/>
        </w:rPr>
      </w:pPr>
    </w:p>
    <w:p>
      <w:pPr>
        <w:ind w:left="1420" w:right="20" w:hanging="439"/>
        <w:spacing w:after="0" w:line="277" w:lineRule="auto"/>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either one of a class or series or by its terms divisible into a class or series of shares, participations, interests or obligations.</w:t>
      </w:r>
    </w:p>
    <w:p>
      <w:pPr>
        <w:spacing w:after="0" w:line="142" w:lineRule="exact"/>
        <w:rPr>
          <w:rFonts w:ascii="Arial" w:cs="Arial" w:eastAsia="Arial" w:hAnsi="Arial"/>
          <w:sz w:val="17"/>
          <w:szCs w:val="17"/>
          <w:color w:val="auto"/>
        </w:rPr>
      </w:pPr>
    </w:p>
    <w:p>
      <w:pPr>
        <w:ind w:left="960" w:hanging="532"/>
        <w:spacing w:after="0" w:line="263" w:lineRule="auto"/>
        <w:tabs>
          <w:tab w:leader="none" w:pos="9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Fraud </w:t>
      </w:r>
      <w:r>
        <w:rPr>
          <w:rFonts w:ascii="Arial" w:cs="Arial" w:eastAsia="Arial" w:hAnsi="Arial"/>
          <w:sz w:val="18"/>
          <w:szCs w:val="18"/>
          <w:color w:val="auto"/>
        </w:rPr>
        <w:t>means an intentional, unauthorized, and fraudulent entry of data or computer instructions directly into, or change of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or computer instructions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or entity other than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including any such entry or change made via the internet or a </w:t>
      </w:r>
      <w:r>
        <w:rPr>
          <w:rFonts w:ascii="Arial" w:cs="Arial" w:eastAsia="Arial" w:hAnsi="Arial"/>
          <w:sz w:val="18"/>
          <w:szCs w:val="18"/>
          <w:b w:val="1"/>
          <w:bCs w:val="1"/>
          <w:color w:val="auto"/>
        </w:rPr>
        <w:t>Network</w:t>
      </w:r>
      <w:r>
        <w:rPr>
          <w:rFonts w:ascii="Arial" w:cs="Arial" w:eastAsia="Arial" w:hAnsi="Arial"/>
          <w:sz w:val="18"/>
          <w:szCs w:val="18"/>
          <w:color w:val="auto"/>
        </w:rPr>
        <w:t>, provided that such entry or change causes:</w:t>
      </w:r>
    </w:p>
    <w:p>
      <w:pPr>
        <w:spacing w:after="0" w:line="85"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to be transferred, paid, or delivered;</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unauthorized or fictitious account to be debited or credited.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System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computer; and</w:t>
      </w:r>
    </w:p>
    <w:p>
      <w:pPr>
        <w:spacing w:after="0" w:line="130" w:lineRule="exact"/>
        <w:rPr>
          <w:rFonts w:ascii="Arial" w:cs="Arial" w:eastAsia="Arial" w:hAnsi="Arial"/>
          <w:sz w:val="18"/>
          <w:szCs w:val="18"/>
          <w:color w:val="auto"/>
        </w:rPr>
      </w:pPr>
    </w:p>
    <w:p>
      <w:pPr>
        <w:ind w:left="1420" w:right="180" w:hanging="439"/>
        <w:spacing w:after="0" w:line="277" w:lineRule="auto"/>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input, output, processing, storage or communication device, or any related network, operating system or application software, that is connected to, or used in connection with, such computer,</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that is rented by, owned by, leased by, licensed to, or under the direct operational control of,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w:t>
      </w:r>
    </w:p>
    <w:p>
      <w:pPr>
        <w:spacing w:after="0" w:line="146" w:lineRule="exact"/>
        <w:rPr>
          <w:sz w:val="20"/>
          <w:szCs w:val="20"/>
          <w:color w:val="auto"/>
        </w:rPr>
      </w:pPr>
    </w:p>
    <w:p>
      <w:pPr>
        <w:ind w:left="960" w:hanging="532"/>
        <w:spacing w:after="0"/>
        <w:tabs>
          <w:tab w:leader="none" w:pos="9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Violation </w:t>
      </w:r>
      <w:r>
        <w:rPr>
          <w:rFonts w:ascii="Arial" w:cs="Arial" w:eastAsia="Arial" w:hAnsi="Arial"/>
          <w:sz w:val="18"/>
          <w:szCs w:val="18"/>
          <w:color w:val="auto"/>
        </w:rPr>
        <w:t>means:</w:t>
      </w:r>
    </w:p>
    <w:p>
      <w:pPr>
        <w:spacing w:after="0" w:line="126"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the introduction of a </w:t>
      </w:r>
      <w:r>
        <w:rPr>
          <w:rFonts w:ascii="Arial" w:cs="Arial" w:eastAsia="Arial" w:hAnsi="Arial"/>
          <w:sz w:val="18"/>
          <w:szCs w:val="18"/>
          <w:b w:val="1"/>
          <w:bCs w:val="1"/>
          <w:color w:val="auto"/>
        </w:rPr>
        <w:t>Computer Virus</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420" w:right="160" w:hanging="439"/>
        <w:spacing w:after="0" w:line="282"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damage to, or destruction of, computer programs, software or other electronic data stored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who has:</w:t>
      </w:r>
    </w:p>
    <w:p>
      <w:pPr>
        <w:spacing w:after="0" w:line="67" w:lineRule="exact"/>
        <w:rPr>
          <w:rFonts w:ascii="Arial" w:cs="Arial" w:eastAsia="Arial" w:hAnsi="Arial"/>
          <w:sz w:val="18"/>
          <w:szCs w:val="18"/>
          <w:color w:val="auto"/>
        </w:rPr>
      </w:pPr>
    </w:p>
    <w:p>
      <w:pPr>
        <w:ind w:left="1960" w:hanging="533"/>
        <w:spacing w:after="0"/>
        <w:tabs>
          <w:tab w:leader="none" w:pos="1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 xml:space="preserve">gained unauthorized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 xml:space="preserve">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but uses such access to cause such damage or destruction.</w:t>
      </w:r>
    </w:p>
    <w:p>
      <w:pPr>
        <w:spacing w:after="0" w:line="134" w:lineRule="exact"/>
        <w:rPr>
          <w:rFonts w:ascii="Arial" w:cs="Arial" w:eastAsia="Arial" w:hAnsi="Arial"/>
          <w:sz w:val="18"/>
          <w:szCs w:val="18"/>
          <w:color w:val="auto"/>
        </w:rPr>
      </w:pPr>
    </w:p>
    <w:p>
      <w:pPr>
        <w:ind w:left="960" w:hanging="532"/>
        <w:spacing w:after="0"/>
        <w:tabs>
          <w:tab w:leader="none" w:pos="96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Computer Virus </w:t>
      </w:r>
      <w:r>
        <w:rPr>
          <w:rFonts w:ascii="Arial" w:cs="Arial" w:eastAsia="Arial" w:hAnsi="Arial"/>
          <w:sz w:val="16"/>
          <w:szCs w:val="16"/>
          <w:color w:val="auto"/>
        </w:rPr>
        <w:t>means any malicious code that could destroy, alter, contaminate, or degrade the integrity, quality, or performance of:</w:t>
      </w:r>
    </w:p>
    <w:p>
      <w:pPr>
        <w:spacing w:after="0" w:line="149" w:lineRule="exact"/>
        <w:rPr>
          <w:rFonts w:ascii="Arial" w:cs="Arial" w:eastAsia="Arial" w:hAnsi="Arial"/>
          <w:sz w:val="16"/>
          <w:szCs w:val="16"/>
          <w:b w:val="1"/>
          <w:bCs w:val="1"/>
          <w:color w:val="auto"/>
        </w:rPr>
      </w:pPr>
    </w:p>
    <w:p>
      <w:pPr>
        <w:ind w:left="1420" w:hanging="439"/>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electronic data used, or stored, in any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or network; or</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computer network, any computer application software, or a computer operating system or related network.</w:t>
      </w:r>
    </w:p>
    <w:p>
      <w:pPr>
        <w:spacing w:after="0" w:line="126" w:lineRule="exact"/>
        <w:rPr>
          <w:rFonts w:ascii="Arial" w:cs="Arial" w:eastAsia="Arial" w:hAnsi="Arial"/>
          <w:sz w:val="18"/>
          <w:szCs w:val="18"/>
          <w:color w:val="auto"/>
        </w:rPr>
      </w:pPr>
    </w:p>
    <w:p>
      <w:pPr>
        <w:ind w:left="960" w:right="620" w:hanging="532"/>
        <w:spacing w:after="0" w:line="282" w:lineRule="auto"/>
        <w:tabs>
          <w:tab w:leader="none" w:pos="9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Counterfeit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imitation of an actual, valid, or verifiable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 intended to deceive and to be taken as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940"/>
          </w:cols>
          <w:pgMar w:left="440" w:top="270" w:right="51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Page 9 of 25</w:t>
      </w:r>
    </w:p>
    <w:p>
      <w:pPr>
        <w:sectPr>
          <w:pgSz w:w="11900" w:h="16838" w:orient="portrait"/>
          <w:cols w:equalWidth="0" w:num="2">
            <w:col w:w="9300" w:space="720"/>
            <w:col w:w="920"/>
          </w:cols>
          <w:pgMar w:left="440" w:top="270" w:right="519" w:bottom="1440" w:gutter="0" w:footer="0" w:header="0"/>
          <w:type w:val="continuous"/>
        </w:sectPr>
      </w:pPr>
    </w:p>
    <w:bookmarkStart w:id="17" w:name="page18"/>
    <w:bookmarkEnd w:id="17"/>
    <w:p>
      <w:pPr>
        <w:ind w:left="960" w:right="300" w:hanging="532"/>
        <w:spacing w:after="0" w:line="282" w:lineRule="auto"/>
        <w:tabs>
          <w:tab w:leader="none" w:pos="9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Custodian </w:t>
      </w:r>
      <w:r>
        <w:rPr>
          <w:rFonts w:ascii="Arial" w:cs="Arial" w:eastAsia="Arial" w:hAnsi="Arial"/>
          <w:sz w:val="18"/>
          <w:szCs w:val="18"/>
          <w:color w:val="auto"/>
        </w:rPr>
        <w:t>means an institution designated by an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maintain possession and control of the Insured’s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w:t>
      </w:r>
    </w:p>
    <w:p>
      <w:pPr>
        <w:spacing w:after="0" w:line="67" w:lineRule="exact"/>
        <w:rPr>
          <w:rFonts w:ascii="Arial" w:cs="Arial" w:eastAsia="Arial" w:hAnsi="Arial"/>
          <w:sz w:val="18"/>
          <w:szCs w:val="18"/>
          <w:b w:val="1"/>
          <w:bCs w:val="1"/>
          <w:color w:val="auto"/>
        </w:rPr>
      </w:pPr>
    </w:p>
    <w:p>
      <w:pPr>
        <w:ind w:left="960" w:right="60" w:hanging="532"/>
        <w:spacing w:after="0" w:line="282" w:lineRule="auto"/>
        <w:tabs>
          <w:tab w:leader="none" w:pos="9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Customer </w:t>
      </w:r>
      <w:r>
        <w:rPr>
          <w:rFonts w:ascii="Arial" w:cs="Arial" w:eastAsia="Arial" w:hAnsi="Arial"/>
          <w:sz w:val="18"/>
          <w:szCs w:val="18"/>
          <w:color w:val="auto"/>
        </w:rPr>
        <w:t>means, only with respect to Insuring Agreement I.2., an entity or natural person that has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Funds Transfer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Insured or with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960" w:hanging="532"/>
        <w:spacing w:after="0"/>
        <w:tabs>
          <w:tab w:leader="none" w:pos="9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Depository </w:t>
      </w:r>
      <w:r>
        <w:rPr>
          <w:rFonts w:ascii="Arial" w:cs="Arial" w:eastAsia="Arial" w:hAnsi="Arial"/>
          <w:sz w:val="18"/>
          <w:szCs w:val="18"/>
          <w:color w:val="auto"/>
        </w:rPr>
        <w:t>means a clearing corporation that is:</w:t>
      </w:r>
    </w:p>
    <w:p>
      <w:pPr>
        <w:spacing w:after="0" w:line="130" w:lineRule="exact"/>
        <w:rPr>
          <w:rFonts w:ascii="Arial" w:cs="Arial" w:eastAsia="Arial" w:hAnsi="Arial"/>
          <w:sz w:val="18"/>
          <w:szCs w:val="18"/>
          <w:b w:val="1"/>
          <w:bCs w:val="1"/>
          <w:color w:val="auto"/>
        </w:rPr>
      </w:pPr>
    </w:p>
    <w:p>
      <w:pPr>
        <w:ind w:left="1420" w:right="40" w:hanging="439"/>
        <w:spacing w:after="0" w:line="277"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registered with the Securities Exchange Commission as a clearing agency under section 17A of the Securities Exchange Act of 1934 (15 U.S.C. 78q-1); or</w:t>
      </w:r>
    </w:p>
    <w:p>
      <w:pPr>
        <w:spacing w:after="0" w:line="75" w:lineRule="exact"/>
        <w:rPr>
          <w:rFonts w:ascii="Arial" w:cs="Arial" w:eastAsia="Arial" w:hAnsi="Arial"/>
          <w:sz w:val="18"/>
          <w:szCs w:val="18"/>
          <w:color w:val="auto"/>
        </w:rPr>
      </w:pPr>
    </w:p>
    <w:p>
      <w:pPr>
        <w:jc w:val="both"/>
        <w:ind w:left="1420" w:right="120" w:hanging="439"/>
        <w:spacing w:after="0" w:line="263"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w:t>
      </w:r>
    </w:p>
    <w:p>
      <w:pPr>
        <w:spacing w:after="0" w:line="85" w:lineRule="exact"/>
        <w:rPr>
          <w:rFonts w:ascii="Arial" w:cs="Arial" w:eastAsia="Arial" w:hAnsi="Arial"/>
          <w:sz w:val="18"/>
          <w:szCs w:val="18"/>
          <w:color w:val="auto"/>
        </w:rPr>
      </w:pPr>
    </w:p>
    <w:p>
      <w:pPr>
        <w:ind w:left="960" w:right="380" w:hanging="532"/>
        <w:spacing w:after="0" w:line="258" w:lineRule="auto"/>
        <w:tabs>
          <w:tab w:leader="none" w:pos="9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Document of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 is a bill of lading, dock warrant, dock receipt, warehouse receipt or order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delivery of goods, and also any other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w:t>
      </w:r>
    </w:p>
    <w:p>
      <w:pPr>
        <w:spacing w:after="0" w:line="88" w:lineRule="exact"/>
        <w:rPr>
          <w:rFonts w:ascii="Arial" w:cs="Arial" w:eastAsia="Arial" w:hAnsi="Arial"/>
          <w:sz w:val="18"/>
          <w:szCs w:val="18"/>
          <w:b w:val="1"/>
          <w:bCs w:val="1"/>
          <w:color w:val="auto"/>
        </w:rPr>
      </w:pPr>
    </w:p>
    <w:p>
      <w:pPr>
        <w:ind w:left="960" w:right="160" w:hanging="532"/>
        <w:spacing w:after="0" w:line="281" w:lineRule="auto"/>
        <w:tabs>
          <w:tab w:leader="none" w:pos="96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Electronic Data Processor </w:t>
      </w:r>
      <w:r>
        <w:rPr>
          <w:rFonts w:ascii="Arial" w:cs="Arial" w:eastAsia="Arial" w:hAnsi="Arial"/>
          <w:sz w:val="17"/>
          <w:szCs w:val="17"/>
          <w:color w:val="auto"/>
        </w:rPr>
        <w:t>means a natural person, partnership or corporation authorized in writing by the Insured or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to perform services as a data processor of checks presented to the Insured by a customer or</w:t>
      </w:r>
      <w:r>
        <w:rPr>
          <w:rFonts w:ascii="Arial" w:cs="Arial" w:eastAsia="Arial" w:hAnsi="Arial"/>
          <w:sz w:val="17"/>
          <w:szCs w:val="17"/>
          <w:b w:val="1"/>
          <w:bCs w:val="1"/>
          <w:color w:val="auto"/>
        </w:rPr>
        <w:t xml:space="preserve"> Financial Institution</w:t>
      </w:r>
      <w:r>
        <w:rPr>
          <w:rFonts w:ascii="Arial" w:cs="Arial" w:eastAsia="Arial" w:hAnsi="Arial"/>
          <w:sz w:val="17"/>
          <w:szCs w:val="17"/>
          <w:color w:val="auto"/>
        </w:rPr>
        <w:t>, but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such processor who acts as a transfer agent or in any other agency capacity in issuing checks, drafts or securities for the Insured, A Federal Reserve Bank or clearinghouse will not be construed to be an </w:t>
      </w:r>
      <w:r>
        <w:rPr>
          <w:rFonts w:ascii="Arial" w:cs="Arial" w:eastAsia="Arial" w:hAnsi="Arial"/>
          <w:sz w:val="17"/>
          <w:szCs w:val="17"/>
          <w:b w:val="1"/>
          <w:bCs w:val="1"/>
          <w:color w:val="auto"/>
        </w:rPr>
        <w:t>Electronic Data Processor</w:t>
      </w:r>
      <w:r>
        <w:rPr>
          <w:rFonts w:ascii="Arial" w:cs="Arial" w:eastAsia="Arial" w:hAnsi="Arial"/>
          <w:sz w:val="17"/>
          <w:szCs w:val="17"/>
          <w:color w:val="auto"/>
        </w:rPr>
        <w:t>.</w:t>
      </w:r>
    </w:p>
    <w:p>
      <w:pPr>
        <w:spacing w:after="0" w:line="74" w:lineRule="exact"/>
        <w:rPr>
          <w:rFonts w:ascii="Arial" w:cs="Arial" w:eastAsia="Arial" w:hAnsi="Arial"/>
          <w:sz w:val="17"/>
          <w:szCs w:val="17"/>
          <w:b w:val="1"/>
          <w:bCs w:val="1"/>
          <w:color w:val="auto"/>
        </w:rPr>
      </w:pPr>
    </w:p>
    <w:p>
      <w:pPr>
        <w:ind w:left="960" w:right="500" w:hanging="532"/>
        <w:spacing w:after="0" w:line="277" w:lineRule="auto"/>
        <w:tabs>
          <w:tab w:leader="none" w:pos="9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Electronic Record </w:t>
      </w:r>
      <w:r>
        <w:rPr>
          <w:rFonts w:ascii="Arial" w:cs="Arial" w:eastAsia="Arial" w:hAnsi="Arial"/>
          <w:sz w:val="18"/>
          <w:szCs w:val="18"/>
          <w:color w:val="auto"/>
        </w:rPr>
        <w:t>means information that is created, generated, sent, communicated, received, or stored by electronic means,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retrievable in perceivable form.</w:t>
      </w:r>
    </w:p>
    <w:p>
      <w:pPr>
        <w:spacing w:after="0" w:line="75" w:lineRule="exact"/>
        <w:rPr>
          <w:rFonts w:ascii="Arial" w:cs="Arial" w:eastAsia="Arial" w:hAnsi="Arial"/>
          <w:sz w:val="18"/>
          <w:szCs w:val="18"/>
          <w:b w:val="1"/>
          <w:bCs w:val="1"/>
          <w:color w:val="auto"/>
        </w:rPr>
      </w:pPr>
    </w:p>
    <w:p>
      <w:pPr>
        <w:ind w:left="960" w:hanging="532"/>
        <w:spacing w:after="0"/>
        <w:tabs>
          <w:tab w:leader="none" w:pos="9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Employee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20" w:right="140" w:hanging="439"/>
        <w:spacing w:after="0" w:line="263"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w:t>
      </w:r>
    </w:p>
    <w:p>
      <w:pPr>
        <w:spacing w:after="0" w:line="85" w:lineRule="exact"/>
        <w:rPr>
          <w:rFonts w:ascii="Arial" w:cs="Arial" w:eastAsia="Arial" w:hAnsi="Arial"/>
          <w:sz w:val="18"/>
          <w:szCs w:val="18"/>
          <w:color w:val="auto"/>
        </w:rPr>
      </w:pPr>
    </w:p>
    <w:p>
      <w:pPr>
        <w:ind w:left="1420" w:right="200" w:hanging="439"/>
        <w:spacing w:after="0" w:line="282"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 guest student or intern pursuing studies or duties 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or premises covered hereunder, while such person is performing services for the Insured;</w:t>
      </w:r>
    </w:p>
    <w:p>
      <w:pPr>
        <w:spacing w:after="0" w:line="67" w:lineRule="exact"/>
        <w:rPr>
          <w:rFonts w:ascii="Arial" w:cs="Arial" w:eastAsia="Arial" w:hAnsi="Arial"/>
          <w:sz w:val="18"/>
          <w:szCs w:val="18"/>
          <w:color w:val="auto"/>
        </w:rPr>
      </w:pPr>
    </w:p>
    <w:p>
      <w:pPr>
        <w:ind w:left="1420" w:right="60" w:hanging="439"/>
        <w:spacing w:after="0" w:line="282"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any attorney retained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and any employee of such attorney, but only while performing legal services for the Insured;</w:t>
      </w:r>
    </w:p>
    <w:p>
      <w:pPr>
        <w:spacing w:after="0" w:line="67" w:lineRule="exact"/>
        <w:rPr>
          <w:rFonts w:ascii="Arial" w:cs="Arial" w:eastAsia="Arial" w:hAnsi="Arial"/>
          <w:sz w:val="18"/>
          <w:szCs w:val="18"/>
          <w:color w:val="auto"/>
        </w:rPr>
      </w:pPr>
    </w:p>
    <w:p>
      <w:pPr>
        <w:ind w:left="1420" w:hanging="439"/>
        <w:spacing w:after="0" w:line="255"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any natural person assigned to perform the usual duties of an employee within the premises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and under the Insured’s supervision, by contract, including such persons provided by any employment agency furnishing temporary personnel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on a contingent or part-time basis, and including a natural person who is leased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w:t>
      </w:r>
    </w:p>
    <w:p>
      <w:pPr>
        <w:spacing w:after="0" w:line="98" w:lineRule="exact"/>
        <w:rPr>
          <w:rFonts w:ascii="Arial" w:cs="Arial" w:eastAsia="Arial" w:hAnsi="Arial"/>
          <w:sz w:val="18"/>
          <w:szCs w:val="18"/>
          <w:color w:val="auto"/>
        </w:rPr>
      </w:pPr>
    </w:p>
    <w:p>
      <w:pPr>
        <w:ind w:left="1420" w:hanging="439"/>
        <w:spacing w:after="0" w:line="259"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699516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Page 10 of 25</w:t>
      </w:r>
    </w:p>
    <w:p>
      <w:pPr>
        <w:sectPr>
          <w:pgSz w:w="11900" w:h="16838" w:orient="portrait"/>
          <w:cols w:equalWidth="0" w:num="2">
            <w:col w:w="9200" w:space="720"/>
            <w:col w:w="1080"/>
          </w:cols>
          <w:pgMar w:left="440" w:top="270" w:right="459" w:bottom="1440" w:gutter="0" w:footer="0" w:header="0"/>
          <w:type w:val="continuous"/>
        </w:sectPr>
      </w:pPr>
    </w:p>
    <w:bookmarkStart w:id="18" w:name="page19"/>
    <w:bookmarkEnd w:id="18"/>
    <w:p>
      <w:pPr>
        <w:ind w:left="1420" w:right="140" w:hanging="439"/>
        <w:spacing w:after="0" w:line="261"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natural person, partnership, or corporation authorized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perform services as an </w:t>
      </w:r>
      <w:r>
        <w:rPr>
          <w:rFonts w:ascii="Arial" w:cs="Arial" w:eastAsia="Arial" w:hAnsi="Arial"/>
          <w:sz w:val="18"/>
          <w:szCs w:val="18"/>
          <w:b w:val="1"/>
          <w:bCs w:val="1"/>
          <w:color w:val="auto"/>
        </w:rPr>
        <w:t xml:space="preserve">Electronic Data Processor </w:t>
      </w:r>
      <w:r>
        <w:rPr>
          <w:rFonts w:ascii="Arial" w:cs="Arial" w:eastAsia="Arial" w:hAnsi="Arial"/>
          <w:sz w:val="18"/>
          <w:szCs w:val="18"/>
          <w:color w:val="auto"/>
        </w:rPr>
        <w:t>(each such</w:t>
      </w:r>
      <w:r>
        <w:rPr>
          <w:rFonts w:ascii="Arial" w:cs="Arial" w:eastAsia="Arial" w:hAnsi="Arial"/>
          <w:sz w:val="18"/>
          <w:szCs w:val="18"/>
          <w:b w:val="1"/>
          <w:bCs w:val="1"/>
          <w:color w:val="auto"/>
        </w:rPr>
        <w:t xml:space="preserve"> Electronic Data Processor</w:t>
      </w:r>
      <w:r>
        <w:rPr>
          <w:rFonts w:ascii="Arial" w:cs="Arial" w:eastAsia="Arial" w:hAnsi="Arial"/>
          <w:sz w:val="18"/>
          <w:szCs w:val="18"/>
          <w:color w:val="auto"/>
        </w:rPr>
        <w:t>, and the partners, officers and employees of such</w:t>
      </w:r>
      <w:r>
        <w:rPr>
          <w:rFonts w:ascii="Arial" w:cs="Arial" w:eastAsia="Arial" w:hAnsi="Arial"/>
          <w:sz w:val="18"/>
          <w:szCs w:val="18"/>
          <w:b w:val="1"/>
          <w:bCs w:val="1"/>
          <w:color w:val="auto"/>
        </w:rPr>
        <w:t xml:space="preserve"> Electronic Data Processor </w:t>
      </w:r>
      <w:r>
        <w:rPr>
          <w:rFonts w:ascii="Arial" w:cs="Arial" w:eastAsia="Arial" w:hAnsi="Arial"/>
          <w:sz w:val="18"/>
          <w:szCs w:val="18"/>
          <w:color w:val="auto"/>
        </w:rPr>
        <w:t>will collectively be deemed to be one</w:t>
      </w:r>
      <w:r>
        <w:rPr>
          <w:rFonts w:ascii="Arial" w:cs="Arial" w:eastAsia="Arial" w:hAnsi="Arial"/>
          <w:sz w:val="18"/>
          <w:szCs w:val="18"/>
          <w:b w:val="1"/>
          <w:bCs w:val="1"/>
          <w:color w:val="auto"/>
        </w:rPr>
        <w:t xml:space="preserve"> Employee </w:t>
      </w:r>
      <w:r>
        <w:rPr>
          <w:rFonts w:ascii="Arial" w:cs="Arial" w:eastAsia="Arial" w:hAnsi="Arial"/>
          <w:sz w:val="18"/>
          <w:szCs w:val="18"/>
          <w:color w:val="auto"/>
        </w:rPr>
        <w:t>for all the purposes of this bond, except with respect to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R.2.);</w:t>
      </w:r>
    </w:p>
    <w:p>
      <w:pPr>
        <w:spacing w:after="0" w:line="85" w:lineRule="exact"/>
        <w:rPr>
          <w:rFonts w:ascii="Arial" w:cs="Arial" w:eastAsia="Arial" w:hAnsi="Arial"/>
          <w:sz w:val="18"/>
          <w:szCs w:val="18"/>
          <w:color w:val="auto"/>
        </w:rPr>
      </w:pPr>
    </w:p>
    <w:p>
      <w:pPr>
        <w:ind w:left="1420" w:right="240" w:hanging="439"/>
        <w:spacing w:after="0" w:line="303" w:lineRule="auto"/>
        <w:tabs>
          <w:tab w:leader="none" w:pos="1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any director or trustee of an Insured,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underwriter (distributor), transfer agent, shareholder accounting record keeper, or administrator authorized by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of the Insured;</w:t>
      </w:r>
    </w:p>
    <w:p>
      <w:pPr>
        <w:spacing w:after="0" w:line="60" w:lineRule="exact"/>
        <w:rPr>
          <w:rFonts w:ascii="Arial" w:cs="Arial" w:eastAsia="Arial" w:hAnsi="Arial"/>
          <w:sz w:val="16"/>
          <w:szCs w:val="16"/>
          <w:color w:val="auto"/>
        </w:rPr>
      </w:pPr>
    </w:p>
    <w:p>
      <w:pPr>
        <w:ind w:left="1420" w:right="160" w:hanging="43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natural person who is a volunteer, while such person is subject to the Insured’s direction and control and is performing services for the Insured;</w:t>
      </w:r>
    </w:p>
    <w:p>
      <w:pPr>
        <w:spacing w:after="0" w:line="75" w:lineRule="exact"/>
        <w:rPr>
          <w:rFonts w:ascii="Arial" w:cs="Arial" w:eastAsia="Arial" w:hAnsi="Arial"/>
          <w:sz w:val="18"/>
          <w:szCs w:val="18"/>
          <w:color w:val="auto"/>
        </w:rPr>
      </w:pPr>
    </w:p>
    <w:p>
      <w:pPr>
        <w:ind w:left="1420" w:right="240" w:hanging="439"/>
        <w:spacing w:after="0" w:line="308" w:lineRule="auto"/>
        <w:tabs>
          <w:tab w:leader="none" w:pos="1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natural person who is a former employee retained as a consultant, pursuant to a written agreement with the Insured, while that person is subject to the Insured’s direction and control and performing services for the Insured; and</w:t>
      </w:r>
    </w:p>
    <w:p>
      <w:pPr>
        <w:spacing w:after="0" w:line="51" w:lineRule="exact"/>
        <w:rPr>
          <w:rFonts w:ascii="Arial" w:cs="Arial" w:eastAsia="Arial" w:hAnsi="Arial"/>
          <w:sz w:val="17"/>
          <w:szCs w:val="17"/>
          <w:color w:val="auto"/>
        </w:rPr>
      </w:pPr>
    </w:p>
    <w:p>
      <w:pPr>
        <w:ind w:left="1420" w:hanging="43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126" w:lineRule="exact"/>
        <w:rPr>
          <w:rFonts w:ascii="Arial" w:cs="Arial" w:eastAsia="Arial" w:hAnsi="Arial"/>
          <w:sz w:val="18"/>
          <w:szCs w:val="18"/>
          <w:color w:val="auto"/>
        </w:rPr>
      </w:pPr>
    </w:p>
    <w:p>
      <w:pPr>
        <w:ind w:left="1960" w:hanging="533"/>
        <w:spacing w:after="0"/>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960" w:hanging="533"/>
        <w:spacing w:after="0"/>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or other required records,</w:t>
      </w:r>
    </w:p>
    <w:p>
      <w:pPr>
        <w:spacing w:after="0" w:line="117" w:lineRule="exact"/>
        <w:rPr>
          <w:sz w:val="20"/>
          <w:szCs w:val="20"/>
          <w:color w:val="auto"/>
        </w:rPr>
      </w:pPr>
    </w:p>
    <w:p>
      <w:pPr>
        <w:ind w:left="1420"/>
        <w:spacing w:after="0" w:line="255" w:lineRule="auto"/>
        <w:rPr>
          <w:sz w:val="20"/>
          <w:szCs w:val="20"/>
          <w:color w:val="auto"/>
        </w:rPr>
      </w:pPr>
      <w:r>
        <w:rPr>
          <w:rFonts w:ascii="Arial" w:cs="Arial" w:eastAsia="Arial" w:hAnsi="Arial"/>
          <w:sz w:val="18"/>
          <w:szCs w:val="18"/>
          <w:color w:val="auto"/>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Arial" w:cs="Arial" w:eastAsia="Arial" w:hAnsi="Arial"/>
          <w:sz w:val="18"/>
          <w:szCs w:val="18"/>
          <w:b w:val="1"/>
          <w:bCs w:val="1"/>
          <w:color w:val="auto"/>
        </w:rPr>
        <w:t xml:space="preserve">Property </w:t>
      </w:r>
      <w:r>
        <w:rPr>
          <w:rFonts w:ascii="Arial" w:cs="Arial" w:eastAsia="Arial" w:hAnsi="Arial"/>
          <w:sz w:val="18"/>
          <w:szCs w:val="18"/>
          <w:color w:val="auto"/>
        </w:rPr>
        <w:t>of any such Insured, provided that only employees or partners of a transfer agent, shareholder accounting record- keeper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administrator that is an affiliated person, as defined in the Investment Company Act of 1940, of an Insured or is an affiliated person of the </w:t>
      </w:r>
      <w:r>
        <w:rPr>
          <w:rFonts w:ascii="Arial" w:cs="Arial" w:eastAsia="Arial" w:hAnsi="Arial"/>
          <w:sz w:val="18"/>
          <w:szCs w:val="18"/>
          <w:b w:val="1"/>
          <w:bCs w:val="1"/>
          <w:color w:val="auto"/>
        </w:rPr>
        <w:t>Investment Adviser</w:t>
      </w:r>
      <w:r>
        <w:rPr>
          <w:rFonts w:ascii="Arial" w:cs="Arial" w:eastAsia="Arial" w:hAnsi="Arial"/>
          <w:sz w:val="18"/>
          <w:szCs w:val="18"/>
          <w:color w:val="auto"/>
        </w:rPr>
        <w:t>, underwriter or administrator of such Insured, and that is not a bank, will be included within the definition of Employee.</w:t>
      </w:r>
    </w:p>
    <w:p>
      <w:pPr>
        <w:spacing w:after="0" w:line="80" w:lineRule="exact"/>
        <w:rPr>
          <w:sz w:val="20"/>
          <w:szCs w:val="20"/>
          <w:color w:val="auto"/>
        </w:rPr>
      </w:pPr>
    </w:p>
    <w:p>
      <w:pPr>
        <w:ind w:left="980" w:right="180"/>
        <w:spacing w:after="0" w:line="266"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also means any natural person described above while such person is on medical, military, or other leave of absence. Coverage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applies to any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while on leave, regardless of whether such person remains subject to the Insured’s direction and control during the time of leave.</w:t>
      </w:r>
    </w:p>
    <w:p>
      <w:pPr>
        <w:spacing w:after="0" w:line="68" w:lineRule="exact"/>
        <w:rPr>
          <w:sz w:val="20"/>
          <w:szCs w:val="20"/>
          <w:color w:val="auto"/>
        </w:rPr>
      </w:pPr>
    </w:p>
    <w:p>
      <w:pPr>
        <w:ind w:left="980" w:right="300"/>
        <w:spacing w:after="0" w:line="282"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does not mean any agent, broker, factor, commission merchant, consignee, independent contractor or representative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of the same general character not specified above.</w:t>
      </w:r>
    </w:p>
    <w:p>
      <w:pPr>
        <w:spacing w:after="0" w:line="67" w:lineRule="exact"/>
        <w:rPr>
          <w:sz w:val="20"/>
          <w:szCs w:val="20"/>
          <w:color w:val="auto"/>
        </w:rPr>
      </w:pPr>
    </w:p>
    <w:p>
      <w:pPr>
        <w:ind w:left="960" w:right="40" w:hanging="532"/>
        <w:spacing w:after="0" w:line="266" w:lineRule="auto"/>
        <w:tabs>
          <w:tab w:leader="none" w:pos="9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Evidence of Debt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Negotiable Instrument</w:t>
      </w:r>
      <w:r>
        <w:rPr>
          <w:rFonts w:ascii="Arial" w:cs="Arial" w:eastAsia="Arial" w:hAnsi="Arial"/>
          <w:sz w:val="18"/>
          <w:szCs w:val="18"/>
          <w:color w:val="auto"/>
        </w:rPr>
        <w:t>, executed, or purportedly executed, by a customer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Insured and held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that in the regular course of business is treated as evidencing the customer’s debt to the Insured.</w:t>
      </w:r>
    </w:p>
    <w:p>
      <w:pPr>
        <w:spacing w:after="0" w:line="85" w:lineRule="exact"/>
        <w:rPr>
          <w:rFonts w:ascii="Arial" w:cs="Arial" w:eastAsia="Arial" w:hAnsi="Arial"/>
          <w:sz w:val="18"/>
          <w:szCs w:val="18"/>
          <w:b w:val="1"/>
          <w:bCs w:val="1"/>
          <w:color w:val="auto"/>
        </w:rPr>
      </w:pPr>
    </w:p>
    <w:p>
      <w:pPr>
        <w:ind w:left="960" w:hanging="532"/>
        <w:spacing w:after="0"/>
        <w:tabs>
          <w:tab w:leader="none" w:pos="9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Financial Institution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bank, trust company, savings bank, credit union, savings and loan association, or similar thrift institution; or</w:t>
      </w:r>
    </w:p>
    <w:p>
      <w:pPr>
        <w:spacing w:after="0" w:line="126" w:lineRule="exact"/>
        <w:rPr>
          <w:rFonts w:ascii="Arial" w:cs="Arial" w:eastAsia="Arial" w:hAnsi="Arial"/>
          <w:sz w:val="18"/>
          <w:szCs w:val="18"/>
          <w:color w:val="auto"/>
        </w:rPr>
      </w:pPr>
    </w:p>
    <w:p>
      <w:pPr>
        <w:ind w:left="1420" w:right="280" w:hanging="439"/>
        <w:spacing w:after="0" w:line="282"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a stock brokerage firm, mutual fund, liquid assets fund or similar investment institution; provided that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does not include any such entity, institution or organization that is an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Page 11 of 25</w:t>
      </w:r>
    </w:p>
    <w:p>
      <w:pPr>
        <w:sectPr>
          <w:pgSz w:w="11900" w:h="16838" w:orient="portrait"/>
          <w:cols w:equalWidth="0" w:num="2">
            <w:col w:w="9220" w:space="720"/>
            <w:col w:w="1080"/>
          </w:cols>
          <w:pgMar w:left="440" w:top="270" w:right="439" w:bottom="1440" w:gutter="0" w:footer="0" w:header="0"/>
          <w:type w:val="continuous"/>
        </w:sectPr>
      </w:pPr>
    </w:p>
    <w:bookmarkStart w:id="19" w:name="page20"/>
    <w:bookmarkEnd w:id="19"/>
    <w:p>
      <w:pPr>
        <w:ind w:left="960" w:right="220" w:hanging="532"/>
        <w:spacing w:after="0" w:line="282" w:lineRule="auto"/>
        <w:tabs>
          <w:tab w:leader="none" w:pos="9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Forgery </w:t>
      </w:r>
      <w:r>
        <w:rPr>
          <w:rFonts w:ascii="Arial" w:cs="Arial" w:eastAsia="Arial" w:hAnsi="Arial"/>
          <w:sz w:val="18"/>
          <w:szCs w:val="18"/>
          <w:color w:val="auto"/>
        </w:rPr>
        <w:t>means signing the name of another person or organization with a handwritten signature directly applied to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authority, and with the intent to deceive.</w:t>
      </w:r>
    </w:p>
    <w:p>
      <w:pPr>
        <w:spacing w:after="0" w:line="57" w:lineRule="exact"/>
        <w:rPr>
          <w:rFonts w:ascii="Arial" w:cs="Arial" w:eastAsia="Arial" w:hAnsi="Arial"/>
          <w:sz w:val="18"/>
          <w:szCs w:val="18"/>
          <w:b w:val="1"/>
          <w:bCs w:val="1"/>
          <w:color w:val="auto"/>
        </w:rPr>
      </w:pPr>
    </w:p>
    <w:p>
      <w:pPr>
        <w:ind w:left="980"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 signature written on an electronic pad that captures the signature for purposes of creating an electronic digitized image of a handwritten signature, or a reproduction of a handwritten signature, is treated the same as a handwritten signature. Any other form of electronic signature or digital signature is not treated the same as a handwritten signature.</w:t>
      </w:r>
    </w:p>
    <w:p>
      <w:pPr>
        <w:spacing w:after="0" w:line="71" w:lineRule="exact"/>
        <w:rPr>
          <w:rFonts w:ascii="Arial" w:cs="Arial" w:eastAsia="Arial" w:hAnsi="Arial"/>
          <w:sz w:val="18"/>
          <w:szCs w:val="18"/>
          <w:b w:val="1"/>
          <w:bCs w:val="1"/>
          <w:color w:val="auto"/>
        </w:rPr>
      </w:pPr>
    </w:p>
    <w:p>
      <w:pPr>
        <w:ind w:left="980" w:right="18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Forgery </w:t>
      </w:r>
      <w:r>
        <w:rPr>
          <w:rFonts w:ascii="Arial" w:cs="Arial" w:eastAsia="Arial" w:hAnsi="Arial"/>
          <w:sz w:val="18"/>
          <w:szCs w:val="18"/>
          <w:color w:val="auto"/>
        </w:rPr>
        <w:t>does not mean a signature that consists in whole or in part of one’s own name signed with or without authority, in any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purpose.</w:t>
      </w:r>
    </w:p>
    <w:p>
      <w:pPr>
        <w:spacing w:after="0" w:line="67" w:lineRule="exact"/>
        <w:rPr>
          <w:rFonts w:ascii="Arial" w:cs="Arial" w:eastAsia="Arial" w:hAnsi="Arial"/>
          <w:sz w:val="18"/>
          <w:szCs w:val="18"/>
          <w:b w:val="1"/>
          <w:bCs w:val="1"/>
          <w:color w:val="auto"/>
        </w:rPr>
      </w:pPr>
    </w:p>
    <w:p>
      <w:pPr>
        <w:ind w:left="960" w:right="160" w:hanging="532"/>
        <w:spacing w:after="0" w:line="282" w:lineRule="auto"/>
        <w:tabs>
          <w:tab w:leader="none" w:pos="9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Fraudulent Instruction </w:t>
      </w:r>
      <w:r>
        <w:rPr>
          <w:rFonts w:ascii="Arial" w:cs="Arial" w:eastAsia="Arial" w:hAnsi="Arial"/>
          <w:sz w:val="18"/>
          <w:szCs w:val="18"/>
          <w:color w:val="auto"/>
        </w:rPr>
        <w:t>means an intentional, fraudulent and unauthorized instruction directed to the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w:t>
      </w:r>
    </w:p>
    <w:p>
      <w:pPr>
        <w:spacing w:after="0" w:line="71" w:lineRule="exact"/>
        <w:rPr>
          <w:rFonts w:ascii="Arial" w:cs="Arial" w:eastAsia="Arial" w:hAnsi="Arial"/>
          <w:sz w:val="18"/>
          <w:szCs w:val="18"/>
          <w:b w:val="1"/>
          <w:bCs w:val="1"/>
          <w:color w:val="auto"/>
        </w:rPr>
      </w:pPr>
    </w:p>
    <w:p>
      <w:pPr>
        <w:ind w:left="1420" w:hanging="439"/>
        <w:spacing w:after="0"/>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transmitted via telefacsimile, and:</w:t>
      </w:r>
    </w:p>
    <w:p>
      <w:pPr>
        <w:spacing w:after="0" w:line="126" w:lineRule="exact"/>
        <w:rPr>
          <w:rFonts w:ascii="Arial" w:cs="Arial" w:eastAsia="Arial" w:hAnsi="Arial"/>
          <w:sz w:val="18"/>
          <w:szCs w:val="18"/>
          <w:color w:val="auto"/>
        </w:rPr>
      </w:pPr>
    </w:p>
    <w:p>
      <w:pPr>
        <w:ind w:left="1960" w:hanging="533"/>
        <w:spacing w:after="0"/>
        <w:tabs>
          <w:tab w:leader="none" w:pos="1960" w:val="left"/>
        </w:tabs>
        <w:numPr>
          <w:ilvl w:val="2"/>
          <w:numId w:val="30"/>
        </w:numPr>
        <w:rPr>
          <w:rFonts w:ascii="Arial" w:cs="Arial" w:eastAsia="Arial" w:hAnsi="Arial"/>
          <w:sz w:val="17"/>
          <w:szCs w:val="17"/>
          <w:color w:val="auto"/>
        </w:rPr>
      </w:pPr>
      <w:r>
        <w:rPr>
          <w:rFonts w:ascii="Arial" w:cs="Arial" w:eastAsia="Arial" w:hAnsi="Arial"/>
          <w:sz w:val="17"/>
          <w:szCs w:val="17"/>
          <w:color w:val="auto"/>
        </w:rPr>
        <w:t xml:space="preserve">purports and reasonably appears to be from a </w:t>
      </w:r>
      <w:r>
        <w:rPr>
          <w:rFonts w:ascii="Arial" w:cs="Arial" w:eastAsia="Arial" w:hAnsi="Arial"/>
          <w:sz w:val="17"/>
          <w:szCs w:val="17"/>
          <w:b w:val="1"/>
          <w:bCs w:val="1"/>
          <w:color w:val="auto"/>
        </w:rPr>
        <w:t>Customer</w:t>
      </w:r>
      <w:r>
        <w:rPr>
          <w:rFonts w:ascii="Arial" w:cs="Arial" w:eastAsia="Arial" w:hAnsi="Arial"/>
          <w:sz w:val="17"/>
          <w:szCs w:val="17"/>
          <w:color w:val="auto"/>
        </w:rPr>
        <w:t xml:space="preserve">, a </w:t>
      </w:r>
      <w:r>
        <w:rPr>
          <w:rFonts w:ascii="Arial" w:cs="Arial" w:eastAsia="Arial" w:hAnsi="Arial"/>
          <w:sz w:val="17"/>
          <w:szCs w:val="17"/>
          <w:b w:val="1"/>
          <w:bCs w:val="1"/>
          <w:color w:val="auto"/>
        </w:rPr>
        <w:t>Financial Institution</w:t>
      </w:r>
      <w:r>
        <w:rPr>
          <w:rFonts w:ascii="Arial" w:cs="Arial" w:eastAsia="Arial" w:hAnsi="Arial"/>
          <w:sz w:val="17"/>
          <w:szCs w:val="17"/>
          <w:color w:val="auto"/>
        </w:rPr>
        <w:t>, or another office of the Insured;</w:t>
      </w:r>
    </w:p>
    <w:p>
      <w:pPr>
        <w:spacing w:after="0" w:line="142" w:lineRule="exact"/>
        <w:rPr>
          <w:rFonts w:ascii="Arial" w:cs="Arial" w:eastAsia="Arial" w:hAnsi="Arial"/>
          <w:sz w:val="17"/>
          <w:szCs w:val="17"/>
          <w:color w:val="auto"/>
        </w:rPr>
      </w:pPr>
    </w:p>
    <w:p>
      <w:pPr>
        <w:ind w:left="1960" w:hanging="533"/>
        <w:spacing w:after="0"/>
        <w:tabs>
          <w:tab w:leader="none" w:pos="1960" w:val="left"/>
        </w:tabs>
        <w:numPr>
          <w:ilvl w:val="2"/>
          <w:numId w:val="30"/>
        </w:numPr>
        <w:rPr>
          <w:rFonts w:ascii="Arial" w:cs="Arial" w:eastAsia="Arial" w:hAnsi="Arial"/>
          <w:sz w:val="16"/>
          <w:szCs w:val="16"/>
          <w:color w:val="auto"/>
        </w:rPr>
      </w:pPr>
      <w:r>
        <w:rPr>
          <w:rFonts w:ascii="Arial" w:cs="Arial" w:eastAsia="Arial" w:hAnsi="Arial"/>
          <w:sz w:val="16"/>
          <w:szCs w:val="16"/>
          <w:color w:val="auto"/>
        </w:rPr>
        <w:t xml:space="preserve">was in fact transmitted by someone other than a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a </w:t>
      </w:r>
      <w:r>
        <w:rPr>
          <w:rFonts w:ascii="Arial" w:cs="Arial" w:eastAsia="Arial" w:hAnsi="Arial"/>
          <w:sz w:val="16"/>
          <w:szCs w:val="16"/>
          <w:b w:val="1"/>
          <w:bCs w:val="1"/>
          <w:color w:val="auto"/>
        </w:rPr>
        <w:t>Financial Institution</w:t>
      </w:r>
      <w:r>
        <w:rPr>
          <w:rFonts w:ascii="Arial" w:cs="Arial" w:eastAsia="Arial" w:hAnsi="Arial"/>
          <w:sz w:val="16"/>
          <w:szCs w:val="16"/>
          <w:color w:val="auto"/>
        </w:rPr>
        <w:t>, or another office of the Insured; and</w:t>
      </w:r>
    </w:p>
    <w:p>
      <w:pPr>
        <w:spacing w:after="0" w:line="157" w:lineRule="exact"/>
        <w:rPr>
          <w:rFonts w:ascii="Arial" w:cs="Arial" w:eastAsia="Arial" w:hAnsi="Arial"/>
          <w:sz w:val="16"/>
          <w:szCs w:val="16"/>
          <w:color w:val="auto"/>
        </w:rPr>
      </w:pPr>
    </w:p>
    <w:p>
      <w:pPr>
        <w:ind w:left="1960" w:right="400" w:hanging="533"/>
        <w:spacing w:after="0" w:line="277" w:lineRule="auto"/>
        <w:tabs>
          <w:tab w:leader="none" w:pos="19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purports and reasonably appears to contain the handwritten signature of a person authorized to initiate such transfer that proves to have been used by an unauthorized person; or</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transmitted verbally, via telephone, and purports to be from:</w:t>
      </w:r>
    </w:p>
    <w:p>
      <w:pPr>
        <w:spacing w:after="0" w:line="126" w:lineRule="exact"/>
        <w:rPr>
          <w:rFonts w:ascii="Arial" w:cs="Arial" w:eastAsia="Arial" w:hAnsi="Arial"/>
          <w:sz w:val="18"/>
          <w:szCs w:val="18"/>
          <w:color w:val="auto"/>
        </w:rPr>
      </w:pPr>
    </w:p>
    <w:p>
      <w:pPr>
        <w:ind w:left="1960" w:right="340" w:hanging="533"/>
        <w:spacing w:after="0" w:line="282" w:lineRule="auto"/>
        <w:tabs>
          <w:tab w:leader="none" w:pos="19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 xml:space="preserve">an officer, director, partner or employee of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authorized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instruct the Insured or an </w:t>
      </w:r>
      <w:r>
        <w:rPr>
          <w:rFonts w:ascii="Arial" w:cs="Arial" w:eastAsia="Arial" w:hAnsi="Arial"/>
          <w:sz w:val="18"/>
          <w:szCs w:val="18"/>
          <w:b w:val="1"/>
          <w:bCs w:val="1"/>
          <w:color w:val="auto"/>
        </w:rPr>
        <w:t xml:space="preserve">Investment Adviser </w:t>
      </w:r>
      <w:r>
        <w:rPr>
          <w:rFonts w:ascii="Arial" w:cs="Arial" w:eastAsia="Arial" w:hAnsi="Arial"/>
          <w:sz w:val="18"/>
          <w:szCs w:val="18"/>
          <w:color w:val="auto"/>
        </w:rPr>
        <w:t>to make such a transfer;</w:t>
      </w:r>
    </w:p>
    <w:p>
      <w:pPr>
        <w:spacing w:after="0" w:line="67" w:lineRule="exact"/>
        <w:rPr>
          <w:rFonts w:ascii="Arial" w:cs="Arial" w:eastAsia="Arial" w:hAnsi="Arial"/>
          <w:sz w:val="18"/>
          <w:szCs w:val="18"/>
          <w:color w:val="auto"/>
        </w:rPr>
      </w:pPr>
    </w:p>
    <w:p>
      <w:pPr>
        <w:ind w:left="1960" w:hanging="533"/>
        <w:spacing w:after="0"/>
        <w:tabs>
          <w:tab w:leader="none" w:pos="19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 natural person; or</w:t>
      </w:r>
    </w:p>
    <w:p>
      <w:pPr>
        <w:spacing w:after="0" w:line="130" w:lineRule="exact"/>
        <w:rPr>
          <w:rFonts w:ascii="Arial" w:cs="Arial" w:eastAsia="Arial" w:hAnsi="Arial"/>
          <w:sz w:val="18"/>
          <w:szCs w:val="18"/>
          <w:color w:val="auto"/>
        </w:rPr>
      </w:pPr>
    </w:p>
    <w:p>
      <w:pPr>
        <w:ind w:left="1960" w:hanging="533"/>
        <w:spacing w:after="0" w:line="266" w:lineRule="auto"/>
        <w:tabs>
          <w:tab w:leader="none" w:pos="19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 another office of the Insured who was authorized by the Insured to instruct other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to transfer funds on deposit in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specifically designated to receive and act upon such instructions,</w:t>
      </w:r>
    </w:p>
    <w:p>
      <w:pPr>
        <w:spacing w:after="0" w:line="7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but was in fact transmitted by someone other than a person described in paragraph V.2.; or</w:t>
      </w:r>
    </w:p>
    <w:p>
      <w:pPr>
        <w:spacing w:after="0" w:line="127" w:lineRule="exact"/>
        <w:rPr>
          <w:sz w:val="20"/>
          <w:szCs w:val="20"/>
          <w:color w:val="auto"/>
        </w:rPr>
      </w:pPr>
    </w:p>
    <w:p>
      <w:pPr>
        <w:ind w:left="1420" w:right="780" w:hanging="439"/>
        <w:spacing w:after="0" w:line="282"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transmitted via electronic mail and purports and reasonably appears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but was in fact transmitted by someone other than such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54" w:lineRule="exact"/>
        <w:rPr>
          <w:sz w:val="20"/>
          <w:szCs w:val="20"/>
          <w:color w:val="auto"/>
        </w:rPr>
      </w:pPr>
    </w:p>
    <w:p>
      <w:pPr>
        <w:ind w:left="980" w:right="240"/>
        <w:spacing w:after="0" w:line="282" w:lineRule="auto"/>
        <w:rPr>
          <w:sz w:val="20"/>
          <w:szCs w:val="20"/>
          <w:color w:val="auto"/>
        </w:rPr>
      </w:pPr>
      <w:r>
        <w:rPr>
          <w:rFonts w:ascii="Arial" w:cs="Arial" w:eastAsia="Arial" w:hAnsi="Arial"/>
          <w:sz w:val="18"/>
          <w:szCs w:val="18"/>
          <w:b w:val="1"/>
          <w:bCs w:val="1"/>
          <w:color w:val="auto"/>
        </w:rPr>
        <w:t xml:space="preserve">Fraudulent Instruction </w:t>
      </w:r>
      <w:r>
        <w:rPr>
          <w:rFonts w:ascii="Arial" w:cs="Arial" w:eastAsia="Arial" w:hAnsi="Arial"/>
          <w:sz w:val="18"/>
          <w:szCs w:val="18"/>
          <w:color w:val="auto"/>
        </w:rPr>
        <w:t>does not include any instruction that purports to be from a</w:t>
      </w:r>
      <w:r>
        <w:rPr>
          <w:rFonts w:ascii="Arial" w:cs="Arial" w:eastAsia="Arial" w:hAnsi="Arial"/>
          <w:sz w:val="18"/>
          <w:szCs w:val="18"/>
          <w:b w:val="1"/>
          <w:bCs w:val="1"/>
          <w:color w:val="auto"/>
        </w:rPr>
        <w:t xml:space="preserve"> Customer </w:t>
      </w:r>
      <w:r>
        <w:rPr>
          <w:rFonts w:ascii="Arial" w:cs="Arial" w:eastAsia="Arial" w:hAnsi="Arial"/>
          <w:sz w:val="18"/>
          <w:szCs w:val="18"/>
          <w:color w:val="auto"/>
        </w:rPr>
        <w:t>unless the instruction is transmitted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method that is authorized in the </w:t>
      </w:r>
      <w:r>
        <w:rPr>
          <w:rFonts w:ascii="Arial" w:cs="Arial" w:eastAsia="Arial" w:hAnsi="Arial"/>
          <w:sz w:val="18"/>
          <w:szCs w:val="18"/>
          <w:b w:val="1"/>
          <w:bCs w:val="1"/>
          <w:color w:val="auto"/>
        </w:rPr>
        <w:t>Funds Transfer Agreement</w:t>
      </w:r>
      <w:r>
        <w:rPr>
          <w:rFonts w:ascii="Arial" w:cs="Arial" w:eastAsia="Arial" w:hAnsi="Arial"/>
          <w:sz w:val="18"/>
          <w:szCs w:val="18"/>
          <w:color w:val="auto"/>
        </w:rPr>
        <w:t xml:space="preserve"> between the Insured and the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67" w:lineRule="exact"/>
        <w:rPr>
          <w:sz w:val="20"/>
          <w:szCs w:val="20"/>
          <w:color w:val="auto"/>
        </w:rPr>
      </w:pPr>
    </w:p>
    <w:p>
      <w:pPr>
        <w:ind w:left="960" w:hanging="53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Funds Transfer Agreement </w:t>
      </w:r>
      <w:r>
        <w:rPr>
          <w:rFonts w:ascii="Arial" w:cs="Arial" w:eastAsia="Arial" w:hAnsi="Arial"/>
          <w:sz w:val="18"/>
          <w:szCs w:val="18"/>
          <w:color w:val="auto"/>
        </w:rPr>
        <w:t>means an agreement, signed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that:</w:t>
      </w:r>
    </w:p>
    <w:p>
      <w:pPr>
        <w:spacing w:after="0" w:line="130" w:lineRule="exact"/>
        <w:rPr>
          <w:rFonts w:ascii="Arial" w:cs="Arial" w:eastAsia="Arial" w:hAnsi="Arial"/>
          <w:sz w:val="18"/>
          <w:szCs w:val="18"/>
          <w:color w:val="auto"/>
        </w:rPr>
      </w:pPr>
    </w:p>
    <w:p>
      <w:pPr>
        <w:ind w:left="1420" w:right="100" w:hanging="439"/>
        <w:spacing w:after="0" w:line="282" w:lineRule="auto"/>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authorizes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rely on instructions transmitted by either voice, telefacsimile or electronic mail to make funds transfers; and</w:t>
      </w:r>
    </w:p>
    <w:p>
      <w:pPr>
        <w:spacing w:after="0" w:line="67" w:lineRule="exact"/>
        <w:rPr>
          <w:rFonts w:ascii="Arial" w:cs="Arial" w:eastAsia="Arial" w:hAnsi="Arial"/>
          <w:sz w:val="18"/>
          <w:szCs w:val="18"/>
          <w:color w:val="auto"/>
        </w:rPr>
      </w:pPr>
    </w:p>
    <w:p>
      <w:pPr>
        <w:ind w:left="1420" w:hanging="439"/>
        <w:spacing w:after="0"/>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provides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with the names of persons authorized to initiate funds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12 of 25</w:t>
      </w:r>
    </w:p>
    <w:p>
      <w:pPr>
        <w:sectPr>
          <w:pgSz w:w="11900" w:h="16838" w:orient="portrait"/>
          <w:cols w:equalWidth="0" w:num="2">
            <w:col w:w="9200" w:space="720"/>
            <w:col w:w="1060"/>
          </w:cols>
          <w:pgMar w:left="440" w:top="270" w:right="479" w:bottom="1440" w:gutter="0" w:footer="0" w:header="0"/>
          <w:type w:val="continuous"/>
        </w:sectPr>
      </w:pPr>
    </w:p>
    <w:bookmarkStart w:id="20" w:name="page21"/>
    <w:bookmarkEnd w:id="20"/>
    <w:p>
      <w:pPr>
        <w:ind w:left="960" w:right="260" w:hanging="532"/>
        <w:spacing w:after="0" w:line="347" w:lineRule="auto"/>
        <w:tabs>
          <w:tab w:leader="none" w:pos="96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Guarantee </w:t>
      </w:r>
      <w:r>
        <w:rPr>
          <w:rFonts w:ascii="Arial" w:cs="Arial" w:eastAsia="Arial" w:hAnsi="Arial"/>
          <w:sz w:val="16"/>
          <w:szCs w:val="16"/>
          <w:color w:val="auto"/>
        </w:rPr>
        <w:t>means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undertaking obligating the signer to pay the debt of another to the Insured or its assignee or to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Financial</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Institution </w:t>
      </w:r>
      <w:r>
        <w:rPr>
          <w:rFonts w:ascii="Arial" w:cs="Arial" w:eastAsia="Arial" w:hAnsi="Arial"/>
          <w:sz w:val="16"/>
          <w:szCs w:val="16"/>
          <w:color w:val="auto"/>
        </w:rPr>
        <w:t>from which the Insured has purchased participation in the debt, if the debt is not paid in accordance with its terms.</w:t>
      </w:r>
    </w:p>
    <w:p>
      <w:pPr>
        <w:spacing w:after="0" w:line="21" w:lineRule="exact"/>
        <w:rPr>
          <w:rFonts w:ascii="Arial" w:cs="Arial" w:eastAsia="Arial" w:hAnsi="Arial"/>
          <w:sz w:val="16"/>
          <w:szCs w:val="16"/>
          <w:b w:val="1"/>
          <w:bCs w:val="1"/>
          <w:color w:val="auto"/>
        </w:rPr>
      </w:pPr>
    </w:p>
    <w:p>
      <w:pPr>
        <w:ind w:left="960" w:right="80" w:hanging="532"/>
        <w:spacing w:after="0" w:line="282" w:lineRule="auto"/>
        <w:tabs>
          <w:tab w:leader="none" w:pos="9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Instruction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to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requesting that the transfer, pledge, or release from pledge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specified be registered.</w:t>
      </w:r>
    </w:p>
    <w:p>
      <w:pPr>
        <w:spacing w:after="0" w:line="71" w:lineRule="exact"/>
        <w:rPr>
          <w:rFonts w:ascii="Arial" w:cs="Arial" w:eastAsia="Arial" w:hAnsi="Arial"/>
          <w:sz w:val="18"/>
          <w:szCs w:val="18"/>
          <w:b w:val="1"/>
          <w:bCs w:val="1"/>
          <w:color w:val="auto"/>
        </w:rPr>
      </w:pPr>
    </w:p>
    <w:p>
      <w:pPr>
        <w:ind w:left="960" w:right="180" w:hanging="532"/>
        <w:spacing w:after="0" w:line="277" w:lineRule="auto"/>
        <w:tabs>
          <w:tab w:leader="none" w:pos="9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 Adviser </w:t>
      </w:r>
      <w:r>
        <w:rPr>
          <w:rFonts w:ascii="Arial" w:cs="Arial" w:eastAsia="Arial" w:hAnsi="Arial"/>
          <w:sz w:val="18"/>
          <w:szCs w:val="18"/>
          <w:color w:val="auto"/>
        </w:rPr>
        <w:t>means any entity defined in §202(a)(11) of, and registered under, the Investment Advisers Act of 1940, as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only while acting on behalf of the Insured.</w:t>
      </w:r>
    </w:p>
    <w:p>
      <w:pPr>
        <w:spacing w:after="0" w:line="76" w:lineRule="exact"/>
        <w:rPr>
          <w:sz w:val="20"/>
          <w:szCs w:val="20"/>
          <w:color w:val="auto"/>
        </w:rPr>
      </w:pPr>
    </w:p>
    <w:p>
      <w:pPr>
        <w:ind w:left="960" w:hanging="532"/>
        <w:spacing w:after="0"/>
        <w:tabs>
          <w:tab w:leader="none" w:pos="9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Item of Deposit </w:t>
      </w:r>
      <w:r>
        <w:rPr>
          <w:rFonts w:ascii="Arial" w:cs="Arial" w:eastAsia="Arial" w:hAnsi="Arial"/>
          <w:sz w:val="18"/>
          <w:szCs w:val="18"/>
          <w:color w:val="auto"/>
        </w:rPr>
        <w:t>means any checks or drafts deposited into the account of a customer, shareholder or subscriber.</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Larceny or Embezzlement </w:t>
      </w:r>
      <w:r>
        <w:rPr>
          <w:rFonts w:ascii="Arial" w:cs="Arial" w:eastAsia="Arial" w:hAnsi="Arial"/>
          <w:sz w:val="17"/>
          <w:szCs w:val="17"/>
          <w:color w:val="auto"/>
        </w:rPr>
        <w:t>means larceny or embezzlement as defined in the Investment Company Act of 1940, §37 as amended.</w:t>
      </w:r>
    </w:p>
    <w:p>
      <w:pPr>
        <w:spacing w:after="0" w:line="138" w:lineRule="exact"/>
        <w:rPr>
          <w:rFonts w:ascii="Arial" w:cs="Arial" w:eastAsia="Arial" w:hAnsi="Arial"/>
          <w:sz w:val="17"/>
          <w:szCs w:val="17"/>
          <w:b w:val="1"/>
          <w:bCs w:val="1"/>
          <w:color w:val="auto"/>
        </w:rPr>
      </w:pPr>
    </w:p>
    <w:p>
      <w:pPr>
        <w:ind w:left="960" w:hanging="532"/>
        <w:spacing w:after="0" w:line="266" w:lineRule="auto"/>
        <w:tabs>
          <w:tab w:leader="none" w:pos="9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Letter of Credit </w:t>
      </w:r>
      <w:r>
        <w:rPr>
          <w:rFonts w:ascii="Arial" w:cs="Arial" w:eastAsia="Arial" w:hAnsi="Arial"/>
          <w:sz w:val="18"/>
          <w:szCs w:val="18"/>
          <w:color w:val="auto"/>
        </w:rPr>
        <w:t>means an engagement in writing by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 person made at the request of a customer that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Financial Institution </w:t>
      </w:r>
      <w:r>
        <w:rPr>
          <w:rFonts w:ascii="Arial" w:cs="Arial" w:eastAsia="Arial" w:hAnsi="Arial"/>
          <w:sz w:val="18"/>
          <w:szCs w:val="18"/>
          <w:color w:val="auto"/>
        </w:rPr>
        <w:t>or other person will honor drafts or other demands for payment upon compliance with the conditions specified in the</w:t>
      </w:r>
      <w:r>
        <w:rPr>
          <w:rFonts w:ascii="Arial" w:cs="Arial" w:eastAsia="Arial" w:hAnsi="Arial"/>
          <w:sz w:val="18"/>
          <w:szCs w:val="18"/>
          <w:b w:val="1"/>
          <w:bCs w:val="1"/>
          <w:color w:val="auto"/>
        </w:rPr>
        <w:t xml:space="preserve"> Letter of Credit</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960" w:right="500" w:hanging="532"/>
        <w:spacing w:after="0" w:line="277" w:lineRule="auto"/>
        <w:tabs>
          <w:tab w:leader="none" w:pos="9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Loan </w:t>
      </w:r>
      <w:r>
        <w:rPr>
          <w:rFonts w:ascii="Arial" w:cs="Arial" w:eastAsia="Arial" w:hAnsi="Arial"/>
          <w:sz w:val="18"/>
          <w:szCs w:val="18"/>
          <w:color w:val="auto"/>
        </w:rPr>
        <w:t>means all extensions of credit by the Insured and all transactions creating a creditor relationship in favor of the Insured and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by which the Insured assumes an existing creditor relationship.</w:t>
      </w:r>
    </w:p>
    <w:p>
      <w:pPr>
        <w:spacing w:after="0" w:line="71" w:lineRule="exact"/>
        <w:rPr>
          <w:rFonts w:ascii="Arial" w:cs="Arial" w:eastAsia="Arial" w:hAnsi="Arial"/>
          <w:sz w:val="18"/>
          <w:szCs w:val="18"/>
          <w:b w:val="1"/>
          <w:bCs w:val="1"/>
          <w:color w:val="auto"/>
        </w:rPr>
      </w:pPr>
    </w:p>
    <w:p>
      <w:pPr>
        <w:ind w:left="960" w:hanging="532"/>
        <w:spacing w:after="0" w:line="266" w:lineRule="auto"/>
        <w:tabs>
          <w:tab w:leader="none" w:pos="9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Messenger </w:t>
      </w:r>
      <w:r>
        <w:rPr>
          <w:rFonts w:ascii="Arial" w:cs="Arial" w:eastAsia="Arial" w:hAnsi="Arial"/>
          <w:sz w:val="18"/>
          <w:szCs w:val="18"/>
          <w:color w:val="auto"/>
        </w:rPr>
        <w:t>means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in possession of the Insured’s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away from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premises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and any other natural person acting as custodian of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during an emergency arising from the incapacity of the original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960" w:hanging="532"/>
        <w:spacing w:after="0"/>
        <w:tabs>
          <w:tab w:leader="none" w:pos="96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Money </w:t>
      </w:r>
      <w:r>
        <w:rPr>
          <w:rFonts w:ascii="Arial" w:cs="Arial" w:eastAsia="Arial" w:hAnsi="Arial"/>
          <w:sz w:val="16"/>
          <w:szCs w:val="16"/>
          <w:color w:val="auto"/>
        </w:rPr>
        <w:t>means a medium of exchange in current use authorized or adopted by a domestic or foreign government as a part of its currency.</w:t>
      </w:r>
    </w:p>
    <w:p>
      <w:pPr>
        <w:spacing w:after="0" w:line="149" w:lineRule="exact"/>
        <w:rPr>
          <w:rFonts w:ascii="Arial" w:cs="Arial" w:eastAsia="Arial" w:hAnsi="Arial"/>
          <w:sz w:val="16"/>
          <w:szCs w:val="16"/>
          <w:b w:val="1"/>
          <w:bCs w:val="1"/>
          <w:color w:val="auto"/>
        </w:rPr>
      </w:pPr>
    </w:p>
    <w:p>
      <w:pPr>
        <w:ind w:left="960" w:hanging="532"/>
        <w:spacing w:after="0"/>
        <w:tabs>
          <w:tab w:leader="none" w:pos="9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Negotiable Instrument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is signed by the maker or drawer;</w:t>
      </w:r>
    </w:p>
    <w:p>
      <w:pPr>
        <w:spacing w:after="0" w:line="126" w:lineRule="exact"/>
        <w:rPr>
          <w:rFonts w:ascii="Arial" w:cs="Arial" w:eastAsia="Arial" w:hAnsi="Arial"/>
          <w:sz w:val="18"/>
          <w:szCs w:val="18"/>
          <w:color w:val="auto"/>
        </w:rPr>
      </w:pPr>
    </w:p>
    <w:p>
      <w:pPr>
        <w:ind w:left="1420" w:hanging="439"/>
        <w:spacing w:after="0" w:line="282" w:lineRule="auto"/>
        <w:tabs>
          <w:tab w:leader="none" w:pos="1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contains an unconditional promise or order to pay a sum certain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and no other promise, order, obligation or power given by the maker or drawer;</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also means a counterfeit check or</w:t>
      </w:r>
      <w:r>
        <w:rPr>
          <w:rFonts w:ascii="Arial" w:cs="Arial" w:eastAsia="Arial" w:hAnsi="Arial"/>
          <w:sz w:val="18"/>
          <w:szCs w:val="18"/>
          <w:b w:val="1"/>
          <w:bCs w:val="1"/>
          <w:color w:val="auto"/>
        </w:rPr>
        <w:t xml:space="preserve"> Substitute Check.</w:t>
      </w:r>
    </w:p>
    <w:p>
      <w:pPr>
        <w:spacing w:after="0" w:line="135" w:lineRule="exact"/>
        <w:rPr>
          <w:sz w:val="20"/>
          <w:szCs w:val="20"/>
          <w:color w:val="auto"/>
        </w:rPr>
      </w:pPr>
    </w:p>
    <w:p>
      <w:pPr>
        <w:ind w:left="960" w:right="40" w:hanging="532"/>
        <w:spacing w:after="0" w:line="296" w:lineRule="auto"/>
        <w:tabs>
          <w:tab w:leader="none" w:pos="96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Network </w:t>
      </w:r>
      <w:r>
        <w:rPr>
          <w:rFonts w:ascii="Arial" w:cs="Arial" w:eastAsia="Arial" w:hAnsi="Arial"/>
          <w:sz w:val="16"/>
          <w:szCs w:val="16"/>
          <w:color w:val="auto"/>
        </w:rPr>
        <w:t>means any and all services provided by or through the facilities of any electronic or computer communication system,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Arial" w:cs="Arial" w:eastAsia="Arial" w:hAnsi="Arial"/>
          <w:sz w:val="16"/>
          <w:szCs w:val="16"/>
          <w:b w:val="1"/>
          <w:bCs w:val="1"/>
          <w:color w:val="auto"/>
        </w:rPr>
        <w:t>Computer System.</w:t>
      </w:r>
    </w:p>
    <w:p>
      <w:pPr>
        <w:spacing w:after="0" w:line="66" w:lineRule="exact"/>
        <w:rPr>
          <w:rFonts w:ascii="Arial" w:cs="Arial" w:eastAsia="Arial" w:hAnsi="Arial"/>
          <w:sz w:val="16"/>
          <w:szCs w:val="16"/>
          <w:b w:val="1"/>
          <w:bCs w:val="1"/>
          <w:color w:val="auto"/>
        </w:rPr>
      </w:pPr>
    </w:p>
    <w:p>
      <w:pPr>
        <w:ind w:left="960" w:hanging="532"/>
        <w:spacing w:after="0"/>
        <w:tabs>
          <w:tab w:leader="none" w:pos="96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Original </w:t>
      </w:r>
      <w:r>
        <w:rPr>
          <w:rFonts w:ascii="Arial" w:cs="Arial" w:eastAsia="Arial" w:hAnsi="Arial"/>
          <w:sz w:val="16"/>
          <w:szCs w:val="16"/>
          <w:color w:val="auto"/>
        </w:rPr>
        <w:t>means the first rendering or archetype and does not include photocopies or electronic transmissions even if received and printed.</w:t>
      </w:r>
    </w:p>
    <w:p>
      <w:pPr>
        <w:spacing w:after="0" w:line="153" w:lineRule="exact"/>
        <w:rPr>
          <w:rFonts w:ascii="Arial" w:cs="Arial" w:eastAsia="Arial" w:hAnsi="Arial"/>
          <w:sz w:val="16"/>
          <w:szCs w:val="16"/>
          <w:b w:val="1"/>
          <w:bCs w:val="1"/>
          <w:color w:val="auto"/>
        </w:rPr>
      </w:pPr>
    </w:p>
    <w:p>
      <w:pPr>
        <w:ind w:left="960" w:hanging="532"/>
        <w:spacing w:after="0"/>
        <w:tabs>
          <w:tab w:leader="none" w:pos="9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Pre-Determined Telephone Number </w:t>
      </w:r>
      <w:r>
        <w:rPr>
          <w:rFonts w:ascii="Arial" w:cs="Arial" w:eastAsia="Arial" w:hAnsi="Arial"/>
          <w:sz w:val="18"/>
          <w:szCs w:val="18"/>
          <w:color w:val="auto"/>
        </w:rPr>
        <w:t>means a telephone number that:</w:t>
      </w:r>
    </w:p>
    <w:p>
      <w:pPr>
        <w:spacing w:after="0" w:line="126" w:lineRule="exact"/>
        <w:rPr>
          <w:rFonts w:ascii="Arial" w:cs="Arial" w:eastAsia="Arial" w:hAnsi="Arial"/>
          <w:sz w:val="18"/>
          <w:szCs w:val="18"/>
          <w:b w:val="1"/>
          <w:bCs w:val="1"/>
          <w:color w:val="auto"/>
        </w:rPr>
      </w:pPr>
    </w:p>
    <w:p>
      <w:pPr>
        <w:ind w:left="1420" w:hanging="439"/>
        <w:spacing w:after="0"/>
        <w:tabs>
          <w:tab w:leader="none" w:pos="1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was provided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when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opened the account with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13 of 25</w:t>
      </w:r>
    </w:p>
    <w:p>
      <w:pPr>
        <w:sectPr>
          <w:pgSz w:w="11900" w:h="16838" w:orient="portrait"/>
          <w:cols w:equalWidth="0" w:num="2">
            <w:col w:w="9200" w:space="720"/>
            <w:col w:w="1060"/>
          </w:cols>
          <w:pgMar w:left="440" w:top="270" w:right="479" w:bottom="1440" w:gutter="0" w:footer="0" w:header="0"/>
          <w:type w:val="continuous"/>
        </w:sectPr>
      </w:pPr>
    </w:p>
    <w:bookmarkStart w:id="21" w:name="page22"/>
    <w:bookmarkEnd w:id="21"/>
    <w:p>
      <w:pPr>
        <w:ind w:left="1420" w:hanging="439"/>
        <w:spacing w:after="0" w:line="266"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was provided in person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after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opened the account with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physically present on the Insured’s or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premises and while presenting a government-issued photo identification;</w:t>
      </w:r>
    </w:p>
    <w:p>
      <w:pPr>
        <w:spacing w:after="0" w:line="81" w:lineRule="exact"/>
        <w:rPr>
          <w:rFonts w:ascii="Arial" w:cs="Arial" w:eastAsia="Arial" w:hAnsi="Arial"/>
          <w:sz w:val="18"/>
          <w:szCs w:val="18"/>
          <w:color w:val="auto"/>
        </w:rPr>
      </w:pPr>
    </w:p>
    <w:p>
      <w:pPr>
        <w:ind w:left="1420" w:hanging="439"/>
        <w:spacing w:after="0"/>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was provided in a </w:t>
      </w:r>
      <w:r>
        <w:rPr>
          <w:rFonts w:ascii="Arial" w:cs="Arial" w:eastAsia="Arial" w:hAnsi="Arial"/>
          <w:sz w:val="18"/>
          <w:szCs w:val="18"/>
          <w:b w:val="1"/>
          <w:bCs w:val="1"/>
          <w:color w:val="auto"/>
        </w:rPr>
        <w:t>Funds Transfer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right="140" w:hanging="439"/>
        <w:spacing w:after="0" w:line="266"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provided that confirmation of the legitimacy of the change was achieved through direct contact with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at a telephone number described in paragraph JJ.1., JJ.2. or JJ.3. above; or</w:t>
      </w:r>
    </w:p>
    <w:p>
      <w:pPr>
        <w:spacing w:after="0" w:line="81" w:lineRule="exact"/>
        <w:rPr>
          <w:rFonts w:ascii="Arial" w:cs="Arial" w:eastAsia="Arial" w:hAnsi="Arial"/>
          <w:sz w:val="18"/>
          <w:szCs w:val="18"/>
          <w:color w:val="auto"/>
        </w:rPr>
      </w:pPr>
    </w:p>
    <w:p>
      <w:pPr>
        <w:ind w:left="1420" w:right="160" w:hanging="439"/>
        <w:spacing w:after="0" w:line="282"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the Insured or the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Adviser </w:t>
      </w:r>
      <w:r>
        <w:rPr>
          <w:rFonts w:ascii="Arial" w:cs="Arial" w:eastAsia="Arial" w:hAnsi="Arial"/>
          <w:sz w:val="18"/>
          <w:szCs w:val="18"/>
          <w:color w:val="auto"/>
        </w:rPr>
        <w:t>at least 30 days prior to the receipt of the</w:t>
      </w:r>
      <w:r>
        <w:rPr>
          <w:rFonts w:ascii="Arial" w:cs="Arial" w:eastAsia="Arial" w:hAnsi="Arial"/>
          <w:sz w:val="18"/>
          <w:szCs w:val="18"/>
          <w:b w:val="1"/>
          <w:bCs w:val="1"/>
          <w:color w:val="auto"/>
        </w:rPr>
        <w:t xml:space="preserve"> Fraudulent Instruction</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Property </w:t>
      </w:r>
      <w:r>
        <w:rPr>
          <w:rFonts w:ascii="Arial" w:cs="Arial" w:eastAsia="Arial" w:hAnsi="Arial"/>
          <w:sz w:val="17"/>
          <w:szCs w:val="17"/>
          <w:color w:val="auto"/>
        </w:rPr>
        <w:t>means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Money, Certificated Securities, Uncertificated Securities, Negotiable Instruments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Certificates of Deposit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Documents of Title</w:t>
      </w:r>
      <w:r>
        <w:rPr>
          <w:rFonts w:ascii="Arial" w:cs="Arial" w:eastAsia="Arial" w:hAnsi="Arial"/>
          <w:sz w:val="17"/>
          <w:szCs w:val="17"/>
          <w:color w:val="auto"/>
        </w:rPr>
        <w:t>,</w:t>
      </w:r>
      <w:r>
        <w:rPr>
          <w:rFonts w:ascii="Arial" w:cs="Arial" w:eastAsia="Arial" w:hAnsi="Arial"/>
          <w:sz w:val="17"/>
          <w:szCs w:val="17"/>
          <w:b w:val="1"/>
          <w:bCs w:val="1"/>
          <w:color w:val="auto"/>
        </w:rPr>
        <w:t xml:space="preserve"> Acceptances</w:t>
      </w:r>
      <w:r>
        <w:rPr>
          <w:rFonts w:ascii="Arial" w:cs="Arial" w:eastAsia="Arial" w:hAnsi="Arial"/>
          <w:sz w:val="17"/>
          <w:szCs w:val="17"/>
          <w:color w:val="auto"/>
        </w:rPr>
        <w:t>,</w:t>
      </w:r>
      <w:r>
        <w:rPr>
          <w:rFonts w:ascii="Arial" w:cs="Arial" w:eastAsia="Arial" w:hAnsi="Arial"/>
          <w:sz w:val="17"/>
          <w:szCs w:val="17"/>
          <w:b w:val="1"/>
          <w:bCs w:val="1"/>
          <w:color w:val="auto"/>
        </w:rPr>
        <w:t xml:space="preserve"> Evidences of Debt</w:t>
      </w:r>
      <w:r>
        <w:rPr>
          <w:rFonts w:ascii="Arial" w:cs="Arial" w:eastAsia="Arial" w:hAnsi="Arial"/>
          <w:sz w:val="17"/>
          <w:szCs w:val="17"/>
          <w:color w:val="auto"/>
        </w:rPr>
        <w:t>,</w:t>
      </w:r>
      <w:r>
        <w:rPr>
          <w:rFonts w:ascii="Arial" w:cs="Arial" w:eastAsia="Arial" w:hAnsi="Arial"/>
          <w:sz w:val="17"/>
          <w:szCs w:val="17"/>
          <w:b w:val="1"/>
          <w:bCs w:val="1"/>
          <w:color w:val="auto"/>
        </w:rPr>
        <w:t xml:space="preserve"> Security Agreements</w:t>
      </w:r>
      <w:r>
        <w:rPr>
          <w:rFonts w:ascii="Arial" w:cs="Arial" w:eastAsia="Arial" w:hAnsi="Arial"/>
          <w:sz w:val="17"/>
          <w:szCs w:val="17"/>
          <w:color w:val="auto"/>
        </w:rPr>
        <w:t>,</w:t>
      </w:r>
      <w:r>
        <w:rPr>
          <w:rFonts w:ascii="Arial" w:cs="Arial" w:eastAsia="Arial" w:hAnsi="Arial"/>
          <w:sz w:val="17"/>
          <w:szCs w:val="17"/>
          <w:b w:val="1"/>
          <w:bCs w:val="1"/>
          <w:color w:val="auto"/>
        </w:rPr>
        <w:t xml:space="preserve"> Withdrawal Orders</w:t>
      </w:r>
      <w:r>
        <w:rPr>
          <w:rFonts w:ascii="Arial" w:cs="Arial" w:eastAsia="Arial" w:hAnsi="Arial"/>
          <w:sz w:val="17"/>
          <w:szCs w:val="17"/>
          <w:color w:val="auto"/>
        </w:rPr>
        <w:t>,</w:t>
      </w:r>
      <w:r>
        <w:rPr>
          <w:rFonts w:ascii="Arial" w:cs="Arial" w:eastAsia="Arial" w:hAnsi="Arial"/>
          <w:sz w:val="17"/>
          <w:szCs w:val="17"/>
          <w:b w:val="1"/>
          <w:bCs w:val="1"/>
          <w:color w:val="auto"/>
        </w:rPr>
        <w:t xml:space="preserve"> Certificates of Origin or Title</w:t>
      </w:r>
      <w:r>
        <w:rPr>
          <w:rFonts w:ascii="Arial" w:cs="Arial" w:eastAsia="Arial" w:hAnsi="Arial"/>
          <w:sz w:val="17"/>
          <w:szCs w:val="17"/>
          <w:color w:val="auto"/>
        </w:rPr>
        <w:t>,</w:t>
      </w:r>
      <w:r>
        <w:rPr>
          <w:rFonts w:ascii="Arial" w:cs="Arial" w:eastAsia="Arial" w:hAnsi="Arial"/>
          <w:sz w:val="17"/>
          <w:szCs w:val="17"/>
          <w:b w:val="1"/>
          <w:bCs w:val="1"/>
          <w:color w:val="auto"/>
        </w:rPr>
        <w:t xml:space="preserve"> Letters of Credit</w:t>
      </w:r>
      <w:r>
        <w:rPr>
          <w:rFonts w:ascii="Arial" w:cs="Arial" w:eastAsia="Arial" w:hAnsi="Arial"/>
          <w:sz w:val="17"/>
          <w:szCs w:val="17"/>
          <w:color w:val="auto"/>
        </w:rPr>
        <w:t>, insurance policies, abstracts of title, deeds and mortgages on real estate, revenue and other stamps, tokens, unsold state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lottery tickets, books of account and other records whether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or recorded electronically, gems, jewelry, precious metals of all kinds and in any form, and tangible items of personal property that are not hereinbefore enumerated.</w:t>
      </w:r>
    </w:p>
    <w:p>
      <w:pPr>
        <w:spacing w:after="0" w:line="73" w:lineRule="exact"/>
        <w:rPr>
          <w:rFonts w:ascii="Arial" w:cs="Arial" w:eastAsia="Arial" w:hAnsi="Arial"/>
          <w:sz w:val="17"/>
          <w:szCs w:val="17"/>
          <w:b w:val="1"/>
          <w:bCs w:val="1"/>
          <w:color w:val="auto"/>
        </w:rPr>
      </w:pPr>
    </w:p>
    <w:p>
      <w:pPr>
        <w:ind w:left="960" w:right="40" w:hanging="532"/>
        <w:spacing w:after="0" w:line="294" w:lineRule="auto"/>
        <w:tabs>
          <w:tab w:leader="none" w:pos="96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Restoration Expenses </w:t>
      </w:r>
      <w:r>
        <w:rPr>
          <w:rFonts w:ascii="Arial" w:cs="Arial" w:eastAsia="Arial" w:hAnsi="Arial"/>
          <w:sz w:val="16"/>
          <w:szCs w:val="16"/>
          <w:color w:val="auto"/>
        </w:rPr>
        <w:t>means reasonable costs incurred by the Insured or 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Investment Adviser</w:t>
      </w:r>
      <w:r>
        <w:rPr>
          <w:rFonts w:ascii="Arial" w:cs="Arial" w:eastAsia="Arial" w:hAnsi="Arial"/>
          <w:sz w:val="16"/>
          <w:szCs w:val="16"/>
          <w:color w:val="auto"/>
        </w:rPr>
        <w:t>, with the Company’s prior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consent, to restore, replace or reproduce damaged or destroyed computer programs, software or other electronic data stored within a </w:t>
      </w:r>
      <w:r>
        <w:rPr>
          <w:rFonts w:ascii="Arial" w:cs="Arial" w:eastAsia="Arial" w:hAnsi="Arial"/>
          <w:sz w:val="16"/>
          <w:szCs w:val="16"/>
          <w:b w:val="1"/>
          <w:bCs w:val="1"/>
          <w:color w:val="auto"/>
        </w:rPr>
        <w:t>Computer System</w:t>
      </w:r>
      <w:r>
        <w:rPr>
          <w:rFonts w:ascii="Arial" w:cs="Arial" w:eastAsia="Arial" w:hAnsi="Arial"/>
          <w:sz w:val="16"/>
          <w:szCs w:val="16"/>
          <w:color w:val="auto"/>
        </w:rPr>
        <w:t>, or that the Insured owns, holds or is responsible for, to the condition that existed immediately preceding a</w:t>
      </w:r>
      <w:r>
        <w:rPr>
          <w:rFonts w:ascii="Arial" w:cs="Arial" w:eastAsia="Arial" w:hAnsi="Arial"/>
          <w:sz w:val="16"/>
          <w:szCs w:val="16"/>
          <w:b w:val="1"/>
          <w:bCs w:val="1"/>
          <w:color w:val="auto"/>
        </w:rPr>
        <w:t xml:space="preserve"> Computer Violation</w:t>
      </w:r>
      <w:r>
        <w:rPr>
          <w:rFonts w:ascii="Arial" w:cs="Arial" w:eastAsia="Arial" w:hAnsi="Arial"/>
          <w:sz w:val="16"/>
          <w:szCs w:val="16"/>
          <w:color w:val="auto"/>
        </w:rPr>
        <w:t>; provided that if it is determined by the Insured or</w:t>
      </w:r>
      <w:r>
        <w:rPr>
          <w:rFonts w:ascii="Arial" w:cs="Arial" w:eastAsia="Arial" w:hAnsi="Arial"/>
          <w:sz w:val="16"/>
          <w:szCs w:val="16"/>
          <w:b w:val="1"/>
          <w:bCs w:val="1"/>
          <w:color w:val="auto"/>
        </w:rPr>
        <w:t xml:space="preserve"> Investment Adviser </w:t>
      </w:r>
      <w:r>
        <w:rPr>
          <w:rFonts w:ascii="Arial" w:cs="Arial" w:eastAsia="Arial" w:hAnsi="Arial"/>
          <w:sz w:val="16"/>
          <w:szCs w:val="16"/>
          <w:color w:val="auto"/>
        </w:rPr>
        <w:t>that such computer programs, software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electronic data cannot reasonably be restored, replaced or reproduced, then </w:t>
      </w:r>
      <w:r>
        <w:rPr>
          <w:rFonts w:ascii="Arial" w:cs="Arial" w:eastAsia="Arial" w:hAnsi="Arial"/>
          <w:sz w:val="16"/>
          <w:szCs w:val="16"/>
          <w:b w:val="1"/>
          <w:bCs w:val="1"/>
          <w:color w:val="auto"/>
        </w:rPr>
        <w:t>Restoration Expenses</w:t>
      </w:r>
      <w:r>
        <w:rPr>
          <w:rFonts w:ascii="Arial" w:cs="Arial" w:eastAsia="Arial" w:hAnsi="Arial"/>
          <w:sz w:val="16"/>
          <w:szCs w:val="16"/>
          <w:color w:val="auto"/>
        </w:rPr>
        <w:t xml:space="preserve"> means only the reasonable costs incurred by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with the Company’s prior written consent, to reach such determination.</w:t>
      </w:r>
    </w:p>
    <w:p>
      <w:pPr>
        <w:spacing w:after="0" w:line="51"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do not include:</w:t>
      </w:r>
    </w:p>
    <w:p>
      <w:pPr>
        <w:spacing w:after="0" w:line="134" w:lineRule="exact"/>
        <w:rPr>
          <w:rFonts w:ascii="Arial" w:cs="Arial" w:eastAsia="Arial" w:hAnsi="Arial"/>
          <w:sz w:val="16"/>
          <w:szCs w:val="16"/>
          <w:b w:val="1"/>
          <w:bCs w:val="1"/>
          <w:color w:val="auto"/>
        </w:rPr>
      </w:pPr>
    </w:p>
    <w:p>
      <w:pPr>
        <w:ind w:left="1420" w:right="100" w:hanging="439"/>
        <w:spacing w:after="0" w:line="277"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expenses incurred as a result of the reconstruction of computer programs, software, or other electronic data that the Insured did not have a license to use;</w:t>
      </w:r>
    </w:p>
    <w:p>
      <w:pPr>
        <w:spacing w:after="0" w:line="75" w:lineRule="exact"/>
        <w:rPr>
          <w:rFonts w:ascii="Arial" w:cs="Arial" w:eastAsia="Arial" w:hAnsi="Arial"/>
          <w:sz w:val="18"/>
          <w:szCs w:val="18"/>
          <w:color w:val="auto"/>
        </w:rPr>
      </w:pPr>
    </w:p>
    <w:p>
      <w:pPr>
        <w:ind w:left="1420" w:right="220" w:hanging="439"/>
        <w:spacing w:after="0" w:line="263"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expenses incurred to restore, replace, or reproduce damaged or destroyed computer programs, software or other electronic data if such damage or destruction was caused by computer programs, software, or other electronic data that the Insured did not have a license to use;</w:t>
      </w:r>
    </w:p>
    <w:p>
      <w:pPr>
        <w:spacing w:after="0" w:line="89" w:lineRule="exact"/>
        <w:rPr>
          <w:rFonts w:ascii="Arial" w:cs="Arial" w:eastAsia="Arial" w:hAnsi="Arial"/>
          <w:sz w:val="18"/>
          <w:szCs w:val="18"/>
          <w:color w:val="auto"/>
        </w:rPr>
      </w:pPr>
    </w:p>
    <w:p>
      <w:pPr>
        <w:ind w:left="1420" w:right="320" w:hanging="439"/>
        <w:spacing w:after="0" w:line="277"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expenses incurred to design, update, improve, or perfect the operation or performance of computer programs, software, or other electronic data; or</w:t>
      </w:r>
    </w:p>
    <w:p>
      <w:pPr>
        <w:spacing w:after="0" w:line="75" w:lineRule="exact"/>
        <w:rPr>
          <w:rFonts w:ascii="Arial" w:cs="Arial" w:eastAsia="Arial" w:hAnsi="Arial"/>
          <w:sz w:val="18"/>
          <w:szCs w:val="18"/>
          <w:color w:val="auto"/>
        </w:rPr>
      </w:pPr>
    </w:p>
    <w:p>
      <w:pPr>
        <w:ind w:left="1420" w:right="440" w:hanging="439"/>
        <w:spacing w:after="0" w:line="277"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expenses incurred to redo the work product, research, or analysis that was the basis of, or resulted in, any computer programs, software, or other electronic data stored.</w:t>
      </w:r>
    </w:p>
    <w:p>
      <w:pPr>
        <w:spacing w:after="0" w:line="71" w:lineRule="exact"/>
        <w:rPr>
          <w:rFonts w:ascii="Arial" w:cs="Arial" w:eastAsia="Arial" w:hAnsi="Arial"/>
          <w:sz w:val="18"/>
          <w:szCs w:val="18"/>
          <w:color w:val="auto"/>
        </w:rPr>
      </w:pPr>
    </w:p>
    <w:p>
      <w:pPr>
        <w:ind w:left="960" w:right="420" w:hanging="532"/>
        <w:spacing w:after="0" w:line="282" w:lineRule="auto"/>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Agreement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that creates an interest in personal property or fixtures and that secures payment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of an obligation.</w:t>
      </w:r>
    </w:p>
    <w:p>
      <w:pPr>
        <w:spacing w:after="0" w:line="67" w:lineRule="exact"/>
        <w:rPr>
          <w:rFonts w:ascii="Arial" w:cs="Arial" w:eastAsia="Arial" w:hAnsi="Arial"/>
          <w:sz w:val="18"/>
          <w:szCs w:val="18"/>
          <w:b w:val="1"/>
          <w:bCs w:val="1"/>
          <w:color w:val="auto"/>
        </w:rPr>
      </w:pPr>
    </w:p>
    <w:p>
      <w:pPr>
        <w:ind w:left="960" w:right="220" w:hanging="532"/>
        <w:spacing w:after="0" w:line="266" w:lineRule="auto"/>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Procedure </w:t>
      </w:r>
      <w:r>
        <w:rPr>
          <w:rFonts w:ascii="Arial" w:cs="Arial" w:eastAsia="Arial" w:hAnsi="Arial"/>
          <w:sz w:val="18"/>
          <w:szCs w:val="18"/>
          <w:color w:val="auto"/>
        </w:rPr>
        <w:t>means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authentication process, other than voice recognition,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requires the use of algorithms or other codes, identifying words or numbers, encryption, or similar security devices or procedures. The following are not considered a </w:t>
      </w:r>
      <w:r>
        <w:rPr>
          <w:rFonts w:ascii="Arial" w:cs="Arial" w:eastAsia="Arial" w:hAnsi="Arial"/>
          <w:sz w:val="18"/>
          <w:szCs w:val="18"/>
          <w:b w:val="1"/>
          <w:bCs w:val="1"/>
          <w:color w:val="auto"/>
        </w:rPr>
        <w:t>Security Procedure</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1420" w:hanging="439"/>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 general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establish security procedures;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perform a callback or other security procedure;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will only accept requests from persons named on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20"/>
          </w:cols>
          <w:pgMar w:left="440" w:top="270" w:right="5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Page 14 of 25</w:t>
      </w:r>
    </w:p>
    <w:p>
      <w:pPr>
        <w:sectPr>
          <w:pgSz w:w="11900" w:h="16838" w:orient="portrait"/>
          <w:cols w:equalWidth="0" w:num="2">
            <w:col w:w="9200" w:space="720"/>
            <w:col w:w="1000"/>
          </w:cols>
          <w:pgMar w:left="440" w:top="270" w:right="539" w:bottom="1440" w:gutter="0" w:footer="0" w:header="0"/>
          <w:type w:val="continuous"/>
        </w:sectPr>
      </w:pPr>
    </w:p>
    <w:bookmarkStart w:id="22" w:name="page23"/>
    <w:bookmarkEnd w:id="22"/>
    <w:p>
      <w:pPr>
        <w:ind w:left="960" w:hanging="532"/>
        <w:spacing w:after="0"/>
        <w:tabs>
          <w:tab w:leader="none" w:pos="9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Single Loss </w:t>
      </w:r>
      <w:r>
        <w:rPr>
          <w:rFonts w:ascii="Arial" w:cs="Arial" w:eastAsia="Arial" w:hAnsi="Arial"/>
          <w:sz w:val="18"/>
          <w:szCs w:val="18"/>
          <w:color w:val="auto"/>
        </w:rPr>
        <w:t>has the meaning set forth in section VI. CONDITIONS, D. SINGLE LOSS.</w:t>
      </w:r>
    </w:p>
    <w:p>
      <w:pPr>
        <w:spacing w:after="0" w:line="126" w:lineRule="exact"/>
        <w:rPr>
          <w:rFonts w:ascii="Arial" w:cs="Arial" w:eastAsia="Arial" w:hAnsi="Arial"/>
          <w:sz w:val="18"/>
          <w:szCs w:val="18"/>
          <w:b w:val="1"/>
          <w:bCs w:val="1"/>
          <w:color w:val="auto"/>
        </w:rPr>
      </w:pPr>
    </w:p>
    <w:p>
      <w:pPr>
        <w:ind w:left="960" w:hanging="532"/>
        <w:spacing w:after="0"/>
        <w:tabs>
          <w:tab w:leader="none" w:pos="9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Statement of Uncertificated Security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of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containing:</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a description of the issue of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a part;</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number of shares or units:</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released from pledge by the registered pledgee;</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subject to pledge on the date of the statement;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pledgee;</w:t>
      </w:r>
    </w:p>
    <w:p>
      <w:pPr>
        <w:spacing w:after="0" w:line="126" w:lineRule="exact"/>
        <w:rPr>
          <w:rFonts w:ascii="Arial" w:cs="Arial" w:eastAsia="Arial" w:hAnsi="Arial"/>
          <w:sz w:val="18"/>
          <w:szCs w:val="18"/>
          <w:color w:val="auto"/>
        </w:rPr>
      </w:pPr>
    </w:p>
    <w:p>
      <w:pPr>
        <w:ind w:left="1420" w:right="500" w:hanging="439"/>
        <w:spacing w:after="0" w:line="282" w:lineRule="auto"/>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a notation of any liens and restrictions of the issuer and any adverse claims to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or may be subject to, or a statement that there are none of those liens, restrictions or adverse claims; and</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date:</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shares or units was registered;</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126" w:lineRule="exact"/>
        <w:rPr>
          <w:rFonts w:ascii="Arial" w:cs="Arial" w:eastAsia="Arial" w:hAnsi="Arial"/>
          <w:sz w:val="18"/>
          <w:szCs w:val="18"/>
          <w:color w:val="auto"/>
        </w:rPr>
      </w:pPr>
    </w:p>
    <w:p>
      <w:pPr>
        <w:ind w:left="960" w:right="160" w:hanging="532"/>
        <w:spacing w:after="0" w:line="282" w:lineRule="auto"/>
        <w:tabs>
          <w:tab w:leader="none" w:pos="9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Substitute Check </w:t>
      </w:r>
      <w:r>
        <w:rPr>
          <w:rFonts w:ascii="Arial" w:cs="Arial" w:eastAsia="Arial" w:hAnsi="Arial"/>
          <w:sz w:val="18"/>
          <w:szCs w:val="18"/>
          <w:color w:val="auto"/>
        </w:rPr>
        <w:t>means a paper reproduction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 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check as defined in the Check Clearing for the 21</w:t>
      </w:r>
      <w:r>
        <w:rPr>
          <w:rFonts w:ascii="Arial" w:cs="Arial" w:eastAsia="Arial" w:hAnsi="Arial"/>
          <w:sz w:val="15"/>
          <w:szCs w:val="15"/>
          <w:color w:val="auto"/>
        </w:rPr>
        <w:t>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Century Act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2003, as amended.</w:t>
      </w:r>
    </w:p>
    <w:p>
      <w:pPr>
        <w:spacing w:after="0" w:line="71" w:lineRule="exact"/>
        <w:rPr>
          <w:rFonts w:ascii="Arial" w:cs="Arial" w:eastAsia="Arial" w:hAnsi="Arial"/>
          <w:sz w:val="18"/>
          <w:szCs w:val="18"/>
          <w:b w:val="1"/>
          <w:bCs w:val="1"/>
          <w:color w:val="auto"/>
        </w:rPr>
      </w:pPr>
    </w:p>
    <w:p>
      <w:pPr>
        <w:ind w:left="960" w:right="540" w:hanging="532"/>
        <w:spacing w:after="0" w:line="277" w:lineRule="auto"/>
        <w:tabs>
          <w:tab w:leader="none" w:pos="9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Transportation Company </w:t>
      </w:r>
      <w:r>
        <w:rPr>
          <w:rFonts w:ascii="Arial" w:cs="Arial" w:eastAsia="Arial" w:hAnsi="Arial"/>
          <w:sz w:val="18"/>
          <w:szCs w:val="18"/>
          <w:color w:val="auto"/>
        </w:rPr>
        <w:t>means any organization that provides its own or leased vehicles for transportation or that provides freight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forwarding or air express services.</w:t>
      </w:r>
    </w:p>
    <w:p>
      <w:pPr>
        <w:spacing w:after="0" w:line="75" w:lineRule="exact"/>
        <w:rPr>
          <w:rFonts w:ascii="Arial" w:cs="Arial" w:eastAsia="Arial" w:hAnsi="Arial"/>
          <w:sz w:val="18"/>
          <w:szCs w:val="18"/>
          <w:b w:val="1"/>
          <w:bCs w:val="1"/>
          <w:color w:val="auto"/>
        </w:rPr>
      </w:pPr>
    </w:p>
    <w:p>
      <w:pPr>
        <w:ind w:left="960" w:right="220" w:hanging="532"/>
        <w:spacing w:after="0" w:line="277" w:lineRule="auto"/>
        <w:tabs>
          <w:tab w:leader="none" w:pos="9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Uncertificated Security </w:t>
      </w:r>
      <w:r>
        <w:rPr>
          <w:rFonts w:ascii="Arial" w:cs="Arial" w:eastAsia="Arial" w:hAnsi="Arial"/>
          <w:sz w:val="18"/>
          <w:szCs w:val="18"/>
          <w:color w:val="auto"/>
        </w:rPr>
        <w:t>means a share, participation or other interest in property of, or an enterprise of, the issuer or an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issuer, that is:</w:t>
      </w:r>
    </w:p>
    <w:p>
      <w:pPr>
        <w:spacing w:after="0" w:line="71" w:lineRule="exact"/>
        <w:rPr>
          <w:rFonts w:ascii="Arial" w:cs="Arial" w:eastAsia="Arial" w:hAnsi="Arial"/>
          <w:sz w:val="18"/>
          <w:szCs w:val="18"/>
          <w:b w:val="1"/>
          <w:bCs w:val="1"/>
          <w:color w:val="auto"/>
        </w:rPr>
      </w:pPr>
    </w:p>
    <w:p>
      <w:pPr>
        <w:ind w:left="1420" w:right="500" w:hanging="439"/>
        <w:spacing w:after="0" w:line="282" w:lineRule="auto"/>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not 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 and the transfer of which is registered upon books maintained for that purpose by or on behalf of the issuer;</w:t>
      </w:r>
    </w:p>
    <w:p>
      <w:pPr>
        <w:spacing w:after="0" w:line="71" w:lineRule="exact"/>
        <w:rPr>
          <w:rFonts w:ascii="Arial" w:cs="Arial" w:eastAsia="Arial" w:hAnsi="Arial"/>
          <w:sz w:val="18"/>
          <w:szCs w:val="18"/>
          <w:color w:val="auto"/>
        </w:rPr>
      </w:pPr>
    </w:p>
    <w:p>
      <w:pPr>
        <w:ind w:left="1420" w:right="40" w:hanging="439"/>
        <w:spacing w:after="0" w:line="277" w:lineRule="auto"/>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either one of a class or series or by its terms divisible into a class or series of shares, participations, interests or obligations.</w:t>
      </w:r>
    </w:p>
    <w:p>
      <w:pPr>
        <w:spacing w:after="0" w:line="138" w:lineRule="exact"/>
        <w:rPr>
          <w:rFonts w:ascii="Arial" w:cs="Arial" w:eastAsia="Arial" w:hAnsi="Arial"/>
          <w:sz w:val="17"/>
          <w:szCs w:val="17"/>
          <w:color w:val="auto"/>
        </w:rPr>
      </w:pPr>
    </w:p>
    <w:p>
      <w:pPr>
        <w:ind w:left="960" w:hanging="532"/>
        <w:spacing w:after="0" w:line="282" w:lineRule="auto"/>
        <w:tabs>
          <w:tab w:leader="none" w:pos="9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Withdrawal Order </w:t>
      </w:r>
      <w:r>
        <w:rPr>
          <w:rFonts w:ascii="Arial" w:cs="Arial" w:eastAsia="Arial" w:hAnsi="Arial"/>
          <w:sz w:val="18"/>
          <w:szCs w:val="18"/>
          <w:color w:val="auto"/>
        </w:rPr>
        <w:t>means a non-negotiable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other than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Instruction</w:t>
      </w:r>
      <w:r>
        <w:rPr>
          <w:rFonts w:ascii="Arial" w:cs="Arial" w:eastAsia="Arial" w:hAnsi="Arial"/>
          <w:sz w:val="18"/>
          <w:szCs w:val="18"/>
          <w:color w:val="auto"/>
        </w:rPr>
        <w:t>, signed by a customer of the Insured authorizing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Insured to debit the customer’s account in the amount of funds stated therein.</w:t>
      </w:r>
    </w:p>
    <w:p>
      <w:pPr>
        <w:spacing w:after="0" w:line="71" w:lineRule="exact"/>
        <w:rPr>
          <w:rFonts w:ascii="Arial" w:cs="Arial" w:eastAsia="Arial" w:hAnsi="Arial"/>
          <w:sz w:val="18"/>
          <w:szCs w:val="18"/>
          <w:b w:val="1"/>
          <w:bCs w:val="1"/>
          <w:color w:val="auto"/>
        </w:rPr>
      </w:pPr>
    </w:p>
    <w:p>
      <w:pPr>
        <w:ind w:left="960" w:right="60" w:hanging="532"/>
        <w:spacing w:after="0" w:line="308" w:lineRule="auto"/>
        <w:tabs>
          <w:tab w:leader="none" w:pos="96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Written </w:t>
      </w:r>
      <w:r>
        <w:rPr>
          <w:rFonts w:ascii="Arial" w:cs="Arial" w:eastAsia="Arial" w:hAnsi="Arial"/>
          <w:sz w:val="17"/>
          <w:szCs w:val="17"/>
          <w:color w:val="auto"/>
        </w:rPr>
        <w:t>means expressed through letters or marks placed upon paper and visible to the eye. It does not include information contained in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Electronic Record</w:t>
      </w:r>
      <w:r>
        <w:rPr>
          <w:rFonts w:ascii="Arial" w:cs="Arial" w:eastAsia="Arial" w:hAnsi="Arial"/>
          <w:sz w:val="17"/>
          <w:szCs w:val="17"/>
          <w:color w:val="auto"/>
        </w:rPr>
        <w:t>, or only with respect to Insuring Agreement D, information communicated via telefacsimile.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99516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Page 15 of 25</w:t>
      </w:r>
    </w:p>
    <w:p>
      <w:pPr>
        <w:sectPr>
          <w:pgSz w:w="11900" w:h="16838" w:orient="portrait"/>
          <w:cols w:equalWidth="0" w:num="2">
            <w:col w:w="9200" w:space="720"/>
            <w:col w:w="1080"/>
          </w:cols>
          <w:pgMar w:left="440" w:top="274" w:right="459" w:bottom="1440" w:gutter="0" w:footer="0" w:header="0"/>
          <w:type w:val="continuous"/>
        </w:sectPr>
      </w:pPr>
    </w:p>
    <w:bookmarkStart w:id="23" w:name="page24"/>
    <w:bookmarkEnd w:id="23"/>
    <w:p>
      <w:pPr>
        <w:ind w:left="424" w:hanging="424"/>
        <w:spacing w:after="0"/>
        <w:tabs>
          <w:tab w:leader="none" w:pos="424"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EXCLUSIONS</w:t>
      </w:r>
    </w:p>
    <w:p>
      <w:pPr>
        <w:spacing w:after="0" w:line="198" w:lineRule="exact"/>
        <w:rPr>
          <w:rFonts w:ascii="Arial" w:cs="Arial" w:eastAsia="Arial" w:hAnsi="Arial"/>
          <w:sz w:val="18"/>
          <w:szCs w:val="18"/>
          <w:b w:val="1"/>
          <w:bCs w:val="1"/>
          <w:i w:val="1"/>
          <w:iCs w:val="1"/>
          <w:color w:val="auto"/>
        </w:rPr>
      </w:pPr>
    </w:p>
    <w:p>
      <w:pPr>
        <w:ind w:left="964" w:right="40" w:hanging="532"/>
        <w:spacing w:after="0" w:line="277" w:lineRule="auto"/>
        <w:tabs>
          <w:tab w:leader="none" w:pos="964"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forgery or alteration, except when covered under Insuring Agreement A, D, E, F or G.</w:t>
      </w:r>
    </w:p>
    <w:p>
      <w:pPr>
        <w:spacing w:after="0" w:line="75" w:lineRule="exact"/>
        <w:rPr>
          <w:rFonts w:ascii="Arial" w:cs="Arial" w:eastAsia="Arial" w:hAnsi="Arial"/>
          <w:sz w:val="18"/>
          <w:szCs w:val="18"/>
          <w:b w:val="1"/>
          <w:bCs w:val="1"/>
          <w:color w:val="auto"/>
        </w:rPr>
      </w:pPr>
    </w:p>
    <w:p>
      <w:pPr>
        <w:ind w:left="964" w:hanging="532"/>
        <w:spacing w:after="0" w:line="257" w:lineRule="auto"/>
        <w:tabs>
          <w:tab w:leader="none" w:pos="964"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w:t>
      </w:r>
    </w:p>
    <w:p>
      <w:pPr>
        <w:spacing w:after="0" w:line="93" w:lineRule="exact"/>
        <w:rPr>
          <w:rFonts w:ascii="Arial" w:cs="Arial" w:eastAsia="Arial" w:hAnsi="Arial"/>
          <w:sz w:val="18"/>
          <w:szCs w:val="18"/>
          <w:b w:val="1"/>
          <w:bCs w:val="1"/>
          <w:color w:val="auto"/>
        </w:rPr>
      </w:pPr>
    </w:p>
    <w:p>
      <w:pPr>
        <w:ind w:left="964" w:right="780" w:hanging="532"/>
        <w:spacing w:after="0" w:line="277" w:lineRule="auto"/>
        <w:tabs>
          <w:tab w:leader="none" w:pos="964"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nuclear reaction, nuclear radiation, radioactive contamination, biological, or chemical contamination or to any related act or incident.</w:t>
      </w:r>
    </w:p>
    <w:p>
      <w:pPr>
        <w:spacing w:after="0" w:line="75" w:lineRule="exact"/>
        <w:rPr>
          <w:rFonts w:ascii="Arial" w:cs="Arial" w:eastAsia="Arial" w:hAnsi="Arial"/>
          <w:sz w:val="18"/>
          <w:szCs w:val="18"/>
          <w:b w:val="1"/>
          <w:bCs w:val="1"/>
          <w:color w:val="auto"/>
        </w:rPr>
      </w:pPr>
    </w:p>
    <w:p>
      <w:pPr>
        <w:ind w:left="964" w:right="300" w:hanging="532"/>
        <w:spacing w:after="0" w:line="301" w:lineRule="auto"/>
        <w:tabs>
          <w:tab w:leader="none" w:pos="964" w:val="left"/>
        </w:tabs>
        <w:numPr>
          <w:ilvl w:val="1"/>
          <w:numId w:val="39"/>
        </w:numPr>
        <w:rPr>
          <w:rFonts w:ascii="Arial" w:cs="Arial" w:eastAsia="Arial" w:hAnsi="Arial"/>
          <w:sz w:val="16"/>
          <w:szCs w:val="16"/>
          <w:b w:val="1"/>
          <w:bCs w:val="1"/>
          <w:color w:val="auto"/>
        </w:rPr>
      </w:pPr>
      <w:r>
        <w:rPr>
          <w:rFonts w:ascii="Arial" w:cs="Arial" w:eastAsia="Arial" w:hAnsi="Arial"/>
          <w:sz w:val="16"/>
          <w:szCs w:val="16"/>
          <w:color w:val="auto"/>
        </w:rPr>
        <w:t xml:space="preserve">This bond does not cover loss resulting directly or indirectly from any acts of any director or trustee of the Insured other than one employed as a salaried, pensioned, or elected official or an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of the Insured, except when performing acts coming within the scope of the usual duties of an </w:t>
      </w:r>
      <w:r>
        <w:rPr>
          <w:rFonts w:ascii="Arial" w:cs="Arial" w:eastAsia="Arial" w:hAnsi="Arial"/>
          <w:sz w:val="16"/>
          <w:szCs w:val="16"/>
          <w:b w:val="1"/>
          <w:bCs w:val="1"/>
          <w:color w:val="auto"/>
        </w:rPr>
        <w:t>Employee</w:t>
      </w:r>
      <w:r>
        <w:rPr>
          <w:rFonts w:ascii="Arial" w:cs="Arial" w:eastAsia="Arial" w:hAnsi="Arial"/>
          <w:sz w:val="16"/>
          <w:szCs w:val="16"/>
          <w:color w:val="auto"/>
        </w:rPr>
        <w:t>, or while acting as a member of any committee duly elected or appointed by resolution of the board of directors or trustees of the Insured to perform specific, as distinguished from general, directorial acts on behalf of the Insured.</w:t>
      </w:r>
    </w:p>
    <w:p>
      <w:pPr>
        <w:spacing w:after="0" w:line="58" w:lineRule="exact"/>
        <w:rPr>
          <w:rFonts w:ascii="Arial" w:cs="Arial" w:eastAsia="Arial" w:hAnsi="Arial"/>
          <w:sz w:val="16"/>
          <w:szCs w:val="16"/>
          <w:b w:val="1"/>
          <w:bCs w:val="1"/>
          <w:color w:val="auto"/>
        </w:rPr>
      </w:pPr>
    </w:p>
    <w:p>
      <w:pPr>
        <w:ind w:left="964" w:right="20" w:hanging="532"/>
        <w:spacing w:after="0" w:line="303" w:lineRule="auto"/>
        <w:tabs>
          <w:tab w:leader="none" w:pos="964" w:val="left"/>
        </w:tabs>
        <w:numPr>
          <w:ilvl w:val="1"/>
          <w:numId w:val="39"/>
        </w:numPr>
        <w:rPr>
          <w:rFonts w:ascii="Arial" w:cs="Arial" w:eastAsia="Arial" w:hAnsi="Arial"/>
          <w:sz w:val="16"/>
          <w:szCs w:val="16"/>
          <w:b w:val="1"/>
          <w:bCs w:val="1"/>
          <w:color w:val="auto"/>
        </w:rPr>
      </w:pPr>
      <w:r>
        <w:rPr>
          <w:rFonts w:ascii="Arial" w:cs="Arial" w:eastAsia="Arial" w:hAnsi="Arial"/>
          <w:sz w:val="16"/>
          <w:szCs w:val="16"/>
          <w:color w:val="auto"/>
        </w:rPr>
        <w:t xml:space="preserve">This bond does not cover loss resulting directly or indirectly from the complete or partial non-payment of, or default upon, any </w:t>
      </w:r>
      <w:r>
        <w:rPr>
          <w:rFonts w:ascii="Arial" w:cs="Arial" w:eastAsia="Arial" w:hAnsi="Arial"/>
          <w:sz w:val="16"/>
          <w:szCs w:val="16"/>
          <w:b w:val="1"/>
          <w:bCs w:val="1"/>
          <w:color w:val="auto"/>
        </w:rPr>
        <w:t>Loan</w:t>
      </w:r>
      <w:r>
        <w:rPr>
          <w:rFonts w:ascii="Arial" w:cs="Arial" w:eastAsia="Arial" w:hAnsi="Arial"/>
          <w:sz w:val="16"/>
          <w:szCs w:val="16"/>
          <w:color w:val="auto"/>
        </w:rPr>
        <w:t xml:space="preserve"> or transaction involving the Insured as a lender or borrower, or extension of credit, including the purchase, discounting or other acquisition of false or genuine accounts, invoices, notes, agreements or </w:t>
      </w:r>
      <w:r>
        <w:rPr>
          <w:rFonts w:ascii="Arial" w:cs="Arial" w:eastAsia="Arial" w:hAnsi="Arial"/>
          <w:sz w:val="16"/>
          <w:szCs w:val="16"/>
          <w:b w:val="1"/>
          <w:bCs w:val="1"/>
          <w:color w:val="auto"/>
        </w:rPr>
        <w:t>Evidences of Debt</w:t>
      </w:r>
      <w:r>
        <w:rPr>
          <w:rFonts w:ascii="Arial" w:cs="Arial" w:eastAsia="Arial" w:hAnsi="Arial"/>
          <w:sz w:val="16"/>
          <w:szCs w:val="16"/>
          <w:color w:val="auto"/>
        </w:rPr>
        <w:t xml:space="preserve">, whether such </w:t>
      </w:r>
      <w:r>
        <w:rPr>
          <w:rFonts w:ascii="Arial" w:cs="Arial" w:eastAsia="Arial" w:hAnsi="Arial"/>
          <w:sz w:val="16"/>
          <w:szCs w:val="16"/>
          <w:b w:val="1"/>
          <w:bCs w:val="1"/>
          <w:color w:val="auto"/>
        </w:rPr>
        <w:t>Loan</w:t>
      </w:r>
      <w:r>
        <w:rPr>
          <w:rFonts w:ascii="Arial" w:cs="Arial" w:eastAsia="Arial" w:hAnsi="Arial"/>
          <w:sz w:val="16"/>
          <w:szCs w:val="16"/>
          <w:color w:val="auto"/>
        </w:rPr>
        <w:t>, transaction or extension was procured in good faith or through trick, artifice, fraud, or false pretenses, except when covered under Insuring Agreement A or E.</w:t>
      </w:r>
    </w:p>
    <w:p>
      <w:pPr>
        <w:spacing w:after="0" w:line="56" w:lineRule="exact"/>
        <w:rPr>
          <w:rFonts w:ascii="Arial" w:cs="Arial" w:eastAsia="Arial" w:hAnsi="Arial"/>
          <w:sz w:val="16"/>
          <w:szCs w:val="16"/>
          <w:b w:val="1"/>
          <w:bCs w:val="1"/>
          <w:color w:val="auto"/>
        </w:rPr>
      </w:pPr>
    </w:p>
    <w:p>
      <w:pPr>
        <w:ind w:left="964" w:hanging="532"/>
        <w:spacing w:after="0"/>
        <w:tabs>
          <w:tab w:leader="none" w:pos="964"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caused by an </w:t>
      </w:r>
      <w:r>
        <w:rPr>
          <w:rFonts w:ascii="Arial" w:cs="Arial" w:eastAsia="Arial" w:hAnsi="Arial"/>
          <w:sz w:val="18"/>
          <w:szCs w:val="18"/>
          <w:b w:val="1"/>
          <w:bCs w:val="1"/>
          <w:color w:val="auto"/>
        </w:rPr>
        <w:t>Employee</w:t>
      </w:r>
      <w:r>
        <w:rPr>
          <w:rFonts w:ascii="Arial" w:cs="Arial" w:eastAsia="Arial" w:hAnsi="Arial"/>
          <w:sz w:val="18"/>
          <w:szCs w:val="18"/>
          <w:color w:val="auto"/>
        </w:rPr>
        <w:t>, except:</w:t>
      </w:r>
    </w:p>
    <w:p>
      <w:pPr>
        <w:spacing w:after="0" w:line="134" w:lineRule="exact"/>
        <w:rPr>
          <w:rFonts w:ascii="Arial" w:cs="Arial" w:eastAsia="Arial" w:hAnsi="Arial"/>
          <w:sz w:val="18"/>
          <w:szCs w:val="18"/>
          <w:b w:val="1"/>
          <w:bCs w:val="1"/>
          <w:color w:val="auto"/>
        </w:rPr>
      </w:pPr>
    </w:p>
    <w:p>
      <w:pPr>
        <w:ind w:left="1424" w:hanging="439"/>
        <w:spacing w:after="0"/>
        <w:tabs>
          <w:tab w:leader="none" w:pos="1424" w:val="left"/>
        </w:tabs>
        <w:numPr>
          <w:ilvl w:val="2"/>
          <w:numId w:val="39"/>
        </w:numPr>
        <w:rPr>
          <w:rFonts w:ascii="Arial" w:cs="Arial" w:eastAsia="Arial" w:hAnsi="Arial"/>
          <w:sz w:val="18"/>
          <w:szCs w:val="18"/>
          <w:color w:val="auto"/>
        </w:rPr>
      </w:pPr>
      <w:r>
        <w:rPr>
          <w:rFonts w:ascii="Arial" w:cs="Arial" w:eastAsia="Arial" w:hAnsi="Arial"/>
          <w:sz w:val="18"/>
          <w:szCs w:val="18"/>
          <w:color w:val="auto"/>
        </w:rPr>
        <w:t>when covered under Insuring Agreement A.; or</w:t>
      </w:r>
    </w:p>
    <w:p>
      <w:pPr>
        <w:spacing w:after="0" w:line="130" w:lineRule="exact"/>
        <w:rPr>
          <w:rFonts w:ascii="Arial" w:cs="Arial" w:eastAsia="Arial" w:hAnsi="Arial"/>
          <w:sz w:val="18"/>
          <w:szCs w:val="18"/>
          <w:color w:val="auto"/>
        </w:rPr>
      </w:pPr>
    </w:p>
    <w:p>
      <w:pPr>
        <w:ind w:left="1424" w:right="900" w:hanging="439"/>
        <w:spacing w:after="0" w:line="277" w:lineRule="auto"/>
        <w:tabs>
          <w:tab w:leader="none" w:pos="1424" w:val="left"/>
        </w:tabs>
        <w:numPr>
          <w:ilvl w:val="2"/>
          <w:numId w:val="39"/>
        </w:numPr>
        <w:rPr>
          <w:rFonts w:ascii="Arial" w:cs="Arial" w:eastAsia="Arial" w:hAnsi="Arial"/>
          <w:sz w:val="18"/>
          <w:szCs w:val="18"/>
          <w:color w:val="auto"/>
        </w:rPr>
      </w:pPr>
      <w:r>
        <w:rPr>
          <w:rFonts w:ascii="Arial" w:cs="Arial" w:eastAsia="Arial" w:hAnsi="Arial"/>
          <w:sz w:val="18"/>
          <w:szCs w:val="18"/>
          <w:color w:val="auto"/>
        </w:rPr>
        <w:t xml:space="preserve">when covered under Insuring Agreement B. or C. and resulting directly from mysterious unexplainable disappearance or misplacement, or unintentional destruction of or damage to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4" w:right="280" w:hanging="532"/>
        <w:spacing w:after="0" w:line="277" w:lineRule="auto"/>
        <w:tabs>
          <w:tab w:leader="none" w:pos="964"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the use or purported use of credit, debit, charge, access, convenience, identification cash management or other cards:</w:t>
      </w:r>
    </w:p>
    <w:p>
      <w:pPr>
        <w:spacing w:after="0" w:line="75" w:lineRule="exact"/>
        <w:rPr>
          <w:rFonts w:ascii="Arial" w:cs="Arial" w:eastAsia="Arial" w:hAnsi="Arial"/>
          <w:sz w:val="18"/>
          <w:szCs w:val="18"/>
          <w:b w:val="1"/>
          <w:bCs w:val="1"/>
          <w:color w:val="auto"/>
        </w:rPr>
      </w:pPr>
    </w:p>
    <w:p>
      <w:pPr>
        <w:ind w:left="1424" w:hanging="439"/>
        <w:spacing w:after="0"/>
        <w:tabs>
          <w:tab w:leader="none" w:pos="1424"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obtaining credit or funds;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gaining access to any automated teller machine; or</w:t>
      </w:r>
    </w:p>
    <w:p>
      <w:pPr>
        <w:spacing w:after="0" w:line="130" w:lineRule="exact"/>
        <w:rPr>
          <w:rFonts w:ascii="Arial" w:cs="Arial" w:eastAsia="Arial" w:hAnsi="Arial"/>
          <w:sz w:val="18"/>
          <w:szCs w:val="18"/>
          <w:color w:val="auto"/>
        </w:rPr>
      </w:pPr>
    </w:p>
    <w:p>
      <w:pPr>
        <w:ind w:left="1424" w:right="640" w:hanging="439"/>
        <w:spacing w:after="0" w:line="277" w:lineRule="auto"/>
        <w:tabs>
          <w:tab w:leader="none" w:pos="1424"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gaining access to any point of sale terminal, customer-bank communication terminal, or similar electronic terminal of any electronic funds transfer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-4682490</wp:posOffset>
            </wp:positionV>
            <wp:extent cx="6995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42" w:lineRule="exact"/>
        <w:rPr>
          <w:sz w:val="20"/>
          <w:szCs w:val="20"/>
          <w:color w:val="auto"/>
        </w:rPr>
      </w:pPr>
    </w:p>
    <w:p>
      <w:pPr>
        <w:ind w:left="984" w:right="140"/>
        <w:spacing w:after="0" w:line="277" w:lineRule="auto"/>
        <w:rPr>
          <w:sz w:val="20"/>
          <w:szCs w:val="20"/>
          <w:color w:val="auto"/>
        </w:rPr>
      </w:pPr>
      <w:r>
        <w:rPr>
          <w:rFonts w:ascii="Arial" w:cs="Arial" w:eastAsia="Arial" w:hAnsi="Arial"/>
          <w:sz w:val="18"/>
          <w:szCs w:val="18"/>
          <w:color w:val="auto"/>
        </w:rPr>
        <w:t>whether such cards were issued, or purport to have been issued, by the Insured or by anyone other than the Insured, except when covered under Insuring Agreement A.</w:t>
      </w:r>
    </w:p>
    <w:p>
      <w:pPr>
        <w:spacing w:after="0" w:line="72" w:lineRule="exact"/>
        <w:rPr>
          <w:sz w:val="20"/>
          <w:szCs w:val="20"/>
          <w:color w:val="auto"/>
        </w:rPr>
      </w:pPr>
    </w:p>
    <w:p>
      <w:pPr>
        <w:ind w:left="964" w:right="100" w:hanging="532"/>
        <w:spacing w:after="0" w:line="282" w:lineRule="auto"/>
        <w:tabs>
          <w:tab w:leader="none" w:pos="964"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through the surrender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away from an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as a result of a threat:</w:t>
      </w:r>
    </w:p>
    <w:p>
      <w:pPr>
        <w:spacing w:after="0" w:line="67" w:lineRule="exact"/>
        <w:rPr>
          <w:rFonts w:ascii="Arial" w:cs="Arial" w:eastAsia="Arial" w:hAnsi="Arial"/>
          <w:sz w:val="18"/>
          <w:szCs w:val="18"/>
          <w:b w:val="1"/>
          <w:bCs w:val="1"/>
          <w:color w:val="auto"/>
        </w:rPr>
      </w:pPr>
    </w:p>
    <w:p>
      <w:pPr>
        <w:ind w:left="1424" w:right="260" w:hanging="439"/>
        <w:spacing w:after="0" w:line="282" w:lineRule="auto"/>
        <w:tabs>
          <w:tab w:leader="none" w:pos="1424"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to do bodily harm to any person, except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transit in the custody of a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provided that when such transit was initiated there was no knowledge by the Insured of any such threat; or</w:t>
      </w:r>
    </w:p>
    <w:p>
      <w:pPr>
        <w:spacing w:after="0" w:line="71" w:lineRule="exact"/>
        <w:rPr>
          <w:rFonts w:ascii="Arial" w:cs="Arial" w:eastAsia="Arial" w:hAnsi="Arial"/>
          <w:sz w:val="18"/>
          <w:szCs w:val="18"/>
          <w:color w:val="auto"/>
        </w:rPr>
      </w:pPr>
    </w:p>
    <w:p>
      <w:pPr>
        <w:ind w:left="1424" w:hanging="439"/>
        <w:spacing w:after="0"/>
        <w:tabs>
          <w:tab w:leader="none" w:pos="1424"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Page 16 of 25</w:t>
      </w:r>
    </w:p>
    <w:p>
      <w:pPr>
        <w:sectPr>
          <w:pgSz w:w="11900" w:h="16838" w:orient="portrait"/>
          <w:cols w:equalWidth="0" w:num="2">
            <w:col w:w="9204" w:space="720"/>
            <w:col w:w="1080"/>
          </w:cols>
          <w:pgMar w:left="436" w:top="274" w:right="459" w:bottom="1440" w:gutter="0" w:footer="0" w:header="0"/>
          <w:type w:val="continuous"/>
        </w:sectPr>
      </w:pPr>
    </w:p>
    <w:bookmarkStart w:id="24" w:name="page25"/>
    <w:bookmarkEnd w:id="2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when covered under Insuring Agreement A.</w:t>
      </w:r>
    </w:p>
    <w:p>
      <w:pPr>
        <w:spacing w:after="0" w:line="131" w:lineRule="exact"/>
        <w:rPr>
          <w:sz w:val="20"/>
          <w:szCs w:val="20"/>
          <w:color w:val="auto"/>
        </w:rPr>
      </w:pPr>
    </w:p>
    <w:p>
      <w:pPr>
        <w:ind w:left="960" w:hanging="532"/>
        <w:spacing w:after="0" w:line="259" w:lineRule="auto"/>
        <w:tabs>
          <w:tab w:leader="none" w:pos="9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at the time of such payment or withdrawal, or except when covered under Insuring Agreement A.</w:t>
      </w:r>
    </w:p>
    <w:p>
      <w:pPr>
        <w:spacing w:after="0" w:line="92" w:lineRule="exact"/>
        <w:rPr>
          <w:rFonts w:ascii="Arial" w:cs="Arial" w:eastAsia="Arial" w:hAnsi="Arial"/>
          <w:sz w:val="18"/>
          <w:szCs w:val="18"/>
          <w:b w:val="1"/>
          <w:bCs w:val="1"/>
          <w:color w:val="auto"/>
        </w:rPr>
      </w:pPr>
    </w:p>
    <w:p>
      <w:pPr>
        <w:ind w:left="960" w:right="40" w:hanging="532"/>
        <w:spacing w:after="0" w:line="257" w:lineRule="auto"/>
        <w:tabs>
          <w:tab w:leader="none" w:pos="9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w:t>
      </w:r>
    </w:p>
    <w:p>
      <w:pPr>
        <w:spacing w:after="0" w:line="93" w:lineRule="exact"/>
        <w:rPr>
          <w:rFonts w:ascii="Arial" w:cs="Arial" w:eastAsia="Arial" w:hAnsi="Arial"/>
          <w:sz w:val="18"/>
          <w:szCs w:val="18"/>
          <w:b w:val="1"/>
          <w:bCs w:val="1"/>
          <w:color w:val="auto"/>
        </w:rPr>
      </w:pPr>
    </w:p>
    <w:p>
      <w:pPr>
        <w:ind w:left="960" w:right="220" w:hanging="532"/>
        <w:spacing w:after="0" w:line="308" w:lineRule="auto"/>
        <w:tabs>
          <w:tab w:leader="none" w:pos="960"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counterfeiting, except when covered under Insuring Agreement A, D, but only as respects </w:t>
      </w:r>
      <w:r>
        <w:rPr>
          <w:rFonts w:ascii="Arial" w:cs="Arial" w:eastAsia="Arial" w:hAnsi="Arial"/>
          <w:sz w:val="17"/>
          <w:szCs w:val="17"/>
          <w:b w:val="1"/>
          <w:bCs w:val="1"/>
          <w:color w:val="auto"/>
        </w:rPr>
        <w:t>Negotiable Instruments</w:t>
      </w:r>
      <w:r>
        <w:rPr>
          <w:rFonts w:ascii="Arial" w:cs="Arial" w:eastAsia="Arial" w:hAnsi="Arial"/>
          <w:sz w:val="17"/>
          <w:szCs w:val="17"/>
          <w:color w:val="auto"/>
        </w:rPr>
        <w:t xml:space="preserve"> (except </w:t>
      </w:r>
      <w:r>
        <w:rPr>
          <w:rFonts w:ascii="Arial" w:cs="Arial" w:eastAsia="Arial" w:hAnsi="Arial"/>
          <w:sz w:val="17"/>
          <w:szCs w:val="17"/>
          <w:b w:val="1"/>
          <w:bCs w:val="1"/>
          <w:color w:val="auto"/>
        </w:rPr>
        <w:t>Evidences of Debt</w:t>
      </w:r>
      <w:r>
        <w:rPr>
          <w:rFonts w:ascii="Arial" w:cs="Arial" w:eastAsia="Arial" w:hAnsi="Arial"/>
          <w:sz w:val="17"/>
          <w:szCs w:val="17"/>
          <w:color w:val="auto"/>
        </w:rPr>
        <w:t xml:space="preserve"> or </w:t>
      </w:r>
      <w:r>
        <w:rPr>
          <w:rFonts w:ascii="Arial" w:cs="Arial" w:eastAsia="Arial" w:hAnsi="Arial"/>
          <w:sz w:val="17"/>
          <w:szCs w:val="17"/>
          <w:b w:val="1"/>
          <w:bCs w:val="1"/>
          <w:color w:val="auto"/>
        </w:rPr>
        <w:t>Substitute Checks</w:t>
      </w:r>
      <w:r>
        <w:rPr>
          <w:rFonts w:ascii="Arial" w:cs="Arial" w:eastAsia="Arial" w:hAnsi="Arial"/>
          <w:sz w:val="17"/>
          <w:szCs w:val="17"/>
          <w:color w:val="auto"/>
        </w:rPr>
        <w:t>), E or F.</w:t>
      </w:r>
    </w:p>
    <w:p>
      <w:pPr>
        <w:spacing w:after="0" w:line="47" w:lineRule="exact"/>
        <w:rPr>
          <w:rFonts w:ascii="Arial" w:cs="Arial" w:eastAsia="Arial" w:hAnsi="Arial"/>
          <w:sz w:val="17"/>
          <w:szCs w:val="17"/>
          <w:b w:val="1"/>
          <w:bCs w:val="1"/>
          <w:color w:val="auto"/>
        </w:rPr>
      </w:pPr>
    </w:p>
    <w:p>
      <w:pPr>
        <w:ind w:left="960" w:hanging="532"/>
        <w:spacing w:after="0"/>
        <w:tabs>
          <w:tab w:leader="none" w:pos="9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the mail;</w:t>
      </w:r>
    </w:p>
    <w:p>
      <w:pPr>
        <w:spacing w:after="0" w:line="126" w:lineRule="exact"/>
        <w:rPr>
          <w:rFonts w:ascii="Arial" w:cs="Arial" w:eastAsia="Arial" w:hAnsi="Arial"/>
          <w:sz w:val="18"/>
          <w:szCs w:val="18"/>
          <w:color w:val="auto"/>
        </w:rPr>
      </w:pPr>
    </w:p>
    <w:p>
      <w:pPr>
        <w:ind w:left="1420" w:hanging="439"/>
        <w:spacing w:after="0" w:line="266" w:lineRule="auto"/>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in the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unless covered under Insuring Agreement C provided however that non-negotiable instruments while in the possession and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will be deemed to be covered under Insuring Agreement C; or</w:t>
      </w:r>
    </w:p>
    <w:p>
      <w:pPr>
        <w:spacing w:after="0" w:line="81" w:lineRule="exact"/>
        <w:rPr>
          <w:rFonts w:ascii="Arial" w:cs="Arial" w:eastAsia="Arial" w:hAnsi="Arial"/>
          <w:sz w:val="18"/>
          <w:szCs w:val="18"/>
          <w:color w:val="auto"/>
        </w:rPr>
      </w:pPr>
    </w:p>
    <w:p>
      <w:pPr>
        <w:ind w:left="1420" w:hanging="439"/>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located on the premises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except when covered under Insuring Agreement A.</w:t>
      </w:r>
    </w:p>
    <w:p>
      <w:pPr>
        <w:spacing w:after="0" w:line="131" w:lineRule="exact"/>
        <w:rPr>
          <w:sz w:val="20"/>
          <w:szCs w:val="20"/>
          <w:color w:val="auto"/>
        </w:rPr>
      </w:pPr>
    </w:p>
    <w:p>
      <w:pPr>
        <w:ind w:left="960" w:hanging="532"/>
        <w:spacing w:after="0"/>
        <w:tabs>
          <w:tab w:leader="none" w:pos="9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potential income, including interest and dividends not realized by the Insured.</w:t>
      </w:r>
    </w:p>
    <w:p>
      <w:pPr>
        <w:spacing w:after="0" w:line="130" w:lineRule="exact"/>
        <w:rPr>
          <w:rFonts w:ascii="Arial" w:cs="Arial" w:eastAsia="Arial" w:hAnsi="Arial"/>
          <w:sz w:val="18"/>
          <w:szCs w:val="18"/>
          <w:b w:val="1"/>
          <w:bCs w:val="1"/>
          <w:color w:val="auto"/>
        </w:rPr>
      </w:pPr>
    </w:p>
    <w:p>
      <w:pPr>
        <w:ind w:left="960" w:right="600" w:hanging="532"/>
        <w:spacing w:after="0" w:line="277" w:lineRule="auto"/>
        <w:tabs>
          <w:tab w:leader="none" w:pos="9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damages of any type for which the Insured is legally liable, except direct compensatory damages, but not multiples thereof, arising directly from a loss covered under this bond.</w:t>
      </w:r>
    </w:p>
    <w:p>
      <w:pPr>
        <w:spacing w:after="0" w:line="75" w:lineRule="exact"/>
        <w:rPr>
          <w:rFonts w:ascii="Arial" w:cs="Arial" w:eastAsia="Arial" w:hAnsi="Arial"/>
          <w:sz w:val="18"/>
          <w:szCs w:val="18"/>
          <w:b w:val="1"/>
          <w:bCs w:val="1"/>
          <w:color w:val="auto"/>
        </w:rPr>
      </w:pPr>
    </w:p>
    <w:p>
      <w:pPr>
        <w:ind w:left="960" w:right="480" w:hanging="532"/>
        <w:spacing w:after="0" w:line="277" w:lineRule="auto"/>
        <w:tabs>
          <w:tab w:leader="none" w:pos="9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any fees, costs, or other expenses incurred by the Insured in establishing the existence of or amount of loss covered under this bond except when covered under Insuring Agreement G.</w:t>
      </w:r>
    </w:p>
    <w:p>
      <w:pPr>
        <w:spacing w:after="0" w:line="75" w:lineRule="exact"/>
        <w:rPr>
          <w:rFonts w:ascii="Arial" w:cs="Arial" w:eastAsia="Arial" w:hAnsi="Arial"/>
          <w:sz w:val="18"/>
          <w:szCs w:val="18"/>
          <w:b w:val="1"/>
          <w:bCs w:val="1"/>
          <w:color w:val="auto"/>
        </w:rPr>
      </w:pPr>
    </w:p>
    <w:p>
      <w:pPr>
        <w:ind w:left="960" w:hanging="532"/>
        <w:spacing w:after="0"/>
        <w:tabs>
          <w:tab w:leader="none" w:pos="9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indirect or consequential loss of any nature.</w:t>
      </w:r>
    </w:p>
    <w:p>
      <w:pPr>
        <w:spacing w:after="0" w:line="126" w:lineRule="exact"/>
        <w:rPr>
          <w:rFonts w:ascii="Arial" w:cs="Arial" w:eastAsia="Arial" w:hAnsi="Arial"/>
          <w:sz w:val="18"/>
          <w:szCs w:val="18"/>
          <w:b w:val="1"/>
          <w:bCs w:val="1"/>
          <w:color w:val="auto"/>
        </w:rPr>
      </w:pPr>
    </w:p>
    <w:p>
      <w:pPr>
        <w:ind w:left="960" w:hanging="532"/>
        <w:spacing w:after="0"/>
        <w:tabs>
          <w:tab w:leader="none" w:pos="9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from any violation by the Insured or by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1420" w:right="400" w:hanging="439"/>
        <w:spacing w:after="0" w:line="277" w:lineRule="auto"/>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w:t>
      </w:r>
    </w:p>
    <w:p>
      <w:pPr>
        <w:spacing w:after="0" w:line="117" w:lineRule="exact"/>
        <w:rPr>
          <w:sz w:val="20"/>
          <w:szCs w:val="20"/>
          <w:color w:val="auto"/>
        </w:rPr>
      </w:pPr>
    </w:p>
    <w:p>
      <w:pPr>
        <w:ind w:left="980" w:right="260"/>
        <w:spacing w:after="0" w:line="308" w:lineRule="auto"/>
        <w:rPr>
          <w:sz w:val="20"/>
          <w:szCs w:val="20"/>
          <w:color w:val="auto"/>
        </w:rPr>
      </w:pPr>
      <w:r>
        <w:rPr>
          <w:rFonts w:ascii="Arial" w:cs="Arial" w:eastAsia="Arial" w:hAnsi="Arial"/>
          <w:sz w:val="17"/>
          <w:szCs w:val="17"/>
          <w:color w:val="auto"/>
        </w:rPr>
        <w:t>unless it is established by the Insured that the act or acts that caused said loss involved fraudulent or dishonest conduct that would have caused a covered loss to the Insured in a similar amount in the absence of such laws, rules or regulations.</w:t>
      </w:r>
    </w:p>
    <w:p>
      <w:pPr>
        <w:spacing w:after="0" w:line="52" w:lineRule="exact"/>
        <w:rPr>
          <w:sz w:val="20"/>
          <w:szCs w:val="20"/>
          <w:color w:val="auto"/>
        </w:rPr>
      </w:pPr>
    </w:p>
    <w:p>
      <w:pPr>
        <w:jc w:val="both"/>
        <w:ind w:left="960" w:right="460" w:hanging="532"/>
        <w:spacing w:after="0" w:line="263" w:lineRule="auto"/>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failure of a financial or depository institution, or its receiver or liquidator, to pay or deliver, on demand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funds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Insured held by it in any capacity, except when covered under Insuring Agreement A or B.1.a.</w:t>
      </w:r>
    </w:p>
    <w:p>
      <w:pPr>
        <w:spacing w:after="0" w:line="85" w:lineRule="exact"/>
        <w:rPr>
          <w:rFonts w:ascii="Arial" w:cs="Arial" w:eastAsia="Arial" w:hAnsi="Arial"/>
          <w:sz w:val="18"/>
          <w:szCs w:val="18"/>
          <w:b w:val="1"/>
          <w:bCs w:val="1"/>
          <w:color w:val="auto"/>
        </w:rPr>
      </w:pPr>
    </w:p>
    <w:p>
      <w:pPr>
        <w:ind w:left="960" w:right="120" w:hanging="532"/>
        <w:spacing w:after="0" w:line="282" w:lineRule="auto"/>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involving any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except an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of any Federal Reserve Bank of the United States or when covered under Insuring Agreement A, E or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Page 17 of 25</w:t>
      </w:r>
    </w:p>
    <w:p>
      <w:pPr>
        <w:sectPr>
          <w:pgSz w:w="11900" w:h="16838" w:orient="portrait"/>
          <w:cols w:equalWidth="0" w:num="2">
            <w:col w:w="9200" w:space="720"/>
            <w:col w:w="1060"/>
          </w:cols>
          <w:pgMar w:left="440" w:top="274" w:right="479" w:bottom="1440" w:gutter="0" w:footer="0" w:header="0"/>
          <w:type w:val="continuous"/>
        </w:sectPr>
      </w:pPr>
    </w:p>
    <w:bookmarkStart w:id="25" w:name="page26"/>
    <w:bookmarkEnd w:id="25"/>
    <w:p>
      <w:pPr>
        <w:ind w:left="960" w:hanging="532"/>
        <w:spacing w:after="0"/>
        <w:tabs>
          <w:tab w:leader="none" w:pos="9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bond does not cover under Insuring Agreement I, in addition to all of the other exclusions, loss:</w:t>
      </w:r>
    </w:p>
    <w:p>
      <w:pPr>
        <w:spacing w:after="0" w:line="126" w:lineRule="exact"/>
        <w:rPr>
          <w:rFonts w:ascii="Arial" w:cs="Arial" w:eastAsia="Arial" w:hAnsi="Arial"/>
          <w:sz w:val="18"/>
          <w:szCs w:val="18"/>
          <w:b w:val="1"/>
          <w:bCs w:val="1"/>
          <w:color w:val="auto"/>
        </w:rPr>
      </w:pPr>
    </w:p>
    <w:p>
      <w:pPr>
        <w:ind w:left="1420" w:right="20" w:hanging="439"/>
        <w:spacing w:after="0" w:line="277" w:lineRule="auto"/>
        <w:tabs>
          <w:tab w:leader="none" w:pos="14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resulting directly or indirectly from entries or changes made by an individual authorized to have access to a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to design, develop, prepare, supply, service, write, or implement programs for the </w:t>
      </w:r>
      <w:r>
        <w:rPr>
          <w:rFonts w:ascii="Arial" w:cs="Arial" w:eastAsia="Arial" w:hAnsi="Arial"/>
          <w:sz w:val="17"/>
          <w:szCs w:val="17"/>
          <w:b w:val="1"/>
          <w:bCs w:val="1"/>
          <w:color w:val="auto"/>
        </w:rPr>
        <w:t>Computer System</w:t>
      </w:r>
      <w:r>
        <w:rPr>
          <w:rFonts w:ascii="Arial" w:cs="Arial" w:eastAsia="Arial" w:hAnsi="Arial"/>
          <w:sz w:val="17"/>
          <w:szCs w:val="17"/>
          <w:color w:val="auto"/>
        </w:rPr>
        <w:t>, except when covered under Insuring Agreement I.2.;</w:t>
      </w:r>
    </w:p>
    <w:p>
      <w:pPr>
        <w:spacing w:after="0" w:line="77" w:lineRule="exact"/>
        <w:rPr>
          <w:rFonts w:ascii="Arial" w:cs="Arial" w:eastAsia="Arial" w:hAnsi="Arial"/>
          <w:sz w:val="17"/>
          <w:szCs w:val="17"/>
          <w:color w:val="auto"/>
        </w:rPr>
      </w:pPr>
    </w:p>
    <w:p>
      <w:pPr>
        <w:jc w:val="both"/>
        <w:ind w:left="1420" w:right="280" w:hanging="439"/>
        <w:spacing w:after="0" w:line="263" w:lineRule="auto"/>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caused by an employee or director of an automated clearing house (including a Federal Reserve Bank), service bureau, electronic communications systems (including Fedwire, CHIPS and SWIFT) or merchants who have contracted with the Insured to perform electronic funds transfer services; or</w:t>
      </w:r>
    </w:p>
    <w:p>
      <w:pPr>
        <w:spacing w:after="0" w:line="85" w:lineRule="exact"/>
        <w:rPr>
          <w:rFonts w:ascii="Arial" w:cs="Arial" w:eastAsia="Arial" w:hAnsi="Arial"/>
          <w:sz w:val="18"/>
          <w:szCs w:val="18"/>
          <w:color w:val="auto"/>
        </w:rPr>
      </w:pPr>
    </w:p>
    <w:p>
      <w:pPr>
        <w:ind w:left="1420" w:right="80" w:hanging="439"/>
        <w:spacing w:after="0" w:line="266" w:lineRule="auto"/>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resulting directly or indirectly from entries or changes made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in good faith on any electronic communication, unless such instructions are purportedly sent by a customer, </w:t>
      </w:r>
      <w:r>
        <w:rPr>
          <w:rFonts w:ascii="Arial" w:cs="Arial" w:eastAsia="Arial" w:hAnsi="Arial"/>
          <w:sz w:val="18"/>
          <w:szCs w:val="18"/>
          <w:b w:val="1"/>
          <w:bCs w:val="1"/>
          <w:color w:val="auto"/>
        </w:rPr>
        <w:t>Financial Institution</w:t>
      </w:r>
      <w:r>
        <w:rPr>
          <w:rFonts w:ascii="Arial" w:cs="Arial" w:eastAsia="Arial" w:hAnsi="Arial"/>
          <w:sz w:val="18"/>
          <w:szCs w:val="18"/>
          <w:color w:val="auto"/>
        </w:rPr>
        <w:t>, or automated clearing house, except when covered under Insuring Agreement I.2.</w:t>
      </w:r>
    </w:p>
    <w:p>
      <w:pPr>
        <w:spacing w:after="0" w:line="81" w:lineRule="exact"/>
        <w:rPr>
          <w:rFonts w:ascii="Arial" w:cs="Arial" w:eastAsia="Arial" w:hAnsi="Arial"/>
          <w:sz w:val="18"/>
          <w:szCs w:val="18"/>
          <w:color w:val="auto"/>
        </w:rPr>
      </w:pPr>
    </w:p>
    <w:p>
      <w:pPr>
        <w:ind w:left="960" w:right="500" w:hanging="532"/>
        <w:spacing w:after="0" w:line="282" w:lineRule="auto"/>
        <w:tabs>
          <w:tab w:leader="none" w:pos="9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 xml:space="preserve"> or mechanical breakdown or failure to function properly of any </w:t>
      </w:r>
      <w:r>
        <w:rPr>
          <w:rFonts w:ascii="Arial" w:cs="Arial" w:eastAsia="Arial" w:hAnsi="Arial"/>
          <w:sz w:val="18"/>
          <w:szCs w:val="18"/>
          <w:b w:val="1"/>
          <w:bCs w:val="1"/>
          <w:color w:val="auto"/>
        </w:rPr>
        <w:t>Computer System</w:t>
      </w:r>
      <w:r>
        <w:rPr>
          <w:rFonts w:ascii="Arial" w:cs="Arial" w:eastAsia="Arial" w:hAnsi="Arial"/>
          <w:sz w:val="18"/>
          <w:szCs w:val="18"/>
          <w:color w:val="auto"/>
        </w:rPr>
        <w:t>, except when covered under Insuring Agreement A, B, or I.</w:t>
      </w:r>
    </w:p>
    <w:p>
      <w:pPr>
        <w:spacing w:after="0" w:line="71" w:lineRule="exact"/>
        <w:rPr>
          <w:rFonts w:ascii="Arial" w:cs="Arial" w:eastAsia="Arial" w:hAnsi="Arial"/>
          <w:sz w:val="18"/>
          <w:szCs w:val="18"/>
          <w:b w:val="1"/>
          <w:bCs w:val="1"/>
          <w:color w:val="auto"/>
        </w:rPr>
      </w:pPr>
    </w:p>
    <w:p>
      <w:pPr>
        <w:ind w:left="960" w:right="60" w:hanging="532"/>
        <w:spacing w:after="0" w:line="263" w:lineRule="auto"/>
        <w:tabs>
          <w:tab w:leader="none" w:pos="9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under Insuring Agreement I.2., in addition to all of the other exclusions, loss resulting directly or indirectly from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assumption of liability by contract unless the liability arises from a loss covered by Insuring Agreement I.2. and would be imposed on the Insured regardless of the existence of the contract.</w:t>
      </w:r>
    </w:p>
    <w:p>
      <w:pPr>
        <w:spacing w:after="0" w:line="89" w:lineRule="exact"/>
        <w:rPr>
          <w:rFonts w:ascii="Arial" w:cs="Arial" w:eastAsia="Arial" w:hAnsi="Arial"/>
          <w:sz w:val="18"/>
          <w:szCs w:val="18"/>
          <w:b w:val="1"/>
          <w:bCs w:val="1"/>
          <w:color w:val="auto"/>
        </w:rPr>
      </w:pPr>
    </w:p>
    <w:p>
      <w:pPr>
        <w:ind w:left="960" w:right="60" w:hanging="532"/>
        <w:spacing w:after="0" w:line="257" w:lineRule="auto"/>
        <w:tabs>
          <w:tab w:leader="none" w:pos="9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held by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in any capacity including concurrently with another person.</w:t>
      </w:r>
    </w:p>
    <w:p>
      <w:pPr>
        <w:spacing w:after="0" w:line="93" w:lineRule="exact"/>
        <w:rPr>
          <w:rFonts w:ascii="Arial" w:cs="Arial" w:eastAsia="Arial" w:hAnsi="Arial"/>
          <w:sz w:val="18"/>
          <w:szCs w:val="18"/>
          <w:b w:val="1"/>
          <w:bCs w:val="1"/>
          <w:color w:val="auto"/>
        </w:rPr>
      </w:pPr>
    </w:p>
    <w:p>
      <w:pPr>
        <w:ind w:left="960" w:right="60" w:hanging="532"/>
        <w:spacing w:after="0" w:line="259" w:lineRule="auto"/>
        <w:tabs>
          <w:tab w:leader="none" w:pos="9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w:t>
      </w:r>
    </w:p>
    <w:p>
      <w:pPr>
        <w:spacing w:after="0" w:line="92" w:lineRule="exact"/>
        <w:rPr>
          <w:rFonts w:ascii="Arial" w:cs="Arial" w:eastAsia="Arial" w:hAnsi="Arial"/>
          <w:sz w:val="18"/>
          <w:szCs w:val="18"/>
          <w:b w:val="1"/>
          <w:bCs w:val="1"/>
          <w:color w:val="auto"/>
        </w:rPr>
      </w:pPr>
    </w:p>
    <w:p>
      <w:pPr>
        <w:ind w:left="960" w:hanging="532"/>
        <w:spacing w:after="0" w:line="277" w:lineRule="auto"/>
        <w:tabs>
          <w:tab w:leader="none" w:pos="9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under Insuring Agreement A.1., in addition to all of the other exclusions, loss resulting directly or indirectly from the alleged or actual destruction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960" w:right="280" w:hanging="532"/>
        <w:spacing w:after="0" w:line="261" w:lineRule="auto"/>
        <w:tabs>
          <w:tab w:leader="none" w:pos="9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costs, or expenses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w:t>
      </w:r>
    </w:p>
    <w:p>
      <w:pPr>
        <w:spacing w:after="0" w:line="85" w:lineRule="exact"/>
        <w:rPr>
          <w:sz w:val="20"/>
          <w:szCs w:val="20"/>
          <w:color w:val="auto"/>
        </w:rPr>
      </w:pPr>
    </w:p>
    <w:p>
      <w:pPr>
        <w:jc w:val="both"/>
        <w:ind w:left="960" w:right="240" w:hanging="532"/>
        <w:spacing w:after="0" w:line="281" w:lineRule="auto"/>
        <w:tabs>
          <w:tab w:leader="none" w:pos="96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the dishonest or fraudulent acts of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as to whom the bond has terminated pursuant to Condition R. Cancelation, Termination, Change or Modification, provided, however, that this exclusion does not apply to loss of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already in transit in the custody of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at the time the bond terminated or to loss resulting directly from dishonest or fraudulent acts occurring prior to the time the bond terminated.</w:t>
      </w:r>
    </w:p>
    <w:p>
      <w:pPr>
        <w:spacing w:after="0" w:line="70" w:lineRule="exact"/>
        <w:rPr>
          <w:rFonts w:ascii="Arial" w:cs="Arial" w:eastAsia="Arial" w:hAnsi="Arial"/>
          <w:sz w:val="17"/>
          <w:szCs w:val="17"/>
          <w:b w:val="1"/>
          <w:bCs w:val="1"/>
          <w:color w:val="auto"/>
        </w:rPr>
      </w:pPr>
    </w:p>
    <w:p>
      <w:pPr>
        <w:ind w:left="960" w:hanging="532"/>
        <w:spacing w:after="0" w:line="281" w:lineRule="auto"/>
        <w:tabs>
          <w:tab w:leader="none" w:pos="96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from the unauthorized online </w:t>
      </w:r>
      <w:r>
        <w:rPr>
          <w:rFonts w:ascii="Arial" w:cs="Arial" w:eastAsia="Arial" w:hAnsi="Arial"/>
          <w:sz w:val="17"/>
          <w:szCs w:val="17"/>
          <w:b w:val="1"/>
          <w:bCs w:val="1"/>
          <w:color w:val="auto"/>
        </w:rPr>
        <w:t>Network</w:t>
      </w:r>
      <w:r>
        <w:rPr>
          <w:rFonts w:ascii="Arial" w:cs="Arial" w:eastAsia="Arial" w:hAnsi="Arial"/>
          <w:sz w:val="17"/>
          <w:szCs w:val="17"/>
          <w:color w:val="auto"/>
        </w:rPr>
        <w:t xml:space="preserve">,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Arial" w:cs="Arial" w:eastAsia="Arial" w:hAnsi="Arial"/>
          <w:sz w:val="17"/>
          <w:szCs w:val="17"/>
          <w:b w:val="1"/>
          <w:bCs w:val="1"/>
          <w:color w:val="auto"/>
        </w:rPr>
        <w:t>Computer System</w:t>
      </w:r>
      <w:r>
        <w:rPr>
          <w:rFonts w:ascii="Arial" w:cs="Arial" w:eastAsia="Arial" w:hAnsi="Arial"/>
          <w:sz w:val="17"/>
          <w:szCs w:val="17"/>
          <w:color w:val="auto"/>
        </w:rPr>
        <w:t>, except when covered under Insuring Agreement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699516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Page 18 of 25</w:t>
      </w:r>
    </w:p>
    <w:p>
      <w:pPr>
        <w:sectPr>
          <w:pgSz w:w="11900" w:h="16838" w:orient="portrait"/>
          <w:cols w:equalWidth="0" w:num="2">
            <w:col w:w="9200" w:space="720"/>
            <w:col w:w="1080"/>
          </w:cols>
          <w:pgMar w:left="440" w:top="274" w:right="459" w:bottom="1440" w:gutter="0" w:footer="0" w:header="0"/>
          <w:type w:val="continuous"/>
        </w:sectPr>
      </w:pPr>
    </w:p>
    <w:bookmarkStart w:id="26" w:name="page27"/>
    <w:bookmarkEnd w:id="26"/>
    <w:p>
      <w:pPr>
        <w:ind w:left="960" w:right="80" w:hanging="532"/>
        <w:spacing w:after="0" w:line="281" w:lineRule="auto"/>
        <w:tabs>
          <w:tab w:leader="none" w:pos="960"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bond does not cover damages resulting from any civil, criminal, or other legal proceeding in which the Insured or </w:t>
      </w:r>
      <w:r>
        <w:rPr>
          <w:rFonts w:ascii="Arial" w:cs="Arial" w:eastAsia="Arial" w:hAnsi="Arial"/>
          <w:sz w:val="17"/>
          <w:szCs w:val="17"/>
          <w:b w:val="1"/>
          <w:bCs w:val="1"/>
          <w:color w:val="auto"/>
        </w:rPr>
        <w:t>Investment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is adjudicated to have engaged in racketeering activity, except when the Insured establishes that the act or acts giving rise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damages were committed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under circumstances that result directly in a loss to the Insured covered by Insuring Agreement A. For purposes of this exclusion, “racketeering activity” is defined in 18 U.S.C. 1961 et seq., as amended.</w:t>
      </w:r>
    </w:p>
    <w:p>
      <w:pPr>
        <w:spacing w:after="0" w:line="70" w:lineRule="exact"/>
        <w:rPr>
          <w:rFonts w:ascii="Arial" w:cs="Arial" w:eastAsia="Arial" w:hAnsi="Arial"/>
          <w:sz w:val="17"/>
          <w:szCs w:val="17"/>
          <w:b w:val="1"/>
          <w:bCs w:val="1"/>
          <w:color w:val="auto"/>
        </w:rPr>
      </w:pPr>
    </w:p>
    <w:p>
      <w:pPr>
        <w:ind w:left="960" w:right="380" w:hanging="532"/>
        <w:spacing w:after="0" w:line="282" w:lineRule="auto"/>
        <w:tabs>
          <w:tab w:leader="none" w:pos="9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any loss resulting directly or indirectly from a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except when covered under Insuring Agreement I.2.</w:t>
      </w:r>
    </w:p>
    <w:p>
      <w:pPr>
        <w:spacing w:after="0" w:line="71" w:lineRule="exact"/>
        <w:rPr>
          <w:rFonts w:ascii="Arial" w:cs="Arial" w:eastAsia="Arial" w:hAnsi="Arial"/>
          <w:sz w:val="18"/>
          <w:szCs w:val="18"/>
          <w:b w:val="1"/>
          <w:bCs w:val="1"/>
          <w:color w:val="auto"/>
        </w:rPr>
      </w:pPr>
    </w:p>
    <w:p>
      <w:pPr>
        <w:ind w:left="960" w:right="300" w:hanging="532"/>
        <w:spacing w:after="0" w:line="263" w:lineRule="auto"/>
        <w:tabs>
          <w:tab w:leader="none" w:pos="9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or expenses due to liability imposed upon the Insured as a result of the unlawful disclosure of non-public information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a result of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upon such information, whether or not authorized.</w:t>
      </w:r>
    </w:p>
    <w:p>
      <w:pPr>
        <w:spacing w:after="0" w:line="85" w:lineRule="exact"/>
        <w:rPr>
          <w:rFonts w:ascii="Arial" w:cs="Arial" w:eastAsia="Arial" w:hAnsi="Arial"/>
          <w:sz w:val="18"/>
          <w:szCs w:val="18"/>
          <w:b w:val="1"/>
          <w:bCs w:val="1"/>
          <w:color w:val="auto"/>
        </w:rPr>
      </w:pPr>
    </w:p>
    <w:p>
      <w:pPr>
        <w:ind w:left="960" w:hanging="532"/>
        <w:spacing w:after="0" w:line="266" w:lineRule="auto"/>
        <w:tabs>
          <w:tab w:leader="none" w:pos="9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input of an </w:t>
      </w:r>
      <w:r>
        <w:rPr>
          <w:rFonts w:ascii="Arial" w:cs="Arial" w:eastAsia="Arial" w:hAnsi="Arial"/>
          <w:sz w:val="18"/>
          <w:szCs w:val="18"/>
          <w:b w:val="1"/>
          <w:bCs w:val="1"/>
          <w:color w:val="auto"/>
        </w:rPr>
        <w:t>Electronic Record</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either on the premises of a customer of the Insured or under the control of such a customer, by a customer or other person who had authorized access to the customer’s authentication mechanism.</w:t>
      </w:r>
    </w:p>
    <w:p>
      <w:pPr>
        <w:spacing w:after="0" w:line="28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VI.</w:t>
        <w:tab/>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4" w:lineRule="exact"/>
        <w:rPr>
          <w:sz w:val="20"/>
          <w:szCs w:val="20"/>
          <w:color w:val="auto"/>
        </w:rPr>
      </w:pPr>
    </w:p>
    <w:p>
      <w:pPr>
        <w:ind w:left="960" w:hanging="532"/>
        <w:spacing w:after="0"/>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COMPANIES INCLUDED AS INSURED</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If more than one corporation, co-partnership, or person, or any combination of them are included as the Insured herein:</w:t>
      </w:r>
    </w:p>
    <w:p>
      <w:pPr>
        <w:spacing w:after="0" w:line="130" w:lineRule="exact"/>
        <w:rPr>
          <w:rFonts w:ascii="Arial" w:cs="Arial" w:eastAsia="Arial" w:hAnsi="Arial"/>
          <w:sz w:val="18"/>
          <w:szCs w:val="18"/>
          <w:b w:val="1"/>
          <w:bCs w:val="1"/>
          <w:color w:val="auto"/>
        </w:rPr>
      </w:pPr>
    </w:p>
    <w:p>
      <w:pPr>
        <w:ind w:left="1420" w:right="240" w:hanging="439"/>
        <w:spacing w:after="0" w:line="277" w:lineRule="auto"/>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total liability of the Company for loss or losses sustained by any one or more or all of them will not exceed the limit for which the Company would be liable hereunder if all such loss were sustained by any one of them;</w:t>
      </w:r>
    </w:p>
    <w:p>
      <w:pPr>
        <w:spacing w:after="0" w:line="75" w:lineRule="exact"/>
        <w:rPr>
          <w:rFonts w:ascii="Arial" w:cs="Arial" w:eastAsia="Arial" w:hAnsi="Arial"/>
          <w:sz w:val="18"/>
          <w:szCs w:val="18"/>
          <w:color w:val="auto"/>
        </w:rPr>
      </w:pPr>
    </w:p>
    <w:p>
      <w:pPr>
        <w:ind w:left="1420" w:hanging="439"/>
        <w:spacing w:after="0" w:line="257" w:lineRule="auto"/>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w:t>
      </w:r>
    </w:p>
    <w:p>
      <w:pPr>
        <w:spacing w:after="0" w:line="93" w:lineRule="exact"/>
        <w:rPr>
          <w:rFonts w:ascii="Arial" w:cs="Arial" w:eastAsia="Arial" w:hAnsi="Arial"/>
          <w:sz w:val="18"/>
          <w:szCs w:val="18"/>
          <w:color w:val="auto"/>
        </w:rPr>
      </w:pPr>
    </w:p>
    <w:p>
      <w:pPr>
        <w:ind w:left="1420" w:hanging="439"/>
        <w:spacing w:after="0"/>
        <w:tabs>
          <w:tab w:leader="none" w:pos="14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Company will not be responsible for the proper application of any payment made hereunder to the first named Insured; and</w:t>
      </w:r>
    </w:p>
    <w:p>
      <w:pPr>
        <w:spacing w:after="0" w:line="138" w:lineRule="exact"/>
        <w:rPr>
          <w:rFonts w:ascii="Arial" w:cs="Arial" w:eastAsia="Arial" w:hAnsi="Arial"/>
          <w:sz w:val="17"/>
          <w:szCs w:val="17"/>
          <w:color w:val="auto"/>
        </w:rPr>
      </w:pPr>
    </w:p>
    <w:p>
      <w:pPr>
        <w:ind w:left="1420" w:right="340" w:hanging="439"/>
        <w:spacing w:after="0" w:line="312" w:lineRule="auto"/>
        <w:tabs>
          <w:tab w:leader="none" w:pos="14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knowledge possessed or discovery made by any partner, officer or supervisory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any Insured will for the purposes of Condition B., Condition H. or Condition R. of this bond constitute knowledge or discovery by all the Insureds.</w:t>
      </w:r>
    </w:p>
    <w:p>
      <w:pPr>
        <w:spacing w:after="0" w:line="288" w:lineRule="exact"/>
        <w:rPr>
          <w:rFonts w:ascii="Arial" w:cs="Arial" w:eastAsia="Arial" w:hAnsi="Arial"/>
          <w:sz w:val="17"/>
          <w:szCs w:val="17"/>
          <w:color w:val="auto"/>
        </w:rPr>
      </w:pPr>
    </w:p>
    <w:p>
      <w:pPr>
        <w:ind w:left="960" w:hanging="532"/>
        <w:spacing w:after="0"/>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DISCOVERY</w:t>
      </w:r>
    </w:p>
    <w:p>
      <w:pPr>
        <w:spacing w:after="0" w:line="117" w:lineRule="exact"/>
        <w:rPr>
          <w:rFonts w:ascii="Arial" w:cs="Arial" w:eastAsia="Arial" w:hAnsi="Arial"/>
          <w:sz w:val="18"/>
          <w:szCs w:val="18"/>
          <w:b w:val="1"/>
          <w:bCs w:val="1"/>
          <w:color w:val="auto"/>
        </w:rPr>
      </w:pPr>
    </w:p>
    <w:p>
      <w:pPr>
        <w:ind w:left="980" w:right="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This bond applies to loss discovered by the Insured during the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Discovery occurs when an officer or director of the Insured or of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first becomes aware of facts that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71" w:lineRule="exact"/>
        <w:rPr>
          <w:rFonts w:ascii="Arial" w:cs="Arial" w:eastAsia="Arial" w:hAnsi="Arial"/>
          <w:sz w:val="18"/>
          <w:szCs w:val="18"/>
          <w:b w:val="1"/>
          <w:bCs w:val="1"/>
          <w:color w:val="auto"/>
        </w:rPr>
      </w:pPr>
    </w:p>
    <w:p>
      <w:pPr>
        <w:ind w:left="980" w:right="140"/>
        <w:spacing w:after="0" w:line="347" w:lineRule="auto"/>
        <w:rPr>
          <w:rFonts w:ascii="Arial" w:cs="Arial" w:eastAsia="Arial" w:hAnsi="Arial"/>
          <w:sz w:val="18"/>
          <w:szCs w:val="18"/>
          <w:b w:val="1"/>
          <w:bCs w:val="1"/>
          <w:color w:val="auto"/>
        </w:rPr>
      </w:pPr>
      <w:r>
        <w:rPr>
          <w:rFonts w:ascii="Arial" w:cs="Arial" w:eastAsia="Arial" w:hAnsi="Arial"/>
          <w:sz w:val="16"/>
          <w:szCs w:val="16"/>
          <w:color w:val="auto"/>
        </w:rPr>
        <w:t xml:space="preserve">Discovery also occurs when an officer or director of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receives notice of an actual or potential claim in which it is alleged that the Insured is liable to a third party under circumstances that, if true, would constitute a loss under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699516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Page 19 of 25</w:t>
      </w:r>
    </w:p>
    <w:p>
      <w:pPr>
        <w:sectPr>
          <w:pgSz w:w="11900" w:h="16838" w:orient="portrait"/>
          <w:cols w:equalWidth="0" w:num="2">
            <w:col w:w="9200" w:space="720"/>
            <w:col w:w="1080"/>
          </w:cols>
          <w:pgMar w:left="440" w:top="270" w:right="459" w:bottom="1440" w:gutter="0" w:footer="0" w:header="0"/>
          <w:type w:val="continuous"/>
        </w:sectPr>
      </w:pPr>
    </w:p>
    <w:bookmarkStart w:id="27" w:name="page28"/>
    <w:bookmarkEnd w:id="27"/>
    <w:p>
      <w:pPr>
        <w:ind w:left="960" w:hanging="532"/>
        <w:spacing w:after="0"/>
        <w:tabs>
          <w:tab w:leader="none" w:pos="9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BOND PERIOD</w:t>
      </w:r>
    </w:p>
    <w:p>
      <w:pPr>
        <w:spacing w:after="0" w:line="117" w:lineRule="exact"/>
        <w:rPr>
          <w:rFonts w:ascii="Arial" w:cs="Arial" w:eastAsia="Arial" w:hAnsi="Arial"/>
          <w:sz w:val="18"/>
          <w:szCs w:val="18"/>
          <w:b w:val="1"/>
          <w:bCs w:val="1"/>
          <w:color w:val="auto"/>
        </w:rPr>
      </w:pPr>
    </w:p>
    <w:p>
      <w:pPr>
        <w:ind w:left="980" w:right="40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Bond Period </w:t>
      </w:r>
      <w:r>
        <w:rPr>
          <w:rFonts w:ascii="Arial" w:cs="Arial" w:eastAsia="Arial" w:hAnsi="Arial"/>
          <w:sz w:val="16"/>
          <w:szCs w:val="16"/>
          <w:color w:val="auto"/>
        </w:rPr>
        <w:t>means the period of one year following the inception date of this bond or any annual anniversary thereof, or if the time</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inception or annual anniversary date and the expiration date of this bond is less than one year, then such lesser period.</w:t>
      </w:r>
    </w:p>
    <w:p>
      <w:pPr>
        <w:spacing w:after="0" w:line="264" w:lineRule="exact"/>
        <w:rPr>
          <w:rFonts w:ascii="Arial" w:cs="Arial" w:eastAsia="Arial" w:hAnsi="Arial"/>
          <w:sz w:val="18"/>
          <w:szCs w:val="18"/>
          <w:b w:val="1"/>
          <w:bCs w:val="1"/>
          <w:color w:val="auto"/>
        </w:rPr>
      </w:pPr>
    </w:p>
    <w:p>
      <w:pPr>
        <w:ind w:left="960" w:hanging="532"/>
        <w:spacing w:after="0"/>
        <w:tabs>
          <w:tab w:leader="none" w:pos="9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w:t>
      </w:r>
    </w:p>
    <w:p>
      <w:pPr>
        <w:spacing w:after="0" w:line="117" w:lineRule="exact"/>
        <w:rPr>
          <w:rFonts w:ascii="Arial" w:cs="Arial" w:eastAsia="Arial" w:hAnsi="Arial"/>
          <w:sz w:val="18"/>
          <w:szCs w:val="18"/>
          <w:b w:val="1"/>
          <w:bCs w:val="1"/>
          <w:color w:val="auto"/>
        </w:rPr>
      </w:pPr>
    </w:p>
    <w:p>
      <w:pPr>
        <w:ind w:left="980" w:right="40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Single Loss </w:t>
      </w:r>
      <w:r>
        <w:rPr>
          <w:rFonts w:ascii="Arial" w:cs="Arial" w:eastAsia="Arial" w:hAnsi="Arial"/>
          <w:sz w:val="18"/>
          <w:szCs w:val="18"/>
          <w:color w:val="auto"/>
        </w:rPr>
        <w:t>means all covered loss, including court costs and attorney’s fees incurred by the Company under General Agreement E.,</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from:</w:t>
      </w:r>
    </w:p>
    <w:p>
      <w:pPr>
        <w:spacing w:after="0" w:line="67" w:lineRule="exact"/>
        <w:rPr>
          <w:rFonts w:ascii="Arial" w:cs="Arial" w:eastAsia="Arial" w:hAnsi="Arial"/>
          <w:sz w:val="18"/>
          <w:szCs w:val="18"/>
          <w:b w:val="1"/>
          <w:bCs w:val="1"/>
          <w:color w:val="auto"/>
        </w:rPr>
      </w:pPr>
    </w:p>
    <w:p>
      <w:pPr>
        <w:ind w:left="1420" w:hanging="439"/>
        <w:spacing w:after="0"/>
        <w:tabs>
          <w:tab w:leader="none" w:pos="1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acts of burglary, robbery, or attempt thereat, in which no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implicated;</w:t>
      </w:r>
    </w:p>
    <w:p>
      <w:pPr>
        <w:spacing w:after="0" w:line="130" w:lineRule="exact"/>
        <w:rPr>
          <w:rFonts w:ascii="Arial" w:cs="Arial" w:eastAsia="Arial" w:hAnsi="Arial"/>
          <w:sz w:val="18"/>
          <w:szCs w:val="18"/>
          <w:color w:val="auto"/>
        </w:rPr>
      </w:pPr>
    </w:p>
    <w:p>
      <w:pPr>
        <w:ind w:left="1420" w:right="60" w:hanging="439"/>
        <w:spacing w:after="0" w:line="282" w:lineRule="auto"/>
        <w:tabs>
          <w:tab w:leader="none" w:pos="1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unintentional or negligent acts or omissions on the part of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resulting in damage to or destruction or misplacement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420" w:right="120" w:hanging="439"/>
        <w:spacing w:after="0" w:line="282" w:lineRule="auto"/>
        <w:tabs>
          <w:tab w:leader="none" w:pos="1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all acts or omissions other than those specified in 1. and 2. above, caused by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or in which such person is implicated; or</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one casualty or event not specified in 1., 2., or 3. above.</w:t>
      </w:r>
    </w:p>
    <w:p>
      <w:pPr>
        <w:spacing w:after="0" w:line="369" w:lineRule="exact"/>
        <w:rPr>
          <w:rFonts w:ascii="Arial" w:cs="Arial" w:eastAsia="Arial" w:hAnsi="Arial"/>
          <w:sz w:val="18"/>
          <w:szCs w:val="18"/>
          <w:color w:val="auto"/>
        </w:rPr>
      </w:pPr>
    </w:p>
    <w:p>
      <w:pPr>
        <w:ind w:left="960" w:hanging="532"/>
        <w:spacing w:after="0"/>
        <w:tabs>
          <w:tab w:leader="none" w:pos="9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 LIMIT OF INSURANCE</w:t>
      </w:r>
    </w:p>
    <w:p>
      <w:pPr>
        <w:spacing w:after="0" w:line="117" w:lineRule="exact"/>
        <w:rPr>
          <w:rFonts w:ascii="Arial" w:cs="Arial" w:eastAsia="Arial" w:hAnsi="Arial"/>
          <w:sz w:val="18"/>
          <w:szCs w:val="18"/>
          <w:b w:val="1"/>
          <w:bCs w:val="1"/>
          <w:color w:val="auto"/>
        </w:rPr>
      </w:pPr>
    </w:p>
    <w:p>
      <w:pPr>
        <w:ind w:left="980"/>
        <w:spacing w:after="0" w:line="303" w:lineRule="auto"/>
        <w:rPr>
          <w:rFonts w:ascii="Arial" w:cs="Arial" w:eastAsia="Arial" w:hAnsi="Arial"/>
          <w:sz w:val="18"/>
          <w:szCs w:val="18"/>
          <w:b w:val="1"/>
          <w:bCs w:val="1"/>
          <w:color w:val="auto"/>
        </w:rPr>
      </w:pPr>
      <w:r>
        <w:rPr>
          <w:rFonts w:ascii="Arial" w:cs="Arial" w:eastAsia="Arial" w:hAnsi="Arial"/>
          <w:sz w:val="16"/>
          <w:szCs w:val="16"/>
          <w:color w:val="auto"/>
        </w:rPr>
        <w:t xml:space="preserve">The Company’s liability for each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will not exceed the applicable Single Loss Limit of Insurance set forth in ITEM 4 of the Declarations. If a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will not exceed the largest applicable Single Loss Limit of Insurance.</w:t>
      </w:r>
    </w:p>
    <w:p>
      <w:pPr>
        <w:spacing w:after="0" w:line="299" w:lineRule="exact"/>
        <w:rPr>
          <w:rFonts w:ascii="Arial" w:cs="Arial" w:eastAsia="Arial" w:hAnsi="Arial"/>
          <w:sz w:val="18"/>
          <w:szCs w:val="18"/>
          <w:b w:val="1"/>
          <w:bCs w:val="1"/>
          <w:color w:val="auto"/>
        </w:rPr>
      </w:pPr>
    </w:p>
    <w:p>
      <w:pPr>
        <w:ind w:left="960" w:hanging="532"/>
        <w:spacing w:after="0"/>
        <w:tabs>
          <w:tab w:leader="none" w:pos="9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DEDUCTIBLE</w:t>
      </w:r>
    </w:p>
    <w:p>
      <w:pPr>
        <w:spacing w:after="0" w:line="117" w:lineRule="exact"/>
        <w:rPr>
          <w:rFonts w:ascii="Arial" w:cs="Arial" w:eastAsia="Arial" w:hAnsi="Arial"/>
          <w:sz w:val="18"/>
          <w:szCs w:val="18"/>
          <w:b w:val="1"/>
          <w:bCs w:val="1"/>
          <w:color w:val="auto"/>
        </w:rPr>
      </w:pPr>
    </w:p>
    <w:p>
      <w:pPr>
        <w:ind w:left="980" w:right="400"/>
        <w:spacing w:after="0" w:line="312"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is liable hereunder only for the amount by which any </w:t>
      </w:r>
      <w:r>
        <w:rPr>
          <w:rFonts w:ascii="Arial" w:cs="Arial" w:eastAsia="Arial" w:hAnsi="Arial"/>
          <w:sz w:val="17"/>
          <w:szCs w:val="17"/>
          <w:b w:val="1"/>
          <w:bCs w:val="1"/>
          <w:color w:val="auto"/>
        </w:rPr>
        <w:t>Single Loss</w:t>
      </w:r>
      <w:r>
        <w:rPr>
          <w:rFonts w:ascii="Arial" w:cs="Arial" w:eastAsia="Arial" w:hAnsi="Arial"/>
          <w:sz w:val="17"/>
          <w:szCs w:val="17"/>
          <w:color w:val="auto"/>
        </w:rPr>
        <w:t xml:space="preserve"> exceeds the Single Loss Deductible Amount for the Insuring Agreement or Coverage applicable to such loss, subject to the applicable Single Loss Limit of Insurance.</w:t>
      </w:r>
    </w:p>
    <w:p>
      <w:pPr>
        <w:spacing w:after="0" w:line="31" w:lineRule="exact"/>
        <w:rPr>
          <w:rFonts w:ascii="Arial" w:cs="Arial" w:eastAsia="Arial" w:hAnsi="Arial"/>
          <w:sz w:val="18"/>
          <w:szCs w:val="18"/>
          <w:b w:val="1"/>
          <w:bCs w:val="1"/>
          <w:color w:val="auto"/>
        </w:rPr>
      </w:pPr>
    </w:p>
    <w:p>
      <w:pPr>
        <w:ind w:left="980" w:right="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covered under more than one Coverage within an Insuring Agreement, the Single Loss Deductible Amount set forth in ITEM 4 of the Declarations for each applicable Coverage will apply separately to the part of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covered under such Coverage, however the sum of such Single Loss Deductible Amounts for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highest applicable Single Loss Deductible Amount for any such Coverage.</w:t>
      </w:r>
    </w:p>
    <w:p>
      <w:pPr>
        <w:spacing w:after="0" w:line="75" w:lineRule="exact"/>
        <w:rPr>
          <w:rFonts w:ascii="Arial" w:cs="Arial" w:eastAsia="Arial" w:hAnsi="Arial"/>
          <w:sz w:val="18"/>
          <w:szCs w:val="18"/>
          <w:b w:val="1"/>
          <w:bCs w:val="1"/>
          <w:color w:val="auto"/>
        </w:rPr>
      </w:pPr>
    </w:p>
    <w:p>
      <w:pPr>
        <w:ind w:left="980" w:right="10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w:t>
      </w:r>
    </w:p>
    <w:p>
      <w:pPr>
        <w:spacing w:after="0" w:line="293" w:lineRule="exact"/>
        <w:rPr>
          <w:rFonts w:ascii="Arial" w:cs="Arial" w:eastAsia="Arial" w:hAnsi="Arial"/>
          <w:sz w:val="18"/>
          <w:szCs w:val="18"/>
          <w:b w:val="1"/>
          <w:bCs w:val="1"/>
          <w:color w:val="auto"/>
        </w:rPr>
      </w:pPr>
    </w:p>
    <w:p>
      <w:pPr>
        <w:ind w:left="960" w:hanging="532"/>
        <w:spacing w:after="0"/>
        <w:tabs>
          <w:tab w:leader="none" w:pos="9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NON-ACCUMULATION OF LIMITS</w:t>
      </w:r>
    </w:p>
    <w:p>
      <w:pPr>
        <w:spacing w:after="0" w:line="117" w:lineRule="exact"/>
        <w:rPr>
          <w:rFonts w:ascii="Arial" w:cs="Arial" w:eastAsia="Arial" w:hAnsi="Arial"/>
          <w:sz w:val="18"/>
          <w:szCs w:val="18"/>
          <w:b w:val="1"/>
          <w:bCs w:val="1"/>
          <w:color w:val="auto"/>
        </w:rPr>
      </w:pPr>
    </w:p>
    <w:p>
      <w:pPr>
        <w:ind w:left="980" w:right="2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The Single Loss Limit of Insurance of the Company is not cumulative in amount from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to </w:t>
      </w:r>
      <w:r>
        <w:rPr>
          <w:rFonts w:ascii="Arial" w:cs="Arial" w:eastAsia="Arial" w:hAnsi="Arial"/>
          <w:sz w:val="18"/>
          <w:szCs w:val="18"/>
          <w:b w:val="1"/>
          <w:bCs w:val="1"/>
          <w:color w:val="auto"/>
        </w:rPr>
        <w:t>Bond Period</w:t>
      </w:r>
      <w:r>
        <w:rPr>
          <w:rFonts w:ascii="Arial" w:cs="Arial" w:eastAsia="Arial" w:hAnsi="Arial"/>
          <w:sz w:val="18"/>
          <w:szCs w:val="18"/>
          <w:color w:val="auto"/>
        </w:rPr>
        <w:t>, regardless of the number of years this bond is in force, the number of times this bond may be renewed or replaced, or the number of premiums that are payable or paid.</w:t>
      </w:r>
    </w:p>
    <w:p>
      <w:pPr>
        <w:spacing w:after="0" w:line="324" w:lineRule="exact"/>
        <w:rPr>
          <w:rFonts w:ascii="Arial" w:cs="Arial" w:eastAsia="Arial" w:hAnsi="Arial"/>
          <w:sz w:val="18"/>
          <w:szCs w:val="18"/>
          <w:b w:val="1"/>
          <w:bCs w:val="1"/>
          <w:color w:val="auto"/>
        </w:rPr>
      </w:pPr>
    </w:p>
    <w:p>
      <w:pPr>
        <w:ind w:left="960" w:hanging="532"/>
        <w:spacing w:after="0"/>
        <w:tabs>
          <w:tab w:leader="none" w:pos="9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NOTICE - PROOF OF LOSS - LEGAL PROCEEDINGS</w:t>
      </w:r>
    </w:p>
    <w:p>
      <w:pPr>
        <w:spacing w:after="0" w:line="130" w:lineRule="exact"/>
        <w:rPr>
          <w:rFonts w:ascii="Arial" w:cs="Arial" w:eastAsia="Arial" w:hAnsi="Arial"/>
          <w:sz w:val="18"/>
          <w:szCs w:val="18"/>
          <w:b w:val="1"/>
          <w:bCs w:val="1"/>
          <w:color w:val="auto"/>
        </w:rPr>
      </w:pPr>
    </w:p>
    <w:p>
      <w:pPr>
        <w:ind w:left="1420" w:right="160" w:hanging="439"/>
        <w:spacing w:after="0" w:line="282" w:lineRule="auto"/>
        <w:tabs>
          <w:tab w:leader="none" w:pos="1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At the earliest practicable moment not to exceed 90 days after discovery of loss,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give the Company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940"/>
          </w:cols>
          <w:pgMar w:left="440" w:top="270" w:right="51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Page 20 of 25</w:t>
      </w:r>
    </w:p>
    <w:p>
      <w:pPr>
        <w:sectPr>
          <w:pgSz w:w="11900" w:h="16838" w:orient="portrait"/>
          <w:cols w:equalWidth="0" w:num="2">
            <w:col w:w="9200" w:space="720"/>
            <w:col w:w="1020"/>
          </w:cols>
          <w:pgMar w:left="440" w:top="270" w:right="519" w:bottom="1440" w:gutter="0" w:footer="0" w:header="0"/>
          <w:type w:val="continuous"/>
        </w:sectPr>
      </w:pPr>
    </w:p>
    <w:bookmarkStart w:id="28" w:name="page29"/>
    <w:bookmarkEnd w:id="28"/>
    <w:p>
      <w:pPr>
        <w:ind w:left="1420" w:right="160" w:hanging="439"/>
        <w:spacing w:after="0" w:line="282" w:lineRule="auto"/>
        <w:tabs>
          <w:tab w:leader="none" w:pos="1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Within six months after such discovery,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furnish to the Company proof of loss, duly sworn to, with full particulars.</w:t>
      </w:r>
    </w:p>
    <w:p>
      <w:pPr>
        <w:spacing w:after="0" w:line="67" w:lineRule="exact"/>
        <w:rPr>
          <w:rFonts w:ascii="Arial" w:cs="Arial" w:eastAsia="Arial" w:hAnsi="Arial"/>
          <w:sz w:val="18"/>
          <w:szCs w:val="18"/>
          <w:color w:val="auto"/>
        </w:rPr>
      </w:pPr>
    </w:p>
    <w:p>
      <w:pPr>
        <w:ind w:left="1420" w:right="140" w:hanging="439"/>
        <w:spacing w:after="0" w:line="282" w:lineRule="auto"/>
        <w:tabs>
          <w:tab w:leader="none" w:pos="1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Lost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listed in a proof of loss will be identified by certificate or bond numbers if such securities were issued therewith.</w:t>
      </w:r>
    </w:p>
    <w:p>
      <w:pPr>
        <w:spacing w:after="0" w:line="71" w:lineRule="exact"/>
        <w:rPr>
          <w:rFonts w:ascii="Arial" w:cs="Arial" w:eastAsia="Arial" w:hAnsi="Arial"/>
          <w:sz w:val="18"/>
          <w:szCs w:val="18"/>
          <w:color w:val="auto"/>
        </w:rPr>
      </w:pPr>
    </w:p>
    <w:p>
      <w:pPr>
        <w:ind w:left="1420" w:hanging="439"/>
        <w:spacing w:after="0" w:line="257" w:lineRule="auto"/>
        <w:tabs>
          <w:tab w:leader="none" w:pos="1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w:t>
      </w:r>
    </w:p>
    <w:p>
      <w:pPr>
        <w:spacing w:after="0" w:line="93" w:lineRule="exact"/>
        <w:rPr>
          <w:rFonts w:ascii="Arial" w:cs="Arial" w:eastAsia="Arial" w:hAnsi="Arial"/>
          <w:sz w:val="18"/>
          <w:szCs w:val="18"/>
          <w:color w:val="auto"/>
        </w:rPr>
      </w:pPr>
    </w:p>
    <w:p>
      <w:pPr>
        <w:ind w:left="1420" w:right="140" w:hanging="439"/>
        <w:spacing w:after="0" w:line="277" w:lineRule="auto"/>
        <w:tabs>
          <w:tab w:leader="none" w:pos="1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will be deemed to be amended so as to equal the minimum period of limitation provided by such law.</w:t>
      </w:r>
    </w:p>
    <w:p>
      <w:pPr>
        <w:spacing w:after="0" w:line="75" w:lineRule="exact"/>
        <w:rPr>
          <w:rFonts w:ascii="Arial" w:cs="Arial" w:eastAsia="Arial" w:hAnsi="Arial"/>
          <w:sz w:val="18"/>
          <w:szCs w:val="18"/>
          <w:color w:val="auto"/>
        </w:rPr>
      </w:pPr>
    </w:p>
    <w:p>
      <w:pPr>
        <w:ind w:left="1420" w:right="160" w:hanging="439"/>
        <w:spacing w:after="0" w:line="342" w:lineRule="auto"/>
        <w:tabs>
          <w:tab w:leader="none" w:pos="14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This bond is for the use and benefit only of the Insured, and the Company will not be liable hereunder for loss sustained by anyone other than the Insured. No suit, action or legal proceedings will be brought hereunder by anyone other than the Insured.</w:t>
      </w:r>
    </w:p>
    <w:p>
      <w:pPr>
        <w:spacing w:after="0" w:line="268" w:lineRule="exact"/>
        <w:rPr>
          <w:rFonts w:ascii="Arial" w:cs="Arial" w:eastAsia="Arial" w:hAnsi="Arial"/>
          <w:sz w:val="16"/>
          <w:szCs w:val="16"/>
          <w:color w:val="auto"/>
        </w:rPr>
      </w:pPr>
    </w:p>
    <w:p>
      <w:pPr>
        <w:ind w:left="960" w:hanging="532"/>
        <w:spacing w:after="0"/>
        <w:tabs>
          <w:tab w:leader="none" w:pos="9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VALUATION</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Money</w:t>
      </w:r>
    </w:p>
    <w:p>
      <w:pPr>
        <w:spacing w:after="0" w:line="113" w:lineRule="exact"/>
        <w:rPr>
          <w:rFonts w:ascii="Arial" w:cs="Arial" w:eastAsia="Arial" w:hAnsi="Arial"/>
          <w:sz w:val="18"/>
          <w:szCs w:val="18"/>
          <w:color w:val="auto"/>
        </w:rPr>
      </w:pPr>
    </w:p>
    <w:p>
      <w:pPr>
        <w:ind w:left="1420" w:right="200"/>
        <w:spacing w:after="0" w:line="347" w:lineRule="auto"/>
        <w:rPr>
          <w:rFonts w:ascii="Arial" w:cs="Arial" w:eastAsia="Arial" w:hAnsi="Arial"/>
          <w:sz w:val="18"/>
          <w:szCs w:val="18"/>
          <w:color w:val="auto"/>
        </w:rPr>
      </w:pPr>
      <w:r>
        <w:rPr>
          <w:rFonts w:ascii="Arial" w:cs="Arial" w:eastAsia="Arial" w:hAnsi="Arial"/>
          <w:sz w:val="16"/>
          <w:szCs w:val="16"/>
          <w:color w:val="auto"/>
        </w:rPr>
        <w:t xml:space="preserve">Any loss of </w:t>
      </w:r>
      <w:r>
        <w:rPr>
          <w:rFonts w:ascii="Arial" w:cs="Arial" w:eastAsia="Arial" w:hAnsi="Arial"/>
          <w:sz w:val="16"/>
          <w:szCs w:val="16"/>
          <w:b w:val="1"/>
          <w:bCs w:val="1"/>
          <w:color w:val="auto"/>
        </w:rPr>
        <w:t>Money</w:t>
      </w:r>
      <w:r>
        <w:rPr>
          <w:rFonts w:ascii="Arial" w:cs="Arial" w:eastAsia="Arial" w:hAnsi="Arial"/>
          <w:sz w:val="16"/>
          <w:szCs w:val="16"/>
          <w:color w:val="auto"/>
        </w:rPr>
        <w:t xml:space="preserve">, or loss payable in </w:t>
      </w:r>
      <w:r>
        <w:rPr>
          <w:rFonts w:ascii="Arial" w:cs="Arial" w:eastAsia="Arial" w:hAnsi="Arial"/>
          <w:sz w:val="16"/>
          <w:szCs w:val="16"/>
          <w:b w:val="1"/>
          <w:bCs w:val="1"/>
          <w:color w:val="auto"/>
        </w:rPr>
        <w:t>Money</w:t>
      </w:r>
      <w:r>
        <w:rPr>
          <w:rFonts w:ascii="Arial" w:cs="Arial" w:eastAsia="Arial" w:hAnsi="Arial"/>
          <w:sz w:val="16"/>
          <w:szCs w:val="16"/>
          <w:color w:val="auto"/>
        </w:rPr>
        <w:t xml:space="preserve">, will be paid, at the option of the Insured, in the </w:t>
      </w:r>
      <w:r>
        <w:rPr>
          <w:rFonts w:ascii="Arial" w:cs="Arial" w:eastAsia="Arial" w:hAnsi="Arial"/>
          <w:sz w:val="16"/>
          <w:szCs w:val="16"/>
          <w:b w:val="1"/>
          <w:bCs w:val="1"/>
          <w:color w:val="auto"/>
        </w:rPr>
        <w:t>Money</w:t>
      </w:r>
      <w:r>
        <w:rPr>
          <w:rFonts w:ascii="Arial" w:cs="Arial" w:eastAsia="Arial" w:hAnsi="Arial"/>
          <w:sz w:val="16"/>
          <w:szCs w:val="16"/>
          <w:color w:val="auto"/>
        </w:rPr>
        <w:t xml:space="preserve"> of the country in which the loss was sustained or in the U.S. dollar equivalent thereof determined at the rate of exchange at the time of payment of such loss.</w:t>
      </w:r>
    </w:p>
    <w:p>
      <w:pPr>
        <w:spacing w:after="0" w:line="268" w:lineRule="exact"/>
        <w:rPr>
          <w:rFonts w:ascii="Arial" w:cs="Arial" w:eastAsia="Arial" w:hAnsi="Arial"/>
          <w:sz w:val="18"/>
          <w:szCs w:val="18"/>
          <w:color w:val="auto"/>
        </w:rPr>
      </w:pPr>
    </w:p>
    <w:p>
      <w:pPr>
        <w:ind w:left="1420" w:hanging="439"/>
        <w:spacing w:after="0"/>
        <w:tabs>
          <w:tab w:leader="none" w:pos="14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7" w:lineRule="exact"/>
        <w:rPr>
          <w:rFonts w:ascii="Arial" w:cs="Arial" w:eastAsia="Arial" w:hAnsi="Arial"/>
          <w:sz w:val="18"/>
          <w:szCs w:val="18"/>
          <w:color w:val="auto"/>
        </w:rPr>
      </w:pPr>
    </w:p>
    <w:p>
      <w:pPr>
        <w:ind w:left="1420" w:right="20"/>
        <w:spacing w:after="0" w:line="293" w:lineRule="auto"/>
        <w:rPr>
          <w:rFonts w:ascii="Arial" w:cs="Arial" w:eastAsia="Arial" w:hAnsi="Arial"/>
          <w:sz w:val="18"/>
          <w:szCs w:val="18"/>
          <w:color w:val="auto"/>
        </w:rPr>
      </w:pPr>
      <w:r>
        <w:rPr>
          <w:rFonts w:ascii="Arial" w:cs="Arial" w:eastAsia="Arial" w:hAnsi="Arial"/>
          <w:sz w:val="16"/>
          <w:szCs w:val="16"/>
          <w:color w:val="auto"/>
        </w:rPr>
        <w:t>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w:t>
      </w:r>
    </w:p>
    <w:p>
      <w:pPr>
        <w:spacing w:after="0" w:line="56" w:lineRule="exact"/>
        <w:rPr>
          <w:rFonts w:ascii="Arial" w:cs="Arial" w:eastAsia="Arial" w:hAnsi="Arial"/>
          <w:sz w:val="18"/>
          <w:szCs w:val="18"/>
          <w:color w:val="auto"/>
        </w:rPr>
      </w:pPr>
    </w:p>
    <w:p>
      <w:pPr>
        <w:jc w:val="both"/>
        <w:ind w:left="1420" w:right="60"/>
        <w:spacing w:after="0" w:line="311" w:lineRule="auto"/>
        <w:rPr>
          <w:rFonts w:ascii="Arial" w:cs="Arial" w:eastAsia="Arial" w:hAnsi="Arial"/>
          <w:sz w:val="18"/>
          <w:szCs w:val="18"/>
          <w:color w:val="auto"/>
        </w:rPr>
      </w:pPr>
      <w:r>
        <w:rPr>
          <w:rFonts w:ascii="Arial" w:cs="Arial" w:eastAsia="Arial" w:hAnsi="Arial"/>
          <w:sz w:val="16"/>
          <w:szCs w:val="16"/>
          <w:color w:val="auto"/>
        </w:rPr>
        <w:t>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w:t>
      </w:r>
    </w:p>
    <w:p>
      <w:pPr>
        <w:spacing w:after="0" w:line="40" w:lineRule="exact"/>
        <w:rPr>
          <w:rFonts w:ascii="Arial" w:cs="Arial" w:eastAsia="Arial" w:hAnsi="Arial"/>
          <w:sz w:val="18"/>
          <w:szCs w:val="18"/>
          <w:color w:val="auto"/>
        </w:rPr>
      </w:pPr>
    </w:p>
    <w:p>
      <w:pPr>
        <w:ind w:left="1420" w:right="80"/>
        <w:spacing w:after="0" w:line="273" w:lineRule="auto"/>
        <w:rPr>
          <w:rFonts w:ascii="Arial" w:cs="Arial" w:eastAsia="Arial" w:hAnsi="Arial"/>
          <w:sz w:val="18"/>
          <w:szCs w:val="18"/>
          <w:color w:val="auto"/>
        </w:rPr>
      </w:pPr>
      <w:r>
        <w:rPr>
          <w:rFonts w:ascii="Arial" w:cs="Arial" w:eastAsia="Arial" w:hAnsi="Arial"/>
          <w:sz w:val="17"/>
          <w:szCs w:val="17"/>
          <w:color w:val="auto"/>
        </w:rPr>
        <w:t>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w:t>
      </w:r>
    </w:p>
    <w:p>
      <w:pPr>
        <w:spacing w:after="0" w:line="326" w:lineRule="exact"/>
        <w:rPr>
          <w:rFonts w:ascii="Arial" w:cs="Arial" w:eastAsia="Arial" w:hAnsi="Arial"/>
          <w:sz w:val="18"/>
          <w:szCs w:val="18"/>
          <w:color w:val="auto"/>
        </w:rPr>
      </w:pPr>
    </w:p>
    <w:p>
      <w:pPr>
        <w:ind w:left="1420" w:hanging="439"/>
        <w:spacing w:after="0"/>
        <w:tabs>
          <w:tab w:leader="none" w:pos="14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Books of Account and Other Records</w:t>
      </w:r>
    </w:p>
    <w:p>
      <w:pPr>
        <w:spacing w:after="0" w:line="117" w:lineRule="exact"/>
        <w:rPr>
          <w:rFonts w:ascii="Arial" w:cs="Arial" w:eastAsia="Arial" w:hAnsi="Arial"/>
          <w:sz w:val="18"/>
          <w:szCs w:val="18"/>
          <w:color w:val="auto"/>
        </w:rPr>
      </w:pPr>
    </w:p>
    <w:p>
      <w:pPr>
        <w:ind w:left="1420" w:right="160"/>
        <w:spacing w:after="0" w:line="259" w:lineRule="auto"/>
        <w:rPr>
          <w:rFonts w:ascii="Arial" w:cs="Arial" w:eastAsia="Arial" w:hAnsi="Arial"/>
          <w:sz w:val="18"/>
          <w:szCs w:val="18"/>
          <w:color w:val="auto"/>
        </w:rPr>
      </w:pPr>
      <w:r>
        <w:rPr>
          <w:rFonts w:ascii="Arial" w:cs="Arial" w:eastAsia="Arial" w:hAnsi="Arial"/>
          <w:sz w:val="18"/>
          <w:szCs w:val="18"/>
          <w:color w:val="auto"/>
        </w:rPr>
        <w:t>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699516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Page 21 of 25</w:t>
      </w:r>
    </w:p>
    <w:p>
      <w:pPr>
        <w:sectPr>
          <w:pgSz w:w="11900" w:h="16838" w:orient="portrait"/>
          <w:cols w:equalWidth="0" w:num="2">
            <w:col w:w="9200" w:space="720"/>
            <w:col w:w="1080"/>
          </w:cols>
          <w:pgMar w:left="440" w:top="270" w:right="459" w:bottom="1440" w:gutter="0" w:footer="0" w:header="0"/>
          <w:type w:val="continuous"/>
        </w:sectPr>
      </w:pPr>
    </w:p>
    <w:bookmarkStart w:id="29" w:name="page30"/>
    <w:bookmarkEnd w:id="29"/>
    <w:p>
      <w:pPr>
        <w:ind w:left="1420" w:hanging="439"/>
        <w:spacing w:after="0"/>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Property other than Money, Securities, Books of Account or Other Records</w:t>
      </w:r>
    </w:p>
    <w:p>
      <w:pPr>
        <w:spacing w:after="0" w:line="113" w:lineRule="exact"/>
        <w:rPr>
          <w:rFonts w:ascii="Arial" w:cs="Arial" w:eastAsia="Arial" w:hAnsi="Arial"/>
          <w:sz w:val="18"/>
          <w:szCs w:val="18"/>
          <w:color w:val="auto"/>
        </w:rPr>
      </w:pPr>
    </w:p>
    <w:p>
      <w:pPr>
        <w:ind w:left="1420" w:right="460"/>
        <w:spacing w:after="0" w:line="289" w:lineRule="auto"/>
        <w:rPr>
          <w:rFonts w:ascii="Arial" w:cs="Arial" w:eastAsia="Arial" w:hAnsi="Arial"/>
          <w:sz w:val="18"/>
          <w:szCs w:val="18"/>
          <w:color w:val="auto"/>
        </w:rPr>
      </w:pPr>
      <w:r>
        <w:rPr>
          <w:rFonts w:ascii="Arial" w:cs="Arial" w:eastAsia="Arial" w:hAnsi="Arial"/>
          <w:sz w:val="17"/>
          <w:szCs w:val="17"/>
          <w:color w:val="auto"/>
        </w:rPr>
        <w:t xml:space="preserve">In case of loss of, or damage to,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other than </w:t>
      </w:r>
      <w:r>
        <w:rPr>
          <w:rFonts w:ascii="Arial" w:cs="Arial" w:eastAsia="Arial" w:hAnsi="Arial"/>
          <w:sz w:val="17"/>
          <w:szCs w:val="17"/>
          <w:b w:val="1"/>
          <w:bCs w:val="1"/>
          <w:color w:val="auto"/>
        </w:rPr>
        <w:t>Money</w:t>
      </w:r>
      <w:r>
        <w:rPr>
          <w:rFonts w:ascii="Arial" w:cs="Arial" w:eastAsia="Arial" w:hAnsi="Arial"/>
          <w:sz w:val="17"/>
          <w:szCs w:val="17"/>
          <w:color w:val="auto"/>
        </w:rPr>
        <w:t xml:space="preserve">, securities, books of account or other records, except damage covered under Insuring Agreement B.2. or B.3., the Company will not be liable for more than the actual cash value of such </w:t>
      </w:r>
      <w:r>
        <w:rPr>
          <w:rFonts w:ascii="Arial" w:cs="Arial" w:eastAsia="Arial" w:hAnsi="Arial"/>
          <w:sz w:val="17"/>
          <w:szCs w:val="17"/>
          <w:b w:val="1"/>
          <w:bCs w:val="1"/>
          <w:color w:val="auto"/>
        </w:rPr>
        <w:t>Property</w:t>
      </w:r>
      <w:r>
        <w:rPr>
          <w:rFonts w:ascii="Arial" w:cs="Arial" w:eastAsia="Arial" w:hAnsi="Arial"/>
          <w:sz w:val="17"/>
          <w:szCs w:val="17"/>
          <w:color w:val="auto"/>
        </w:rPr>
        <w:t>. The Company may, at its election, pay the actual cash value of, repair or replace such</w:t>
      </w:r>
      <w:r>
        <w:rPr>
          <w:rFonts w:ascii="Arial" w:cs="Arial" w:eastAsia="Arial" w:hAnsi="Arial"/>
          <w:sz w:val="17"/>
          <w:szCs w:val="17"/>
          <w:b w:val="1"/>
          <w:bCs w:val="1"/>
          <w:color w:val="auto"/>
        </w:rPr>
        <w:t xml:space="preserve"> Property</w:t>
      </w:r>
      <w:r>
        <w:rPr>
          <w:rFonts w:ascii="Arial" w:cs="Arial" w:eastAsia="Arial" w:hAnsi="Arial"/>
          <w:sz w:val="17"/>
          <w:szCs w:val="17"/>
          <w:color w:val="auto"/>
        </w:rPr>
        <w:t>.</w:t>
      </w:r>
    </w:p>
    <w:p>
      <w:pPr>
        <w:spacing w:after="0" w:line="49" w:lineRule="exact"/>
        <w:rPr>
          <w:rFonts w:ascii="Arial" w:cs="Arial" w:eastAsia="Arial" w:hAnsi="Arial"/>
          <w:sz w:val="18"/>
          <w:szCs w:val="18"/>
          <w:color w:val="auto"/>
        </w:rPr>
      </w:pPr>
    </w:p>
    <w:p>
      <w:pPr>
        <w:ind w:left="14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With respect to damage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covered under Insuring Agreement B.2., the Company will be liable for the full cost of repair or replacement of such </w:t>
      </w:r>
      <w:r>
        <w:rPr>
          <w:rFonts w:ascii="Arial" w:cs="Arial" w:eastAsia="Arial" w:hAnsi="Arial"/>
          <w:sz w:val="18"/>
          <w:szCs w:val="18"/>
          <w:b w:val="1"/>
          <w:bCs w:val="1"/>
          <w:color w:val="auto"/>
        </w:rPr>
        <w:t>Property</w:t>
      </w:r>
      <w:r>
        <w:rPr>
          <w:rFonts w:ascii="Arial" w:cs="Arial" w:eastAsia="Arial" w:hAnsi="Arial"/>
          <w:sz w:val="18"/>
          <w:szCs w:val="18"/>
          <w:color w:val="auto"/>
        </w:rPr>
        <w:t>, without deduction for depreciation.</w:t>
      </w:r>
    </w:p>
    <w:p>
      <w:pPr>
        <w:spacing w:after="0" w:line="57" w:lineRule="exact"/>
        <w:rPr>
          <w:rFonts w:ascii="Arial" w:cs="Arial" w:eastAsia="Arial" w:hAnsi="Arial"/>
          <w:sz w:val="18"/>
          <w:szCs w:val="18"/>
          <w:color w:val="auto"/>
        </w:rPr>
      </w:pPr>
    </w:p>
    <w:p>
      <w:pPr>
        <w:ind w:left="1420" w:right="500"/>
        <w:spacing w:after="0" w:line="277" w:lineRule="auto"/>
        <w:rPr>
          <w:rFonts w:ascii="Arial" w:cs="Arial" w:eastAsia="Arial" w:hAnsi="Arial"/>
          <w:sz w:val="18"/>
          <w:szCs w:val="18"/>
          <w:color w:val="auto"/>
        </w:rPr>
      </w:pPr>
      <w:r>
        <w:rPr>
          <w:rFonts w:ascii="Arial" w:cs="Arial" w:eastAsia="Arial" w:hAnsi="Arial"/>
          <w:sz w:val="18"/>
          <w:szCs w:val="18"/>
          <w:color w:val="auto"/>
        </w:rPr>
        <w:t>Disagreement between the Company and the Insured as to the cash value, replacement value or as to the adequacy of repair or replacement will be resolved by agreement or, at the option of the Insured, arbitration.</w:t>
      </w:r>
    </w:p>
    <w:p>
      <w:pPr>
        <w:spacing w:after="0" w:line="314" w:lineRule="exact"/>
        <w:rPr>
          <w:rFonts w:ascii="Arial" w:cs="Arial" w:eastAsia="Arial" w:hAnsi="Arial"/>
          <w:sz w:val="18"/>
          <w:szCs w:val="18"/>
          <w:color w:val="auto"/>
        </w:rPr>
      </w:pPr>
    </w:p>
    <w:p>
      <w:pPr>
        <w:ind w:left="960" w:hanging="532"/>
        <w:spacing w:after="0"/>
        <w:tabs>
          <w:tab w:leader="none" w:pos="9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17" w:lineRule="exact"/>
        <w:rPr>
          <w:rFonts w:ascii="Arial" w:cs="Arial" w:eastAsia="Arial" w:hAnsi="Arial"/>
          <w:sz w:val="18"/>
          <w:szCs w:val="18"/>
          <w:b w:val="1"/>
          <w:bCs w:val="1"/>
          <w:color w:val="auto"/>
        </w:rPr>
      </w:pPr>
    </w:p>
    <w:p>
      <w:pPr>
        <w:ind w:left="980" w:right="40"/>
        <w:spacing w:after="0" w:line="347" w:lineRule="auto"/>
        <w:rPr>
          <w:rFonts w:ascii="Arial" w:cs="Arial" w:eastAsia="Arial" w:hAnsi="Arial"/>
          <w:sz w:val="18"/>
          <w:szCs w:val="18"/>
          <w:b w:val="1"/>
          <w:bCs w:val="1"/>
          <w:color w:val="auto"/>
        </w:rPr>
      </w:pPr>
      <w:r>
        <w:rPr>
          <w:rFonts w:ascii="Arial" w:cs="Arial" w:eastAsia="Arial" w:hAnsi="Arial"/>
          <w:sz w:val="16"/>
          <w:szCs w:val="16"/>
          <w:color w:val="auto"/>
        </w:rPr>
        <w:t xml:space="preserve">In the event of payment under this bond, the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will deliver, if so requested by the Company, an assignment of such of the Insured’s rights, title and interest and causes of action as it has against any person or entity to the extent of the loss payment.</w:t>
      </w:r>
    </w:p>
    <w:p>
      <w:pPr>
        <w:spacing w:after="0" w:line="264" w:lineRule="exact"/>
        <w:rPr>
          <w:rFonts w:ascii="Arial" w:cs="Arial" w:eastAsia="Arial" w:hAnsi="Arial"/>
          <w:sz w:val="18"/>
          <w:szCs w:val="18"/>
          <w:b w:val="1"/>
          <w:bCs w:val="1"/>
          <w:color w:val="auto"/>
        </w:rPr>
      </w:pPr>
    </w:p>
    <w:p>
      <w:pPr>
        <w:ind w:left="960" w:hanging="532"/>
        <w:spacing w:after="0"/>
        <w:tabs>
          <w:tab w:leader="none" w:pos="9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p>
    <w:p>
      <w:pPr>
        <w:spacing w:after="0" w:line="121" w:lineRule="exact"/>
        <w:rPr>
          <w:rFonts w:ascii="Arial" w:cs="Arial" w:eastAsia="Arial" w:hAnsi="Arial"/>
          <w:sz w:val="18"/>
          <w:szCs w:val="18"/>
          <w:b w:val="1"/>
          <w:bCs w:val="1"/>
          <w:color w:val="auto"/>
        </w:rPr>
      </w:pPr>
    </w:p>
    <w:p>
      <w:pPr>
        <w:ind w:left="98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In the event of payment under this bond, the Company will be subrogated to all of the Insured’s rights of recovery therefor against any person or entity to the extent of such payment. If the rules of a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w:t>
      </w:r>
    </w:p>
    <w:p>
      <w:pPr>
        <w:spacing w:after="0" w:line="332" w:lineRule="exact"/>
        <w:rPr>
          <w:rFonts w:ascii="Arial" w:cs="Arial" w:eastAsia="Arial" w:hAnsi="Arial"/>
          <w:sz w:val="18"/>
          <w:szCs w:val="18"/>
          <w:b w:val="1"/>
          <w:bCs w:val="1"/>
          <w:color w:val="auto"/>
        </w:rPr>
      </w:pPr>
    </w:p>
    <w:p>
      <w:pPr>
        <w:ind w:left="960" w:hanging="532"/>
        <w:spacing w:after="0"/>
        <w:tabs>
          <w:tab w:leader="none" w:pos="9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RECOVERIES</w:t>
      </w:r>
    </w:p>
    <w:p>
      <w:pPr>
        <w:spacing w:after="0" w:line="134" w:lineRule="exact"/>
        <w:rPr>
          <w:rFonts w:ascii="Arial" w:cs="Arial" w:eastAsia="Arial" w:hAnsi="Arial"/>
          <w:sz w:val="18"/>
          <w:szCs w:val="18"/>
          <w:b w:val="1"/>
          <w:bCs w:val="1"/>
          <w:color w:val="auto"/>
        </w:rPr>
      </w:pPr>
    </w:p>
    <w:p>
      <w:pPr>
        <w:ind w:left="1420" w:right="480" w:hanging="439"/>
        <w:spacing w:after="0" w:line="277"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recoveries, whether effected by the Company or by the Insured will be applied, after first deducting the costs and expenses incurred in obtaining such recovery, in the following order of priority:</w:t>
      </w:r>
    </w:p>
    <w:p>
      <w:pPr>
        <w:spacing w:after="0" w:line="75" w:lineRule="exact"/>
        <w:rPr>
          <w:rFonts w:ascii="Arial" w:cs="Arial" w:eastAsia="Arial" w:hAnsi="Arial"/>
          <w:sz w:val="18"/>
          <w:szCs w:val="18"/>
          <w:color w:val="auto"/>
        </w:rPr>
      </w:pPr>
    </w:p>
    <w:p>
      <w:pPr>
        <w:ind w:left="1960" w:right="40" w:hanging="533"/>
        <w:spacing w:after="0" w:line="259" w:lineRule="auto"/>
        <w:tabs>
          <w:tab w:leader="none" w:pos="19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w:t>
      </w:r>
    </w:p>
    <w:p>
      <w:pPr>
        <w:spacing w:after="0" w:line="92" w:lineRule="exact"/>
        <w:rPr>
          <w:rFonts w:ascii="Arial" w:cs="Arial" w:eastAsia="Arial" w:hAnsi="Arial"/>
          <w:sz w:val="18"/>
          <w:szCs w:val="18"/>
          <w:color w:val="auto"/>
        </w:rPr>
      </w:pPr>
    </w:p>
    <w:p>
      <w:pPr>
        <w:ind w:left="1960" w:hanging="533"/>
        <w:spacing w:after="0"/>
        <w:tabs>
          <w:tab w:leader="none" w:pos="1960" w:val="left"/>
        </w:tabs>
        <w:numPr>
          <w:ilvl w:val="2"/>
          <w:numId w:val="52"/>
        </w:numPr>
        <w:rPr>
          <w:rFonts w:ascii="Arial" w:cs="Arial" w:eastAsia="Arial" w:hAnsi="Arial"/>
          <w:sz w:val="17"/>
          <w:szCs w:val="17"/>
          <w:color w:val="auto"/>
        </w:rPr>
      </w:pPr>
      <w:r>
        <w:rPr>
          <w:rFonts w:ascii="Arial" w:cs="Arial" w:eastAsia="Arial" w:hAnsi="Arial"/>
          <w:sz w:val="17"/>
          <w:szCs w:val="17"/>
          <w:color w:val="auto"/>
        </w:rPr>
        <w:t>second, to the Company in satisfaction of amounts paid or to be paid to the Insured in settlement of the Insured’s claim;</w:t>
      </w:r>
    </w:p>
    <w:p>
      <w:pPr>
        <w:spacing w:after="0" w:line="142" w:lineRule="exact"/>
        <w:rPr>
          <w:rFonts w:ascii="Arial" w:cs="Arial" w:eastAsia="Arial" w:hAnsi="Arial"/>
          <w:sz w:val="17"/>
          <w:szCs w:val="17"/>
          <w:color w:val="auto"/>
        </w:rPr>
      </w:pPr>
    </w:p>
    <w:p>
      <w:pPr>
        <w:ind w:left="1960" w:hanging="533"/>
        <w:spacing w:after="0"/>
        <w:tabs>
          <w:tab w:leader="none" w:pos="19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third, to the Insured in satisfaction of any Single Loss Deductible Amount; and</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fourth, to the Insured in satisfaction of any loss not covered under this bond.</w:t>
      </w:r>
    </w:p>
    <w:p>
      <w:pPr>
        <w:spacing w:after="0" w:line="130" w:lineRule="exact"/>
        <w:rPr>
          <w:rFonts w:ascii="Arial" w:cs="Arial" w:eastAsia="Arial" w:hAnsi="Arial"/>
          <w:sz w:val="18"/>
          <w:szCs w:val="18"/>
          <w:color w:val="auto"/>
        </w:rPr>
      </w:pPr>
    </w:p>
    <w:p>
      <w:pPr>
        <w:ind w:left="1420" w:right="160" w:hanging="439"/>
        <w:spacing w:after="0" w:line="277"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Recovery on account of loss of securities as set forth in Condition I.2., or recovery from reinsurance or indemnity of the Company, will not be deemed a recovery as used herein.</w:t>
      </w:r>
    </w:p>
    <w:p>
      <w:pPr>
        <w:spacing w:after="0" w:line="58" w:lineRule="exact"/>
        <w:rPr>
          <w:sz w:val="20"/>
          <w:szCs w:val="20"/>
          <w:color w:val="auto"/>
        </w:rPr>
      </w:pPr>
    </w:p>
    <w:p>
      <w:pPr>
        <w:ind w:left="980" w:right="60"/>
        <w:spacing w:after="0" w:line="256" w:lineRule="auto"/>
        <w:rPr>
          <w:sz w:val="20"/>
          <w:szCs w:val="20"/>
          <w:color w:val="auto"/>
        </w:rPr>
      </w:pPr>
      <w:r>
        <w:rPr>
          <w:rFonts w:ascii="Arial" w:cs="Arial" w:eastAsia="Arial" w:hAnsi="Arial"/>
          <w:sz w:val="18"/>
          <w:szCs w:val="18"/>
          <w:color w:val="auto"/>
        </w:rPr>
        <w:t xml:space="preserve">In determining the amount of any loss covered under this bond, all </w:t>
      </w:r>
      <w:r>
        <w:rPr>
          <w:rFonts w:ascii="Arial" w:cs="Arial" w:eastAsia="Arial" w:hAnsi="Arial"/>
          <w:sz w:val="18"/>
          <w:szCs w:val="18"/>
          <w:b w:val="1"/>
          <w:bCs w:val="1"/>
          <w:color w:val="auto"/>
        </w:rPr>
        <w:t>Money</w:t>
      </w:r>
      <w:r>
        <w:rPr>
          <w:rFonts w:ascii="Arial" w:cs="Arial" w:eastAsia="Arial" w:hAnsi="Arial"/>
          <w:sz w:val="18"/>
          <w:szCs w:val="18"/>
          <w:color w:val="auto"/>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699516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Page 22 of 25</w:t>
      </w:r>
    </w:p>
    <w:p>
      <w:pPr>
        <w:sectPr>
          <w:pgSz w:w="11900" w:h="16838" w:orient="portrait"/>
          <w:cols w:equalWidth="0" w:num="2">
            <w:col w:w="9200" w:space="720"/>
            <w:col w:w="1080"/>
          </w:cols>
          <w:pgMar w:left="440" w:top="274" w:right="459" w:bottom="1440" w:gutter="0" w:footer="0" w:header="0"/>
          <w:type w:val="continuous"/>
        </w:sectPr>
      </w:pPr>
    </w:p>
    <w:bookmarkStart w:id="30" w:name="page31"/>
    <w:bookmarkEnd w:id="30"/>
    <w:p>
      <w:pPr>
        <w:ind w:left="960" w:hanging="532"/>
        <w:spacing w:after="0"/>
        <w:tabs>
          <w:tab w:leader="none" w:pos="9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COOPERATION</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Upon the Company’s request, and at reasonable times and places designated by the Company, the Insured will:</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submit to examination by the Company and subscribe to the same under oath;</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produce for the Company’s examination all pertinent records;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cooperate with the Company in all matters pertaining to the loss.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Insured will execute all papers and render assistance to secure to the Company the rights and causes of action provided for herein.</w:t>
      </w:r>
    </w:p>
    <w:p>
      <w:pPr>
        <w:spacing w:after="0" w:line="140" w:lineRule="exact"/>
        <w:rPr>
          <w:sz w:val="20"/>
          <w:szCs w:val="20"/>
          <w:color w:val="auto"/>
        </w:rPr>
      </w:pPr>
    </w:p>
    <w:p>
      <w:pPr>
        <w:ind w:left="980" w:right="660"/>
        <w:spacing w:after="0" w:line="277" w:lineRule="auto"/>
        <w:rPr>
          <w:sz w:val="20"/>
          <w:szCs w:val="20"/>
          <w:color w:val="auto"/>
        </w:rPr>
      </w:pPr>
      <w:r>
        <w:rPr>
          <w:rFonts w:ascii="Arial" w:cs="Arial" w:eastAsia="Arial" w:hAnsi="Arial"/>
          <w:sz w:val="18"/>
          <w:szCs w:val="18"/>
          <w:color w:val="auto"/>
        </w:rPr>
        <w:t>The Insured will do nothing after discovery of loss to prejudice such rights or causes of action and must do everything reasonably necessary to secure those rights and causes of action.</w:t>
      </w:r>
    </w:p>
    <w:p>
      <w:pPr>
        <w:spacing w:after="0" w:line="315" w:lineRule="exact"/>
        <w:rPr>
          <w:sz w:val="20"/>
          <w:szCs w:val="20"/>
          <w:color w:val="auto"/>
        </w:rPr>
      </w:pPr>
    </w:p>
    <w:p>
      <w:pPr>
        <w:ind w:left="960" w:hanging="532"/>
        <w:spacing w:after="0"/>
        <w:tabs>
          <w:tab w:leader="none" w:pos="9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ANTI-BUNDLING</w:t>
      </w:r>
    </w:p>
    <w:p>
      <w:pPr>
        <w:spacing w:after="0" w:line="117" w:lineRule="exact"/>
        <w:rPr>
          <w:rFonts w:ascii="Arial" w:cs="Arial" w:eastAsia="Arial" w:hAnsi="Arial"/>
          <w:sz w:val="18"/>
          <w:szCs w:val="18"/>
          <w:b w:val="1"/>
          <w:bCs w:val="1"/>
          <w:color w:val="auto"/>
        </w:rPr>
      </w:pPr>
    </w:p>
    <w:p>
      <w:pPr>
        <w:ind w:left="9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that is a </w:t>
      </w:r>
      <w:r>
        <w:rPr>
          <w:rFonts w:ascii="Arial" w:cs="Arial" w:eastAsia="Arial" w:hAnsi="Arial"/>
          <w:sz w:val="18"/>
          <w:szCs w:val="18"/>
          <w:b w:val="1"/>
          <w:bCs w:val="1"/>
          <w:color w:val="auto"/>
        </w:rPr>
        <w:t>Forgery</w:t>
      </w:r>
      <w:r>
        <w:rPr>
          <w:rFonts w:ascii="Arial" w:cs="Arial" w:eastAsia="Arial" w:hAnsi="Arial"/>
          <w:sz w:val="18"/>
          <w:szCs w:val="18"/>
          <w:color w:val="auto"/>
        </w:rPr>
        <w:t>, or that it be obtained through trick, artifice, fraud or false pretenses, the alteration,</w:t>
      </w:r>
      <w:r>
        <w:rPr>
          <w:rFonts w:ascii="Arial" w:cs="Arial" w:eastAsia="Arial" w:hAnsi="Arial"/>
          <w:sz w:val="18"/>
          <w:szCs w:val="18"/>
          <w:b w:val="1"/>
          <w:bCs w:val="1"/>
          <w:color w:val="auto"/>
        </w:rPr>
        <w:t xml:space="preserve"> Counterfeit</w:t>
      </w:r>
      <w:r>
        <w:rPr>
          <w:rFonts w:ascii="Arial" w:cs="Arial" w:eastAsia="Arial" w:hAnsi="Arial"/>
          <w:sz w:val="18"/>
          <w:szCs w:val="18"/>
          <w:color w:val="auto"/>
        </w:rPr>
        <w:t>, or signature must be on 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enumerated document itself, not on or of some other document submitted with, accompanying, or incorporated by reference into, the enumerated document.</w:t>
      </w:r>
    </w:p>
    <w:p>
      <w:pPr>
        <w:spacing w:after="0" w:line="328" w:lineRule="exact"/>
        <w:rPr>
          <w:rFonts w:ascii="Arial" w:cs="Arial" w:eastAsia="Arial" w:hAnsi="Arial"/>
          <w:sz w:val="18"/>
          <w:szCs w:val="18"/>
          <w:b w:val="1"/>
          <w:bCs w:val="1"/>
          <w:color w:val="auto"/>
        </w:rPr>
      </w:pPr>
    </w:p>
    <w:p>
      <w:pPr>
        <w:ind w:left="960" w:hanging="532"/>
        <w:spacing w:after="0"/>
        <w:tabs>
          <w:tab w:leader="none" w:pos="9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LIMIT OF INSURANCE UNDER THIS BOND AND PRIOR INSURANCE</w:t>
      </w:r>
    </w:p>
    <w:p>
      <w:pPr>
        <w:spacing w:after="0" w:line="117" w:lineRule="exact"/>
        <w:rPr>
          <w:rFonts w:ascii="Arial" w:cs="Arial" w:eastAsia="Arial" w:hAnsi="Arial"/>
          <w:sz w:val="18"/>
          <w:szCs w:val="18"/>
          <w:b w:val="1"/>
          <w:bCs w:val="1"/>
          <w:color w:val="auto"/>
        </w:rPr>
      </w:pPr>
    </w:p>
    <w:p>
      <w:pPr>
        <w:ind w:left="98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With respect to any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83" w:lineRule="exact"/>
        <w:rPr>
          <w:rFonts w:ascii="Arial" w:cs="Arial" w:eastAsia="Arial" w:hAnsi="Arial"/>
          <w:sz w:val="18"/>
          <w:szCs w:val="18"/>
          <w:b w:val="1"/>
          <w:bCs w:val="1"/>
          <w:color w:val="auto"/>
        </w:rPr>
      </w:pPr>
    </w:p>
    <w:p>
      <w:pPr>
        <w:ind w:left="980" w:right="2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305" w:lineRule="exact"/>
        <w:rPr>
          <w:rFonts w:ascii="Arial" w:cs="Arial" w:eastAsia="Arial" w:hAnsi="Arial"/>
          <w:sz w:val="18"/>
          <w:szCs w:val="18"/>
          <w:b w:val="1"/>
          <w:bCs w:val="1"/>
          <w:color w:val="auto"/>
        </w:rPr>
      </w:pPr>
    </w:p>
    <w:p>
      <w:pPr>
        <w:ind w:left="960" w:hanging="532"/>
        <w:spacing w:after="0"/>
        <w:tabs>
          <w:tab w:leader="none" w:pos="9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OTHER INSURANCE OR INDEMNITY</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Coverage afforded hereunder applies only as excess over any valid and collectible insurance or indemnity obtained by:</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Insured;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anyone other than the Insured;</w:t>
      </w:r>
    </w:p>
    <w:p>
      <w:pPr>
        <w:spacing w:after="0" w:line="126" w:lineRule="exact"/>
        <w:rPr>
          <w:rFonts w:ascii="Arial" w:cs="Arial" w:eastAsia="Arial" w:hAnsi="Arial"/>
          <w:sz w:val="18"/>
          <w:szCs w:val="18"/>
          <w:color w:val="auto"/>
        </w:rPr>
      </w:pPr>
    </w:p>
    <w:p>
      <w:pPr>
        <w:ind w:left="1420" w:hanging="439"/>
        <w:spacing w:after="0"/>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Transportation Company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another entity on whose premises the loss occurred or that employed the person causing the loss; or</w:t>
      </w:r>
    </w:p>
    <w:p>
      <w:pPr>
        <w:spacing w:after="0" w:line="126" w:lineRule="exact"/>
        <w:rPr>
          <w:rFonts w:ascii="Arial" w:cs="Arial" w:eastAsia="Arial" w:hAnsi="Arial"/>
          <w:sz w:val="18"/>
          <w:szCs w:val="18"/>
          <w:color w:val="auto"/>
        </w:rPr>
      </w:pPr>
    </w:p>
    <w:p>
      <w:pPr>
        <w:ind w:left="1420" w:hanging="439"/>
        <w:spacing w:after="0"/>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the messenger conveying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Page 23 of 25</w:t>
      </w:r>
    </w:p>
    <w:p>
      <w:pPr>
        <w:sectPr>
          <w:pgSz w:w="11900" w:h="16838" w:orient="portrait"/>
          <w:cols w:equalWidth="0" w:num="2">
            <w:col w:w="9200" w:space="720"/>
            <w:col w:w="1060"/>
          </w:cols>
          <w:pgMar w:left="440" w:top="270" w:right="479" w:bottom="1440" w:gutter="0" w:footer="0" w:header="0"/>
          <w:type w:val="continuous"/>
        </w:sectPr>
      </w:pPr>
    </w:p>
    <w:bookmarkStart w:id="31" w:name="page32"/>
    <w:bookmarkEnd w:id="31"/>
    <w:p>
      <w:pPr>
        <w:ind w:left="960" w:hanging="532"/>
        <w:spacing w:after="0"/>
        <w:tabs>
          <w:tab w:leader="none" w:pos="9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COVERED PROPERTY</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This bond applies to loss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that is owned by the Insured;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that is held by the Insured in any capacity;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for which the Insured is responsible,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prior to or at the time of the occurrence of the loss. This bond is for the sole use and benefit of the Insured.</w:t>
      </w:r>
    </w:p>
    <w:p>
      <w:pPr>
        <w:spacing w:after="0" w:line="370" w:lineRule="exact"/>
        <w:rPr>
          <w:sz w:val="20"/>
          <w:szCs w:val="20"/>
          <w:color w:val="auto"/>
        </w:rPr>
      </w:pPr>
    </w:p>
    <w:p>
      <w:pPr>
        <w:ind w:left="960" w:hanging="532"/>
        <w:spacing w:after="0"/>
        <w:tabs>
          <w:tab w:leader="none" w:pos="9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CANCELATION, TERMINATION, CHANGE, OR MODIFICATION</w:t>
      </w:r>
    </w:p>
    <w:p>
      <w:pPr>
        <w:spacing w:after="0" w:line="134" w:lineRule="exact"/>
        <w:rPr>
          <w:rFonts w:ascii="Arial" w:cs="Arial" w:eastAsia="Arial" w:hAnsi="Arial"/>
          <w:sz w:val="18"/>
          <w:szCs w:val="18"/>
          <w:b w:val="1"/>
          <w:bCs w:val="1"/>
          <w:color w:val="auto"/>
        </w:rPr>
      </w:pPr>
    </w:p>
    <w:p>
      <w:pPr>
        <w:ind w:left="1420" w:hanging="439"/>
        <w:spacing w:after="0"/>
        <w:tabs>
          <w:tab w:leader="none" w:pos="14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Cancelation</w:t>
      </w:r>
    </w:p>
    <w:p>
      <w:pPr>
        <w:spacing w:after="0" w:line="126" w:lineRule="exact"/>
        <w:rPr>
          <w:rFonts w:ascii="Arial" w:cs="Arial" w:eastAsia="Arial" w:hAnsi="Arial"/>
          <w:sz w:val="18"/>
          <w:szCs w:val="18"/>
          <w:color w:val="auto"/>
        </w:rPr>
      </w:pPr>
    </w:p>
    <w:p>
      <w:pPr>
        <w:ind w:left="1960" w:right="80" w:hanging="533"/>
        <w:spacing w:after="0" w:line="277" w:lineRule="auto"/>
        <w:tabs>
          <w:tab w:leader="none" w:pos="1960" w:val="left"/>
        </w:tabs>
        <w:numPr>
          <w:ilvl w:val="2"/>
          <w:numId w:val="56"/>
        </w:numPr>
        <w:rPr>
          <w:rFonts w:ascii="Arial" w:cs="Arial" w:eastAsia="Arial" w:hAnsi="Arial"/>
          <w:sz w:val="17"/>
          <w:szCs w:val="17"/>
          <w:color w:val="auto"/>
        </w:rPr>
      </w:pPr>
      <w:r>
        <w:rPr>
          <w:rFonts w:ascii="Arial" w:cs="Arial" w:eastAsia="Arial" w:hAnsi="Arial"/>
          <w:sz w:val="17"/>
          <w:szCs w:val="17"/>
          <w:color w:val="auto"/>
        </w:rPr>
        <w:t xml:space="preserve">This bond is canceled in its entirety immediately upon receipt by the Company of a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from the Insured or an </w:t>
      </w:r>
      <w:r>
        <w:rPr>
          <w:rFonts w:ascii="Arial" w:cs="Arial" w:eastAsia="Arial" w:hAnsi="Arial"/>
          <w:sz w:val="17"/>
          <w:szCs w:val="17"/>
          <w:b w:val="1"/>
          <w:bCs w:val="1"/>
          <w:color w:val="auto"/>
        </w:rPr>
        <w:t xml:space="preserve">Investment Adviser </w:t>
      </w:r>
      <w:r>
        <w:rPr>
          <w:rFonts w:ascii="Arial" w:cs="Arial" w:eastAsia="Arial" w:hAnsi="Arial"/>
          <w:sz w:val="17"/>
          <w:szCs w:val="17"/>
          <w:color w:val="auto"/>
        </w:rPr>
        <w:t>of its desire to cancel this bond, provided the Insured or</w:t>
      </w:r>
      <w:r>
        <w:rPr>
          <w:rFonts w:ascii="Arial" w:cs="Arial" w:eastAsia="Arial" w:hAnsi="Arial"/>
          <w:sz w:val="17"/>
          <w:szCs w:val="17"/>
          <w:b w:val="1"/>
          <w:bCs w:val="1"/>
          <w:color w:val="auto"/>
        </w:rPr>
        <w:t xml:space="preserve"> Investment Adviser </w:t>
      </w:r>
      <w:r>
        <w:rPr>
          <w:rFonts w:ascii="Arial" w:cs="Arial" w:eastAsia="Arial" w:hAnsi="Arial"/>
          <w:sz w:val="17"/>
          <w:szCs w:val="17"/>
          <w:color w:val="auto"/>
        </w:rPr>
        <w:t>has provided at least 60</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days’ advance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to the U.S. Securities and Exchange Commission (SEC). The Company will notify all other Insureds of the receipt of such a cancelation request from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however the cancelation will not be effective until 60 days after receipt of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by all other Insureds.</w:t>
      </w:r>
    </w:p>
    <w:p>
      <w:pPr>
        <w:spacing w:after="0" w:line="73" w:lineRule="exact"/>
        <w:rPr>
          <w:rFonts w:ascii="Arial" w:cs="Arial" w:eastAsia="Arial" w:hAnsi="Arial"/>
          <w:sz w:val="17"/>
          <w:szCs w:val="17"/>
          <w:color w:val="auto"/>
        </w:rPr>
      </w:pPr>
    </w:p>
    <w:p>
      <w:pPr>
        <w:ind w:left="1960" w:right="340" w:hanging="533"/>
        <w:spacing w:after="0" w:line="282" w:lineRule="auto"/>
        <w:tabs>
          <w:tab w:leader="none" w:pos="1960" w:val="left"/>
        </w:tabs>
        <w:numPr>
          <w:ilvl w:val="2"/>
          <w:numId w:val="56"/>
        </w:numPr>
        <w:rPr>
          <w:rFonts w:ascii="Arial" w:cs="Arial" w:eastAsia="Arial" w:hAnsi="Arial"/>
          <w:sz w:val="18"/>
          <w:szCs w:val="18"/>
          <w:color w:val="auto"/>
        </w:rPr>
      </w:pPr>
      <w:r>
        <w:rPr>
          <w:rFonts w:ascii="Arial" w:cs="Arial" w:eastAsia="Arial" w:hAnsi="Arial"/>
          <w:sz w:val="18"/>
          <w:szCs w:val="18"/>
          <w:color w:val="auto"/>
        </w:rPr>
        <w:t xml:space="preserve">This bond is canceled in its entirety 60 days after the receipt by each Insured and the SEC, of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from the Company of its desire to cancel this bond.</w:t>
      </w:r>
    </w:p>
    <w:p>
      <w:pPr>
        <w:spacing w:after="0" w:line="67" w:lineRule="exact"/>
        <w:rPr>
          <w:rFonts w:ascii="Arial" w:cs="Arial" w:eastAsia="Arial" w:hAnsi="Arial"/>
          <w:sz w:val="18"/>
          <w:szCs w:val="18"/>
          <w:color w:val="auto"/>
        </w:rPr>
      </w:pPr>
    </w:p>
    <w:p>
      <w:pPr>
        <w:ind w:left="1960" w:right="160" w:hanging="533"/>
        <w:spacing w:after="0" w:line="266" w:lineRule="auto"/>
        <w:tabs>
          <w:tab w:leader="none" w:pos="1960" w:val="left"/>
        </w:tabs>
        <w:numPr>
          <w:ilvl w:val="2"/>
          <w:numId w:val="56"/>
        </w:numPr>
        <w:rPr>
          <w:rFonts w:ascii="Arial" w:cs="Arial" w:eastAsia="Arial" w:hAnsi="Arial"/>
          <w:sz w:val="18"/>
          <w:szCs w:val="18"/>
          <w:color w:val="auto"/>
        </w:rPr>
      </w:pPr>
      <w:r>
        <w:rPr>
          <w:rFonts w:ascii="Arial" w:cs="Arial" w:eastAsia="Arial" w:hAnsi="Arial"/>
          <w:sz w:val="18"/>
          <w:szCs w:val="18"/>
          <w:color w:val="auto"/>
        </w:rPr>
        <w:t xml:space="preserve">Coverage is canceled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to any partner, officer, or employee of any </w:t>
      </w:r>
      <w:r>
        <w:rPr>
          <w:rFonts w:ascii="Arial" w:cs="Arial" w:eastAsia="Arial" w:hAnsi="Arial"/>
          <w:sz w:val="18"/>
          <w:szCs w:val="18"/>
          <w:b w:val="1"/>
          <w:bCs w:val="1"/>
          <w:color w:val="auto"/>
        </w:rPr>
        <w:t>Electronic Data Processor</w:t>
      </w:r>
      <w:r>
        <w:rPr>
          <w:rFonts w:ascii="Arial" w:cs="Arial" w:eastAsia="Arial" w:hAnsi="Arial"/>
          <w:sz w:val="18"/>
          <w:szCs w:val="18"/>
          <w:color w:val="auto"/>
        </w:rPr>
        <w:t xml:space="preserve"> 60 days after the receipt by the Insured and the SEC, of a written notice from the Company of its desire to cancel coverage under this bond as to such person.</w:t>
      </w:r>
    </w:p>
    <w:p>
      <w:pPr>
        <w:spacing w:after="0" w:line="328" w:lineRule="exact"/>
        <w:rPr>
          <w:rFonts w:ascii="Arial" w:cs="Arial" w:eastAsia="Arial" w:hAnsi="Arial"/>
          <w:sz w:val="18"/>
          <w:szCs w:val="18"/>
          <w:color w:val="auto"/>
        </w:rPr>
      </w:pPr>
    </w:p>
    <w:p>
      <w:pPr>
        <w:ind w:left="1420" w:hanging="439"/>
        <w:spacing w:after="0"/>
        <w:tabs>
          <w:tab w:leader="none" w:pos="14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56"/>
        </w:numPr>
        <w:rPr>
          <w:rFonts w:ascii="Arial" w:cs="Arial" w:eastAsia="Arial" w:hAnsi="Arial"/>
          <w:sz w:val="17"/>
          <w:szCs w:val="17"/>
          <w:color w:val="auto"/>
        </w:rPr>
      </w:pPr>
      <w:r>
        <w:rPr>
          <w:rFonts w:ascii="Arial" w:cs="Arial" w:eastAsia="Arial" w:hAnsi="Arial"/>
          <w:sz w:val="17"/>
          <w:szCs w:val="17"/>
          <w:color w:val="auto"/>
        </w:rPr>
        <w:t>This bond terminates in its entirety immediately upon the Expiration Date set forth in ITEM 2 of the Declarations.</w:t>
      </w:r>
    </w:p>
    <w:p>
      <w:pPr>
        <w:spacing w:after="0" w:line="142" w:lineRule="exact"/>
        <w:rPr>
          <w:rFonts w:ascii="Arial" w:cs="Arial" w:eastAsia="Arial" w:hAnsi="Arial"/>
          <w:sz w:val="17"/>
          <w:szCs w:val="17"/>
          <w:color w:val="auto"/>
        </w:rPr>
      </w:pPr>
    </w:p>
    <w:p>
      <w:pPr>
        <w:ind w:left="1960" w:hanging="533"/>
        <w:spacing w:after="0"/>
        <w:tabs>
          <w:tab w:leader="none" w:pos="1960"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This bond terminates as to any Insured:</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3"/>
          <w:numId w:val="56"/>
        </w:numPr>
        <w:rPr>
          <w:rFonts w:ascii="Arial" w:cs="Arial" w:eastAsia="Arial" w:hAnsi="Arial"/>
          <w:sz w:val="18"/>
          <w:szCs w:val="18"/>
          <w:color w:val="auto"/>
        </w:rPr>
      </w:pPr>
      <w:r>
        <w:rPr>
          <w:rFonts w:ascii="Arial" w:cs="Arial" w:eastAsia="Arial" w:hAnsi="Arial"/>
          <w:sz w:val="18"/>
          <w:szCs w:val="18"/>
          <w:color w:val="auto"/>
        </w:rPr>
        <w:t>immediately upon the surrender of such Insured’s charter to any governmental authority; or</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3"/>
          <w:numId w:val="56"/>
        </w:numPr>
        <w:rPr>
          <w:rFonts w:ascii="Arial" w:cs="Arial" w:eastAsia="Arial" w:hAnsi="Arial"/>
          <w:sz w:val="16"/>
          <w:szCs w:val="16"/>
          <w:color w:val="auto"/>
        </w:rPr>
      </w:pPr>
      <w:r>
        <w:rPr>
          <w:rFonts w:ascii="Arial" w:cs="Arial" w:eastAsia="Arial" w:hAnsi="Arial"/>
          <w:sz w:val="16"/>
          <w:szCs w:val="16"/>
          <w:color w:val="auto"/>
        </w:rPr>
        <w:t>immediately upon the taking over of such Insured by a receiver or other liquidator or by any State or Federal official,</w:t>
      </w:r>
    </w:p>
    <w:p>
      <w:pPr>
        <w:spacing w:after="0" w:line="14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whichever occurs first.</w:t>
      </w:r>
    </w:p>
    <w:p>
      <w:pPr>
        <w:spacing w:after="0" w:line="117" w:lineRule="exact"/>
        <w:rPr>
          <w:sz w:val="20"/>
          <w:szCs w:val="20"/>
          <w:color w:val="auto"/>
        </w:rPr>
      </w:pPr>
    </w:p>
    <w:p>
      <w:pPr>
        <w:ind w:left="1980" w:right="60"/>
        <w:spacing w:after="0" w:line="277" w:lineRule="auto"/>
        <w:rPr>
          <w:sz w:val="20"/>
          <w:szCs w:val="20"/>
          <w:color w:val="auto"/>
        </w:rPr>
      </w:pPr>
      <w:r>
        <w:rPr>
          <w:rFonts w:ascii="Arial" w:cs="Arial" w:eastAsia="Arial" w:hAnsi="Arial"/>
          <w:sz w:val="18"/>
          <w:szCs w:val="18"/>
          <w:color w:val="auto"/>
        </w:rPr>
        <w:t>Termination of the bond as to any Insured terminates liability for any loss sustained by such Insured that is discovered after the effective date of such termination.</w:t>
      </w:r>
    </w:p>
    <w:p>
      <w:pPr>
        <w:spacing w:after="0" w:line="72" w:lineRule="exact"/>
        <w:rPr>
          <w:sz w:val="20"/>
          <w:szCs w:val="20"/>
          <w:color w:val="auto"/>
        </w:rPr>
      </w:pPr>
    </w:p>
    <w:p>
      <w:pPr>
        <w:ind w:left="1960" w:hanging="533"/>
        <w:spacing w:after="0"/>
        <w:tabs>
          <w:tab w:leader="none" w:pos="19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Coverage terminates as to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or as to any partner, officer, or employee of any </w:t>
      </w:r>
      <w:r>
        <w:rPr>
          <w:rFonts w:ascii="Arial" w:cs="Arial" w:eastAsia="Arial" w:hAnsi="Arial"/>
          <w:sz w:val="16"/>
          <w:szCs w:val="16"/>
          <w:b w:val="1"/>
          <w:bCs w:val="1"/>
          <w:color w:val="auto"/>
        </w:rPr>
        <w:t>Electronic Data Processor</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2400" w:right="160" w:hanging="433"/>
        <w:spacing w:after="0" w:line="277" w:lineRule="auto"/>
        <w:tabs>
          <w:tab w:leader="none" w:pos="24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as soon as any Director or Officer or Insured not in collusion with such person, learns of any dishonest or fraudulent 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2400" w:right="160" w:hanging="433"/>
        <w:spacing w:after="0" w:line="263" w:lineRule="auto"/>
        <w:tabs>
          <w:tab w:leader="none" w:pos="24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60 days after any director or officer of the Insured not in collusion with such person, learns of any dishonest or fraudulent non-employment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that resulted in a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excess of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699516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920"/>
          </w:cols>
          <w:pgMar w:left="440" w:top="270" w:right="5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Page 24 of 25</w:t>
      </w:r>
    </w:p>
    <w:p>
      <w:pPr>
        <w:sectPr>
          <w:pgSz w:w="11900" w:h="16838" w:orient="portrait"/>
          <w:cols w:equalWidth="0" w:num="2">
            <w:col w:w="9200" w:space="720"/>
            <w:col w:w="1000"/>
          </w:cols>
          <w:pgMar w:left="440" w:top="270" w:right="539" w:bottom="1440" w:gutter="0" w:footer="0" w:header="0"/>
          <w:type w:val="continuous"/>
        </w:sectPr>
      </w:pPr>
    </w:p>
    <w:bookmarkStart w:id="32" w:name="page33"/>
    <w:bookmarkEnd w:id="32"/>
    <w:p>
      <w:pPr>
        <w:ind w:left="19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then in transit in the custody of such person.</w:t>
      </w:r>
    </w:p>
    <w:p>
      <w:pPr>
        <w:spacing w:after="0" w:line="72" w:lineRule="exact"/>
        <w:rPr>
          <w:sz w:val="20"/>
          <w:szCs w:val="20"/>
          <w:color w:val="auto"/>
        </w:rPr>
      </w:pPr>
    </w:p>
    <w:p>
      <w:pPr>
        <w:ind w:left="1980" w:right="40"/>
        <w:spacing w:after="0" w:line="261" w:lineRule="auto"/>
        <w:rPr>
          <w:sz w:val="20"/>
          <w:szCs w:val="20"/>
          <w:color w:val="auto"/>
        </w:rPr>
      </w:pPr>
      <w:r>
        <w:rPr>
          <w:rFonts w:ascii="Arial" w:cs="Arial" w:eastAsia="Arial" w:hAnsi="Arial"/>
          <w:sz w:val="18"/>
          <w:szCs w:val="18"/>
          <w:color w:val="auto"/>
        </w:rPr>
        <w:t xml:space="preserve">However, termination of coverage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w:t>
      </w:r>
    </w:p>
    <w:p>
      <w:pPr>
        <w:spacing w:after="0" w:line="332" w:lineRule="exact"/>
        <w:rPr>
          <w:sz w:val="20"/>
          <w:szCs w:val="20"/>
          <w:color w:val="auto"/>
        </w:rPr>
      </w:pPr>
    </w:p>
    <w:p>
      <w:pPr>
        <w:ind w:left="1420" w:hanging="439"/>
        <w:spacing w:after="0"/>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Change or Modification</w:t>
      </w:r>
    </w:p>
    <w:p>
      <w:pPr>
        <w:spacing w:after="0" w:line="117" w:lineRule="exact"/>
        <w:rPr>
          <w:rFonts w:ascii="Arial" w:cs="Arial" w:eastAsia="Arial" w:hAnsi="Arial"/>
          <w:sz w:val="18"/>
          <w:szCs w:val="18"/>
          <w:color w:val="auto"/>
        </w:rPr>
      </w:pPr>
    </w:p>
    <w:p>
      <w:pPr>
        <w:ind w:left="1420" w:right="4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This bond or any instrument amending or affecting this bond may not be changed or modified orally. No changes in or modification of this bond will be effective unless made by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notification has been furnished to the SEC by the Insured,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the Company. If more than one Insured is named under this bond, the Company will give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each Insured and to the SEC not less than 60 days prior to the effective date of any change or modification that would adversely affect the rights of such Insured.</w:t>
      </w:r>
    </w:p>
    <w:p>
      <w:pPr>
        <w:spacing w:after="0" w:line="339" w:lineRule="exact"/>
        <w:rPr>
          <w:rFonts w:ascii="Arial" w:cs="Arial" w:eastAsia="Arial" w:hAnsi="Arial"/>
          <w:sz w:val="18"/>
          <w:szCs w:val="18"/>
          <w:color w:val="auto"/>
        </w:rPr>
      </w:pPr>
    </w:p>
    <w:p>
      <w:pPr>
        <w:ind w:left="960" w:hanging="532"/>
        <w:spacing w:after="0"/>
        <w:tabs>
          <w:tab w:leader="none" w:pos="9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PERIOD</w:t>
      </w:r>
    </w:p>
    <w:p>
      <w:pPr>
        <w:spacing w:after="0" w:line="117" w:lineRule="exact"/>
        <w:rPr>
          <w:rFonts w:ascii="Arial" w:cs="Arial" w:eastAsia="Arial" w:hAnsi="Arial"/>
          <w:sz w:val="18"/>
          <w:szCs w:val="18"/>
          <w:b w:val="1"/>
          <w:bCs w:val="1"/>
          <w:color w:val="auto"/>
        </w:rPr>
      </w:pPr>
    </w:p>
    <w:p>
      <w:pPr>
        <w:ind w:left="980" w:right="2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At any time prior to the cancelation or termination of this bond in its entirety, whether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the Company,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give to the Company written notice that it desires under this bond an additional period of 12 months within which to discover loss sustained by the Insured prior to the effective date of such cancelation or termination and will pay an additional premium therefor.</w:t>
      </w:r>
    </w:p>
    <w:p>
      <w:pPr>
        <w:spacing w:after="0" w:line="71" w:lineRule="exact"/>
        <w:rPr>
          <w:rFonts w:ascii="Arial" w:cs="Arial" w:eastAsia="Arial" w:hAnsi="Arial"/>
          <w:sz w:val="18"/>
          <w:szCs w:val="18"/>
          <w:b w:val="1"/>
          <w:bCs w:val="1"/>
          <w:color w:val="auto"/>
        </w:rPr>
      </w:pPr>
    </w:p>
    <w:p>
      <w:pPr>
        <w:ind w:left="980" w:right="6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Upon receipt of such notice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the Company will give its written consent thereto; provided, that such additional period of time terminates immediately:</w:t>
      </w:r>
    </w:p>
    <w:p>
      <w:pPr>
        <w:spacing w:after="0" w:line="71" w:lineRule="exact"/>
        <w:rPr>
          <w:rFonts w:ascii="Arial" w:cs="Arial" w:eastAsia="Arial" w:hAnsi="Arial"/>
          <w:sz w:val="18"/>
          <w:szCs w:val="18"/>
          <w:b w:val="1"/>
          <w:bCs w:val="1"/>
          <w:color w:val="auto"/>
        </w:rPr>
      </w:pPr>
    </w:p>
    <w:p>
      <w:pPr>
        <w:ind w:left="1420" w:right="120" w:hanging="439"/>
        <w:spacing w:after="0" w:line="263" w:lineRule="auto"/>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89" w:lineRule="exact"/>
        <w:rPr>
          <w:rFonts w:ascii="Arial" w:cs="Arial" w:eastAsia="Arial" w:hAnsi="Arial"/>
          <w:sz w:val="18"/>
          <w:szCs w:val="18"/>
          <w:color w:val="auto"/>
        </w:rPr>
      </w:pPr>
    </w:p>
    <w:p>
      <w:pPr>
        <w:ind w:left="1420" w:right="440" w:hanging="439"/>
        <w:spacing w:after="0" w:line="277" w:lineRule="auto"/>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upon any takeover of the Insured’s business by any state or federal official or agency, or by any receiver or liquidator acting or appointed for this purpose,</w:t>
      </w:r>
    </w:p>
    <w:p>
      <w:pPr>
        <w:spacing w:after="0" w:line="62" w:lineRule="exact"/>
        <w:rPr>
          <w:sz w:val="20"/>
          <w:szCs w:val="20"/>
          <w:color w:val="auto"/>
        </w:rPr>
      </w:pPr>
    </w:p>
    <w:p>
      <w:pPr>
        <w:ind w:left="980" w:right="420"/>
        <w:spacing w:after="0" w:line="342" w:lineRule="auto"/>
        <w:rPr>
          <w:sz w:val="20"/>
          <w:szCs w:val="20"/>
          <w:color w:val="auto"/>
        </w:rPr>
      </w:pPr>
      <w:r>
        <w:rPr>
          <w:rFonts w:ascii="Arial" w:cs="Arial" w:eastAsia="Arial" w:hAnsi="Arial"/>
          <w:sz w:val="16"/>
          <w:szCs w:val="16"/>
          <w:color w:val="auto"/>
        </w:rPr>
        <w:t>whichever occurs first, and without the necessity of the Company giving notice of such termination. In the event that such additional period of time is terminated, as provided above, the Company will refund on a pro-rata basis, any unearned premium.</w:t>
      </w:r>
    </w:p>
    <w:p>
      <w:pPr>
        <w:spacing w:after="0" w:line="16" w:lineRule="exact"/>
        <w:rPr>
          <w:sz w:val="20"/>
          <w:szCs w:val="20"/>
          <w:color w:val="auto"/>
        </w:rPr>
      </w:pPr>
    </w:p>
    <w:p>
      <w:pPr>
        <w:jc w:val="both"/>
        <w:ind w:left="980" w:right="40"/>
        <w:spacing w:after="0" w:line="263" w:lineRule="auto"/>
        <w:rPr>
          <w:sz w:val="20"/>
          <w:szCs w:val="20"/>
          <w:color w:val="auto"/>
        </w:rPr>
      </w:pPr>
      <w:r>
        <w:rPr>
          <w:rFonts w:ascii="Arial" w:cs="Arial" w:eastAsia="Arial" w:hAnsi="Arial"/>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76" w:lineRule="exact"/>
        <w:rPr>
          <w:sz w:val="20"/>
          <w:szCs w:val="20"/>
          <w:color w:val="auto"/>
        </w:rPr>
      </w:pPr>
    </w:p>
    <w:p>
      <w:pPr>
        <w:ind w:left="980" w:right="300"/>
        <w:spacing w:after="0" w:line="342" w:lineRule="auto"/>
        <w:rPr>
          <w:sz w:val="20"/>
          <w:szCs w:val="20"/>
          <w:color w:val="auto"/>
        </w:rPr>
      </w:pPr>
      <w:r>
        <w:rPr>
          <w:rFonts w:ascii="Arial" w:cs="Arial" w:eastAsia="Arial" w:hAnsi="Arial"/>
          <w:sz w:val="16"/>
          <w:szCs w:val="16"/>
          <w:color w:val="auto"/>
        </w:rPr>
        <w:t xml:space="preserve">The Company’s total liability for any loss discovered during such additional period of time is part of, and not in addition to, the Single Loss Limit of Insurance of the </w:t>
      </w:r>
      <w:r>
        <w:rPr>
          <w:rFonts w:ascii="Arial" w:cs="Arial" w:eastAsia="Arial" w:hAnsi="Arial"/>
          <w:sz w:val="16"/>
          <w:szCs w:val="16"/>
          <w:b w:val="1"/>
          <w:bCs w:val="1"/>
          <w:color w:val="auto"/>
        </w:rPr>
        <w:t>Bond Period</w:t>
      </w:r>
      <w:r>
        <w:rPr>
          <w:rFonts w:ascii="Arial" w:cs="Arial" w:eastAsia="Arial" w:hAnsi="Arial"/>
          <w:sz w:val="16"/>
          <w:szCs w:val="16"/>
          <w:color w:val="auto"/>
        </w:rPr>
        <w:t xml:space="preserve"> that terminates immediately preceding the effective date of such additional period.</w:t>
      </w:r>
    </w:p>
    <w:p>
      <w:pPr>
        <w:spacing w:after="0" w:line="268" w:lineRule="exact"/>
        <w:rPr>
          <w:sz w:val="20"/>
          <w:szCs w:val="20"/>
          <w:color w:val="auto"/>
        </w:rPr>
      </w:pPr>
    </w:p>
    <w:p>
      <w:pPr>
        <w:ind w:left="960" w:hanging="532"/>
        <w:spacing w:after="0"/>
        <w:tabs>
          <w:tab w:leader="none" w:pos="9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121" w:lineRule="exact"/>
        <w:rPr>
          <w:rFonts w:ascii="Arial" w:cs="Arial" w:eastAsia="Arial" w:hAnsi="Arial"/>
          <w:sz w:val="18"/>
          <w:szCs w:val="18"/>
          <w:b w:val="1"/>
          <w:bCs w:val="1"/>
          <w:color w:val="auto"/>
        </w:rPr>
      </w:pPr>
    </w:p>
    <w:p>
      <w:pPr>
        <w:ind w:left="98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titles of the various paragraphs of this bond and its endorsements are inserted solely for convenience or reference and are not to be deemed in any way to limit, expand or affect the provision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IVBB-16001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Page 25 of 25</w:t>
      </w:r>
    </w:p>
    <w:p>
      <w:pPr>
        <w:sectPr>
          <w:pgSz w:w="11900" w:h="16838" w:orient="portrait"/>
          <w:cols w:equalWidth="0" w:num="2">
            <w:col w:w="9200" w:space="720"/>
            <w:col w:w="1040"/>
          </w:cols>
          <w:pgMar w:left="440" w:top="274" w:right="499" w:bottom="1440" w:gutter="0" w:footer="0" w:header="0"/>
          <w:type w:val="continuous"/>
        </w:sectPr>
      </w:pPr>
    </w:p>
    <w:bookmarkStart w:id="33" w:name="page34"/>
    <w:bookmarkEnd w:id="33"/>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NAMED INSURED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added to ITEM 1 of the Declarations as Insureds: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PennantPark Floating Rate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Policy Number: 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20"/>
          </w:cols>
          <w:pgMar w:left="440" w:top="297" w:right="5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IVBB-19004 Ed. 01-16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2016 The Travelers Indemnity Company. All rights reserved.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380" w:space="720"/>
            <w:col w:w="820"/>
          </w:cols>
          <w:pgMar w:left="440" w:top="297" w:right="539" w:bottom="1440" w:gutter="0" w:footer="0" w:header="0"/>
          <w:type w:val="continuous"/>
        </w:sectPr>
      </w:pPr>
    </w:p>
    <w:bookmarkStart w:id="34" w:name="page35"/>
    <w:bookmarkEnd w:id="34"/>
    <w:p>
      <w:pPr>
        <w:jc w:val="center"/>
        <w:ind w:right="-163"/>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ectPr>
          <w:pgSz w:w="11900" w:h="16838" w:orient="portrait"/>
          <w:cols w:equalWidth="0" w:num="1">
            <w:col w:w="10964"/>
          </w:cols>
          <w:pgMar w:left="436" w:top="297" w:right="499" w:bottom="1440" w:gutter="0" w:footer="0" w:header="0"/>
        </w:sectPr>
      </w:pPr>
    </w:p>
    <w:p>
      <w:pPr>
        <w:spacing w:after="0" w:line="372"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UNAUTHORIZED SIGNATURE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135" w:lineRule="exact"/>
        <w:rPr>
          <w:sz w:val="20"/>
          <w:szCs w:val="20"/>
          <w:color w:val="auto"/>
        </w:rPr>
      </w:pPr>
    </w:p>
    <w:p>
      <w:pPr>
        <w:ind w:left="424" w:hanging="424"/>
        <w:spacing w:after="0"/>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following is added to section II. INSURING AGREEMENTS, D. FORGERY OR ALTERATION:</w:t>
      </w:r>
    </w:p>
    <w:p>
      <w:pPr>
        <w:spacing w:after="0" w:line="113" w:lineRule="exact"/>
        <w:rPr>
          <w:rFonts w:ascii="Arial" w:cs="Arial" w:eastAsia="Arial" w:hAnsi="Arial"/>
          <w:sz w:val="18"/>
          <w:szCs w:val="18"/>
          <w:color w:val="auto"/>
        </w:rPr>
      </w:pPr>
    </w:p>
    <w:p>
      <w:pPr>
        <w:jc w:val="both"/>
        <w:ind w:left="444"/>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Loss resulting from the Insured accepting, paying, or cashing any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 xml:space="preserve"> made or drawn on a customer’s account, which bears an unauthorized signature or an unauthorized endorsement, provided that the Insured has on file the signatures of all persons authorized to sign or endorse such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p>
    <w:p>
      <w:pPr>
        <w:spacing w:after="0" w:line="206" w:lineRule="exact"/>
        <w:rPr>
          <w:rFonts w:ascii="Arial" w:cs="Arial" w:eastAsia="Arial" w:hAnsi="Arial"/>
          <w:sz w:val="18"/>
          <w:szCs w:val="18"/>
          <w:color w:val="auto"/>
        </w:rPr>
      </w:pPr>
    </w:p>
    <w:p>
      <w:pPr>
        <w:ind w:left="424" w:hanging="424"/>
        <w:spacing w:after="0"/>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following replaces section VI. CONDITIONS, N. ANTI-BUNDLING:</w:t>
      </w:r>
    </w:p>
    <w:p>
      <w:pPr>
        <w:spacing w:after="0" w:line="369"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b w:val="1"/>
          <w:bCs w:val="1"/>
          <w:color w:val="auto"/>
        </w:rPr>
        <w:t>N.ANTI-BUNDLING</w:t>
      </w:r>
    </w:p>
    <w:p>
      <w:pPr>
        <w:spacing w:after="0" w:line="117" w:lineRule="exact"/>
        <w:rPr>
          <w:rFonts w:ascii="Arial" w:cs="Arial" w:eastAsia="Arial" w:hAnsi="Arial"/>
          <w:sz w:val="18"/>
          <w:szCs w:val="18"/>
          <w:color w:val="auto"/>
        </w:rPr>
      </w:pPr>
    </w:p>
    <w:p>
      <w:pPr>
        <w:ind w:left="984" w:right="4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or endorsement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which is unauthorized, or that it be obtained through trick, artifice, fraud, or false pretenses, such alteration, </w:t>
      </w:r>
      <w:r>
        <w:rPr>
          <w:rFonts w:ascii="Arial" w:cs="Arial" w:eastAsia="Arial" w:hAnsi="Arial"/>
          <w:sz w:val="18"/>
          <w:szCs w:val="18"/>
          <w:b w:val="1"/>
          <w:bCs w:val="1"/>
          <w:color w:val="auto"/>
        </w:rPr>
        <w:t xml:space="preserve">Counterfeit, </w:t>
      </w:r>
      <w:r>
        <w:rPr>
          <w:rFonts w:ascii="Arial" w:cs="Arial" w:eastAsia="Arial" w:hAnsi="Arial"/>
          <w:sz w:val="18"/>
          <w:szCs w:val="18"/>
          <w:color w:val="auto"/>
        </w:rPr>
        <w:t>signature, or endorsement must be on or of the enumerated document itself, not on or of some other document submitted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accompanying, or incorporated by reference into, the enumerated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Policy Number: 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18" w:lineRule="exact"/>
        <w:rPr>
          <w:sz w:val="20"/>
          <w:szCs w:val="20"/>
          <w:color w:val="auto"/>
        </w:rPr>
      </w:pPr>
    </w:p>
    <w:p>
      <w:pPr>
        <w:ind w:left="4"/>
        <w:spacing w:after="0"/>
        <w:tabs>
          <w:tab w:leader="none" w:pos="10084" w:val="left"/>
        </w:tabs>
        <w:rPr>
          <w:sz w:val="20"/>
          <w:szCs w:val="20"/>
          <w:color w:val="auto"/>
        </w:rPr>
      </w:pPr>
      <w:r>
        <w:rPr>
          <w:rFonts w:ascii="Arial" w:cs="Arial" w:eastAsia="Arial" w:hAnsi="Arial"/>
          <w:sz w:val="18"/>
          <w:szCs w:val="18"/>
          <w:color w:val="auto"/>
        </w:rPr>
        <w:t>IVBB-19010 Ed. 01-16</w:t>
      </w:r>
      <w:r>
        <w:rPr>
          <w:sz w:val="20"/>
          <w:szCs w:val="20"/>
          <w:color w:val="auto"/>
        </w:rPr>
        <w:tab/>
      </w:r>
      <w:r>
        <w:rPr>
          <w:rFonts w:ascii="Arial" w:cs="Arial" w:eastAsia="Arial" w:hAnsi="Arial"/>
          <w:sz w:val="16"/>
          <w:szCs w:val="16"/>
          <w:color w:val="auto"/>
        </w:rPr>
        <w:t>Page 1 of 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 2016 The Travelers Indemnity Company. All rights reserved.</w:t>
      </w:r>
    </w:p>
    <w:p>
      <w:pPr>
        <w:sectPr>
          <w:pgSz w:w="11900" w:h="16838" w:orient="portrait"/>
          <w:cols w:equalWidth="0" w:num="1">
            <w:col w:w="10964"/>
          </w:cols>
          <w:pgMar w:left="436" w:top="297" w:right="499" w:bottom="1440" w:gutter="0" w:footer="0" w:header="0"/>
          <w:type w:val="continuous"/>
        </w:sectPr>
      </w:pPr>
    </w:p>
    <w:bookmarkStart w:id="35" w:name="page36"/>
    <w:bookmarkEnd w:id="35"/>
    <w:p>
      <w:pPr>
        <w:jc w:val="center"/>
        <w:ind w:right="-1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BOND. PLEASE READ IT CAREFULLY.</w:t>
      </w:r>
    </w:p>
    <w:p>
      <w:pPr>
        <w:sectPr>
          <w:pgSz w:w="11900" w:h="16838" w:orient="portrait"/>
          <w:cols w:equalWidth="0" w:num="1">
            <w:col w:w="10920"/>
          </w:cols>
          <w:pgMar w:left="440" w:top="297" w:right="539" w:bottom="1440" w:gutter="0" w:footer="0" w:header="0"/>
        </w:sectPr>
      </w:pPr>
    </w:p>
    <w:p>
      <w:pPr>
        <w:spacing w:after="0" w:line="372"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AUTOMATIC INCREASE IN INSURING AGREEMENT A.1. SINGLE LOSS LIMIT OF INSURANCE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added to section VI. CONDITIONS, E. SINGLE LOSS LIMIT OF INSURANCE: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Notwithstanding the previous paragraph, if the Insured, while this bond is in force, requires an increase in the limit of Insuring Agreement A.1. in order to comply with SEC Regulation 17g-1, as a result of:</w:t>
      </w:r>
    </w:p>
    <w:p>
      <w:pPr>
        <w:spacing w:after="0" w:line="76" w:lineRule="exact"/>
        <w:rPr>
          <w:sz w:val="20"/>
          <w:szCs w:val="20"/>
          <w:color w:val="auto"/>
        </w:rPr>
      </w:pPr>
    </w:p>
    <w:p>
      <w:pPr>
        <w:ind w:left="960" w:right="60" w:hanging="532"/>
        <w:spacing w:after="0" w:line="277"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increase in assets under management by current Insureds under the bond, per the terms of section III. GENERAL AGREEMENTS, A. ORGANIC GROWTH; or</w:t>
      </w:r>
    </w:p>
    <w:p>
      <w:pPr>
        <w:spacing w:after="0" w:line="75" w:lineRule="exact"/>
        <w:rPr>
          <w:rFonts w:ascii="Arial" w:cs="Arial" w:eastAsia="Arial" w:hAnsi="Arial"/>
          <w:sz w:val="18"/>
          <w:szCs w:val="18"/>
          <w:color w:val="auto"/>
        </w:rPr>
      </w:pPr>
    </w:p>
    <w:p>
      <w:pPr>
        <w:ind w:left="960" w:right="620" w:hanging="532"/>
        <w:spacing w:after="0" w:line="277"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increase in assets under management due to the addition of new investment companies per the terms of section III. GENERAL AGREEMENTS, B. CONSOLIDATION – MERGER – PURCHASE OR ACQUISTION OF ASSETS,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Single Loss Limit of Insurance for Insuring Agreement A.1. will automatically be increased to comply with Regulation 17g-1 without the payment of additional premium, for the remainder of the </w:t>
      </w:r>
      <w:r>
        <w:rPr>
          <w:rFonts w:ascii="Arial" w:cs="Arial" w:eastAsia="Arial" w:hAnsi="Arial"/>
          <w:sz w:val="18"/>
          <w:szCs w:val="18"/>
          <w:b w:val="1"/>
          <w:bCs w:val="1"/>
          <w:color w:val="auto"/>
        </w:rPr>
        <w:t>Bond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18"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IVBB-19044 Ed. 05-18</w:t>
      </w:r>
      <w:r>
        <w:rPr>
          <w:sz w:val="20"/>
          <w:szCs w:val="20"/>
          <w:color w:val="auto"/>
        </w:rPr>
        <w:tab/>
      </w:r>
      <w:r>
        <w:rPr>
          <w:rFonts w:ascii="Arial" w:cs="Arial" w:eastAsia="Arial" w:hAnsi="Arial"/>
          <w:sz w:val="16"/>
          <w:szCs w:val="16"/>
          <w:color w:val="auto"/>
        </w:rPr>
        <w:t>Page 1 of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2018 The Travelers Indemnity Company. All rights reserved.</w:t>
      </w:r>
    </w:p>
    <w:p>
      <w:pPr>
        <w:sectPr>
          <w:pgSz w:w="11900" w:h="16838" w:orient="portrait"/>
          <w:cols w:equalWidth="0" w:num="1">
            <w:col w:w="10920"/>
          </w:cols>
          <w:pgMar w:left="440" w:top="297" w:right="539" w:bottom="1440" w:gutter="0" w:footer="0" w:header="0"/>
          <w:type w:val="continuous"/>
        </w:sectPr>
      </w:pPr>
    </w:p>
    <w:bookmarkStart w:id="36" w:name="page37"/>
    <w:bookmarkEnd w:id="36"/>
    <w:p>
      <w:pPr>
        <w:ind w:left="2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pacing w:after="0" w:line="25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REPLACE GENERAL AGREEMENT A. ORGANIC GROWTH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replaces section III. GENERAL AGREEMENTS, A. ORGANIC GROWTH:</w:t>
      </w:r>
    </w:p>
    <w:p>
      <w:pPr>
        <w:spacing w:after="0" w:line="221" w:lineRule="exact"/>
        <w:rPr>
          <w:sz w:val="20"/>
          <w:szCs w:val="20"/>
          <w:color w:val="auto"/>
        </w:rPr>
      </w:pPr>
    </w:p>
    <w:p>
      <w:pPr>
        <w:jc w:val="both"/>
        <w:ind w:right="120"/>
        <w:spacing w:after="0" w:line="303" w:lineRule="auto"/>
        <w:rPr>
          <w:sz w:val="20"/>
          <w:szCs w:val="20"/>
          <w:color w:val="auto"/>
        </w:rPr>
      </w:pPr>
      <w:r>
        <w:rPr>
          <w:rFonts w:ascii="Arial" w:cs="Arial" w:eastAsia="Arial" w:hAnsi="Arial"/>
          <w:sz w:val="16"/>
          <w:szCs w:val="16"/>
          <w:color w:val="auto"/>
        </w:rPr>
        <w:t xml:space="preserve">If an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while this bond is in force, adds additional </w:t>
      </w:r>
      <w:r>
        <w:rPr>
          <w:rFonts w:ascii="Arial" w:cs="Arial" w:eastAsia="Arial" w:hAnsi="Arial"/>
          <w:sz w:val="16"/>
          <w:szCs w:val="16"/>
          <w:b w:val="1"/>
          <w:bCs w:val="1"/>
          <w:color w:val="auto"/>
        </w:rPr>
        <w:t>Employees</w:t>
      </w:r>
      <w:r>
        <w:rPr>
          <w:rFonts w:ascii="Arial" w:cs="Arial" w:eastAsia="Arial" w:hAnsi="Arial"/>
          <w:sz w:val="16"/>
          <w:szCs w:val="16"/>
          <w:color w:val="auto"/>
        </w:rPr>
        <w:t xml:space="preserve"> or experiences an increase in assets under management, other than by consolidation or merger with, or purchase or acquisition of the assets, assets under management or liabilities of, another institution, such </w:t>
      </w:r>
      <w:r>
        <w:rPr>
          <w:rFonts w:ascii="Arial" w:cs="Arial" w:eastAsia="Arial" w:hAnsi="Arial"/>
          <w:sz w:val="16"/>
          <w:szCs w:val="16"/>
          <w:b w:val="1"/>
          <w:bCs w:val="1"/>
          <w:color w:val="auto"/>
        </w:rPr>
        <w:t xml:space="preserve">Employees </w:t>
      </w:r>
      <w:r>
        <w:rPr>
          <w:rFonts w:ascii="Arial" w:cs="Arial" w:eastAsia="Arial" w:hAnsi="Arial"/>
          <w:sz w:val="16"/>
          <w:szCs w:val="16"/>
          <w:color w:val="auto"/>
        </w:rPr>
        <w:t>or increased assets under management will automatically be covered hereunder from the date of such addition without the requirement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to the Company or the payment of additional premium for the remainder of the Policy Period as set forth in ITEM 2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Policy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920"/>
          </w:cols>
          <w:pgMar w:left="440" w:top="297" w:right="5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IVBB-19045 Ed. 03-19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2019 The Travelers Indemnity Company. All rights reserved.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380" w:space="720"/>
            <w:col w:w="820"/>
          </w:cols>
          <w:pgMar w:left="440" w:top="297" w:right="539" w:bottom="1440" w:gutter="0" w:footer="0" w:header="0"/>
          <w:type w:val="continuous"/>
        </w:sectPr>
      </w:pPr>
    </w:p>
    <w:bookmarkStart w:id="37" w:name="page38"/>
    <w:bookmarkEnd w:id="37"/>
    <w:p>
      <w:pPr>
        <w:jc w:val="center"/>
        <w:ind w:right="-1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pacing w:after="0" w:line="252" w:lineRule="exact"/>
        <w:rPr>
          <w:sz w:val="20"/>
          <w:szCs w:val="20"/>
          <w:color w:val="auto"/>
        </w:rPr>
      </w:pPr>
    </w:p>
    <w:p>
      <w:pPr>
        <w:ind w:left="1544"/>
        <w:spacing w:after="0"/>
        <w:rPr>
          <w:sz w:val="20"/>
          <w:szCs w:val="20"/>
          <w:color w:val="auto"/>
        </w:rPr>
      </w:pPr>
      <w:r>
        <w:rPr>
          <w:rFonts w:ascii="Arial" w:cs="Arial" w:eastAsia="Arial" w:hAnsi="Arial"/>
          <w:sz w:val="18"/>
          <w:szCs w:val="18"/>
          <w:b w:val="1"/>
          <w:bCs w:val="1"/>
          <w:color w:val="auto"/>
        </w:rPr>
        <w:t>NEW YORK CANCELATION, TERMINATION, CHANGE, OR MODIFICATION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135" w:lineRule="exact"/>
        <w:rPr>
          <w:sz w:val="20"/>
          <w:szCs w:val="20"/>
          <w:color w:val="auto"/>
        </w:rPr>
      </w:pPr>
    </w:p>
    <w:p>
      <w:pPr>
        <w:ind w:left="424" w:hanging="424"/>
        <w:spacing w:after="0"/>
        <w:tabs>
          <w:tab w:leader="none" w:pos="42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following replaces VI. CONDITIONS, R. CANCELATION, TERMINATION, CHANGE, OR MODIFICATION, 1.b.:</w:t>
      </w:r>
    </w:p>
    <w:p>
      <w:pPr>
        <w:spacing w:after="0" w:line="130" w:lineRule="exact"/>
        <w:rPr>
          <w:rFonts w:ascii="Arial" w:cs="Arial" w:eastAsia="Arial" w:hAnsi="Arial"/>
          <w:sz w:val="18"/>
          <w:szCs w:val="18"/>
          <w:color w:val="auto"/>
        </w:rPr>
      </w:pPr>
    </w:p>
    <w:p>
      <w:pPr>
        <w:ind w:left="964" w:right="60" w:hanging="532"/>
        <w:spacing w:after="0" w:line="263" w:lineRule="auto"/>
        <w:tabs>
          <w:tab w:leader="none" w:pos="964" w:val="left"/>
        </w:tabs>
        <w:numPr>
          <w:ilvl w:val="1"/>
          <w:numId w:val="63"/>
        </w:numPr>
        <w:rPr>
          <w:rFonts w:ascii="Arial" w:cs="Arial" w:eastAsia="Arial" w:hAnsi="Arial"/>
          <w:sz w:val="18"/>
          <w:szCs w:val="18"/>
          <w:color w:val="auto"/>
        </w:rPr>
      </w:pPr>
      <w:r>
        <w:rPr>
          <w:rFonts w:ascii="Arial" w:cs="Arial" w:eastAsia="Arial" w:hAnsi="Arial"/>
          <w:sz w:val="18"/>
          <w:szCs w:val="18"/>
          <w:color w:val="auto"/>
        </w:rPr>
        <w:t>If the bond has been in effect for 90 days or less, it may be canceled by the Company for any reason. Such cancelation will be effective 90 days after the Company mails a notice of cancelation to the first named Insured at the mailing address set forth in ITEM 1 of the Declarations, the SEC, and every other Insured.</w:t>
      </w:r>
    </w:p>
    <w:p>
      <w:pPr>
        <w:spacing w:after="0" w:line="89" w:lineRule="exact"/>
        <w:rPr>
          <w:rFonts w:ascii="Arial" w:cs="Arial" w:eastAsia="Arial" w:hAnsi="Arial"/>
          <w:sz w:val="18"/>
          <w:szCs w:val="18"/>
          <w:color w:val="auto"/>
        </w:rPr>
      </w:pPr>
    </w:p>
    <w:p>
      <w:pPr>
        <w:jc w:val="both"/>
        <w:ind w:left="964"/>
        <w:spacing w:after="0" w:line="263" w:lineRule="auto"/>
        <w:rPr>
          <w:rFonts w:ascii="Arial" w:cs="Arial" w:eastAsia="Arial" w:hAnsi="Arial"/>
          <w:sz w:val="18"/>
          <w:szCs w:val="18"/>
          <w:color w:val="auto"/>
        </w:rPr>
      </w:pPr>
      <w:r>
        <w:rPr>
          <w:rFonts w:ascii="Arial" w:cs="Arial" w:eastAsia="Arial" w:hAnsi="Arial"/>
          <w:sz w:val="18"/>
          <w:szCs w:val="18"/>
          <w:color w:val="auto"/>
        </w:rPr>
        <w:t>If the bond has been in effect for more than 90 days or is a renewal, then cancelation may only be for one or more of the following reasons and will be effective 90 days after the notice of cancelation is mailed or delivered to the first named Insured at the mailing address set forth in ITEM 1 of the Declarations, the SEC, and to every other Insured:</w:t>
      </w:r>
    </w:p>
    <w:p>
      <w:pPr>
        <w:spacing w:after="0" w:line="89" w:lineRule="exact"/>
        <w:rPr>
          <w:rFonts w:ascii="Arial" w:cs="Arial" w:eastAsia="Arial" w:hAnsi="Arial"/>
          <w:sz w:val="18"/>
          <w:szCs w:val="18"/>
          <w:color w:val="auto"/>
        </w:rPr>
      </w:pPr>
    </w:p>
    <w:p>
      <w:pPr>
        <w:ind w:left="1424" w:right="700" w:hanging="439"/>
        <w:spacing w:after="0" w:line="277" w:lineRule="auto"/>
        <w:tabs>
          <w:tab w:leader="none" w:pos="1424" w:val="left"/>
        </w:tabs>
        <w:numPr>
          <w:ilvl w:val="2"/>
          <w:numId w:val="63"/>
        </w:numPr>
        <w:rPr>
          <w:rFonts w:ascii="Arial" w:cs="Arial" w:eastAsia="Arial" w:hAnsi="Arial"/>
          <w:sz w:val="18"/>
          <w:szCs w:val="18"/>
          <w:color w:val="auto"/>
        </w:rPr>
      </w:pPr>
      <w:r>
        <w:rPr>
          <w:rFonts w:ascii="Arial" w:cs="Arial" w:eastAsia="Arial" w:hAnsi="Arial"/>
          <w:sz w:val="18"/>
          <w:szCs w:val="18"/>
          <w:color w:val="auto"/>
        </w:rPr>
        <w:t>nonpayment of premium or installment that is overdue, as well as any unpaid fees charged for installments, late payment or reinstatement;</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63"/>
        </w:numPr>
        <w:rPr>
          <w:rFonts w:ascii="Arial" w:cs="Arial" w:eastAsia="Arial" w:hAnsi="Arial"/>
          <w:sz w:val="18"/>
          <w:szCs w:val="18"/>
          <w:color w:val="auto"/>
        </w:rPr>
      </w:pPr>
      <w:r>
        <w:rPr>
          <w:rFonts w:ascii="Arial" w:cs="Arial" w:eastAsia="Arial" w:hAnsi="Arial"/>
          <w:sz w:val="18"/>
          <w:szCs w:val="18"/>
          <w:color w:val="auto"/>
        </w:rPr>
        <w:t>conviction of the Insured of a crime arising out of acts increasing the hazard insured against;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63"/>
        </w:numPr>
        <w:rPr>
          <w:rFonts w:ascii="Arial" w:cs="Arial" w:eastAsia="Arial" w:hAnsi="Arial"/>
          <w:sz w:val="18"/>
          <w:szCs w:val="18"/>
          <w:color w:val="auto"/>
        </w:rPr>
      </w:pPr>
      <w:r>
        <w:rPr>
          <w:rFonts w:ascii="Arial" w:cs="Arial" w:eastAsia="Arial" w:hAnsi="Arial"/>
          <w:sz w:val="18"/>
          <w:szCs w:val="18"/>
          <w:color w:val="auto"/>
        </w:rPr>
        <w:t>discovery of fraud or material misrepresentation in the obtaining of this bond or in the presentation of a claim hereunder;</w:t>
      </w:r>
    </w:p>
    <w:p>
      <w:pPr>
        <w:spacing w:after="0" w:line="130" w:lineRule="exact"/>
        <w:rPr>
          <w:rFonts w:ascii="Arial" w:cs="Arial" w:eastAsia="Arial" w:hAnsi="Arial"/>
          <w:sz w:val="18"/>
          <w:szCs w:val="18"/>
          <w:color w:val="auto"/>
        </w:rPr>
      </w:pPr>
    </w:p>
    <w:p>
      <w:pPr>
        <w:ind w:left="1424" w:right="80" w:hanging="439"/>
        <w:spacing w:after="0" w:line="277" w:lineRule="auto"/>
        <w:tabs>
          <w:tab w:leader="none" w:pos="1424" w:val="left"/>
        </w:tabs>
        <w:numPr>
          <w:ilvl w:val="2"/>
          <w:numId w:val="63"/>
        </w:numPr>
        <w:rPr>
          <w:rFonts w:ascii="Arial" w:cs="Arial" w:eastAsia="Arial" w:hAnsi="Arial"/>
          <w:sz w:val="18"/>
          <w:szCs w:val="18"/>
          <w:color w:val="auto"/>
        </w:rPr>
      </w:pPr>
      <w:r>
        <w:rPr>
          <w:rFonts w:ascii="Arial" w:cs="Arial" w:eastAsia="Arial" w:hAnsi="Arial"/>
          <w:sz w:val="18"/>
          <w:szCs w:val="18"/>
          <w:color w:val="auto"/>
        </w:rPr>
        <w:t>discovery after the inception date set forth in ITEM 2 of the Declarations of an act or omission, or a violation of any bond condition that substantially and materially increases the hazard insured against;</w:t>
      </w:r>
    </w:p>
    <w:p>
      <w:pPr>
        <w:spacing w:after="0" w:line="75" w:lineRule="exact"/>
        <w:rPr>
          <w:rFonts w:ascii="Arial" w:cs="Arial" w:eastAsia="Arial" w:hAnsi="Arial"/>
          <w:sz w:val="18"/>
          <w:szCs w:val="18"/>
          <w:color w:val="auto"/>
        </w:rPr>
      </w:pPr>
    </w:p>
    <w:p>
      <w:pPr>
        <w:jc w:val="both"/>
        <w:ind w:left="1424" w:right="100" w:hanging="439"/>
        <w:spacing w:after="0" w:line="263" w:lineRule="auto"/>
        <w:tabs>
          <w:tab w:leader="none" w:pos="1424" w:val="left"/>
        </w:tabs>
        <w:numPr>
          <w:ilvl w:val="2"/>
          <w:numId w:val="63"/>
        </w:numPr>
        <w:rPr>
          <w:rFonts w:ascii="Arial" w:cs="Arial" w:eastAsia="Arial" w:hAnsi="Arial"/>
          <w:sz w:val="18"/>
          <w:szCs w:val="18"/>
          <w:color w:val="auto"/>
        </w:rPr>
      </w:pPr>
      <w:r>
        <w:rPr>
          <w:rFonts w:ascii="Arial" w:cs="Arial" w:eastAsia="Arial" w:hAnsi="Arial"/>
          <w:sz w:val="18"/>
          <w:szCs w:val="18"/>
          <w:color w:val="auto"/>
        </w:rPr>
        <w:t>material change in the nature or extent of the risk, occurring after the Inception Date set forth in ITEM 2 of the Declarations, which causes the risk of loss to be substantially and materially increased beyond that contemplated at the time the bond was issued or last renewed;</w:t>
      </w:r>
    </w:p>
    <w:p>
      <w:pPr>
        <w:spacing w:after="0" w:line="89" w:lineRule="exact"/>
        <w:rPr>
          <w:rFonts w:ascii="Arial" w:cs="Arial" w:eastAsia="Arial" w:hAnsi="Arial"/>
          <w:sz w:val="18"/>
          <w:szCs w:val="18"/>
          <w:color w:val="auto"/>
        </w:rPr>
      </w:pPr>
    </w:p>
    <w:p>
      <w:pPr>
        <w:ind w:left="1424" w:right="520" w:hanging="439"/>
        <w:spacing w:after="0" w:line="342" w:lineRule="auto"/>
        <w:tabs>
          <w:tab w:leader="none" w:pos="1424" w:val="left"/>
        </w:tabs>
        <w:numPr>
          <w:ilvl w:val="2"/>
          <w:numId w:val="63"/>
        </w:numPr>
        <w:rPr>
          <w:rFonts w:ascii="Arial" w:cs="Arial" w:eastAsia="Arial" w:hAnsi="Arial"/>
          <w:sz w:val="16"/>
          <w:szCs w:val="16"/>
          <w:color w:val="auto"/>
        </w:rPr>
      </w:pPr>
      <w:r>
        <w:rPr>
          <w:rFonts w:ascii="Arial" w:cs="Arial" w:eastAsia="Arial" w:hAnsi="Arial"/>
          <w:sz w:val="16"/>
          <w:szCs w:val="16"/>
          <w:color w:val="auto"/>
        </w:rPr>
        <w:t>a determination by the superintendent that continuation of the present premium volume of the Company would jeopardize the Company’s solvency or be hazardous to the interests of the Company’s stockholders or creditors, or to the public;</w:t>
      </w:r>
    </w:p>
    <w:p>
      <w:pPr>
        <w:spacing w:after="0" w:line="29" w:lineRule="exact"/>
        <w:rPr>
          <w:rFonts w:ascii="Arial" w:cs="Arial" w:eastAsia="Arial" w:hAnsi="Arial"/>
          <w:sz w:val="16"/>
          <w:szCs w:val="16"/>
          <w:color w:val="auto"/>
        </w:rPr>
      </w:pPr>
    </w:p>
    <w:p>
      <w:pPr>
        <w:ind w:left="1424" w:right="120" w:hanging="439"/>
        <w:spacing w:after="0" w:line="277" w:lineRule="auto"/>
        <w:tabs>
          <w:tab w:leader="none" w:pos="1424" w:val="left"/>
        </w:tabs>
        <w:numPr>
          <w:ilvl w:val="2"/>
          <w:numId w:val="63"/>
        </w:numPr>
        <w:rPr>
          <w:rFonts w:ascii="Arial" w:cs="Arial" w:eastAsia="Arial" w:hAnsi="Arial"/>
          <w:sz w:val="18"/>
          <w:szCs w:val="18"/>
          <w:color w:val="auto"/>
        </w:rPr>
      </w:pPr>
      <w:r>
        <w:rPr>
          <w:rFonts w:ascii="Arial" w:cs="Arial" w:eastAsia="Arial" w:hAnsi="Arial"/>
          <w:sz w:val="18"/>
          <w:szCs w:val="18"/>
          <w:color w:val="auto"/>
        </w:rPr>
        <w:t>a determination by the superintendent that continuation of the bond would violate, or would place the Company in violation of, any provision of the New York State Insurance Law; or</w:t>
      </w:r>
    </w:p>
    <w:p>
      <w:pPr>
        <w:spacing w:after="0" w:line="75" w:lineRule="exact"/>
        <w:rPr>
          <w:rFonts w:ascii="Arial" w:cs="Arial" w:eastAsia="Arial" w:hAnsi="Arial"/>
          <w:sz w:val="18"/>
          <w:szCs w:val="18"/>
          <w:color w:val="auto"/>
        </w:rPr>
      </w:pPr>
    </w:p>
    <w:p>
      <w:pPr>
        <w:ind w:left="1424" w:right="420" w:hanging="439"/>
        <w:spacing w:after="0" w:line="342" w:lineRule="auto"/>
        <w:tabs>
          <w:tab w:leader="none" w:pos="1424" w:val="left"/>
        </w:tabs>
        <w:numPr>
          <w:ilvl w:val="2"/>
          <w:numId w:val="63"/>
        </w:numPr>
        <w:rPr>
          <w:rFonts w:ascii="Arial" w:cs="Arial" w:eastAsia="Arial" w:hAnsi="Arial"/>
          <w:sz w:val="16"/>
          <w:szCs w:val="16"/>
          <w:color w:val="auto"/>
        </w:rPr>
      </w:pPr>
      <w:r>
        <w:rPr>
          <w:rFonts w:ascii="Arial" w:cs="Arial" w:eastAsia="Arial" w:hAnsi="Arial"/>
          <w:sz w:val="16"/>
          <w:szCs w:val="16"/>
          <w:color w:val="auto"/>
        </w:rPr>
        <w:t>where the Company has reason to believe, in good faith and with sufficient cause, that there is a possible risk or danger that the insured property will be destroyed by the Insured for the purpose of collecting the insurance proceeds, provided that:</w:t>
      </w:r>
    </w:p>
    <w:p>
      <w:pPr>
        <w:spacing w:after="0" w:line="29" w:lineRule="exact"/>
        <w:rPr>
          <w:rFonts w:ascii="Arial" w:cs="Arial" w:eastAsia="Arial" w:hAnsi="Arial"/>
          <w:sz w:val="16"/>
          <w:szCs w:val="16"/>
          <w:color w:val="auto"/>
        </w:rPr>
      </w:pPr>
    </w:p>
    <w:p>
      <w:pPr>
        <w:jc w:val="both"/>
        <w:ind w:left="1964" w:right="500" w:hanging="533"/>
        <w:spacing w:after="0" w:line="342" w:lineRule="auto"/>
        <w:tabs>
          <w:tab w:leader="none" w:pos="1964" w:val="left"/>
        </w:tabs>
        <w:numPr>
          <w:ilvl w:val="3"/>
          <w:numId w:val="63"/>
        </w:numPr>
        <w:rPr>
          <w:rFonts w:ascii="Arial" w:cs="Arial" w:eastAsia="Arial" w:hAnsi="Arial"/>
          <w:sz w:val="16"/>
          <w:szCs w:val="16"/>
          <w:color w:val="auto"/>
        </w:rPr>
      </w:pPr>
      <w:r>
        <w:rPr>
          <w:rFonts w:ascii="Arial" w:cs="Arial" w:eastAsia="Arial" w:hAnsi="Arial"/>
          <w:sz w:val="16"/>
          <w:szCs w:val="16"/>
          <w:color w:val="auto"/>
        </w:rPr>
        <w:t>a notice of cancelation on this ground informs the Insured in plain language that the Insured must act within 10 days if review by the Department of Financial Services of the State of New York of the ground for cancelation is desired; and</w:t>
      </w:r>
    </w:p>
    <w:p>
      <w:pPr>
        <w:spacing w:after="0" w:line="29" w:lineRule="exact"/>
        <w:rPr>
          <w:rFonts w:ascii="Arial" w:cs="Arial" w:eastAsia="Arial" w:hAnsi="Arial"/>
          <w:sz w:val="16"/>
          <w:szCs w:val="16"/>
          <w:color w:val="auto"/>
        </w:rPr>
      </w:pPr>
    </w:p>
    <w:p>
      <w:pPr>
        <w:ind w:left="1964" w:right="100" w:hanging="533"/>
        <w:spacing w:after="0" w:line="277" w:lineRule="auto"/>
        <w:tabs>
          <w:tab w:leader="none" w:pos="1964" w:val="left"/>
        </w:tabs>
        <w:numPr>
          <w:ilvl w:val="3"/>
          <w:numId w:val="63"/>
        </w:numPr>
        <w:rPr>
          <w:rFonts w:ascii="Arial" w:cs="Arial" w:eastAsia="Arial" w:hAnsi="Arial"/>
          <w:sz w:val="18"/>
          <w:szCs w:val="18"/>
          <w:color w:val="auto"/>
        </w:rPr>
      </w:pPr>
      <w:r>
        <w:rPr>
          <w:rFonts w:ascii="Arial" w:cs="Arial" w:eastAsia="Arial" w:hAnsi="Arial"/>
          <w:sz w:val="18"/>
          <w:szCs w:val="18"/>
          <w:color w:val="auto"/>
        </w:rPr>
        <w:t>notice of cancelation on this ground is provided simultaneously by the Company to the Department of Financial Services of the State of New York.</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following are added to VI. CONDITIONS, R. CANCELATION, TERMINATION, CHANGE, OR MODIFICATION:</w:t>
      </w:r>
    </w:p>
    <w:p>
      <w:pPr>
        <w:spacing w:after="0" w:line="131" w:lineRule="exact"/>
        <w:rPr>
          <w:sz w:val="20"/>
          <w:szCs w:val="20"/>
          <w:color w:val="auto"/>
        </w:rPr>
      </w:pPr>
    </w:p>
    <w:p>
      <w:pPr>
        <w:ind w:left="964" w:hanging="532"/>
        <w:spacing w:after="0"/>
        <w:tabs>
          <w:tab w:leader="none" w:pos="9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Nonrenewal</w:t>
      </w:r>
    </w:p>
    <w:p>
      <w:pPr>
        <w:spacing w:after="0" w:line="130" w:lineRule="exact"/>
        <w:rPr>
          <w:rFonts w:ascii="Arial" w:cs="Arial" w:eastAsia="Arial" w:hAnsi="Arial"/>
          <w:sz w:val="18"/>
          <w:szCs w:val="18"/>
          <w:color w:val="auto"/>
        </w:rPr>
      </w:pPr>
    </w:p>
    <w:p>
      <w:pPr>
        <w:ind w:left="964" w:right="4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Company will not be required to renew this bond upon its expiration. If the Company elects not to renew, the Company will provide the Insured set forth in ITEM 1 of the Declarations, the SEC, and every other Insured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that effect at least 60 days, but no more than 120 days, before the Expiration Date set forth in ITEM 2 of the Declarations. If such notice is given late, the bond will continue in effect for 60 days after such notice is received by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699516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Policy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84"/>
          </w:cols>
          <w:pgMar w:left="436" w:top="297" w:right="479" w:bottom="1440" w:gutter="0" w:footer="0" w:header="0"/>
        </w:sectPr>
      </w:pPr>
    </w:p>
    <w:p>
      <w:pPr>
        <w:spacing w:after="0" w:line="251"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IVBB-18023 Rev. 12-17</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2017 The Travelers Indemnity Company. All rights reserved.</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Page 1 of 2</w:t>
      </w:r>
    </w:p>
    <w:p>
      <w:pPr>
        <w:sectPr>
          <w:pgSz w:w="11900" w:h="16838" w:orient="portrait"/>
          <w:cols w:equalWidth="0" w:num="2">
            <w:col w:w="9384" w:space="720"/>
            <w:col w:w="880"/>
          </w:cols>
          <w:pgMar w:left="436" w:top="297" w:right="479" w:bottom="1440" w:gutter="0" w:footer="0" w:header="0"/>
          <w:type w:val="continuous"/>
        </w:sectPr>
      </w:pPr>
    </w:p>
    <w:bookmarkStart w:id="38" w:name="page39"/>
    <w:bookmarkEnd w:id="38"/>
    <w:p>
      <w:pPr>
        <w:ind w:left="960" w:hanging="532"/>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Renewal with Altered Terms:</w:t>
      </w:r>
    </w:p>
    <w:p>
      <w:pPr>
        <w:spacing w:after="0" w:line="117"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 xml:space="preserve">Should this bond be renewed or replaced, but with a reduction of limits, reduced coverage, increased deductible, additional exclusions, or upon increased premiums in excess of 10% (exclusive of any premium increase as a result of experience rating), the Company must mail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the Insured shown in ITEM 1 of the Declarations at least 60 days but not more than 120 days before renewal or replacement. If such notice is given late, the renewal or replacement bond will be in effect with the same terms, conditions and rates as the terminated bond for 60 days after such notice is received by the Insured.</w:t>
      </w:r>
    </w:p>
    <w:p>
      <w:pPr>
        <w:spacing w:after="0" w:line="80" w:lineRule="exact"/>
        <w:rPr>
          <w:sz w:val="20"/>
          <w:szCs w:val="20"/>
          <w:color w:val="auto"/>
        </w:rPr>
      </w:pPr>
    </w:p>
    <w:p>
      <w:pPr>
        <w:ind w:left="440" w:right="60"/>
        <w:spacing w:after="0" w:line="255" w:lineRule="auto"/>
        <w:rPr>
          <w:sz w:val="20"/>
          <w:szCs w:val="20"/>
          <w:color w:val="auto"/>
        </w:rPr>
      </w:pPr>
      <w:r>
        <w:rPr>
          <w:rFonts w:ascii="Arial" w:cs="Arial" w:eastAsia="Arial" w:hAnsi="Arial"/>
          <w:sz w:val="18"/>
          <w:szCs w:val="18"/>
          <w:color w:val="auto"/>
        </w:rPr>
        <w:t>The Company may elect to simply notify the Insured that the bond will either not be renewed, or will be renewed with different terms, conditions or rates. In such event, the Company will inform each Insured and the SEC that a second notice will be sent at a later date specifying the Company’s exact intention. The notice will inform the parties that, in</w:t>
      </w:r>
    </w:p>
    <w:p>
      <w:pPr>
        <w:spacing w:after="0" w:line="3" w:lineRule="exact"/>
        <w:rPr>
          <w:sz w:val="20"/>
          <w:szCs w:val="20"/>
          <w:color w:val="auto"/>
        </w:rPr>
      </w:pPr>
    </w:p>
    <w:p>
      <w:pPr>
        <w:ind w:left="440" w:right="60"/>
        <w:spacing w:after="0" w:line="260" w:lineRule="auto"/>
        <w:rPr>
          <w:sz w:val="20"/>
          <w:szCs w:val="20"/>
          <w:color w:val="auto"/>
        </w:rPr>
      </w:pPr>
      <w:r>
        <w:rPr>
          <w:rFonts w:ascii="Arial" w:cs="Arial" w:eastAsia="Arial" w:hAnsi="Arial"/>
          <w:sz w:val="18"/>
          <w:szCs w:val="18"/>
          <w:color w:val="auto"/>
        </w:rPr>
        <w:t>the meantime, coverage will continue at the same terms, conditions and rates as the expiring bond until the expiration date of the bond or 60 days after the second notice is received by the Insured, whichever is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161290</wp:posOffset>
            </wp:positionV>
            <wp:extent cx="699516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99516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IVBB-18023 Rev. 12-17</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2017 The Travelers Indemnity Company. All rights reserved.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Page 2 of 2</w:t>
      </w:r>
    </w:p>
    <w:p>
      <w:pPr>
        <w:sectPr>
          <w:pgSz w:w="11900" w:h="16838" w:orient="portrait"/>
          <w:cols w:equalWidth="0" w:num="2">
            <w:col w:w="9380" w:space="720"/>
            <w:col w:w="860"/>
          </w:cols>
          <w:pgMar w:left="440" w:top="274" w:right="499" w:bottom="1440" w:gutter="0" w:footer="0" w:header="0"/>
          <w:type w:val="continuous"/>
        </w:sectPr>
      </w:pPr>
    </w:p>
    <w:bookmarkStart w:id="39" w:name="page40"/>
    <w:bookmarkEnd w:id="39"/>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283210</wp:posOffset>
            </wp:positionH>
            <wp:positionV relativeFrom="page">
              <wp:posOffset>189865</wp:posOffset>
            </wp:positionV>
            <wp:extent cx="6981825" cy="2273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81825" cy="227330"/>
                    </a:xfrm>
                    <a:prstGeom prst="rect">
                      <a:avLst/>
                    </a:prstGeom>
                    <a:noFill/>
                  </pic:spPr>
                </pic:pic>
              </a:graphicData>
            </a:graphic>
          </wp:anchor>
        </w:drawing>
        <w:t>THIS ENDORSEMENT CHANGES THE POLICY. PLEASE READ IT CAREFULLY.</w:t>
      </w:r>
    </w:p>
    <w:p>
      <w:pPr>
        <w:spacing w:after="0" w:line="320" w:lineRule="exact"/>
        <w:rPr>
          <w:sz w:val="20"/>
          <w:szCs w:val="20"/>
          <w:color w:val="auto"/>
        </w:rPr>
      </w:pPr>
    </w:p>
    <w:p>
      <w:pPr>
        <w:ind w:left="2304"/>
        <w:spacing w:after="0"/>
        <w:rPr>
          <w:sz w:val="20"/>
          <w:szCs w:val="20"/>
          <w:color w:val="auto"/>
        </w:rPr>
      </w:pPr>
      <w:r>
        <w:rPr>
          <w:rFonts w:ascii="Arial" w:cs="Arial" w:eastAsia="Arial" w:hAnsi="Arial"/>
          <w:sz w:val="18"/>
          <w:szCs w:val="18"/>
          <w:b w:val="1"/>
          <w:bCs w:val="1"/>
          <w:color w:val="auto"/>
        </w:rPr>
        <w:t>NEW YORK INSURANCE MANDATORY REGULATION 209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8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131" w:lineRule="exact"/>
        <w:rPr>
          <w:sz w:val="20"/>
          <w:szCs w:val="20"/>
          <w:color w:val="auto"/>
        </w:rPr>
      </w:pPr>
    </w:p>
    <w:p>
      <w:pPr>
        <w:ind w:left="424" w:hanging="424"/>
        <w:spacing w:after="0"/>
        <w:tabs>
          <w:tab w:leader="none" w:pos="4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 EXCLUSIONS, AA.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spacing w:after="0" w:line="281" w:lineRule="auto"/>
        <w:rPr>
          <w:rFonts w:ascii="Arial" w:cs="Arial" w:eastAsia="Arial" w:hAnsi="Arial"/>
          <w:sz w:val="18"/>
          <w:szCs w:val="18"/>
          <w:color w:val="auto"/>
        </w:rPr>
      </w:pPr>
      <w:r>
        <w:rPr>
          <w:rFonts w:ascii="Arial" w:cs="Arial" w:eastAsia="Arial" w:hAnsi="Arial"/>
          <w:sz w:val="17"/>
          <w:szCs w:val="17"/>
          <w:color w:val="auto"/>
        </w:rPr>
        <w:t xml:space="preserve">However, this exclusion will not apply to loss caused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 Insured located in New York who was convicted of a fraudulent or dishonest act prior to becoming employed by the Insured if the Insured made a determination to hire or retain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utilizing the factors set out in Correction Law Article 23-A. Nevertheless, this exclusion will apply to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loss caused by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for whom there is a bar to employment established by law and the Insured has hired or retained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despite the bar.</w:t>
      </w:r>
    </w:p>
    <w:p>
      <w:pPr>
        <w:spacing w:after="0" w:line="70" w:lineRule="exact"/>
        <w:rPr>
          <w:rFonts w:ascii="Arial" w:cs="Arial" w:eastAsia="Arial" w:hAnsi="Arial"/>
          <w:sz w:val="18"/>
          <w:szCs w:val="18"/>
          <w:color w:val="auto"/>
        </w:rPr>
      </w:pPr>
    </w:p>
    <w:p>
      <w:pPr>
        <w:ind w:left="424" w:hanging="424"/>
        <w:spacing w:after="0"/>
        <w:tabs>
          <w:tab w:leader="none" w:pos="4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VI. CONDITIONS, R. CANCELATION OR TERMINATION,</w:t>
      </w:r>
      <w:r>
        <w:rPr>
          <w:rFonts w:ascii="Arial" w:cs="Arial" w:eastAsia="Arial" w:hAnsi="Arial"/>
          <w:sz w:val="18"/>
          <w:szCs w:val="18"/>
          <w:color w:val="auto"/>
        </w:rPr>
        <w:t xml:space="preserve"> 2. Termination, c.:</w:t>
      </w:r>
    </w:p>
    <w:p>
      <w:pPr>
        <w:spacing w:after="0" w:line="117" w:lineRule="exact"/>
        <w:rPr>
          <w:rFonts w:ascii="Arial" w:cs="Arial" w:eastAsia="Arial" w:hAnsi="Arial"/>
          <w:sz w:val="18"/>
          <w:szCs w:val="18"/>
          <w:color w:val="auto"/>
        </w:rPr>
      </w:pPr>
    </w:p>
    <w:p>
      <w:pPr>
        <w:ind w:left="444" w:right="42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Termination of coverage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set forth in c.(1) and c.(2) above will not apply to any such person provided the Insured has received and retains an original letter signed by a prior insurer reinstating coverage for such individual whom the Insured discovered had committed a dishonest or fraudulent act prior to the effective date of this bond.</w:t>
      </w:r>
    </w:p>
    <w:p>
      <w:pPr>
        <w:spacing w:after="0" w:line="67" w:lineRule="exact"/>
        <w:rPr>
          <w:rFonts w:ascii="Arial" w:cs="Arial" w:eastAsia="Arial" w:hAnsi="Arial"/>
          <w:sz w:val="18"/>
          <w:szCs w:val="18"/>
          <w:color w:val="auto"/>
        </w:rPr>
      </w:pPr>
    </w:p>
    <w:p>
      <w:pPr>
        <w:ind w:left="444" w:right="160"/>
        <w:spacing w:after="0" w:line="303" w:lineRule="auto"/>
        <w:rPr>
          <w:rFonts w:ascii="Arial" w:cs="Arial" w:eastAsia="Arial" w:hAnsi="Arial"/>
          <w:sz w:val="18"/>
          <w:szCs w:val="18"/>
          <w:color w:val="auto"/>
        </w:rPr>
      </w:pPr>
      <w:r>
        <w:rPr>
          <w:rFonts w:ascii="Arial" w:cs="Arial" w:eastAsia="Arial" w:hAnsi="Arial"/>
          <w:sz w:val="16"/>
          <w:szCs w:val="16"/>
          <w:color w:val="auto"/>
        </w:rPr>
        <w:t xml:space="preserve">With respect to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upon the detection by any Insured that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(hereafter “detected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has committed any dishonest or fraudulent acts or theft, the Insured must immediately remove the detected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from a position that may enable the detected </w:t>
      </w:r>
      <w:r>
        <w:rPr>
          <w:rFonts w:ascii="Arial" w:cs="Arial" w:eastAsia="Arial" w:hAnsi="Arial"/>
          <w:sz w:val="16"/>
          <w:szCs w:val="16"/>
          <w:b w:val="1"/>
          <w:bCs w:val="1"/>
          <w:color w:val="auto"/>
        </w:rPr>
        <w:t xml:space="preserve">Employee </w:t>
      </w:r>
      <w:r>
        <w:rPr>
          <w:rFonts w:ascii="Arial" w:cs="Arial" w:eastAsia="Arial" w:hAnsi="Arial"/>
          <w:sz w:val="16"/>
          <w:szCs w:val="16"/>
          <w:color w:val="auto"/>
        </w:rPr>
        <w:t>to cause the Insured to suffer a loss by any subsequent dishonest or fraudulent acts or theft. The Insured, within 48 hours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detection, must notify the Company with full and complete particulars of the detected dishonest or fraudulent acts or theft.</w:t>
      </w:r>
    </w:p>
    <w:p>
      <w:pPr>
        <w:spacing w:after="0" w:line="42" w:lineRule="exact"/>
        <w:rPr>
          <w:rFonts w:ascii="Arial" w:cs="Arial" w:eastAsia="Arial" w:hAnsi="Arial"/>
          <w:sz w:val="18"/>
          <w:szCs w:val="18"/>
          <w:color w:val="auto"/>
        </w:rPr>
      </w:pPr>
    </w:p>
    <w:p>
      <w:pPr>
        <w:ind w:left="444" w:right="20"/>
        <w:spacing w:after="0" w:line="312" w:lineRule="auto"/>
        <w:rPr>
          <w:rFonts w:ascii="Arial" w:cs="Arial" w:eastAsia="Arial" w:hAnsi="Arial"/>
          <w:sz w:val="18"/>
          <w:szCs w:val="18"/>
          <w:color w:val="auto"/>
        </w:rPr>
      </w:pPr>
      <w:r>
        <w:rPr>
          <w:rFonts w:ascii="Arial" w:cs="Arial" w:eastAsia="Arial" w:hAnsi="Arial"/>
          <w:sz w:val="17"/>
          <w:szCs w:val="17"/>
          <w:color w:val="auto"/>
        </w:rPr>
        <w:t xml:space="preserve">For purposes of this section, detection occurs when any partner, officer, or supervisory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any Insured, who is not in collusion with the detected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becomes aware that the detected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has committed any dishonest or fraudulent acts or theft.</w:t>
      </w:r>
    </w:p>
    <w:p>
      <w:pPr>
        <w:spacing w:after="0" w:line="31" w:lineRule="exact"/>
        <w:rPr>
          <w:rFonts w:ascii="Arial" w:cs="Arial" w:eastAsia="Arial" w:hAnsi="Arial"/>
          <w:sz w:val="18"/>
          <w:szCs w:val="18"/>
          <w:color w:val="auto"/>
        </w:rPr>
      </w:pPr>
    </w:p>
    <w:p>
      <w:pPr>
        <w:ind w:left="444" w:right="140"/>
        <w:spacing w:after="0" w:line="312" w:lineRule="auto"/>
        <w:rPr>
          <w:rFonts w:ascii="Arial" w:cs="Arial" w:eastAsia="Arial" w:hAnsi="Arial"/>
          <w:sz w:val="18"/>
          <w:szCs w:val="18"/>
          <w:color w:val="auto"/>
        </w:rPr>
      </w:pPr>
      <w:r>
        <w:rPr>
          <w:rFonts w:ascii="Arial" w:cs="Arial" w:eastAsia="Arial" w:hAnsi="Arial"/>
          <w:sz w:val="17"/>
          <w:szCs w:val="17"/>
          <w:color w:val="auto"/>
        </w:rPr>
        <w:t xml:space="preserve">Coverage under this bond with respect to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will terminate upon written notice to each Insured and to the Securities and Exchange Commission from the Company of not less than 60 days prior to the effective date of termination specified in such notice.</w:t>
      </w:r>
    </w:p>
    <w:p>
      <w:pPr>
        <w:spacing w:after="0" w:line="31" w:lineRule="exact"/>
        <w:rPr>
          <w:rFonts w:ascii="Arial" w:cs="Arial" w:eastAsia="Arial" w:hAnsi="Arial"/>
          <w:sz w:val="18"/>
          <w:szCs w:val="18"/>
          <w:color w:val="auto"/>
        </w:rPr>
      </w:pPr>
    </w:p>
    <w:p>
      <w:pPr>
        <w:ind w:left="444" w:right="40"/>
        <w:spacing w:after="0" w:line="298" w:lineRule="auto"/>
        <w:rPr>
          <w:rFonts w:ascii="Arial" w:cs="Arial" w:eastAsia="Arial" w:hAnsi="Arial"/>
          <w:sz w:val="18"/>
          <w:szCs w:val="18"/>
          <w:color w:val="auto"/>
        </w:rPr>
      </w:pPr>
      <w:r>
        <w:rPr>
          <w:rFonts w:ascii="Arial" w:cs="Arial" w:eastAsia="Arial" w:hAnsi="Arial"/>
          <w:sz w:val="16"/>
          <w:szCs w:val="16"/>
          <w:color w:val="auto"/>
        </w:rPr>
        <w:t xml:space="preserve">Termination of coverage as to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of an Insured located in New York as set forth in c.(1) and c.(2) above will also not apply to any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if: (a) the dishonest act was committed by that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prior to becoming employed by the Insured, (b) the dishonest act resulted in a conviction of that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and (c) the Insured made a determination to hire or retain the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utilizing the factors set out in Correction Law Article 23-A. However, such termination of coverage will apply to an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or loss caused by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for whom there is a bar to employment established by law and the Insured has hired or retained the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despite the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699516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Policy Number: </w:t>
      </w:r>
      <w:r>
        <w:rPr>
          <w:rFonts w:ascii="Arial" w:cs="Arial" w:eastAsia="Arial" w:hAnsi="Arial"/>
          <w:sz w:val="18"/>
          <w:szCs w:val="18"/>
          <w:b w:val="1"/>
          <w:bCs w:val="1"/>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24"/>
          </w:cols>
          <w:pgMar w:left="436" w:top="337" w:right="539" w:bottom="1440" w:gutter="0" w:footer="0" w:header="0"/>
        </w:sectPr>
      </w:pP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IVBB-17022 Rev. 10-19</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2019 The Travelers Indemnity Company. All rights reserved.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p>
      <w:pPr>
        <w:sectPr>
          <w:pgSz w:w="11900" w:h="16838" w:orient="portrait"/>
          <w:cols w:equalWidth="0" w:num="2">
            <w:col w:w="9384" w:space="720"/>
            <w:col w:w="820"/>
          </w:cols>
          <w:pgMar w:left="436" w:top="337" w:right="5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20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THE UNDERSIGNED</w:t>
      </w:r>
      <w:r>
        <w:rPr>
          <w:rFonts w:ascii="Arial" w:cs="Arial" w:eastAsia="Arial" w:hAnsi="Arial"/>
          <w:sz w:val="17"/>
          <w:szCs w:val="17"/>
          <w:color w:val="auto"/>
        </w:rPr>
        <w:t>, the duly appointed Secretary of PennantPark Floating Rate Capital Ltd., a Maryland corporation (the “Corporation”), an</w:t>
      </w:r>
      <w:r>
        <w:rPr>
          <w:rFonts w:ascii="Arial" w:cs="Arial" w:eastAsia="Arial" w:hAnsi="Arial"/>
          <w:sz w:val="17"/>
          <w:szCs w:val="17"/>
          <w:b w:val="1"/>
          <w:bCs w:val="1"/>
          <w:color w:val="auto"/>
        </w:rPr>
        <w:t xml:space="preserve"> </w:t>
      </w:r>
      <w:r>
        <w:rPr>
          <w:rFonts w:ascii="Arial" w:cs="Arial" w:eastAsia="Arial" w:hAnsi="Arial"/>
          <w:sz w:val="17"/>
          <w:szCs w:val="17"/>
          <w:color w:val="auto"/>
        </w:rPr>
        <w:t>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May 8, 2020 at a meeting of the Board (the “Meeting”):</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reviewed the materials presented at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BE IT:</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Board determined that the Corporation, PennantPark Investment Corporation (“PNNT”), PennantPark Investment Advisers, LLC</w:t>
      </w:r>
      <w:r>
        <w:rPr>
          <w:rFonts w:ascii="Arial" w:cs="Arial" w:eastAsia="Arial" w:hAnsi="Arial"/>
          <w:sz w:val="18"/>
          <w:szCs w:val="18"/>
          <w:b w:val="1"/>
          <w:bCs w:val="1"/>
          <w:color w:val="auto"/>
        </w:rPr>
        <w:t xml:space="preserve"> </w:t>
      </w:r>
      <w:r>
        <w:rPr>
          <w:rFonts w:ascii="Arial" w:cs="Arial" w:eastAsia="Arial" w:hAnsi="Arial"/>
          <w:sz w:val="18"/>
          <w:szCs w:val="18"/>
          <w:color w:val="auto"/>
        </w:rPr>
        <w:t>(the “Adviser”) and PennantPark Investment Administration, LLC (the “Administrator”) each be covered as an “Insured” under a joint fidelity bond (the “Bond”) having an aggregate coverage of $5 million issued by Travelers Casualty and Surety Company of America, a reputable fidelity insurance company, against larceny and embezzlement and such other types of losses as are included in standard fidelity bonds, covering the officers and the other employees of the Corporation, PNNT, the Adviser and the Administrator from time to time and containing such provisions as may be required by the rules promulgated under 1940 Act;</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proposed form and amount of the Bond considered at the Meeting be, and hereby are, approved after consideration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all factors deemed relevant by the directors of the Corporation (the “Directors”), and separately approved by the Independent Directors, including, but not limited to, the amount of the Bond, the value of the aggregate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6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payment by the Corporation of the premium for coverage under the Bond, in the amount described at the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share of the premium to be allocated to the Corporation and PNNT and to the Adviser and the Administrator for the Bond, based upon their proportionate share of the sum of the premiums that would have been paid if such fidelity bond coverage had been purchased separately, be, and hereby are, approved by the Directors, including the Independent Directors,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Corporation under the Bond is less than the premium the Corporation would have had to pay had it maintained a single insured bond;</w:t>
      </w:r>
    </w:p>
    <w:p>
      <w:pPr>
        <w:sectPr>
          <w:pgSz w:w="11900" w:h="16838" w:orient="portrait"/>
          <w:cols w:equalWidth="0" w:num="1">
            <w:col w:w="11020"/>
          </w:cols>
          <w:pgMar w:left="440" w:top="270" w:right="439" w:bottom="1440" w:gutter="0" w:footer="0" w:header="0"/>
        </w:sectPr>
      </w:pPr>
    </w:p>
    <w:bookmarkStart w:id="41" w:name="page42"/>
    <w:bookmarkEnd w:id="41"/>
    <w:p>
      <w:pPr>
        <w:ind w:right="140"/>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FURTHER RESOLVED</w:t>
      </w:r>
      <w:r>
        <w:rPr>
          <w:rFonts w:ascii="Arial" w:cs="Arial" w:eastAsia="Arial" w:hAnsi="Arial"/>
          <w:sz w:val="18"/>
          <w:szCs w:val="18"/>
          <w:color w:val="auto"/>
        </w:rPr>
        <w:t>, that the proposed Joint Fidelity Bond Agreement among the Corporation, PNNT, the Adviser and the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that in the event that any 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Aviv Efrat, Chief Financial Officer and Treasurer of the Corporation, and Arthur H. Penn, Chief Executive Officer of the Corporation (each, an “Officer” and, together, the “Officers”), may determine to be necessary or desirable and proper, with the advice of the Corporation’s counsel, the execution of the Joint Fidelity Bond Agreement by such Officers to be conclusive evidence of such determination;</w:t>
      </w:r>
    </w:p>
    <w:p>
      <w:pPr>
        <w:spacing w:after="0" w:line="19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Secretary of the Corporation be, and hereby is, designated as the party responsible for making the necessary filings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giving the notices with respect to the Bond required by paragraph (g) of Rule 17g-1 under the 1940 Act;</w:t>
      </w:r>
    </w:p>
    <w:p>
      <w:pPr>
        <w:spacing w:after="0" w:line="16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Officers be, and each of them hereby is, authorized to obtain and enter into a joint liability insurance policy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form and amount as presented at the Meeting for all losses, covering the Corporation, PNNT, the Adviser and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Corporation, PNNT, the Adviser and the Administrator, as the case may be, subject to such ordinary exceptions as the Officer executing the same deems reasonable or appropriate;</w:t>
      </w:r>
    </w:p>
    <w:p>
      <w:pPr>
        <w:spacing w:after="0" w:line="154"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Directors, including the Independent Directors, hereby find that the Corporation’s participation in the above-referenced joint liability insurance policy is in the best interest of the Corporation; and</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share of the premium to be allocated 60% to PNNT and the Corporation and 40% to the Adviser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for the Bond and the joint liability insurance policy, which is based upon the Corporation’s proportionate share of the sum of the premiums that would have been paid if such insurance coverage were purchased separately, be, and hereby is, determined to be fair and reasonable to the Corporation by the Directors, including the Independent Directors and that the appropriate allocation between each of PNNT and the Corporation and the Adviser and the Administrator, with respect to the joint liability insurance policy, is obtained.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as an officer of the Corporation this 9</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June 2020.</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Thomas J. Friedmann</w:t>
      </w:r>
    </w:p>
    <w:p>
      <w:pPr>
        <w:spacing w:after="0" w:line="1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020"/>
          </w:cols>
          <w:pgMar w:left="440" w:top="270"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JOINT FIDELITY BOND AGREEMENT</w:t>
      </w:r>
    </w:p>
    <w:p>
      <w:pPr>
        <w:spacing w:after="0" w:line="229"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This JOINT FIDELITY BOND AGREEMENT is dated as of June 9, 2020 by and among PennantPark Investment Corporation, a Maryland corporation (“PNNT”), PennantPark Floating Rate Capital Ltd., a Maryland corporation (“PFLT”), PennantPark Investment Advisers, LLC, a Delaware limited liability company (the “Adviser”), and PennantPark Investment Administration, LLC, a Delaware limited liability company (the “Administrator”).</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WITNESSETH</w:t>
      </w:r>
      <w:r>
        <w:rPr>
          <w:rFonts w:ascii="Arial" w:cs="Arial" w:eastAsia="Arial" w:hAnsi="Arial"/>
          <w:sz w:val="18"/>
          <w:szCs w:val="18"/>
          <w:color w:val="auto"/>
        </w:rPr>
        <w:t>:</w:t>
      </w:r>
    </w:p>
    <w:p>
      <w:pPr>
        <w:spacing w:after="0" w:line="117" w:lineRule="exact"/>
        <w:rPr>
          <w:sz w:val="20"/>
          <w:szCs w:val="20"/>
          <w:color w:val="auto"/>
        </w:rPr>
      </w:pPr>
    </w:p>
    <w:p>
      <w:pPr>
        <w:ind w:left="4" w:right="3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PNNT, PFLT, the Adviser, and the Administrator are joint named insureds (each, an “Insured” and collectively, the “Insureds”)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bond issued by Travelers Casualty and Surety Company of America (the “Bond”);</w:t>
      </w:r>
    </w:p>
    <w:p>
      <w:pPr>
        <w:spacing w:after="0" w:line="162"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PNNT and PFLT is required to provide and maintain a fidelity bond pursuant to Rule 17g-1 under the Investment Company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1940, as amended (the “1940 Act”);</w:t>
      </w:r>
    </w:p>
    <w:p>
      <w:pPr>
        <w:spacing w:after="0" w:line="162" w:lineRule="exact"/>
        <w:rPr>
          <w:sz w:val="20"/>
          <w:szCs w:val="20"/>
          <w:color w:val="auto"/>
        </w:rPr>
      </w:pPr>
    </w:p>
    <w:p>
      <w:pPr>
        <w:ind w:left="4" w:right="12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under the 1940 Act requires that the Insureds enter into an agreement with each other, containing certain provisions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respective amounts to be received by them in the event recovery is received under the Bond as a result of a loss sustained by them; and</w:t>
      </w:r>
    </w:p>
    <w:p>
      <w:pPr>
        <w:spacing w:after="0" w:line="116" w:lineRule="exact"/>
        <w:rPr>
          <w:sz w:val="20"/>
          <w:szCs w:val="20"/>
          <w:color w:val="auto"/>
        </w:rPr>
      </w:pPr>
    </w:p>
    <w:p>
      <w:pPr>
        <w:ind w:left="4" w:right="7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has been approved by the directors of each of PNNT and PFLT, including a majority of the directors who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persons” of each of PNNT and PFLT (as defined in the 1940 Act).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parties hereto, in consideration of the premises and the mutual covenants contained herein, hereby agree as follows:</w:t>
      </w:r>
    </w:p>
    <w:p>
      <w:pPr>
        <w:spacing w:after="0" w:line="133" w:lineRule="exact"/>
        <w:rPr>
          <w:sz w:val="20"/>
          <w:szCs w:val="20"/>
          <w:color w:val="auto"/>
        </w:rPr>
      </w:pPr>
    </w:p>
    <w:p>
      <w:pPr>
        <w:ind w:left="4" w:right="20" w:hanging="4"/>
        <w:spacing w:after="0" w:line="277" w:lineRule="auto"/>
        <w:tabs>
          <w:tab w:leader="none" w:pos="1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 rata according to the relative premium that such Insured would pay for separate fidelity bond coverage.</w:t>
      </w:r>
    </w:p>
    <w:p>
      <w:pPr>
        <w:spacing w:after="0" w:line="170" w:lineRule="exact"/>
        <w:rPr>
          <w:rFonts w:ascii="Arial" w:cs="Arial" w:eastAsia="Arial" w:hAnsi="Arial"/>
          <w:sz w:val="18"/>
          <w:szCs w:val="18"/>
          <w:color w:val="auto"/>
        </w:rPr>
      </w:pPr>
    </w:p>
    <w:p>
      <w:pPr>
        <w:ind w:left="4" w:right="340" w:hanging="4"/>
        <w:spacing w:after="0" w:line="286" w:lineRule="auto"/>
        <w:tabs>
          <w:tab w:leader="none" w:pos="184"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(d)(1) of Rule 17g-1 under the 1940 Act.</w:t>
      </w:r>
    </w:p>
    <w:p>
      <w:pPr>
        <w:spacing w:after="0" w:line="165" w:lineRule="exact"/>
        <w:rPr>
          <w:rFonts w:ascii="Arial" w:cs="Arial" w:eastAsia="Arial" w:hAnsi="Arial"/>
          <w:sz w:val="17"/>
          <w:szCs w:val="17"/>
          <w:color w:val="auto"/>
        </w:rPr>
      </w:pPr>
    </w:p>
    <w:p>
      <w:pPr>
        <w:jc w:val="both"/>
        <w:ind w:left="4" w:right="60" w:hanging="4"/>
        <w:spacing w:after="0" w:line="263" w:lineRule="auto"/>
        <w:tabs>
          <w:tab w:leader="none" w:pos="1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This Agreement and the rights and duties hereunder shall not be assignable by any party hereto without written consent of the other party.</w:t>
      </w:r>
    </w:p>
    <w:p>
      <w:pPr>
        <w:spacing w:after="0" w:line="236" w:lineRule="exact"/>
        <w:rPr>
          <w:rFonts w:ascii="Arial" w:cs="Arial" w:eastAsia="Arial" w:hAnsi="Arial"/>
          <w:sz w:val="17"/>
          <w:szCs w:val="17"/>
          <w:color w:val="auto"/>
        </w:rPr>
      </w:pPr>
    </w:p>
    <w:p>
      <w:pPr>
        <w:ind w:left="4" w:right="20" w:hanging="4"/>
        <w:spacing w:after="0" w:line="277" w:lineRule="auto"/>
        <w:tabs>
          <w:tab w:leader="none" w:pos="1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each of PNNT and PFLT and such amendment is set forth in a written instrument executed by each of the parties hereto.</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225"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024"/>
          </w:cols>
          <w:pgMar w:left="436" w:top="270" w:right="439" w:bottom="1440" w:gutter="0" w:footer="0" w:header="0"/>
        </w:sectPr>
      </w:pPr>
    </w:p>
    <w:bookmarkStart w:id="43" w:name="page44"/>
    <w:bookmarkEnd w:id="4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this Agreement has been executed by the parties as of the date first set forth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Arthur Penn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Arthur Penn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Arthur Penn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Arthur Penn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Arthur Penn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Arthur Penn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 LLC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Aviv Efrat</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Aviv Efrat</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1" w:lineRule="exact"/>
        <w:rPr>
          <w:sz w:val="20"/>
          <w:szCs w:val="20"/>
          <w:color w:val="auto"/>
        </w:rPr>
      </w:pP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decimal"/>
      <w:start w:val="1"/>
    </w:lvl>
  </w:abstractNum>
  <w:abstractNum w:abstractNumId="1">
    <w:nsid w:val="419AC241"/>
    <w:multiLevelType w:val="hybridMultilevel"/>
    <w:lvl w:ilvl="0">
      <w:lvlJc w:val="left"/>
      <w:lvlText w:val="%1."/>
      <w:numFmt w:val="decimal"/>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1."/>
      <w:numFmt w:val="upperLetter"/>
      <w:start w:val="9"/>
    </w:lvl>
  </w:abstractNum>
  <w:abstractNum w:abstractNumId="7">
    <w:nsid w:val="7724C67E"/>
    <w:multiLevelType w:val="hybridMultilevel"/>
    <w:lvl w:ilvl="0">
      <w:lvlJc w:val="left"/>
      <w:lvlText w:val="%1."/>
      <w:numFmt w:val="upperLetter"/>
      <w:start w:val="9"/>
    </w:lvl>
  </w:abstractNum>
  <w:abstractNum w:abstractNumId="8">
    <w:nsid w:val="5C482A97"/>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9">
    <w:nsid w:val="2463B9EA"/>
    <w:multiLevelType w:val="hybridMultilevel"/>
    <w:lvl w:ilvl="0">
      <w:lvlJc w:val="left"/>
      <w:lvlText w:val="%1."/>
      <w:numFmt w:val="decimal"/>
      <w:start w:val="2"/>
    </w:lvl>
  </w:abstractNum>
  <w:abstractNum w:abstractNumId="10">
    <w:nsid w:val="5E884ADC"/>
    <w:multiLevelType w:val="hybridMultilevel"/>
    <w:lvl w:ilvl="0">
      <w:lvlJc w:val="left"/>
      <w:lvlText w:val="%1."/>
      <w:numFmt w:val="upperLetter"/>
      <w:start w:val="3"/>
    </w:lvl>
    <w:lvl w:ilvl="1">
      <w:lvlJc w:val="left"/>
      <w:lvlText w:val="%2."/>
      <w:numFmt w:val="decimal"/>
      <w:start w:val="1"/>
    </w:lvl>
  </w:abstractNum>
  <w:abstractNum w:abstractNumId="11">
    <w:nsid w:val="51EAD36B"/>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2">
    <w:nsid w:val="2D517796"/>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13">
    <w:nsid w:val="580BD78F"/>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4">
    <w:nsid w:val="153EA438"/>
    <w:multiLevelType w:val="hybridMultilevel"/>
    <w:lvl w:ilvl="0">
      <w:lvlJc w:val="left"/>
      <w:lvlText w:val="%1."/>
      <w:numFmt w:val="upperLetter"/>
      <w:start w:val="6"/>
    </w:lvl>
    <w:lvl w:ilvl="1">
      <w:lvlJc w:val="left"/>
      <w:lvlText w:val="%2."/>
      <w:numFmt w:val="decimal"/>
      <w:start w:val="1"/>
    </w:lvl>
  </w:abstractNum>
  <w:abstractNum w:abstractNumId="15">
    <w:nsid w:val="3855585C"/>
    <w:multiLevelType w:val="hybridMultilevel"/>
    <w:lvl w:ilvl="0">
      <w:lvlJc w:val="left"/>
      <w:lvlText w:val="%1."/>
      <w:numFmt w:val="upperLetter"/>
      <w:start w:val="9"/>
    </w:lvl>
  </w:abstractNum>
  <w:abstractNum w:abstractNumId="16">
    <w:nsid w:val="70A64E2A"/>
    <w:multiLevelType w:val="hybridMultilevel"/>
    <w:lvl w:ilvl="0">
      <w:lvlJc w:val="left"/>
      <w:lvlText w:val="%1."/>
      <w:numFmt w:val="lowerLetter"/>
      <w:start w:val="1"/>
    </w:lvl>
  </w:abstractNum>
  <w:abstractNum w:abstractNumId="17">
    <w:nsid w:val="6A2342EC"/>
    <w:multiLevelType w:val="hybridMultilevel"/>
    <w:lvl w:ilvl="0">
      <w:lvlJc w:val="left"/>
      <w:lvlText w:val="%1."/>
      <w:numFmt w:val="upperLetter"/>
      <w:start w:val="10"/>
    </w:lvl>
    <w:lvl w:ilvl="1">
      <w:lvlJc w:val="left"/>
      <w:lvlText w:val="%2."/>
      <w:numFmt w:val="decimal"/>
      <w:start w:val="1"/>
    </w:lvl>
  </w:abstractNum>
  <w:abstractNum w:abstractNumId="18">
    <w:nsid w:val="2A487CB0"/>
    <w:multiLevelType w:val="hybridMultilevel"/>
    <w:lvl w:ilvl="0">
      <w:lvlJc w:val="left"/>
      <w:lvlText w:val="%1."/>
      <w:numFmt w:val="upperLetter"/>
      <w:start w:val="61"/>
    </w:lvl>
    <w:lvl w:ilvl="1">
      <w:lvlJc w:val="left"/>
      <w:lvlText w:val="%2"/>
      <w:numFmt w:val="upperLetter"/>
      <w:start w:val="1"/>
    </w:lvl>
  </w:abstractNum>
  <w:abstractNum w:abstractNumId="19">
    <w:nsid w:val="1D4ED43B"/>
    <w:multiLevelType w:val="hybridMultilevel"/>
    <w:lvl w:ilvl="0">
      <w:lvlJc w:val="left"/>
      <w:lvlText w:val="%1."/>
      <w:numFmt w:val="upperLetter"/>
      <w:start w:val="2"/>
    </w:lvl>
    <w:lvl w:ilvl="1">
      <w:lvlJc w:val="left"/>
      <w:lvlText w:val="%2."/>
      <w:numFmt w:val="decimal"/>
      <w:start w:val="1"/>
    </w:lvl>
  </w:abstractNum>
  <w:abstractNum w:abstractNumId="20">
    <w:nsid w:val="725A06FB"/>
    <w:multiLevelType w:val="hybridMultilevel"/>
    <w:lvl w:ilvl="0">
      <w:lvlJc w:val="left"/>
      <w:lvlText w:val="%1"/>
      <w:numFmt w:val="upperLetter"/>
      <w:start w:val="1"/>
    </w:lvl>
    <w:lvl w:ilvl="1">
      <w:lvlJc w:val="left"/>
      <w:lvlText w:val="%2."/>
      <w:numFmt w:val="lowerLetter"/>
      <w:start w:val="1"/>
    </w:lvl>
  </w:abstractNum>
  <w:abstractNum w:abstractNumId="21">
    <w:nsid w:val="2CD89A32"/>
    <w:multiLevelType w:val="hybridMultilevel"/>
    <w:lvl w:ilvl="0">
      <w:lvlJc w:val="left"/>
      <w:lvlText w:val="%1."/>
      <w:numFmt w:val="upperLetter"/>
      <w:start w:val="3"/>
    </w:lvl>
    <w:lvl w:ilvl="1">
      <w:lvlJc w:val="left"/>
      <w:lvlText w:val="%2"/>
      <w:numFmt w:val="lowerLetter"/>
      <w:start w:val="1"/>
    </w:lvl>
  </w:abstractNum>
  <w:abstractNum w:abstractNumId="22">
    <w:nsid w:val="57E4CCAF"/>
    <w:multiLevelType w:val="hybridMultilevel"/>
    <w:lvl w:ilvl="0">
      <w:lvlJc w:val="left"/>
      <w:lvlText w:val="%1."/>
      <w:numFmt w:val="upperLetter"/>
      <w:start w:val="5"/>
    </w:lvl>
    <w:lvl w:ilvl="1">
      <w:lvlJc w:val="left"/>
      <w:lvlText w:val="%2."/>
      <w:numFmt w:val="decimal"/>
      <w:start w:val="1"/>
    </w:lvl>
  </w:abstractNum>
  <w:abstractNum w:abstractNumId="23">
    <w:nsid w:val="7A6D8D3C"/>
    <w:multiLevelType w:val="hybridMultilevel"/>
    <w:lvl w:ilvl="0">
      <w:lvlJc w:val="left"/>
      <w:lvlText w:val="%1."/>
      <w:numFmt w:val="upperLetter"/>
      <w:start w:val="1"/>
    </w:lvl>
  </w:abstractNum>
  <w:abstractNum w:abstractNumId="24">
    <w:nsid w:val="4B588F54"/>
    <w:multiLevelType w:val="hybridMultilevel"/>
    <w:lvl w:ilvl="0">
      <w:lvlJc w:val="left"/>
      <w:lvlText w:val="%1."/>
      <w:numFmt w:val="upperLetter"/>
      <w:start w:val="4"/>
    </w:lvl>
    <w:lvl w:ilvl="1">
      <w:lvlJc w:val="left"/>
      <w:lvlText w:val="%2."/>
      <w:numFmt w:val="decimal"/>
      <w:start w:val="1"/>
    </w:lvl>
  </w:abstractNum>
  <w:abstractNum w:abstractNumId="25">
    <w:nsid w:val="542289EC"/>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6">
    <w:nsid w:val="6DE91B18"/>
    <w:multiLevelType w:val="hybridMultilevel"/>
    <w:lvl w:ilvl="0">
      <w:lvlJc w:val="left"/>
      <w:lvlText w:val="%1."/>
      <w:numFmt w:val="upperLetter"/>
      <w:start w:val="12"/>
    </w:lvl>
    <w:lvl w:ilvl="1">
      <w:lvlJc w:val="left"/>
      <w:lvlText w:val="%2."/>
      <w:numFmt w:val="decimal"/>
      <w:start w:val="1"/>
    </w:lvl>
  </w:abstractNum>
  <w:abstractNum w:abstractNumId="27">
    <w:nsid w:val="38437FDB"/>
    <w:multiLevelType w:val="hybridMultilevel"/>
    <w:lvl w:ilvl="0">
      <w:lvlJc w:val="left"/>
      <w:lvlText w:val="%1."/>
      <w:numFmt w:val="decimal"/>
      <w:start w:val="6"/>
    </w:lvl>
    <w:lvl w:ilvl="1">
      <w:lvlJc w:val="left"/>
      <w:lvlText w:val="%2."/>
      <w:numFmt w:val="lowerLetter"/>
      <w:start w:val="1"/>
    </w:lvl>
  </w:abstractNum>
  <w:abstractNum w:abstractNumId="28">
    <w:nsid w:val="7644A45C"/>
    <w:multiLevelType w:val="hybridMultilevel"/>
    <w:lvl w:ilvl="0">
      <w:lvlJc w:val="left"/>
      <w:lvlText w:val="%1."/>
      <w:numFmt w:val="upperLetter"/>
      <w:start w:val="19"/>
    </w:lvl>
    <w:lvl w:ilvl="1">
      <w:lvlJc w:val="left"/>
      <w:lvlText w:val="%2."/>
      <w:numFmt w:val="decimal"/>
      <w:start w:val="1"/>
    </w:lvl>
  </w:abstractNum>
  <w:abstractNum w:abstractNumId="29">
    <w:nsid w:val="32FFF902"/>
    <w:multiLevelType w:val="hybridMultilevel"/>
    <w:lvl w:ilvl="0">
      <w:lvlJc w:val="left"/>
      <w:lvlText w:val="%1."/>
      <w:numFmt w:val="upperLetter"/>
      <w:start w:val="21"/>
    </w:lvl>
    <w:lvl w:ilvl="1">
      <w:lvlJc w:val="left"/>
      <w:lvlText w:val="%2."/>
      <w:numFmt w:val="decimal"/>
      <w:start w:val="1"/>
    </w:lvl>
    <w:lvl w:ilvl="2">
      <w:lvlJc w:val="left"/>
      <w:lvlText w:val="%3."/>
      <w:numFmt w:val="lowerLetter"/>
      <w:start w:val="1"/>
    </w:lvl>
  </w:abstractNum>
  <w:abstractNum w:abstractNumId="30">
    <w:nsid w:val="684A481A"/>
    <w:multiLevelType w:val="hybridMultilevel"/>
    <w:lvl w:ilvl="0">
      <w:lvlJc w:val="left"/>
      <w:lvlText w:val="%1."/>
      <w:numFmt w:val="decimal"/>
      <w:start w:val="3"/>
    </w:lvl>
  </w:abstractNum>
  <w:abstractNum w:abstractNumId="31">
    <w:nsid w:val="579478FE"/>
    <w:multiLevelType w:val="hybridMultilevel"/>
    <w:lvl w:ilvl="0">
      <w:lvlJc w:val="left"/>
      <w:lvlText w:val="%1."/>
      <w:numFmt w:val="upperLetter"/>
      <w:start w:val="23"/>
    </w:lvl>
    <w:lvl w:ilvl="1">
      <w:lvlJc w:val="left"/>
      <w:lvlText w:val="%2."/>
      <w:numFmt w:val="lowerLetter"/>
      <w:start w:val="1"/>
    </w:lvl>
  </w:abstractNum>
  <w:abstractNum w:abstractNumId="32">
    <w:nsid w:val="749ABB43"/>
    <w:multiLevelType w:val="hybridMultilevel"/>
    <w:lvl w:ilvl="0">
      <w:lvlJc w:val="left"/>
      <w:lvlText w:val="%1."/>
      <w:numFmt w:val="upperLetter"/>
      <w:start w:val="24"/>
    </w:lvl>
  </w:abstractNum>
  <w:abstractNum w:abstractNumId="33">
    <w:nsid w:val="3DC240FB"/>
    <w:multiLevelType w:val="hybridMultilevel"/>
    <w:lvl w:ilvl="0">
      <w:lvlJc w:val="left"/>
      <w:lvlText w:val="%1."/>
      <w:numFmt w:val="upperLetter"/>
      <w:start w:val="27"/>
    </w:lvl>
    <w:lvl w:ilvl="1">
      <w:lvlJc w:val="left"/>
      <w:lvlText w:val="%2."/>
      <w:numFmt w:val="decimal"/>
      <w:start w:val="1"/>
    </w:lvl>
  </w:abstractNum>
  <w:abstractNum w:abstractNumId="34">
    <w:nsid w:val="1BA026FA"/>
    <w:multiLevelType w:val="hybridMultilevel"/>
    <w:lvl w:ilvl="0">
      <w:lvlJc w:val="left"/>
      <w:lvlText w:val="%1."/>
      <w:numFmt w:val="upperLetter"/>
      <w:start w:val="34"/>
    </w:lvl>
    <w:lvl w:ilvl="1">
      <w:lvlJc w:val="left"/>
      <w:lvlText w:val="%2."/>
      <w:numFmt w:val="decimal"/>
      <w:start w:val="1"/>
    </w:lvl>
  </w:abstractNum>
  <w:abstractNum w:abstractNumId="35">
    <w:nsid w:val="79A1DEAA"/>
    <w:multiLevelType w:val="hybridMultilevel"/>
    <w:lvl w:ilvl="0">
      <w:lvlJc w:val="left"/>
      <w:lvlText w:val="%1"/>
      <w:numFmt w:val="upperLetter"/>
      <w:start w:val="1"/>
    </w:lvl>
    <w:lvl w:ilvl="1">
      <w:lvlJc w:val="left"/>
      <w:lvlText w:val="%2."/>
      <w:numFmt w:val="decimal"/>
      <w:start w:val="2"/>
    </w:lvl>
  </w:abstractNum>
  <w:abstractNum w:abstractNumId="36">
    <w:nsid w:val="75C6C33A"/>
    <w:multiLevelType w:val="hybridMultilevel"/>
    <w:lvl w:ilvl="0">
      <w:lvlJc w:val="left"/>
      <w:lvlText w:val="%1."/>
      <w:numFmt w:val="upperLetter"/>
      <w:start w:val="37"/>
    </w:lvl>
    <w:lvl w:ilvl="1">
      <w:lvlJc w:val="left"/>
      <w:lvlText w:val="%2."/>
      <w:numFmt w:val="decimal"/>
      <w:start w:val="1"/>
    </w:lvl>
  </w:abstractNum>
  <w:abstractNum w:abstractNumId="37">
    <w:nsid w:val="12E685FB"/>
    <w:multiLevelType w:val="hybridMultilevel"/>
    <w:lvl w:ilvl="0">
      <w:lvlJc w:val="left"/>
      <w:lvlText w:val="%1."/>
      <w:numFmt w:val="upperLetter"/>
      <w:start w:val="41"/>
    </w:lvl>
    <w:lvl w:ilvl="1">
      <w:lvlJc w:val="left"/>
      <w:lvlText w:val="%2."/>
      <w:numFmt w:val="decimal"/>
      <w:start w:val="1"/>
    </w:lvl>
    <w:lvl w:ilvl="2">
      <w:lvlJc w:val="left"/>
      <w:lvlText w:val="%3."/>
      <w:numFmt w:val="lowerLetter"/>
      <w:start w:val="1"/>
    </w:lvl>
  </w:abstractNum>
  <w:abstractNum w:abstractNumId="38">
    <w:nsid w:val="70C6A529"/>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39">
    <w:nsid w:val="520EEDD1"/>
    <w:multiLevelType w:val="hybridMultilevel"/>
    <w:lvl w:ilvl="0">
      <w:lvlJc w:val="left"/>
      <w:lvlText w:val="%1."/>
      <w:numFmt w:val="upperLetter"/>
      <w:start w:val="8"/>
    </w:lvl>
    <w:lvl w:ilvl="1">
      <w:lvlJc w:val="left"/>
      <w:lvlText w:val="%2."/>
      <w:numFmt w:val="decimal"/>
      <w:start w:val="1"/>
    </w:lvl>
  </w:abstractNum>
  <w:abstractNum w:abstractNumId="40">
    <w:nsid w:val="374A3FE6"/>
    <w:multiLevelType w:val="hybridMultilevel"/>
    <w:lvl w:ilvl="0">
      <w:lvlJc w:val="left"/>
      <w:lvlText w:val="%1."/>
      <w:numFmt w:val="upperLetter"/>
      <w:start w:val="9"/>
    </w:lvl>
    <w:lvl w:ilvl="1">
      <w:lvlJc w:val="left"/>
      <w:lvlText w:val="%2."/>
      <w:numFmt w:val="decimal"/>
      <w:start w:val="1"/>
    </w:lvl>
  </w:abstractNum>
  <w:abstractNum w:abstractNumId="41">
    <w:nsid w:val="4F4EF005"/>
    <w:multiLevelType w:val="hybridMultilevel"/>
    <w:lvl w:ilvl="0">
      <w:lvlJc w:val="left"/>
      <w:lvlText w:val="%1."/>
      <w:numFmt w:val="upperLetter"/>
      <w:start w:val="13"/>
    </w:lvl>
    <w:lvl w:ilvl="1">
      <w:lvlJc w:val="left"/>
      <w:lvlText w:val="%2."/>
      <w:numFmt w:val="decimal"/>
      <w:start w:val="1"/>
    </w:lvl>
  </w:abstractNum>
  <w:abstractNum w:abstractNumId="42">
    <w:nsid w:val="23F9C13C"/>
    <w:multiLevelType w:val="hybridMultilevel"/>
    <w:lvl w:ilvl="0">
      <w:lvlJc w:val="left"/>
      <w:lvlText w:val="%1."/>
      <w:numFmt w:val="upperLetter"/>
      <w:start w:val="18"/>
    </w:lvl>
  </w:abstractNum>
  <w:abstractNum w:abstractNumId="43">
    <w:nsid w:val="649BB77C"/>
    <w:multiLevelType w:val="hybridMultilevel"/>
    <w:lvl w:ilvl="0">
      <w:lvlJc w:val="left"/>
      <w:lvlText w:val="%1."/>
      <w:numFmt w:val="upperLetter"/>
      <w:start w:val="20"/>
    </w:lvl>
    <w:lvl w:ilvl="1">
      <w:lvlJc w:val="left"/>
      <w:lvlText w:val="%2."/>
      <w:numFmt w:val="decimal"/>
      <w:start w:val="1"/>
    </w:lvl>
  </w:abstractNum>
  <w:abstractNum w:abstractNumId="44">
    <w:nsid w:val="275AC794"/>
    <w:multiLevelType w:val="hybridMultilevel"/>
    <w:lvl w:ilvl="0">
      <w:lvlJc w:val="left"/>
      <w:lvlText w:val="%1."/>
      <w:numFmt w:val="upperLetter"/>
      <w:start w:val="27"/>
    </w:lvl>
  </w:abstractNum>
  <w:abstractNum w:abstractNumId="45">
    <w:nsid w:val="39386575"/>
    <w:multiLevelType w:val="hybridMultilevel"/>
    <w:lvl w:ilvl="0">
      <w:lvlJc w:val="left"/>
      <w:lvlText w:val="%1."/>
      <w:numFmt w:val="upperLetter"/>
      <w:start w:val="29"/>
    </w:lvl>
  </w:abstractNum>
  <w:abstractNum w:abstractNumId="46">
    <w:nsid w:val="1CF10FD8"/>
    <w:multiLevelType w:val="hybridMultilevel"/>
    <w:lvl w:ilvl="0">
      <w:lvlJc w:val="left"/>
      <w:lvlText w:val="%1."/>
      <w:numFmt w:val="upperLetter"/>
      <w:start w:val="1"/>
    </w:lvl>
    <w:lvl w:ilvl="1">
      <w:lvlJc w:val="left"/>
      <w:lvlText w:val="%2."/>
      <w:numFmt w:val="decimal"/>
      <w:start w:val="1"/>
    </w:lvl>
  </w:abstractNum>
  <w:abstractNum w:abstractNumId="47">
    <w:nsid w:val="180115BE"/>
    <w:multiLevelType w:val="hybridMultilevel"/>
    <w:lvl w:ilvl="0">
      <w:lvlJc w:val="left"/>
      <w:lvlText w:val="%1."/>
      <w:numFmt w:val="upperLetter"/>
      <w:start w:val="3"/>
    </w:lvl>
    <w:lvl w:ilvl="1">
      <w:lvlJc w:val="left"/>
      <w:lvlText w:val="%2."/>
      <w:numFmt w:val="decimal"/>
      <w:start w:val="1"/>
    </w:lvl>
  </w:abstractNum>
  <w:abstractNum w:abstractNumId="48">
    <w:nsid w:val="235BA861"/>
    <w:multiLevelType w:val="hybridMultilevel"/>
    <w:lvl w:ilvl="0">
      <w:lvlJc w:val="left"/>
      <w:lvlText w:val="%1"/>
      <w:numFmt w:val="upperLetter"/>
      <w:start w:val="1"/>
    </w:lvl>
    <w:lvl w:ilvl="1">
      <w:lvlJc w:val="left"/>
      <w:lvlText w:val="%2."/>
      <w:numFmt w:val="decimal"/>
      <w:start w:val="2"/>
    </w:lvl>
  </w:abstractNum>
  <w:abstractNum w:abstractNumId="49">
    <w:nsid w:val="47398C89"/>
    <w:multiLevelType w:val="hybridMultilevel"/>
    <w:lvl w:ilvl="0">
      <w:lvlJc w:val="left"/>
      <w:lvlText w:val="%1."/>
      <w:numFmt w:val="upperLetter"/>
      <w:start w:val="9"/>
    </w:lvl>
    <w:lvl w:ilvl="1">
      <w:lvlJc w:val="left"/>
      <w:lvlText w:val="%2."/>
      <w:numFmt w:val="decimal"/>
      <w:start w:val="1"/>
    </w:lvl>
  </w:abstractNum>
  <w:abstractNum w:abstractNumId="50">
    <w:nsid w:val="354FE9F9"/>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51">
    <w:nsid w:val="15B5AF5C"/>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52">
    <w:nsid w:val="741226BB"/>
    <w:multiLevelType w:val="hybridMultilevel"/>
    <w:lvl w:ilvl="0">
      <w:lvlJc w:val="left"/>
      <w:lvlText w:val="%1."/>
      <w:numFmt w:val="upperLetter"/>
      <w:start w:val="13"/>
    </w:lvl>
    <w:lvl w:ilvl="1">
      <w:lvlJc w:val="left"/>
      <w:lvlText w:val="%2."/>
      <w:numFmt w:val="decimal"/>
      <w:start w:val="1"/>
    </w:lvl>
  </w:abstractNum>
  <w:abstractNum w:abstractNumId="53">
    <w:nsid w:val="D34B6A8"/>
    <w:multiLevelType w:val="hybridMultilevel"/>
    <w:lvl w:ilvl="0">
      <w:lvlJc w:val="left"/>
      <w:lvlText w:val="%1."/>
      <w:numFmt w:val="upperLetter"/>
      <w:start w:val="14"/>
    </w:lvl>
    <w:lvl w:ilvl="1">
      <w:lvlJc w:val="left"/>
      <w:lvlText w:val="%2."/>
      <w:numFmt w:val="decimal"/>
      <w:start w:val="1"/>
    </w:lvl>
  </w:abstractNum>
  <w:abstractNum w:abstractNumId="54">
    <w:nsid w:val="10233C99"/>
    <w:multiLevelType w:val="hybridMultilevel"/>
    <w:lvl w:ilvl="0">
      <w:lvlJc w:val="left"/>
      <w:lvlText w:val="%1."/>
      <w:numFmt w:val="upperLetter"/>
      <w:start w:val="17"/>
    </w:lvl>
    <w:lvl w:ilvl="1">
      <w:lvlJc w:val="left"/>
      <w:lvlText w:val="%2."/>
      <w:numFmt w:val="decimal"/>
      <w:start w:val="1"/>
    </w:lvl>
  </w:abstractNum>
  <w:abstractNum w:abstractNumId="55">
    <w:nsid w:val="3F6AB60F"/>
    <w:multiLevelType w:val="hybridMultilevel"/>
    <w:lvl w:ilvl="0">
      <w:lvlJc w:val="left"/>
      <w:lvlText w:val="%1."/>
      <w:numFmt w:val="upperLetter"/>
      <w:start w:val="18"/>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56">
    <w:nsid w:val="61574095"/>
    <w:multiLevelType w:val="hybridMultilevel"/>
    <w:lvl w:ilvl="0">
      <w:lvlJc w:val="left"/>
      <w:lvlText w:val="%1."/>
      <w:numFmt w:val="lowerLetter"/>
      <w:start w:val="3"/>
    </w:lvl>
    <w:lvl w:ilvl="1">
      <w:lvlJc w:val="left"/>
      <w:lvlText w:val="(%2)"/>
      <w:numFmt w:val="decimal"/>
      <w:start w:val="1"/>
    </w:lvl>
  </w:abstractNum>
  <w:abstractNum w:abstractNumId="57">
    <w:nsid w:val="7E0C57B1"/>
    <w:multiLevelType w:val="hybridMultilevel"/>
    <w:lvl w:ilvl="0">
      <w:lvlJc w:val="left"/>
      <w:lvlText w:val="%1"/>
      <w:numFmt w:val="upperLetter"/>
      <w:start w:val="1"/>
    </w:lvl>
    <w:lvl w:ilvl="1">
      <w:lvlJc w:val="left"/>
      <w:lvlText w:val="%2."/>
      <w:numFmt w:val="decimal"/>
      <w:start w:val="3"/>
    </w:lvl>
  </w:abstractNum>
  <w:abstractNum w:abstractNumId="58">
    <w:nsid w:val="77AE35EB"/>
    <w:multiLevelType w:val="hybridMultilevel"/>
    <w:lvl w:ilvl="0">
      <w:lvlJc w:val="left"/>
      <w:lvlText w:val="%1."/>
      <w:numFmt w:val="upperLetter"/>
      <w:start w:val="19"/>
    </w:lvl>
    <w:lvl w:ilvl="1">
      <w:lvlJc w:val="left"/>
      <w:lvlText w:val="%2."/>
      <w:numFmt w:val="decimal"/>
      <w:start w:val="1"/>
    </w:lvl>
  </w:abstractNum>
  <w:abstractNum w:abstractNumId="59">
    <w:nsid w:val="579BE4F1"/>
    <w:multiLevelType w:val="hybridMultilevel"/>
    <w:lvl w:ilvl="0">
      <w:lvlJc w:val="left"/>
      <w:lvlText w:val="%1."/>
      <w:numFmt w:val="upperLetter"/>
      <w:start w:val="20"/>
    </w:lvl>
  </w:abstractNum>
  <w:abstractNum w:abstractNumId="60">
    <w:nsid w:val="310C50B3"/>
    <w:multiLevelType w:val="hybridMultilevel"/>
    <w:lvl w:ilvl="0">
      <w:lvlJc w:val="left"/>
      <w:lvlText w:val="%1."/>
      <w:numFmt w:val="decimal"/>
      <w:start w:val="1"/>
    </w:lvl>
    <w:lvl w:ilvl="1">
      <w:lvlJc w:val="left"/>
      <w:lvlText w:val="%2"/>
      <w:numFmt w:val="upperLetter"/>
      <w:start w:val="1"/>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lowerLetter"/>
      <w:start w:val="1"/>
    </w:lvl>
  </w:abstractNum>
  <w:abstractNum w:abstractNumId="63">
    <w:nsid w:val="25A70BF7"/>
    <w:multiLevelType w:val="hybridMultilevel"/>
    <w:lvl w:ilvl="0">
      <w:lvlJc w:val="left"/>
      <w:lvlText w:val="%1."/>
      <w:numFmt w:val="decimal"/>
      <w:start w:val="4"/>
    </w:lvl>
  </w:abstractNum>
  <w:abstractNum w:abstractNumId="64">
    <w:nsid w:val="1DBABF00"/>
    <w:multiLevelType w:val="hybridMultilevel"/>
    <w:lvl w:ilvl="0">
      <w:lvlJc w:val="left"/>
      <w:lvlText w:val="%1."/>
      <w:numFmt w:val="decimal"/>
      <w:start w:val="5"/>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2020-06-09T15:07:27Z</dcterms:created>
  <dcterms:modified xsi:type="dcterms:W3CDTF">2020-06-09T15:07:27Z</dcterms:modified>
</cp:coreProperties>
</file>