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September 02, 2016</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180"/>
        <w:spacing w:after="0" w:line="250" w:lineRule="auto"/>
        <w:rPr>
          <w:sz w:val="20"/>
          <w:szCs w:val="20"/>
          <w:color w:val="auto"/>
        </w:rPr>
      </w:pPr>
      <w:r>
        <w:rPr>
          <w:rFonts w:ascii="Arial" w:cs="Arial" w:eastAsia="Arial" w:hAnsi="Arial"/>
          <w:sz w:val="22"/>
          <w:szCs w:val="22"/>
          <w:color w:val="auto"/>
        </w:rPr>
        <w:t>On September 2, 2016, PennantPark Floating Rate Capital Ltd. issued a press release announcing monthly distribution. A copy of the press release is furnished as Exhibit 99.1 to this Form 8-K.</w:t>
      </w:r>
    </w:p>
    <w:p>
      <w:pPr>
        <w:spacing w:after="0" w:line="202" w:lineRule="exact"/>
        <w:rPr>
          <w:sz w:val="24"/>
          <w:szCs w:val="24"/>
          <w:color w:val="auto"/>
        </w:rPr>
      </w:pPr>
    </w:p>
    <w:p>
      <w:pPr>
        <w:ind w:left="40" w:right="80"/>
        <w:spacing w:after="0" w:line="249" w:lineRule="auto"/>
        <w:rPr>
          <w:sz w:val="20"/>
          <w:szCs w:val="20"/>
          <w:color w:val="auto"/>
        </w:rPr>
      </w:pPr>
      <w:r>
        <w:rPr>
          <w:rFonts w:ascii="Arial" w:cs="Arial" w:eastAsia="Arial" w:hAnsi="Arial"/>
          <w:sz w:val="21"/>
          <w:szCs w:val="21"/>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205"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120"/>
        <w:spacing w:after="0" w:line="246" w:lineRule="auto"/>
        <w:rPr>
          <w:sz w:val="20"/>
          <w:szCs w:val="20"/>
          <w:color w:val="auto"/>
        </w:rPr>
      </w:pPr>
      <w:r>
        <w:rPr>
          <w:rFonts w:ascii="Arial" w:cs="Arial" w:eastAsia="Arial" w:hAnsi="Arial"/>
          <w:sz w:val="21"/>
          <w:szCs w:val="21"/>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74"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ectPr>
          <w:pgSz w:w="11900" w:h="16838" w:orient="portrait"/>
          <w:cols w:equalWidth="0" w:num="1">
            <w:col w:w="11200"/>
          </w:cols>
          <w:pgMar w:left="320" w:top="828" w:right="379" w:bottom="0" w:gutter="0" w:footer="0" w:header="0"/>
        </w:sectPr>
      </w:pPr>
    </w:p>
    <w:bookmarkStart w:id="1" w:name="page2"/>
    <w:bookmarkEnd w:id="1"/>
    <w:p>
      <w:pPr>
        <w:ind w:left="660" w:right="88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7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1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September 02,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40" w:firstLine="324"/>
        <w:spacing w:after="0" w:line="250" w:lineRule="auto"/>
        <w:rPr>
          <w:sz w:val="20"/>
          <w:szCs w:val="20"/>
          <w:color w:val="auto"/>
        </w:rPr>
      </w:pPr>
      <w:r>
        <w:rPr>
          <w:rFonts w:ascii="Arial" w:cs="Arial" w:eastAsia="Arial" w:hAnsi="Arial"/>
          <w:sz w:val="22"/>
          <w:szCs w:val="22"/>
          <w:color w:val="auto"/>
        </w:rPr>
        <w:t>Pursuant to the requirements of the Exchange Act,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4000" w:type="dxa"/>
            <w:vAlign w:val="bottom"/>
          </w:tcPr>
          <w:p>
            <w:pPr>
              <w:spacing w:after="0"/>
              <w:rPr>
                <w:sz w:val="20"/>
                <w:szCs w:val="20"/>
                <w:color w:val="auto"/>
              </w:rPr>
            </w:pPr>
            <w:r>
              <w:rPr>
                <w:rFonts w:ascii="Arial" w:cs="Arial" w:eastAsia="Arial" w:hAnsi="Arial"/>
                <w:sz w:val="22"/>
                <w:szCs w:val="22"/>
                <w:color w:val="auto"/>
              </w:rPr>
              <w:t>Dated: September 02, 2016</w:t>
            </w:r>
          </w:p>
        </w:tc>
        <w:tc>
          <w:tcPr>
            <w:tcW w:w="6620" w:type="dxa"/>
            <w:vAlign w:val="bottom"/>
            <w:gridSpan w:val="3"/>
          </w:tcPr>
          <w:p>
            <w:pPr>
              <w:ind w:left="162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4000" w:type="dxa"/>
            <w:vAlign w:val="bottom"/>
          </w:tcPr>
          <w:p>
            <w:pPr>
              <w:spacing w:after="0"/>
              <w:rPr>
                <w:sz w:val="24"/>
                <w:szCs w:val="24"/>
                <w:color w:val="auto"/>
              </w:rPr>
            </w:pPr>
          </w:p>
        </w:tc>
        <w:tc>
          <w:tcPr>
            <w:tcW w:w="6620" w:type="dxa"/>
            <w:vAlign w:val="bottom"/>
            <w:gridSpan w:val="3"/>
          </w:tcPr>
          <w:p>
            <w:pPr>
              <w:ind w:left="1620"/>
              <w:spacing w:after="0"/>
              <w:rPr>
                <w:sz w:val="20"/>
                <w:szCs w:val="20"/>
                <w:color w:val="auto"/>
              </w:rPr>
            </w:pPr>
            <w:r>
              <w:rPr>
                <w:rFonts w:ascii="Arial" w:cs="Arial" w:eastAsia="Arial" w:hAnsi="Arial"/>
                <w:sz w:val="22"/>
                <w:szCs w:val="22"/>
                <w:color w:val="auto"/>
              </w:rPr>
              <w:t>By: /s/ Aviv Efrat</w:t>
            </w:r>
          </w:p>
        </w:tc>
      </w:tr>
      <w:tr>
        <w:trPr>
          <w:trHeight w:val="20"/>
        </w:trPr>
        <w:tc>
          <w:tcPr>
            <w:tcW w:w="40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4000" w:type="dxa"/>
            <w:vAlign w:val="bottom"/>
          </w:tcPr>
          <w:p>
            <w:pPr>
              <w:spacing w:after="0"/>
              <w:rPr>
                <w:sz w:val="21"/>
                <w:szCs w:val="21"/>
                <w:color w:val="auto"/>
              </w:rPr>
            </w:pPr>
          </w:p>
        </w:tc>
        <w:tc>
          <w:tcPr>
            <w:tcW w:w="6620" w:type="dxa"/>
            <w:vAlign w:val="bottom"/>
            <w:gridSpan w:val="3"/>
          </w:tcPr>
          <w:p>
            <w:pPr>
              <w:ind w:left="186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4000" w:type="dxa"/>
            <w:vAlign w:val="bottom"/>
          </w:tcPr>
          <w:p>
            <w:pPr>
              <w:spacing w:after="0"/>
              <w:rPr>
                <w:sz w:val="23"/>
                <w:szCs w:val="23"/>
                <w:color w:val="auto"/>
              </w:rPr>
            </w:pPr>
          </w:p>
        </w:tc>
        <w:tc>
          <w:tcPr>
            <w:tcW w:w="6620" w:type="dxa"/>
            <w:vAlign w:val="bottom"/>
            <w:gridSpan w:val="3"/>
          </w:tcPr>
          <w:p>
            <w:pPr>
              <w:ind w:left="188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52"/>
              <w:spacing w:after="0"/>
              <w:rPr>
                <w:sz w:val="20"/>
                <w:szCs w:val="20"/>
                <w:color w:val="auto"/>
              </w:rPr>
            </w:pPr>
            <w:r>
              <w:rPr>
                <w:rFonts w:ascii="Arial" w:cs="Arial" w:eastAsia="Arial" w:hAnsi="Arial"/>
                <w:sz w:val="22"/>
                <w:szCs w:val="22"/>
                <w:color w:val="auto"/>
                <w:w w:val="87"/>
              </w:rPr>
              <w:t>September 02, 2016</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11" w:right="4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Floating Rate Capital Ltd. Announces Monthly Distribution of $0.095 per Share</w:t>
      </w:r>
    </w:p>
    <w:p>
      <w:pPr>
        <w:spacing w:after="0" w:line="213"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NEW YORK, NY -- (Marketwired - September 02, 2016) - PennantPark Floating Rate Capital Ltd. (the "Company") (NASDAQ: PFLT) declares monthly distribution for September 2016 of $0.095 per share, payable on October 3, 2016 to stockholders of record as of September 21, 2016. Distributions are paid from taxable earnings and may include a return of capital and/or capital gains. The specific tax characteristics of the distribution will be reported to stockholders on Form 1099 after the end of the calendar year and in the Company's periodic report filed with the Securities and Exchange Commission.</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ind w:right="58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40"/>
        <w:spacing w:after="0" w:line="277"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line="5" w:lineRule="exact"/>
        <w:rPr>
          <w:sz w:val="20"/>
          <w:szCs w:val="20"/>
          <w:color w:val="auto"/>
        </w:rPr>
      </w:pPr>
    </w:p>
    <w:p>
      <w:pPr>
        <w:ind w:right="9220" w:firstLine="8"/>
        <w:spacing w:after="0" w:line="290"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220"/>
      </w:cols>
      <w:pgMar w:left="320" w:top="11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2020-05-05T12:04:27Z</dcterms:created>
  <dcterms:modified xsi:type="dcterms:W3CDTF">2020-05-05T12:04:27Z</dcterms:modified>
</cp:coreProperties>
</file>