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04" w:type="dxa"/>
        <w:tblCellMar>
          <w:top w:w="0" w:type="dxa"/>
          <w:left w:w="0" w:type="dxa"/>
          <w:bottom w:w="0" w:type="dxa"/>
          <w:right w:w="0" w:type="dxa"/>
        </w:tblCellMar>
      </w:tblPr>
      <w:tr>
        <w:trPr>
          <w:trHeight w:val="214"/>
        </w:trPr>
        <w:tc>
          <w:tcPr>
            <w:tcW w:w="27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62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814-00891</w:t>
            </w:r>
          </w:p>
        </w:tc>
        <w:tc>
          <w:tcPr>
            <w:tcW w:w="1980" w:type="dxa"/>
            <w:vAlign w:val="bottom"/>
          </w:tcPr>
          <w:p>
            <w:pPr>
              <w:jc w:val="center"/>
              <w:ind w:left="481"/>
              <w:spacing w:after="0"/>
              <w:rPr>
                <w:sz w:val="20"/>
                <w:szCs w:val="20"/>
                <w:color w:val="auto"/>
              </w:rPr>
            </w:pPr>
            <w:r>
              <w:rPr>
                <w:rFonts w:ascii="Times New Roman" w:cs="Times New Roman" w:eastAsia="Times New Roman" w:hAnsi="Times New Roman"/>
                <w:sz w:val="18"/>
                <w:szCs w:val="18"/>
                <w:b w:val="1"/>
                <w:bCs w:val="1"/>
                <w:color w:val="auto"/>
                <w:w w:val="98"/>
              </w:rPr>
              <w:t>27-3794690</w:t>
            </w:r>
          </w:p>
        </w:tc>
      </w:tr>
      <w:tr>
        <w:trPr>
          <w:trHeight w:val="148"/>
        </w:trPr>
        <w:tc>
          <w:tcPr>
            <w:tcW w:w="276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620" w:type="dxa"/>
            <w:vAlign w:val="bottom"/>
          </w:tcPr>
          <w:p>
            <w:pPr>
              <w:ind w:left="18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98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62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8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27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1691 Michigan Avenue, Suite 500</w:t>
            </w:r>
          </w:p>
        </w:tc>
        <w:tc>
          <w:tcPr>
            <w:tcW w:w="46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27"/>
        </w:trPr>
        <w:tc>
          <w:tcPr>
            <w:tcW w:w="2760" w:type="dxa"/>
            <w:vAlign w:val="bottom"/>
          </w:tcPr>
          <w:p>
            <w:pPr>
              <w:jc w:val="center"/>
              <w:ind w:right="159"/>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4620" w:type="dxa"/>
            <w:vAlign w:val="bottom"/>
          </w:tcPr>
          <w:p>
            <w:pPr>
              <w:spacing w:after="0"/>
              <w:rPr>
                <w:sz w:val="19"/>
                <w:szCs w:val="19"/>
                <w:color w:val="auto"/>
              </w:rPr>
            </w:pPr>
          </w:p>
        </w:tc>
        <w:tc>
          <w:tcPr>
            <w:tcW w:w="1980" w:type="dxa"/>
            <w:vAlign w:val="bottom"/>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33139</w:t>
            </w:r>
          </w:p>
        </w:tc>
      </w:tr>
      <w:tr>
        <w:trPr>
          <w:trHeight w:val="190"/>
        </w:trPr>
        <w:tc>
          <w:tcPr>
            <w:tcW w:w="27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20" w:type="dxa"/>
            <w:vAlign w:val="bottom"/>
          </w:tcPr>
          <w:p>
            <w:pPr>
              <w:spacing w:after="0"/>
              <w:rPr>
                <w:sz w:val="16"/>
                <w:szCs w:val="16"/>
                <w:color w:val="auto"/>
              </w:rPr>
            </w:pPr>
          </w:p>
        </w:tc>
        <w:tc>
          <w:tcPr>
            <w:tcW w:w="1980" w:type="dxa"/>
            <w:vAlign w:val="bottom"/>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2760" w:type="dxa"/>
            <w:vAlign w:val="bottom"/>
          </w:tcPr>
          <w:p>
            <w:pPr>
              <w:spacing w:after="0"/>
              <w:rPr>
                <w:sz w:val="24"/>
                <w:szCs w:val="24"/>
                <w:color w:val="auto"/>
              </w:rPr>
            </w:pPr>
          </w:p>
        </w:tc>
        <w:tc>
          <w:tcPr>
            <w:tcW w:w="462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(786) 297-9500</w:t>
            </w:r>
          </w:p>
        </w:tc>
        <w:tc>
          <w:tcPr>
            <w:tcW w:w="1980" w:type="dxa"/>
            <w:vAlign w:val="bottom"/>
          </w:tcPr>
          <w:p>
            <w:pPr>
              <w:spacing w:after="0"/>
              <w:rPr>
                <w:sz w:val="24"/>
                <w:szCs w:val="24"/>
                <w:color w:val="auto"/>
              </w:rPr>
            </w:pPr>
          </w:p>
        </w:tc>
      </w:tr>
      <w:tr>
        <w:trPr>
          <w:trHeight w:val="190"/>
        </w:trPr>
        <w:tc>
          <w:tcPr>
            <w:tcW w:w="2760" w:type="dxa"/>
            <w:vAlign w:val="bottom"/>
          </w:tcPr>
          <w:p>
            <w:pPr>
              <w:spacing w:after="0"/>
              <w:rPr>
                <w:sz w:val="16"/>
                <w:szCs w:val="16"/>
                <w:color w:val="auto"/>
              </w:rPr>
            </w:pPr>
          </w:p>
        </w:tc>
        <w:tc>
          <w:tcPr>
            <w:tcW w:w="46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980" w:type="dxa"/>
            <w:vAlign w:val="bottom"/>
          </w:tcPr>
          <w:p>
            <w:pPr>
              <w:spacing w:after="0"/>
              <w:rPr>
                <w:sz w:val="16"/>
                <w:szCs w:val="16"/>
                <w:color w:val="auto"/>
              </w:rPr>
            </w:pPr>
          </w:p>
        </w:tc>
      </w:tr>
      <w:tr>
        <w:trPr>
          <w:trHeight w:val="363"/>
        </w:trPr>
        <w:tc>
          <w:tcPr>
            <w:tcW w:w="2760" w:type="dxa"/>
            <w:vAlign w:val="bottom"/>
          </w:tcPr>
          <w:p>
            <w:pPr>
              <w:spacing w:after="0"/>
              <w:rPr>
                <w:sz w:val="24"/>
                <w:szCs w:val="24"/>
                <w:color w:val="auto"/>
              </w:rPr>
            </w:pPr>
          </w:p>
        </w:tc>
        <w:tc>
          <w:tcPr>
            <w:tcW w:w="4620" w:type="dxa"/>
            <w:vAlign w:val="bottom"/>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980" w:type="dxa"/>
            <w:vAlign w:val="bottom"/>
          </w:tcPr>
          <w:p>
            <w:pPr>
              <w:spacing w:after="0"/>
              <w:rPr>
                <w:sz w:val="24"/>
                <w:szCs w:val="24"/>
                <w:color w:val="auto"/>
              </w:rPr>
            </w:pPr>
          </w:p>
        </w:tc>
      </w:tr>
      <w:tr>
        <w:trPr>
          <w:trHeight w:val="190"/>
        </w:trPr>
        <w:tc>
          <w:tcPr>
            <w:tcW w:w="2760" w:type="dxa"/>
            <w:vAlign w:val="bottom"/>
          </w:tcPr>
          <w:p>
            <w:pPr>
              <w:spacing w:after="0"/>
              <w:rPr>
                <w:sz w:val="16"/>
                <w:szCs w:val="16"/>
                <w:color w:val="auto"/>
              </w:rPr>
            </w:pPr>
          </w:p>
        </w:tc>
        <w:tc>
          <w:tcPr>
            <w:tcW w:w="46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9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194945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December 31, 2022</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23, 2023, PennantPark Floating Rate Capital Ltd. (the “Company”) announced certain preliminary estimates of its financial results for the quarter ended December 31, 2022.</w:t>
      </w:r>
    </w:p>
    <w:p>
      <w:pPr>
        <w:spacing w:after="0" w:line="67" w:lineRule="exact"/>
        <w:rPr>
          <w:sz w:val="20"/>
          <w:szCs w:val="20"/>
          <w:color w:val="auto"/>
        </w:rPr>
      </w:pPr>
    </w:p>
    <w:p>
      <w:pPr>
        <w:ind w:left="960" w:right="32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asset value per share is estimated to be between $11.25 and $11.33 per share as of December 31, 2022. This compares to a GAAP net asset value per share of $11.62 as of September 30, 2022.</w:t>
      </w:r>
    </w:p>
    <w:p>
      <w:pPr>
        <w:spacing w:after="0" w:line="67" w:lineRule="exact"/>
        <w:rPr>
          <w:rFonts w:ascii="Times New Roman" w:cs="Times New Roman" w:eastAsia="Times New Roman" w:hAnsi="Times New Roman"/>
          <w:sz w:val="18"/>
          <w:szCs w:val="18"/>
          <w:color w:val="auto"/>
        </w:rPr>
      </w:pPr>
    </w:p>
    <w:p>
      <w:pPr>
        <w:ind w:left="960" w:right="60" w:hanging="424"/>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asset value per share is estimated to be between $11.17 and $11.25 per share as of December 31, 2022. This compares to adjusted net asset value per share of $11.59 as of September 30, 2022. Adjusted net asset value per share is a non-GAAP financial measure. The Company believes that this number provides useful information to investors and management because it reflects the Company’s financial performance, excluding the impact of the $3.9 million, or $0.09 per share, and $1.5 million, or $0.03 per share, unrealized loss on the Company’s multi-currency senior secured revolving credit facility, as amended and restated, with Truist Bank (formerly SunTrust Bank) and other lenders, or the Credit Facility, and the Company’s 4.3% Series A notes due 2023, or the 2023 Notes, as of December 31, 2022 and September 30, 2022, respectively. The presentation of this additional information is not meant to be considered in isolation or as a substitute for financial results prepared in accordance with GAAP.</w:t>
      </w:r>
    </w:p>
    <w:p>
      <w:pPr>
        <w:spacing w:after="0" w:line="9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is estimated to be between $0.29 and $0.31 per share for the quarter ended December 31, 2022. This compares to net investment income of $0.29 per share for the quarter ended September 30, 2022.</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loans were on non-accrual status as of December 31, 2022.</w:t>
      </w:r>
    </w:p>
    <w:p>
      <w:pPr>
        <w:spacing w:after="0" w:line="130" w:lineRule="exact"/>
        <w:rPr>
          <w:rFonts w:ascii="Times New Roman" w:cs="Times New Roman" w:eastAsia="Times New Roman" w:hAnsi="Times New Roman"/>
          <w:sz w:val="18"/>
          <w:szCs w:val="18"/>
          <w:color w:val="auto"/>
        </w:rPr>
      </w:pPr>
    </w:p>
    <w:p>
      <w:pPr>
        <w:jc w:val="both"/>
        <w:ind w:left="960" w:right="1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at cost, the Company had approximately $199.7 million of borrowings outstanding under the Credit Facility, approximately $76.2 million in aggregate principal amount of 2023 Notes outstanding, $185.0 million in aggregate principal amount of</w:t>
      </w:r>
    </w:p>
    <w:p>
      <w:pPr>
        <w:ind w:left="9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Notes due 2026 outstanding and $228.0 million in aggregate principal amount of asset-backed debt consisting of various notes due in 2031.</w:t>
      </w:r>
    </w:p>
    <w:p>
      <w:pPr>
        <w:spacing w:after="0" w:line="8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Company had approximately $52.9 million in cash and cash equivalents.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December 31, 2022. Final results may differ materially from these estimates as a result of the completion of the Company’s financial closing procedures, as well as any subsequent events, including the discovery of information affecting fair values of the Company’s portfolio investments as of December 31, 2022, arising between the date hereof and the completion of the Company’s financial statements and the filing of the Company’s Form 10-Q for the quarter then ended.</w:t>
      </w:r>
    </w:p>
    <w:p>
      <w:pPr>
        <w:sectPr>
          <w:pgSz w:w="11900" w:h="16838" w:orient="portrait"/>
          <w:cols w:equalWidth="0" w:num="1">
            <w:col w:w="10880"/>
          </w:cols>
          <w:pgMar w:left="440" w:top="293" w:right="5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2.02 is being furnished and shall not be deemed “filed” for purposes of Section 18 of the Securities Exchange Act of 1934, as amended (the “Exchange Act”) or otherwise subject to the liabilities of such Section and shall not be deemed incorporated by reference into any filing made under the Securities Act of 1933, as amended (the “Securities Act”)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January 23, 2023, the Company issued a press release announcing that it has commenced an underwritten public offering of its common stock. A copy of this press release is furnished as Exhibit 99.1 to this Current Report on Form 8-K and is incorporated herein by reference. In addition, the information contained in Item 2.02 of this Current Report on Form 8-K is incorporated herein by reference.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furnished herewith, is being furnished and shall not be deemed “filed” for any purpose of Section 18 of the Exchange Act is or otherwise subject to the liabilities of such Section. The information in this Current Report on Form 8-K, including Exhibit 99.1 furnished herewith, shall not be deemed to be incorporated by reference into any filing under the Securities Act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31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January 23, 2023</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7"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23, 2023</w:t>
            </w:r>
          </w:p>
        </w:tc>
        <w:tc>
          <w:tcPr>
            <w:tcW w:w="706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960" w:type="dxa"/>
            <w:vAlign w:val="bottom"/>
          </w:tcPr>
          <w:p>
            <w:pPr>
              <w:spacing w:after="0"/>
              <w:rPr>
                <w:sz w:val="24"/>
                <w:szCs w:val="24"/>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203"/>
        </w:trPr>
        <w:tc>
          <w:tcPr>
            <w:tcW w:w="3960" w:type="dxa"/>
            <w:vAlign w:val="bottom"/>
          </w:tcPr>
          <w:p>
            <w:pPr>
              <w:spacing w:after="0"/>
              <w:rPr>
                <w:sz w:val="17"/>
                <w:szCs w:val="17"/>
                <w:color w:val="auto"/>
              </w:rPr>
            </w:pPr>
          </w:p>
        </w:tc>
        <w:tc>
          <w:tcPr>
            <w:tcW w:w="2860" w:type="dxa"/>
            <w:vAlign w:val="bottom"/>
          </w:tcPr>
          <w:p>
            <w:pPr>
              <w:ind w:left="2220"/>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6"/>
        </w:trPr>
        <w:tc>
          <w:tcPr>
            <w:tcW w:w="3960" w:type="dxa"/>
            <w:vAlign w:val="bottom"/>
          </w:tcPr>
          <w:p>
            <w:pPr>
              <w:spacing w:after="0"/>
              <w:rPr>
                <w:sz w:val="20"/>
                <w:szCs w:val="20"/>
                <w:color w:val="auto"/>
              </w:rPr>
            </w:pPr>
          </w:p>
        </w:tc>
        <w:tc>
          <w:tcPr>
            <w:tcW w:w="28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 Announces Public Offering of Common Stock</w:t>
      </w:r>
    </w:p>
    <w:p>
      <w:pPr>
        <w:spacing w:after="0" w:line="22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MIAMI, January 23, 2023 – PennantPark Floating Rate Capital Ltd. </w:t>
      </w:r>
      <w:r>
        <w:rPr>
          <w:rFonts w:ascii="Times New Roman" w:cs="Times New Roman" w:eastAsia="Times New Roman" w:hAnsi="Times New Roman"/>
          <w:sz w:val="18"/>
          <w:szCs w:val="18"/>
          <w:color w:val="auto"/>
        </w:rPr>
        <w:t>(the “Company”) (NYSE: PFLT) (TASE: PFLT) today announced that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commenced an underwritten primary offering of 4,250,000 shares of its common stock (the “Offering”). The Company also expects to grant the underwriters an option to purchase 637,500 additional shares of its common stock. The Offering will be made pursuant to the Company’s shelf registration statement, which was filed with, and has been declared effective by, the Securities and Exchange Commission (the “Commission”).</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expects to use the net proceeds from the Offering to reduce outstanding obligations under its existing indebtedness, to invest in new or existing portfolio companies, to capitalize a subsidiary or joint venture or for other general corporate or strategic purposes.</w:t>
      </w:r>
    </w:p>
    <w:p>
      <w:pPr>
        <w:spacing w:after="0" w:line="16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Morgan Stanley, UBS Investment Bank, Goldman Sachs &amp; Co. LLC, J.P. Morgan and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are serving as joint book-running managers for the Offering.</w:t>
      </w:r>
    </w:p>
    <w:p>
      <w:pPr>
        <w:spacing w:after="0" w:line="26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and charges and expenses of the Company before investing. The preliminary prospectus supplement, dated January 23, 2023, and the accompanying prospectus, dated January 9, 2023, which have been filed with the Commission, contain this and other information about the Company and should be read carefully before investing.</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in the preliminary prospectus supplement, the accompanying prospectus and this press release is not complete and may be changed. 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8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The Offering may be made only by means of a prospectus and a related prospectus supplement, copies of which may be obtained from the joint book-running managers at: Morgan Stanley &amp; Co. LLC, Attn. Prospectus Department, 180 Varick Street, New York, NY 10014; UBS Securities LLC, 1285 Avenue of the Americas, New York, New York, 10019, Attn: Prospectus Department; Goldman Sachs &amp; Co. LLC, 200 West Street, New York, NY 10282; J.P. Morgan Securities LLC, c/o Broadridge Financial Solutions, 1155 Long Island Avenue, Edgewood, NY 11717; and Keefe, Bruyette &amp; Woods, Inc., 787 Seventh Avenue, 4th Floor, New York, NY 10019.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Floating Rate Capital Ltd.</w:t>
      </w:r>
    </w:p>
    <w:p>
      <w:pPr>
        <w:spacing w:after="0" w:line="12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PennantPark Investment Advisers, LLC is a leading middle-market credit platform, managing approximately $6.4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w:t>
      </w:r>
    </w:p>
    <w:p>
      <w:pPr>
        <w:sectPr>
          <w:pgSz w:w="11900" w:h="16838" w:orient="portrait"/>
          <w:cols w:equalWidth="0" w:num="1">
            <w:col w:w="11020"/>
          </w:cols>
          <w:pgMar w:left="440" w:top="117" w:right="439" w:bottom="1440" w:gutter="0" w:footer="0" w:header="0"/>
        </w:sectPr>
      </w:pPr>
    </w:p>
    <w:bookmarkStart w:id="5" w:name="page6"/>
    <w:bookmarkEnd w:id="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(786) 297-9500</w:t>
      </w:r>
    </w:p>
    <w:sectPr>
      <w:pgSz w:w="11900" w:h="16838" w:orient="portrait"/>
      <w:cols w:equalWidth="0" w:num="1">
        <w:col w:w="10760"/>
      </w:cols>
      <w:pgMar w:left="440"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2023-01-23T15:34:16Z</dcterms:created>
  <dcterms:modified xsi:type="dcterms:W3CDTF">2023-01-23T15:34:16Z</dcterms:modified>
</cp:coreProperties>
</file>