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Arial" w:cs="Arial" w:eastAsia="Arial" w:hAnsi="Arial"/>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6649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462915"/>
                    </a:xfrm>
                    <a:prstGeom prst="rect">
                      <a:avLst/>
                    </a:prstGeom>
                    <a:noFill/>
                  </pic:spPr>
                </pic:pic>
              </a:graphicData>
            </a:graphic>
          </wp:anchor>
        </w:drawing>
      </w:r>
    </w:p>
    <w:p>
      <w:pPr>
        <w:ind w:left="8920"/>
        <w:spacing w:after="0" w:line="221" w:lineRule="auto"/>
        <w:rPr>
          <w:sz w:val="20"/>
          <w:szCs w:val="20"/>
          <w:color w:val="auto"/>
        </w:rPr>
      </w:pPr>
      <w:r>
        <w:rPr>
          <w:rFonts w:ascii="Arial" w:cs="Arial" w:eastAsia="Arial" w:hAnsi="Arial"/>
          <w:sz w:val="14"/>
          <w:szCs w:val="14"/>
          <w:color w:val="auto"/>
        </w:rPr>
        <w:t>Washington, DC 20006-1110</w:t>
      </w:r>
    </w:p>
    <w:p>
      <w:pPr>
        <w:ind w:left="8920"/>
        <w:spacing w:after="0" w:line="221" w:lineRule="auto"/>
        <w:rPr>
          <w:sz w:val="20"/>
          <w:szCs w:val="20"/>
          <w:color w:val="auto"/>
        </w:rPr>
      </w:pPr>
      <w:r>
        <w:rPr>
          <w:rFonts w:ascii="Arial" w:cs="Arial" w:eastAsia="Arial" w:hAnsi="Arial"/>
          <w:sz w:val="14"/>
          <w:szCs w:val="14"/>
          <w:color w:val="auto"/>
        </w:rPr>
        <w:t>+1 202 261 3300 Main</w:t>
      </w:r>
    </w:p>
    <w:p>
      <w:pPr>
        <w:ind w:left="8920"/>
        <w:spacing w:after="0" w:line="222" w:lineRule="auto"/>
        <w:rPr>
          <w:sz w:val="20"/>
          <w:szCs w:val="20"/>
          <w:color w:val="auto"/>
        </w:rPr>
      </w:pPr>
      <w:r>
        <w:rPr>
          <w:rFonts w:ascii="Arial" w:cs="Arial" w:eastAsia="Arial" w:hAnsi="Arial"/>
          <w:sz w:val="14"/>
          <w:szCs w:val="14"/>
          <w:color w:val="auto"/>
        </w:rPr>
        <w:t>+1 202 261 3333 Fax</w:t>
      </w:r>
    </w:p>
    <w:p>
      <w:pPr>
        <w:ind w:left="892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5664835</wp:posOffset>
            </wp:positionH>
            <wp:positionV relativeFrom="paragraph">
              <wp:posOffset>90805</wp:posOffset>
            </wp:positionV>
            <wp:extent cx="1586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9" w:lineRule="exact"/>
        <w:rPr>
          <w:sz w:val="24"/>
          <w:szCs w:val="24"/>
          <w:color w:val="auto"/>
        </w:rPr>
      </w:pPr>
    </w:p>
    <w:p>
      <w:pPr>
        <w:ind w:left="8920"/>
        <w:spacing w:after="0"/>
        <w:rPr>
          <w:sz w:val="20"/>
          <w:szCs w:val="20"/>
          <w:color w:val="auto"/>
        </w:rPr>
      </w:pPr>
      <w:r>
        <w:rPr>
          <w:rFonts w:ascii="Arial" w:cs="Arial" w:eastAsia="Arial" w:hAnsi="Arial"/>
          <w:sz w:val="14"/>
          <w:szCs w:val="14"/>
          <w:b w:val="1"/>
          <w:bCs w:val="1"/>
          <w:color w:val="auto"/>
        </w:rPr>
        <w:t>WILLIAM J. TUTTLE</w:t>
      </w:r>
    </w:p>
    <w:p>
      <w:pPr>
        <w:spacing w:after="0" w:line="113" w:lineRule="exact"/>
        <w:rPr>
          <w:sz w:val="24"/>
          <w:szCs w:val="24"/>
          <w:color w:val="auto"/>
        </w:rPr>
      </w:pPr>
    </w:p>
    <w:p>
      <w:pPr>
        <w:ind w:left="8920"/>
        <w:spacing w:after="0"/>
        <w:rPr>
          <w:sz w:val="20"/>
          <w:szCs w:val="20"/>
          <w:color w:val="auto"/>
        </w:rPr>
      </w:pPr>
      <w:r>
        <w:rPr>
          <w:rFonts w:ascii="Arial" w:cs="Arial" w:eastAsia="Arial" w:hAnsi="Arial"/>
          <w:sz w:val="14"/>
          <w:szCs w:val="14"/>
          <w:color w:val="auto"/>
        </w:rPr>
        <w:t>william.tuttle@dechert.com</w:t>
      </w:r>
    </w:p>
    <w:p>
      <w:pPr>
        <w:ind w:left="8920"/>
        <w:spacing w:after="0" w:line="221" w:lineRule="auto"/>
        <w:rPr>
          <w:sz w:val="20"/>
          <w:szCs w:val="20"/>
          <w:color w:val="auto"/>
        </w:rPr>
      </w:pPr>
      <w:r>
        <w:rPr>
          <w:rFonts w:ascii="Arial" w:cs="Arial" w:eastAsia="Arial" w:hAnsi="Arial"/>
          <w:sz w:val="14"/>
          <w:szCs w:val="14"/>
          <w:color w:val="auto"/>
        </w:rPr>
        <w:t>+1 202 261 3352 Direct</w:t>
      </w:r>
    </w:p>
    <w:p>
      <w:pPr>
        <w:ind w:left="8920"/>
        <w:spacing w:after="0"/>
        <w:rPr>
          <w:sz w:val="20"/>
          <w:szCs w:val="20"/>
          <w:color w:val="auto"/>
        </w:rPr>
      </w:pPr>
      <w:r>
        <w:rPr>
          <w:rFonts w:ascii="Arial" w:cs="Arial" w:eastAsia="Arial" w:hAnsi="Arial"/>
          <w:sz w:val="14"/>
          <w:szCs w:val="14"/>
          <w:color w:val="auto"/>
        </w:rPr>
        <w:t>+1 202 261 3009 Fax</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January 29,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 and Megan Miller</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Post-Effective Amendment No. 3 to Registration Statement on Form N-2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Number 333-215111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180"/>
        <w:spacing w:after="0" w:line="288" w:lineRule="auto"/>
        <w:rPr>
          <w:sz w:val="20"/>
          <w:szCs w:val="20"/>
          <w:color w:val="auto"/>
        </w:rPr>
      </w:pPr>
      <w:r>
        <w:rPr>
          <w:rFonts w:ascii="Arial" w:cs="Arial" w:eastAsia="Arial" w:hAnsi="Arial"/>
          <w:sz w:val="16"/>
          <w:szCs w:val="16"/>
          <w:color w:val="auto"/>
        </w:rPr>
        <w:t>On behalf of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telephone calls on January 10, 2018 between Ms. Megan Miller of the Staff and William Tuttle of Dechert LLP, outside counsel to the Company, and on January 24, 2018 between Ms. Ashley Vroman-Lee of the Staff and</w:t>
      </w:r>
    </w:p>
    <w:p>
      <w:pPr>
        <w:spacing w:after="0" w:line="254" w:lineRule="auto"/>
        <w:rPr>
          <w:sz w:val="20"/>
          <w:szCs w:val="20"/>
          <w:color w:val="auto"/>
        </w:rPr>
      </w:pPr>
      <w:r>
        <w:rPr>
          <w:rFonts w:ascii="Arial" w:cs="Arial" w:eastAsia="Arial" w:hAnsi="Arial"/>
          <w:sz w:val="18"/>
          <w:szCs w:val="18"/>
          <w:color w:val="auto"/>
        </w:rPr>
        <w:t>Mr. Tuttle regarding Post-Effective Amendment No. 3 to the Company’s Registration Statement on Form N-2 (Registration No. 333-215111)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the prospectus included therein.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31" w:lineRule="exact"/>
        <w:rPr>
          <w:sz w:val="24"/>
          <w:szCs w:val="24"/>
          <w:color w:val="auto"/>
        </w:rPr>
      </w:pPr>
    </w:p>
    <w:p>
      <w:pPr>
        <w:ind w:left="900" w:right="320" w:hanging="446"/>
        <w:spacing w:after="0" w:line="282"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footnote 1 to the Senior Securities table to disclose the fair value of the Company’s senior securities as of the end of each fiscal year.</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As requested, the Company will revise the Senior Securities table to disclose the fair value of the Company’s senior securities as of the end of each fiscal year in a prospectus filed pursuant to Rule 497 under the Securities Act on the date of the effectiveness of the Registration Statement (the “</w:t>
      </w:r>
      <w:r>
        <w:rPr>
          <w:rFonts w:ascii="Arial" w:cs="Arial" w:eastAsia="Arial" w:hAnsi="Arial"/>
          <w:sz w:val="16"/>
          <w:szCs w:val="16"/>
          <w:u w:val="single" w:color="auto"/>
          <w:color w:val="auto"/>
        </w:rPr>
        <w:t>497 Prospectus</w:t>
      </w:r>
      <w:r>
        <w:rPr>
          <w:rFonts w:ascii="Arial" w:cs="Arial" w:eastAsia="Arial" w:hAnsi="Arial"/>
          <w:sz w:val="16"/>
          <w:szCs w:val="16"/>
          <w:color w:val="auto"/>
        </w:rPr>
        <w:t>”).</w:t>
      </w:r>
    </w:p>
    <w:p>
      <w:pPr>
        <w:sectPr>
          <w:pgSz w:w="11900" w:h="16838" w:orient="portrait"/>
          <w:cols w:equalWidth="0" w:num="1">
            <w:col w:w="11420"/>
          </w:cols>
          <w:pgMar w:left="240" w:top="228" w:right="239" w:bottom="1440" w:gutter="0" w:footer="0" w:header="0"/>
        </w:sectPr>
      </w:pPr>
    </w:p>
    <w:bookmarkStart w:id="1" w:name="page2"/>
    <w:bookmarkEnd w:id="1"/>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6649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6495" cy="46291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January 29, 2018</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Page 2</w:t>
      </w:r>
    </w:p>
    <w:p>
      <w:pPr>
        <w:spacing w:after="0" w:line="153" w:lineRule="exact"/>
        <w:rPr>
          <w:sz w:val="20"/>
          <w:szCs w:val="20"/>
          <w:color w:val="auto"/>
        </w:rPr>
      </w:pPr>
    </w:p>
    <w:p>
      <w:pPr>
        <w:ind w:left="900" w:right="340" w:hanging="446"/>
        <w:spacing w:after="0" w:line="313" w:lineRule="auto"/>
        <w:tabs>
          <w:tab w:leader="none" w:pos="9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supplementally advise the Staff whether any changes to the disclosure under the heading “Material U.S. Federal Income Tax Considerations” will be included in the 497 Prospectus as a result of the Tax Cuts and Jobs Act of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supplementally advises the Staff that it has evaluated the Tax Cuts and Jobs Act of 2017 and that the disclosure under the heading “Material U.S. Federal Income Tax Considerations” included in the 497 Prospectus will be updated to reflect the changes in the maximum tax rates payable set forth in the Tax Cuts and Jobs Act of 2017.</w:t>
      </w:r>
    </w:p>
    <w:p>
      <w:pPr>
        <w:spacing w:after="0" w:line="204" w:lineRule="exact"/>
        <w:rPr>
          <w:sz w:val="20"/>
          <w:szCs w:val="20"/>
          <w:color w:val="auto"/>
        </w:rPr>
      </w:pPr>
    </w:p>
    <w:p>
      <w:pPr>
        <w:ind w:left="900" w:right="160" w:hanging="446"/>
        <w:spacing w:after="0" w:line="266"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Note 2 to the Consolidated Financial Statements states that the Consolidated Financial Statements are prepared in accordance with Article 6 and 10 of Regulation S-X, as appropriate. In future financial statements, please revise this disclosure to add reference to Article 12 of Regulation S-X.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requested, in connection with future financial statements, the Company will revise the above-referenced disclosure to reference Article 12 of Regulation S-X.</w:t>
      </w:r>
    </w:p>
    <w:p>
      <w:pPr>
        <w:spacing w:after="0" w:line="193" w:lineRule="exact"/>
        <w:rPr>
          <w:sz w:val="20"/>
          <w:szCs w:val="20"/>
          <w:color w:val="auto"/>
        </w:rPr>
      </w:pPr>
    </w:p>
    <w:p>
      <w:pPr>
        <w:ind w:left="900" w:right="220" w:hanging="446"/>
        <w:spacing w:after="0" w:line="266"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footnote 1 to the Schedules of Investments states that floating rate instruments accrue interest at a predetermined spread relative to an index. In future financial statements, please identify with greater specificity the relevant index for each debt investment (i.e., 1-month LIBOR, 3-month LIBOR and 6-month LIBOR).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requested, in future financial statements, the Company will identify with greater specificity the relevant index for each debt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portions of the filing are incomplete. We may have additional comments on such portions when you complete them.</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respectfully submits that the Registration Statement is complete with the exception of stockholder transaction fee information in the Fees and Expenses table and other information</w:t>
      </w:r>
    </w:p>
    <w:p>
      <w:pPr>
        <w:sectPr>
          <w:pgSz w:w="11900" w:h="16838" w:orient="portrait"/>
          <w:cols w:equalWidth="0" w:num="1">
            <w:col w:w="11300"/>
          </w:cols>
          <w:pgMar w:left="240" w:top="274" w:right="359" w:bottom="1440" w:gutter="0" w:footer="0" w:header="0"/>
        </w:sectPr>
      </w:pPr>
    </w:p>
    <w:bookmarkStart w:id="2" w:name="page3"/>
    <w:bookmarkEnd w:id="2"/>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6649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46291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January 29, 2018</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that may be omitted under the Securities Act because it is dependent on the public offering price of any offering of securities under the Registration Statement. This information will be included where applicable in the prospectus supplement for any offering of securities pursuant to the Registration Statement.</w:t>
      </w:r>
    </w:p>
    <w:p>
      <w:pPr>
        <w:spacing w:after="0" w:line="204" w:lineRule="exact"/>
        <w:rPr>
          <w:sz w:val="20"/>
          <w:szCs w:val="20"/>
          <w:color w:val="auto"/>
        </w:rPr>
      </w:pPr>
    </w:p>
    <w:p>
      <w:pPr>
        <w:ind w:left="900" w:right="1040" w:hanging="446"/>
        <w:spacing w:after="0" w:line="282"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the Staff supplementally if the Company intends to apply for an amendment to its exemptive relief for certain co-investment transactions to add PSSL as an applicant.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supplementally advises the Staff that it does not intend to apply for an amendment to its exemptive relief for certain co-investment transactions to add PSSL as an applicant.</w:t>
      </w:r>
    </w:p>
    <w:p>
      <w:pPr>
        <w:spacing w:after="0" w:line="193" w:lineRule="exact"/>
        <w:rPr>
          <w:sz w:val="20"/>
          <w:szCs w:val="20"/>
          <w:color w:val="auto"/>
        </w:rPr>
      </w:pPr>
    </w:p>
    <w:p>
      <w:pPr>
        <w:ind w:left="900" w:right="160" w:hanging="446"/>
        <w:spacing w:after="0" w:line="282"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under the heading “Prospectus Summary—Distributions on Common Stock” that distributions may include a return of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requested, the Company has included in the 497 Prospectus disclosure under the heading “Prospectus Summary—Distributions on Common Stock” that distributions may include a return of capital.</w:t>
      </w:r>
    </w:p>
    <w:p>
      <w:pPr>
        <w:spacing w:after="0" w:line="193" w:lineRule="exact"/>
        <w:rPr>
          <w:sz w:val="20"/>
          <w:szCs w:val="20"/>
          <w:color w:val="auto"/>
        </w:rPr>
      </w:pPr>
    </w:p>
    <w:p>
      <w:pPr>
        <w:ind w:left="900" w:right="200" w:hanging="446"/>
        <w:spacing w:after="0" w:line="313" w:lineRule="auto"/>
        <w:tabs>
          <w:tab w:leader="none" w:pos="9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disclose under the heading “Prospectus Summary—Recent Developments” that the 2023 Notes are subordinated to any secured indebtedness the Company or its subsidiaries have currently incurred and may incur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requested, the Company has included in the 497 Prospectus disclosure under the heading “Prospectus Summary—Recent Developments” that the 2023 Notes are subordinated to any secured indebtedness the Company or its subsidiaries have currently incurred and may incur in the future.</w:t>
      </w:r>
    </w:p>
    <w:p>
      <w:pPr>
        <w:spacing w:after="0" w:line="170" w:lineRule="exact"/>
        <w:rPr>
          <w:sz w:val="20"/>
          <w:szCs w:val="20"/>
          <w:color w:val="auto"/>
        </w:rPr>
      </w:pPr>
    </w:p>
    <w:p>
      <w:pPr>
        <w:ind w:left="900" w:right="640" w:hanging="446"/>
        <w:spacing w:after="0" w:line="282"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sales load is to be completed by a prospectus supplement. Please state supplementally if the sales load and other transaction expenses are greater than ten percent (10%).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submits that it does not expect the sales load and other transaction expenses to exceed ten percent (10%).</w:t>
      </w:r>
    </w:p>
    <w:p>
      <w:pPr>
        <w:sectPr>
          <w:pgSz w:w="11900" w:h="16838" w:orient="portrait"/>
          <w:cols w:equalWidth="0" w:num="1">
            <w:col w:w="11380"/>
          </w:cols>
          <w:pgMar w:left="240" w:top="274" w:right="279" w:bottom="1440" w:gutter="0" w:footer="0" w:header="0"/>
        </w:sectPr>
      </w:pPr>
    </w:p>
    <w:bookmarkStart w:id="3" w:name="page4"/>
    <w:bookmarkEnd w:id="3"/>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6649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6495" cy="46291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January 29, 2018</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Page 4</w:t>
      </w:r>
    </w:p>
    <w:p>
      <w:pPr>
        <w:spacing w:after="0" w:line="153"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advise the Staff supplementally if the Company has had a return of capital since its inception.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submits that it has not had a return of capital since its inception.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617.728.7120 (or by email at thomas.friedmann@dechert.com). Thank you for your cooperation and attention to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ind w:left="460" w:right="684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Arthur H. Penn, PennantPark Investment Advisers, LLC Aviv Efrat, PennantPark Floating Rate Capital Ltd. Thomas J. Friedmann, Dechert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2019-12-07T21:02:05Z</dcterms:created>
  <dcterms:modified xsi:type="dcterms:W3CDTF">2019-12-07T21:02:05Z</dcterms:modified>
</cp:coreProperties>
</file>