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28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27-3794690</w:t>
            </w:r>
          </w:p>
        </w:tc>
      </w:tr>
      <w:tr>
        <w:trPr>
          <w:trHeight w:val="149"/>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w:t>
            </w:r>
          </w:p>
        </w:tc>
        <w:tc>
          <w:tcPr>
            <w:tcW w:w="5040" w:type="dxa"/>
            <w:vAlign w:val="bottom"/>
          </w:tcPr>
          <w:p>
            <w:pPr>
              <w:spacing w:after="0"/>
              <w:rPr>
                <w:sz w:val="24"/>
                <w:szCs w:val="24"/>
                <w:color w:val="auto"/>
              </w:rPr>
            </w:pPr>
          </w:p>
        </w:tc>
      </w:tr>
      <w:tr>
        <w:trPr>
          <w:trHeight w:val="231"/>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15</w:t>
            </w:r>
            <w:r>
              <w:rPr>
                <w:rFonts w:ascii="Arial" w:cs="Arial" w:eastAsia="Arial" w:hAnsi="Arial"/>
                <w:sz w:val="11"/>
                <w:szCs w:val="11"/>
                <w:b w:val="1"/>
                <w:bCs w:val="1"/>
                <w:color w:val="auto"/>
                <w:w w:val="90"/>
              </w:rPr>
              <w:t>th</w:t>
            </w:r>
            <w:r>
              <w:rPr>
                <w:rFonts w:ascii="Arial" w:cs="Arial" w:eastAsia="Arial" w:hAnsi="Arial"/>
                <w:sz w:val="18"/>
                <w:szCs w:val="18"/>
                <w:b w:val="1"/>
                <w:bCs w:val="1"/>
                <w:color w:val="auto"/>
                <w:w w:val="90"/>
              </w:rPr>
              <w:t xml:space="preserve"> Floor, New York, N.Y.</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10022</w:t>
            </w:r>
          </w:p>
        </w:tc>
      </w:tr>
      <w:tr>
        <w:trPr>
          <w:trHeight w:val="174"/>
        </w:trPr>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40" w:type="dxa"/>
            <w:vAlign w:val="bottom"/>
          </w:tcPr>
          <w:p>
            <w:pPr>
              <w:jc w:val="center"/>
              <w:ind w:left="390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280" w:type="dxa"/>
            <w:vAlign w:val="bottom"/>
          </w:tcPr>
          <w:p>
            <w:pPr>
              <w:spacing w:after="0"/>
              <w:rPr>
                <w:sz w:val="24"/>
                <w:szCs w:val="24"/>
                <w:color w:val="auto"/>
              </w:rPr>
            </w:pPr>
          </w:p>
        </w:tc>
        <w:tc>
          <w:tcPr>
            <w:tcW w:w="5040" w:type="dxa"/>
            <w:vAlign w:val="bottom"/>
          </w:tcPr>
          <w:p>
            <w:pPr>
              <w:jc w:val="right"/>
              <w:ind w:right="278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280" w:type="dxa"/>
            <w:vAlign w:val="bottom"/>
          </w:tcPr>
          <w:p>
            <w:pPr>
              <w:spacing w:after="0"/>
              <w:rPr>
                <w:sz w:val="15"/>
                <w:szCs w:val="15"/>
                <w:color w:val="auto"/>
              </w:rPr>
            </w:pPr>
          </w:p>
        </w:tc>
        <w:tc>
          <w:tcPr>
            <w:tcW w:w="5040" w:type="dxa"/>
            <w:vAlign w:val="bottom"/>
          </w:tcPr>
          <w:p>
            <w:pPr>
              <w:jc w:val="center"/>
              <w:ind w:right="170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68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680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80"/>
              <w:spacing w:after="0"/>
              <w:rPr>
                <w:sz w:val="20"/>
                <w:szCs w:val="20"/>
                <w:color w:val="auto"/>
              </w:rPr>
            </w:pPr>
            <w:r>
              <w:rPr>
                <w:rFonts w:ascii="Arial" w:cs="Arial" w:eastAsia="Arial" w:hAnsi="Arial"/>
                <w:sz w:val="18"/>
                <w:szCs w:val="18"/>
                <w:color w:val="auto"/>
                <w:w w:val="98"/>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32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380" w:type="dxa"/>
            <w:vAlign w:val="bottom"/>
          </w:tcPr>
          <w:p>
            <w:pPr>
              <w:spacing w:after="0"/>
              <w:rPr>
                <w:sz w:val="24"/>
                <w:szCs w:val="24"/>
                <w:color w:val="auto"/>
              </w:rPr>
            </w:pPr>
          </w:p>
        </w:tc>
      </w:tr>
      <w:tr>
        <w:trPr>
          <w:trHeight w:val="358"/>
        </w:trPr>
        <w:tc>
          <w:tcPr>
            <w:tcW w:w="8540" w:type="dxa"/>
            <w:vAlign w:val="bottom"/>
            <w:gridSpan w:val="2"/>
          </w:tcPr>
          <w:p>
            <w:pPr>
              <w:ind w:left="460"/>
              <w:spacing w:after="0"/>
              <w:rPr>
                <w:sz w:val="20"/>
                <w:szCs w:val="20"/>
                <w:color w:val="auto"/>
              </w:rPr>
            </w:pPr>
            <w:r>
              <w:rPr>
                <w:rFonts w:ascii="Arial" w:cs="Arial" w:eastAsia="Arial" w:hAnsi="Arial"/>
                <w:sz w:val="18"/>
                <w:szCs w:val="18"/>
                <w:color w:val="auto"/>
                <w:w w:val="88"/>
              </w:rPr>
              <w:t>The number of shares of the issuer’s common stock, $0.001 par value, outstanding as of August 8 was 14,709,356</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23"/>
        </w:trPr>
        <w:tc>
          <w:tcPr>
            <w:tcW w:w="174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420" w:type="dxa"/>
            <w:vAlign w:val="bottom"/>
          </w:tcPr>
          <w:p>
            <w:pPr>
              <w:spacing w:after="0"/>
              <w:rPr>
                <w:sz w:val="19"/>
                <w:szCs w:val="19"/>
                <w:color w:val="auto"/>
              </w:rPr>
            </w:pP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420" w:type="dxa"/>
            <w:vAlign w:val="bottom"/>
          </w:tcPr>
          <w:p>
            <w:pPr>
              <w:spacing w:after="0"/>
              <w:rPr>
                <w:sz w:val="24"/>
                <w:szCs w:val="24"/>
                <w:color w:val="auto"/>
              </w:rPr>
            </w:pP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June 30, 2013 (unaudited) and September 30, 2012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nine months ended June 30, 2013 and 2012 (unaudited)</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Net Assets for the nine months ended June 30, 2013 and 2012 (unaudited)</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nine months ended June 30, 2013 and 2012 (unaudited)</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June 30, 2013 (unaudited) and September 30, 2012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 (unaudited)</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720" w:type="dxa"/>
            <w:vAlign w:val="bottom"/>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Report of Independent Registered Public Accounting Firm</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3. 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4. Controls and Procedures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720" w:type="dxa"/>
            <w:vAlign w:val="bottom"/>
          </w:tcPr>
          <w:p>
            <w:pPr>
              <w:ind w:left="400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OTHER INFORMATION</w:t>
              </w:r>
            </w:hyperlink>
          </w:p>
        </w:tc>
        <w:tc>
          <w:tcPr>
            <w:tcW w:w="1420" w:type="dxa"/>
            <w:vAlign w:val="bottom"/>
          </w:tcPr>
          <w:p>
            <w:pPr>
              <w:spacing w:after="0"/>
              <w:rPr>
                <w:sz w:val="24"/>
                <w:szCs w:val="24"/>
                <w:color w:val="auto"/>
              </w:rPr>
            </w:pP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1. Legal Proceedings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1A. Risk Factors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2. Unregistered Sales of Equity Securities and Use of Proceeds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3. Defaults Upon Senior Securities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4. Mine Safety Disclosures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5. Other Information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Item 6. Exhibits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20" w:type="dxa"/>
            <w:vAlign w:val="bottom"/>
          </w:tcPr>
          <w:p>
            <w:pPr>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SIGNATURES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our wholly owned consolidated subsidiary, PennantPark Floating Rate Funding I, LLC, or Funding 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6"/>
        </w:trPr>
        <w:tc>
          <w:tcPr>
            <w:tcW w:w="820" w:type="dxa"/>
            <w:vAlign w:val="bottom"/>
          </w:tcPr>
          <w:p>
            <w:pPr>
              <w:spacing w:after="0"/>
              <w:rPr>
                <w:sz w:val="24"/>
                <w:szCs w:val="24"/>
                <w:color w:val="auto"/>
              </w:rPr>
            </w:pPr>
          </w:p>
        </w:tc>
        <w:tc>
          <w:tcPr>
            <w:tcW w:w="8040" w:type="dxa"/>
            <w:vAlign w:val="bottom"/>
          </w:tcPr>
          <w:p>
            <w:pPr>
              <w:ind w:left="2000"/>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820" w:type="dxa"/>
            <w:vAlign w:val="bottom"/>
          </w:tcPr>
          <w:p>
            <w:pPr>
              <w:spacing w:after="0"/>
              <w:rPr>
                <w:sz w:val="19"/>
                <w:szCs w:val="19"/>
                <w:color w:val="auto"/>
              </w:rPr>
            </w:pPr>
          </w:p>
        </w:tc>
        <w:tc>
          <w:tcPr>
            <w:tcW w:w="8040" w:type="dxa"/>
            <w:vAlign w:val="bottom"/>
          </w:tcPr>
          <w:p>
            <w:pPr>
              <w:ind w:left="222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8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9"/>
              </w:rPr>
              <w:t>June 30, 2013</w:t>
            </w:r>
          </w:p>
        </w:tc>
        <w:tc>
          <w:tcPr>
            <w:tcW w:w="10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w:t>
            </w:r>
          </w:p>
        </w:tc>
      </w:tr>
      <w:tr>
        <w:trPr>
          <w:trHeight w:val="161"/>
        </w:trPr>
        <w:tc>
          <w:tcPr>
            <w:tcW w:w="8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r>
      <w:tr>
        <w:trPr>
          <w:trHeight w:val="196"/>
        </w:trPr>
        <w:tc>
          <w:tcPr>
            <w:tcW w:w="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(cost—$253,491,463 and $171,578,009,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250,514,412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171,834,400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6,936,175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1,388,867</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4,234,177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986,278</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397,108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311,313</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263,248,953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178,366,661</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Liabilities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901,661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548,053</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30,515,000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3,357,500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Credit Facility payable (cost—$85,600,000 and $75,500,000, respectively) (See Notes 5 and 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85,600,000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75,122,500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161,550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548,779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424,747</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506,314</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781,707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447,120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119,155,827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82,622,784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Net Assets</w:t>
            </w:r>
          </w:p>
        </w:tc>
        <w:tc>
          <w:tcPr>
            <w:tcW w:w="8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860" w:type="dxa"/>
            <w:vAlign w:val="bottom"/>
            <w:gridSpan w:val="2"/>
          </w:tcPr>
          <w:p>
            <w:pPr>
              <w:spacing w:after="0"/>
              <w:rPr>
                <w:sz w:val="20"/>
                <w:szCs w:val="20"/>
                <w:color w:val="auto"/>
              </w:rPr>
            </w:pPr>
            <w:r>
              <w:rPr>
                <w:rFonts w:ascii="Arial" w:cs="Arial" w:eastAsia="Arial" w:hAnsi="Arial"/>
                <w:sz w:val="18"/>
                <w:szCs w:val="18"/>
                <w:color w:val="auto"/>
              </w:rPr>
              <w:t>Common stock, 10,304,692 and 6,850,667 shares issued and outstanding, respectively.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r>
      <w:tr>
        <w:trPr>
          <w:trHeight w:val="217"/>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143,146,743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95,192,222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(517,645)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(1,313,000)</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1,223,913</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(2,977,051)</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256,391</w:t>
            </w: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144,093,126</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95,743,877</w:t>
            </w:r>
          </w:p>
        </w:tc>
        <w:tc>
          <w:tcPr>
            <w:tcW w:w="100" w:type="dxa"/>
            <w:vAlign w:val="bottom"/>
          </w:tcPr>
          <w:p>
            <w:pPr>
              <w:spacing w:after="0"/>
              <w:rPr>
                <w:sz w:val="20"/>
                <w:szCs w:val="20"/>
                <w:color w:val="auto"/>
              </w:rPr>
            </w:pPr>
          </w:p>
        </w:tc>
      </w:tr>
      <w:tr>
        <w:trPr>
          <w:trHeight w:val="216"/>
        </w:trPr>
        <w:tc>
          <w:tcPr>
            <w:tcW w:w="820" w:type="dxa"/>
            <w:vAlign w:val="bottom"/>
            <w:shd w:val="clear" w:color="auto" w:fill="CCEEFF"/>
          </w:tcPr>
          <w:p>
            <w:pPr>
              <w:spacing w:after="0"/>
              <w:rPr>
                <w:sz w:val="18"/>
                <w:szCs w:val="18"/>
                <w:color w:val="auto"/>
              </w:rPr>
            </w:pPr>
          </w:p>
        </w:tc>
        <w:tc>
          <w:tcPr>
            <w:tcW w:w="8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263,248,953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178,366,661</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r>
      <w:tr>
        <w:trPr>
          <w:trHeight w:val="20"/>
        </w:trPr>
        <w:tc>
          <w:tcPr>
            <w:tcW w:w="8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w w:val="95"/>
              </w:rPr>
              <w:t>Three Months Ended June 30,</w:t>
            </w:r>
          </w:p>
        </w:tc>
        <w:tc>
          <w:tcPr>
            <w:tcW w:w="80" w:type="dxa"/>
            <w:vAlign w:val="bottom"/>
          </w:tcPr>
          <w:p>
            <w:pPr>
              <w:spacing w:after="0"/>
              <w:rPr>
                <w:sz w:val="14"/>
                <w:szCs w:val="14"/>
                <w:color w:val="auto"/>
              </w:rPr>
            </w:pPr>
          </w:p>
        </w:tc>
        <w:tc>
          <w:tcPr>
            <w:tcW w:w="210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4,192,816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3,120,180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11,807,059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8,387,545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477,487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80,522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965,794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4,670,303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3,200,702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12,772,853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8,611,460</w:t>
            </w: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383,673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1,464,403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1,069,870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37,709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(117,536)</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1,017,929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expenses on the Credit Facility (See Note 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409,732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1,342,103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144,052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147,097</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452,876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956,400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Expenses before excise tax expense and amendment costs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1,423,372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1,077,709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5,233,711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3,568,668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Credit Facility amendment costs (See Note 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276,500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1,452,727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1,354,209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5,830,479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3,845,168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3,217,576</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1,846,493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6,942,374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4,766,292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1,659,391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217,718</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3,206,861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(3,309,840)</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(1,709,804)</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(3,233,442)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2,355,750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Facility (appreciation) depreciation (See Note 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880"/>
              <w:spacing w:after="0"/>
              <w:rPr>
                <w:sz w:val="20"/>
                <w:szCs w:val="20"/>
                <w:color w:val="auto"/>
              </w:rPr>
            </w:pPr>
            <w:r>
              <w:rPr>
                <w:rFonts w:ascii="Arial" w:cs="Arial" w:eastAsia="Arial" w:hAnsi="Arial"/>
                <w:sz w:val="18"/>
                <w:szCs w:val="18"/>
                <w:b w:val="1"/>
                <w:bCs w:val="1"/>
                <w:color w:val="auto"/>
                <w:w w:val="93"/>
              </w:rPr>
              <w:t>Net change in unrealized (depreciation) appreciation on investments and</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080"/>
              <w:spacing w:after="0"/>
              <w:rPr>
                <w:sz w:val="20"/>
                <w:szCs w:val="20"/>
                <w:color w:val="auto"/>
              </w:rPr>
            </w:pPr>
            <w:r>
              <w:rPr>
                <w:rFonts w:ascii="Arial" w:cs="Arial" w:eastAsia="Arial" w:hAnsi="Arial"/>
                <w:sz w:val="18"/>
                <w:szCs w:val="18"/>
                <w:b w:val="1"/>
                <w:bCs w:val="1"/>
                <w:color w:val="auto"/>
              </w:rPr>
              <w:t>Credit Facility</w:t>
            </w: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(3,309,840)</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(1,676,804)</w:t>
            </w: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(3,610,942)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2,627,750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 from investments and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(1,650,449)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(1,459,086)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(404,081)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1,567,127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387,407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6,538,293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8,017,647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0.86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6,942,374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4,766,292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3,206,861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623,605</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(3,233,442)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2,355,750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272,000</w:t>
            </w:r>
          </w:p>
        </w:tc>
        <w:tc>
          <w:tcPr>
            <w:tcW w:w="0" w:type="dxa"/>
            <w:vAlign w:val="bottom"/>
          </w:tcPr>
          <w:p>
            <w:pPr>
              <w:spacing w:after="0"/>
              <w:rPr>
                <w:sz w:val="1"/>
                <w:szCs w:val="1"/>
                <w:color w:val="auto"/>
              </w:rPr>
            </w:pPr>
          </w:p>
        </w:tc>
      </w:tr>
      <w:tr>
        <w:trPr>
          <w:trHeight w:val="230"/>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6,538,293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8,017,647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(6,147,019)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(4,589,945)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Public offering and distributions reinvested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48,357,975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from capital transactions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47,957,975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48,349,249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3,427,702</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95,743,877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144,093,126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95,499,807</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in excess of net investment income,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(517,645)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(1,216,181)</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public offering</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Shares issued from reinvestment of dividends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Nine Months Ended June 30,</w:t>
            </w:r>
          </w:p>
        </w:tc>
      </w:tr>
      <w:tr>
        <w:trPr>
          <w:trHeight w:val="142"/>
        </w:trPr>
        <w:tc>
          <w:tcPr>
            <w:tcW w:w="8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2013</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6,538,293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8,017,647</w:t>
            </w:r>
          </w:p>
        </w:tc>
      </w:tr>
      <w:tr>
        <w:trPr>
          <w:trHeight w:val="20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Adjustments to reconcile net increase in net assets resulting from operations to net cash used for operating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3,233,442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(2,355,750)</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(272,000)</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(3,206,861)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(623,605)</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(853,119)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(502,435)</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(198,297,678)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(99,875,195)</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Payments-in-kind interest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(211,887)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(93,404)</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120,656,091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57,033,401</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(289,794)</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(Increase) decrease in receivables for investments sold</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(3,247,899)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(85,795)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(118,687)</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27,157,500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7,078,630</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payable on Credit Facility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256,616</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124,032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117,241</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18,074</w:t>
            </w:r>
          </w:p>
        </w:tc>
      </w:tr>
      <w:tr>
        <w:trPr>
          <w:trHeight w:val="223"/>
        </w:trPr>
        <w:tc>
          <w:tcPr>
            <w:tcW w:w="8620" w:type="dxa"/>
            <w:vAlign w:val="bottom"/>
          </w:tcPr>
          <w:p>
            <w:pPr>
              <w:ind w:left="88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334,587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254,390</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(47,119,192)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(28,887,371)</w:t>
            </w:r>
          </w:p>
        </w:tc>
      </w:tr>
      <w:tr>
        <w:trPr>
          <w:trHeight w:val="222"/>
        </w:trPr>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sales load paid</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tcPr>
          <w:p>
            <w:pPr>
              <w:ind w:left="88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(5,735,436)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(4,521,440)</w:t>
            </w:r>
          </w:p>
        </w:tc>
      </w:tr>
      <w:tr>
        <w:trPr>
          <w:trHeight w:val="216"/>
        </w:trPr>
        <w:tc>
          <w:tcPr>
            <w:tcW w:w="8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Notes 5 and 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121,450,000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71,450,000</w:t>
            </w:r>
          </w:p>
        </w:tc>
      </w:tr>
      <w:tr>
        <w:trPr>
          <w:trHeight w:val="223"/>
        </w:trPr>
        <w:tc>
          <w:tcPr>
            <w:tcW w:w="862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Notes 5 and 9)</w:t>
            </w:r>
          </w:p>
        </w:tc>
        <w:tc>
          <w:tcPr>
            <w:tcW w:w="1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(111,350,000)</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(41,700,000)</w:t>
            </w:r>
          </w:p>
        </w:tc>
      </w:tr>
      <w:tr>
        <w:trPr>
          <w:trHeight w:val="216"/>
        </w:trPr>
        <w:tc>
          <w:tcPr>
            <w:tcW w:w="86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50,209,564</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25,228,560</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3,090,372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(3,658,811)</w:t>
            </w:r>
          </w:p>
        </w:tc>
      </w:tr>
      <w:tr>
        <w:trPr>
          <w:trHeight w:val="217"/>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3,845,803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6,936,175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3,328,639</w:t>
            </w:r>
          </w:p>
        </w:tc>
      </w:tr>
      <w:tr>
        <w:trPr>
          <w:trHeight w:val="20"/>
        </w:trPr>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1,353,513</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774,591</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ind w:left="440"/>
              <w:spacing w:after="0"/>
              <w:rPr>
                <w:sz w:val="20"/>
                <w:szCs w:val="20"/>
                <w:color w:val="auto"/>
              </w:rPr>
            </w:pPr>
            <w:r>
              <w:rPr>
                <w:rFonts w:ascii="Arial" w:cs="Arial" w:eastAsia="Arial" w:hAnsi="Arial"/>
                <w:sz w:val="18"/>
                <w:szCs w:val="18"/>
                <w:color w:val="auto"/>
              </w:rPr>
              <w:t>Dividends reinvested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Maturity</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Above</w:t>
            </w: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Par/</w:t>
            </w: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5"/>
        </w:trPr>
        <w:tc>
          <w:tcPr>
            <w:tcW w:w="35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40" w:type="dxa"/>
            <w:vAlign w:val="bottom"/>
            <w:gridSpan w:val="2"/>
            <w:vMerge w:val="continue"/>
          </w:tcPr>
          <w:p>
            <w:pPr>
              <w:spacing w:after="0"/>
              <w:rPr>
                <w:sz w:val="13"/>
                <w:szCs w:val="13"/>
                <w:color w:val="auto"/>
              </w:rPr>
            </w:pPr>
          </w:p>
        </w:tc>
        <w:tc>
          <w:tcPr>
            <w:tcW w:w="10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Coupon</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Shares</w:t>
            </w:r>
          </w:p>
        </w:tc>
        <w:tc>
          <w:tcPr>
            <w:tcW w:w="860" w:type="dxa"/>
            <w:vAlign w:val="bottom"/>
            <w:gridSpan w:val="2"/>
            <w:vMerge w:val="continue"/>
          </w:tcPr>
          <w:p>
            <w:pPr>
              <w:spacing w:after="0"/>
              <w:rPr>
                <w:sz w:val="13"/>
                <w:szCs w:val="13"/>
                <w:color w:val="auto"/>
              </w:rPr>
            </w:pPr>
          </w:p>
        </w:tc>
        <w:tc>
          <w:tcPr>
            <w:tcW w:w="640" w:type="dxa"/>
            <w:vAlign w:val="bottom"/>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top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6560" w:type="dxa"/>
            <w:vAlign w:val="bottom"/>
            <w:gridSpan w:val="6"/>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Companies—173.9% </w:t>
            </w:r>
            <w:r>
              <w:rPr>
                <w:rFonts w:ascii="Arial" w:cs="Arial" w:eastAsia="Arial" w:hAnsi="Arial"/>
                <w:sz w:val="17"/>
                <w:szCs w:val="17"/>
                <w:b w:val="1"/>
                <w:bCs w:val="1"/>
                <w:color w:val="auto"/>
                <w:vertAlign w:val="superscript"/>
              </w:rPr>
              <w:t>(3),(4)</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b w:val="1"/>
                <w:bCs w:val="1"/>
                <w:color w:val="auto"/>
              </w:rPr>
              <w:t>First Lien Secured Debt—158.6%</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AKA Diversified Holdings, Inc.</w:t>
            </w:r>
          </w:p>
        </w:tc>
        <w:tc>
          <w:tcPr>
            <w:tcW w:w="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2"/>
              </w:rPr>
              <w:t>12/21/2016</w:t>
            </w:r>
          </w:p>
        </w:tc>
        <w:tc>
          <w:tcPr>
            <w:tcW w:w="20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6"/>
              </w:rPr>
              <w:t>Retail</w:t>
            </w:r>
          </w:p>
        </w:tc>
        <w:tc>
          <w:tcPr>
            <w:tcW w:w="10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106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L+1,225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2,717,710</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9"/>
              </w:rPr>
              <w:t>$2,670,310</w:t>
            </w: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w w:val="90"/>
              </w:rPr>
              <w:t>$ 2,730,020</w:t>
            </w:r>
          </w:p>
        </w:tc>
        <w:tc>
          <w:tcPr>
            <w:tcW w:w="0" w:type="dxa"/>
            <w:vAlign w:val="bottom"/>
          </w:tcPr>
          <w:p>
            <w:pPr>
              <w:spacing w:after="0"/>
              <w:rPr>
                <w:sz w:val="1"/>
                <w:szCs w:val="1"/>
                <w:color w:val="auto"/>
              </w:rPr>
            </w:pPr>
          </w:p>
        </w:tc>
      </w:tr>
      <w:tr>
        <w:trPr>
          <w:trHeight w:val="173"/>
        </w:trPr>
        <w:tc>
          <w:tcPr>
            <w:tcW w:w="3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(a/k/a Z Wireless Holdings, Inc.)</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(PIK 1.50%)</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ALG USA Holdings, LLC</w:t>
            </w:r>
          </w:p>
        </w:tc>
        <w:tc>
          <w:tcPr>
            <w:tcW w:w="620" w:type="dxa"/>
            <w:vAlign w:val="bottom"/>
          </w:tcPr>
          <w:p>
            <w:pPr>
              <w:spacing w:after="0"/>
              <w:rPr>
                <w:sz w:val="20"/>
                <w:szCs w:val="20"/>
                <w:color w:val="auto"/>
              </w:rPr>
            </w:pPr>
            <w:r>
              <w:rPr>
                <w:rFonts w:ascii="Arial" w:cs="Arial" w:eastAsia="Arial" w:hAnsi="Arial"/>
                <w:sz w:val="13"/>
                <w:szCs w:val="13"/>
                <w:color w:val="auto"/>
                <w:w w:val="92"/>
              </w:rPr>
              <w:t>02/28/2019</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8,478,750</w:t>
            </w:r>
          </w:p>
        </w:tc>
        <w:tc>
          <w:tcPr>
            <w:tcW w:w="2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8,411,572</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8,436,356</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Alvogen Pharma US,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05/23/2018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1,980,048</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1,977,500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AMF Bowling Centers, Inc.</w:t>
            </w:r>
          </w:p>
        </w:tc>
        <w:tc>
          <w:tcPr>
            <w:tcW w:w="620" w:type="dxa"/>
            <w:vAlign w:val="bottom"/>
          </w:tcPr>
          <w:p>
            <w:pPr>
              <w:spacing w:after="0"/>
              <w:rPr>
                <w:sz w:val="20"/>
                <w:szCs w:val="20"/>
                <w:color w:val="auto"/>
              </w:rPr>
            </w:pPr>
            <w:r>
              <w:rPr>
                <w:rFonts w:ascii="Arial" w:cs="Arial" w:eastAsia="Arial" w:hAnsi="Arial"/>
                <w:sz w:val="13"/>
                <w:szCs w:val="13"/>
                <w:color w:val="auto"/>
                <w:w w:val="92"/>
              </w:rPr>
              <w:t>06/29/2018</w:t>
            </w:r>
          </w:p>
        </w:tc>
        <w:tc>
          <w:tcPr>
            <w:tcW w:w="200" w:type="dxa"/>
            <w:vAlign w:val="bottom"/>
          </w:tcPr>
          <w:p>
            <w:pPr>
              <w:spacing w:after="0"/>
              <w:rPr>
                <w:sz w:val="12"/>
                <w:szCs w:val="12"/>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Retail</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8.75%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L+750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8,000,000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7,760,000</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7,760,000</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ARC Automotive Group,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11/15/2018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8"/>
              </w:rPr>
              <w:t>Automotive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2,537,250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2,514,984</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2,544,651</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Aspen Dental Management, Inc.</w:t>
            </w:r>
          </w:p>
        </w:tc>
        <w:tc>
          <w:tcPr>
            <w:tcW w:w="620" w:type="dxa"/>
            <w:vAlign w:val="bottom"/>
          </w:tcPr>
          <w:p>
            <w:pPr>
              <w:spacing w:after="0"/>
              <w:rPr>
                <w:sz w:val="20"/>
                <w:szCs w:val="20"/>
                <w:color w:val="auto"/>
              </w:rPr>
            </w:pPr>
            <w:r>
              <w:rPr>
                <w:rFonts w:ascii="Arial" w:cs="Arial" w:eastAsia="Arial" w:hAnsi="Arial"/>
                <w:sz w:val="13"/>
                <w:szCs w:val="13"/>
                <w:color w:val="auto"/>
                <w:w w:val="92"/>
              </w:rPr>
              <w:t>10/06/2016</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Consumer Services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2,955,000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2,928,969</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2,844,187</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ATI Holdings,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12/20/2019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L+450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2,985,000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2,957,250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2,988,731</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Attachmate Corporation</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11/22/2017</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High Tech Industries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7.27%</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2,775,000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2,731,151</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2,775,000</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07/31/2017</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8"/>
              </w:rPr>
              <w:t>Automotive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964,483</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962,051</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946,801</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BBB Industries, LLC</w:t>
            </w:r>
          </w:p>
        </w:tc>
        <w:tc>
          <w:tcPr>
            <w:tcW w:w="620" w:type="dxa"/>
            <w:vAlign w:val="bottom"/>
          </w:tcPr>
          <w:p>
            <w:pPr>
              <w:spacing w:after="0"/>
              <w:rPr>
                <w:sz w:val="20"/>
                <w:szCs w:val="20"/>
                <w:color w:val="auto"/>
              </w:rPr>
            </w:pPr>
            <w:r>
              <w:rPr>
                <w:rFonts w:ascii="Arial" w:cs="Arial" w:eastAsia="Arial" w:hAnsi="Arial"/>
                <w:sz w:val="13"/>
                <w:szCs w:val="13"/>
                <w:color w:val="auto"/>
                <w:w w:val="92"/>
              </w:rPr>
              <w:t>03/27/2019</w:t>
            </w:r>
          </w:p>
        </w:tc>
        <w:tc>
          <w:tcPr>
            <w:tcW w:w="200" w:type="dxa"/>
            <w:vAlign w:val="bottom"/>
          </w:tcPr>
          <w:p>
            <w:pPr>
              <w:spacing w:after="0"/>
              <w:rPr>
                <w:sz w:val="12"/>
                <w:szCs w:val="12"/>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Automotive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5.50%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L+425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2,962,500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2,938,980</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2,958,797</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BBTS Borrower LP</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06/04/2019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Energy: Oil and Gas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L+650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6,982,500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6,913,161</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6,938,859</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CBAC Borrower, LLC</w:t>
            </w:r>
          </w:p>
        </w:tc>
        <w:tc>
          <w:tcPr>
            <w:tcW w:w="620" w:type="dxa"/>
            <w:vAlign w:val="bottom"/>
          </w:tcPr>
          <w:p>
            <w:pPr>
              <w:spacing w:after="0"/>
              <w:rPr>
                <w:sz w:val="20"/>
                <w:szCs w:val="20"/>
                <w:color w:val="auto"/>
              </w:rPr>
            </w:pPr>
            <w:r>
              <w:rPr>
                <w:rFonts w:ascii="Arial" w:cs="Arial" w:eastAsia="Arial" w:hAnsi="Arial"/>
                <w:sz w:val="13"/>
                <w:szCs w:val="13"/>
                <w:color w:val="auto"/>
                <w:w w:val="92"/>
              </w:rPr>
              <w:t>07/02/2020</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8.25%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L+700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5,000,000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4,950,000</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5,062,500</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Charlotte Russe, Inc. </w:t>
            </w:r>
            <w:r>
              <w:rPr>
                <w:rFonts w:ascii="Arial" w:cs="Arial" w:eastAsia="Arial" w:hAnsi="Arial"/>
                <w:sz w:val="17"/>
                <w:szCs w:val="17"/>
                <w:color w:val="auto"/>
                <w:vertAlign w:val="superscript"/>
              </w:rPr>
              <w:t>(8)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05/22/2019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6"/>
              </w:rPr>
              <w:t>Retail</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990,178</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990,000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DCS Business Services, Inc.</w:t>
            </w:r>
          </w:p>
        </w:tc>
        <w:tc>
          <w:tcPr>
            <w:tcW w:w="620" w:type="dxa"/>
            <w:vAlign w:val="bottom"/>
          </w:tcPr>
          <w:p>
            <w:pPr>
              <w:spacing w:after="0"/>
              <w:rPr>
                <w:sz w:val="20"/>
                <w:szCs w:val="20"/>
                <w:color w:val="auto"/>
              </w:rPr>
            </w:pPr>
            <w:r>
              <w:rPr>
                <w:rFonts w:ascii="Arial" w:cs="Arial" w:eastAsia="Arial" w:hAnsi="Arial"/>
                <w:sz w:val="13"/>
                <w:szCs w:val="13"/>
                <w:color w:val="auto"/>
                <w:w w:val="92"/>
              </w:rPr>
              <w:t>03/19/2018</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7.25%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3,612,201</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3,560,664</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3,558,018</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12/03/2018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L+425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966,117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958,929</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963,702</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DS Waters of America, Inc.</w:t>
            </w:r>
          </w:p>
        </w:tc>
        <w:tc>
          <w:tcPr>
            <w:tcW w:w="620" w:type="dxa"/>
            <w:vAlign w:val="bottom"/>
          </w:tcPr>
          <w:p>
            <w:pPr>
              <w:spacing w:after="0"/>
              <w:rPr>
                <w:sz w:val="20"/>
                <w:szCs w:val="20"/>
                <w:color w:val="auto"/>
              </w:rPr>
            </w:pPr>
            <w:r>
              <w:rPr>
                <w:rFonts w:ascii="Arial" w:cs="Arial" w:eastAsia="Arial" w:hAnsi="Arial"/>
                <w:sz w:val="13"/>
                <w:szCs w:val="13"/>
                <w:color w:val="auto"/>
                <w:w w:val="92"/>
              </w:rPr>
              <w:t>08/29/2017</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Beverage, Food and Tobacco</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10.50%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L+900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3,935,000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3,871,074</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3,969,431</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EAG,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07/28/2017</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6.75%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P+350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913,149</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909,840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910,866</w:t>
            </w:r>
          </w:p>
        </w:tc>
        <w:tc>
          <w:tcPr>
            <w:tcW w:w="0" w:type="dxa"/>
            <w:vAlign w:val="bottom"/>
          </w:tcPr>
          <w:p>
            <w:pPr>
              <w:spacing w:after="0"/>
              <w:rPr>
                <w:sz w:val="1"/>
                <w:szCs w:val="1"/>
                <w:color w:val="auto"/>
              </w:rPr>
            </w:pPr>
          </w:p>
        </w:tc>
      </w:tr>
      <w:tr>
        <w:trPr>
          <w:trHeight w:val="138"/>
        </w:trPr>
        <w:tc>
          <w:tcPr>
            <w:tcW w:w="3500" w:type="dxa"/>
            <w:vAlign w:val="bottom"/>
            <w:gridSpan w:val="2"/>
          </w:tcPr>
          <w:p>
            <w:pPr>
              <w:spacing w:after="0" w:line="138" w:lineRule="exact"/>
              <w:rPr>
                <w:sz w:val="20"/>
                <w:szCs w:val="20"/>
                <w:color w:val="auto"/>
              </w:rPr>
            </w:pPr>
            <w:r>
              <w:rPr>
                <w:rFonts w:ascii="Arial" w:cs="Arial" w:eastAsia="Arial" w:hAnsi="Arial"/>
                <w:sz w:val="13"/>
                <w:szCs w:val="13"/>
                <w:color w:val="auto"/>
              </w:rPr>
              <w:t>Edmenturn, Inc.</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05/17/2018</w:t>
            </w:r>
          </w:p>
        </w:tc>
        <w:tc>
          <w:tcPr>
            <w:tcW w:w="200" w:type="dxa"/>
            <w:vAlign w:val="bottom"/>
          </w:tcPr>
          <w:p>
            <w:pPr>
              <w:spacing w:after="0"/>
              <w:rPr>
                <w:sz w:val="11"/>
                <w:szCs w:val="11"/>
                <w:color w:val="auto"/>
              </w:rPr>
            </w:pPr>
          </w:p>
        </w:tc>
        <w:tc>
          <w:tcPr>
            <w:tcW w:w="22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6.00%</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L+475</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950,625</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950,625</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950,625</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Subscription</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11/12/2019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High Tech Industries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1,990,000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1,972,136</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1,999,950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Emerald Performance Materials, LLC</w:t>
            </w:r>
          </w:p>
        </w:tc>
        <w:tc>
          <w:tcPr>
            <w:tcW w:w="620" w:type="dxa"/>
            <w:vAlign w:val="bottom"/>
          </w:tcPr>
          <w:p>
            <w:pPr>
              <w:spacing w:after="0"/>
              <w:rPr>
                <w:sz w:val="20"/>
                <w:szCs w:val="20"/>
                <w:color w:val="auto"/>
              </w:rPr>
            </w:pPr>
            <w:r>
              <w:rPr>
                <w:rFonts w:ascii="Arial" w:cs="Arial" w:eastAsia="Arial" w:hAnsi="Arial"/>
                <w:sz w:val="13"/>
                <w:szCs w:val="13"/>
                <w:color w:val="auto"/>
                <w:w w:val="92"/>
              </w:rPr>
              <w:t>05/18/2018</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6.75%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2,476,244</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2,456,884</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2,470,054</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05/02/2018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L+475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2,977,538</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2,963,028</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2,977,537</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Fishnet Security,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11/30/2017</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High Tech Industries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L+650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3,656,625</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3,631,095</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3,656,625</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GFA Brands,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07/02/2018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Beverage, Food and Tobacco</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1,935,000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1,902,550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1,942,256</w:t>
            </w:r>
          </w:p>
        </w:tc>
        <w:tc>
          <w:tcPr>
            <w:tcW w:w="0" w:type="dxa"/>
            <w:vAlign w:val="bottom"/>
          </w:tcPr>
          <w:p>
            <w:pPr>
              <w:spacing w:after="0"/>
              <w:rPr>
                <w:sz w:val="1"/>
                <w:szCs w:val="1"/>
                <w:color w:val="auto"/>
              </w:rPr>
            </w:pPr>
          </w:p>
        </w:tc>
      </w:tr>
      <w:tr>
        <w:trPr>
          <w:trHeight w:val="138"/>
        </w:trPr>
        <w:tc>
          <w:tcPr>
            <w:tcW w:w="3500" w:type="dxa"/>
            <w:vAlign w:val="bottom"/>
            <w:gridSpan w:val="2"/>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05/23/2018</w:t>
            </w:r>
          </w:p>
        </w:tc>
        <w:tc>
          <w:tcPr>
            <w:tcW w:w="200" w:type="dxa"/>
            <w:vAlign w:val="bottom"/>
          </w:tcPr>
          <w:p>
            <w:pPr>
              <w:spacing w:after="0"/>
              <w:rPr>
                <w:sz w:val="11"/>
                <w:szCs w:val="11"/>
                <w:color w:val="auto"/>
              </w:rPr>
            </w:pPr>
          </w:p>
        </w:tc>
        <w:tc>
          <w:tcPr>
            <w:tcW w:w="22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4"/>
              </w:rPr>
              <w:t>Media: Broadcasting and</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6.75%</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L+550</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2,992,500</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2,985,035</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3,007,462</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Subscription</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09/02/2019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9.63%</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3,285,000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05/27/2016</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Environmental Industries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2,941,857</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2,932,779</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2,919,794</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Help/Systems Holdings,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06/28/2019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High Tech Industries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L+450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4,950,000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HMK Intermediate Holdings LLC</w:t>
            </w:r>
          </w:p>
        </w:tc>
        <w:tc>
          <w:tcPr>
            <w:tcW w:w="620" w:type="dxa"/>
            <w:vAlign w:val="bottom"/>
          </w:tcPr>
          <w:p>
            <w:pPr>
              <w:spacing w:after="0"/>
              <w:rPr>
                <w:sz w:val="20"/>
                <w:szCs w:val="20"/>
                <w:color w:val="auto"/>
              </w:rPr>
            </w:pPr>
            <w:r>
              <w:rPr>
                <w:rFonts w:ascii="Arial" w:cs="Arial" w:eastAsia="Arial" w:hAnsi="Arial"/>
                <w:sz w:val="13"/>
                <w:szCs w:val="13"/>
                <w:color w:val="auto"/>
                <w:w w:val="92"/>
              </w:rPr>
              <w:t>04/01/2019</w:t>
            </w:r>
          </w:p>
        </w:tc>
        <w:tc>
          <w:tcPr>
            <w:tcW w:w="200" w:type="dxa"/>
            <w:vAlign w:val="bottom"/>
          </w:tcPr>
          <w:p>
            <w:pPr>
              <w:spacing w:after="0"/>
              <w:rPr>
                <w:sz w:val="12"/>
                <w:szCs w:val="12"/>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Retail</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5.75%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L+450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2,962,500</w:t>
            </w:r>
          </w:p>
        </w:tc>
        <w:tc>
          <w:tcPr>
            <w:tcW w:w="2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2,911,471</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2,969,906</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08/03/2017</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Wholesale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2,592,540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2,562,226</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2,566,614</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620" w:type="dxa"/>
            <w:vAlign w:val="bottom"/>
          </w:tcPr>
          <w:p>
            <w:pPr>
              <w:spacing w:after="0"/>
              <w:rPr>
                <w:sz w:val="20"/>
                <w:szCs w:val="20"/>
                <w:color w:val="auto"/>
              </w:rPr>
            </w:pPr>
            <w:r>
              <w:rPr>
                <w:rFonts w:ascii="Arial" w:cs="Arial" w:eastAsia="Arial" w:hAnsi="Arial"/>
                <w:sz w:val="13"/>
                <w:szCs w:val="13"/>
                <w:color w:val="auto"/>
                <w:w w:val="92"/>
              </w:rPr>
              <w:t>03/30/2017</w:t>
            </w:r>
          </w:p>
        </w:tc>
        <w:tc>
          <w:tcPr>
            <w:tcW w:w="200" w:type="dxa"/>
            <w:vAlign w:val="bottom"/>
          </w:tcPr>
          <w:p>
            <w:pPr>
              <w:spacing w:after="0"/>
              <w:rPr>
                <w:sz w:val="12"/>
                <w:szCs w:val="12"/>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Automotive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11.50%</w:t>
            </w:r>
          </w:p>
        </w:tc>
        <w:tc>
          <w:tcPr>
            <w:tcW w:w="106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1,968,051</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2,190,000</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05/01/2019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L+600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9,000,000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8,848,361</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8,842,500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Ikaria Acquisition Inc.</w:t>
            </w:r>
          </w:p>
        </w:tc>
        <w:tc>
          <w:tcPr>
            <w:tcW w:w="620" w:type="dxa"/>
            <w:vAlign w:val="bottom"/>
          </w:tcPr>
          <w:p>
            <w:pPr>
              <w:spacing w:after="0"/>
              <w:rPr>
                <w:sz w:val="20"/>
                <w:szCs w:val="20"/>
                <w:color w:val="auto"/>
              </w:rPr>
            </w:pPr>
            <w:r>
              <w:rPr>
                <w:rFonts w:ascii="Arial" w:cs="Arial" w:eastAsia="Arial" w:hAnsi="Arial"/>
                <w:sz w:val="13"/>
                <w:szCs w:val="13"/>
                <w:color w:val="auto"/>
                <w:w w:val="92"/>
              </w:rPr>
              <w:t>09/25/2017</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L+650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1,687,250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1,678,814</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1,678,814</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InfuSystem Holdings,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11/30/2016</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P+625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2,175,000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2,175,000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2,185,683</w:t>
            </w:r>
          </w:p>
        </w:tc>
        <w:tc>
          <w:tcPr>
            <w:tcW w:w="0" w:type="dxa"/>
            <w:vAlign w:val="bottom"/>
          </w:tcPr>
          <w:p>
            <w:pPr>
              <w:spacing w:after="0"/>
              <w:rPr>
                <w:sz w:val="1"/>
                <w:szCs w:val="1"/>
                <w:color w:val="auto"/>
              </w:rPr>
            </w:pPr>
          </w:p>
        </w:tc>
      </w:tr>
      <w:tr>
        <w:trPr>
          <w:trHeight w:val="138"/>
        </w:trPr>
        <w:tc>
          <w:tcPr>
            <w:tcW w:w="3500" w:type="dxa"/>
            <w:vAlign w:val="bottom"/>
            <w:gridSpan w:val="2"/>
          </w:tcPr>
          <w:p>
            <w:pPr>
              <w:spacing w:after="0" w:line="138" w:lineRule="exact"/>
              <w:rPr>
                <w:sz w:val="20"/>
                <w:szCs w:val="20"/>
                <w:color w:val="auto"/>
              </w:rPr>
            </w:pPr>
            <w:r>
              <w:rPr>
                <w:rFonts w:ascii="Arial" w:cs="Arial" w:eastAsia="Arial" w:hAnsi="Arial"/>
                <w:sz w:val="13"/>
                <w:szCs w:val="13"/>
                <w:color w:val="auto"/>
              </w:rPr>
              <w:t>Instant Web, Inc.</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08/07/2014</w:t>
            </w:r>
          </w:p>
        </w:tc>
        <w:tc>
          <w:tcPr>
            <w:tcW w:w="200" w:type="dxa"/>
            <w:vAlign w:val="bottom"/>
          </w:tcPr>
          <w:p>
            <w:pPr>
              <w:spacing w:after="0"/>
              <w:rPr>
                <w:sz w:val="11"/>
                <w:szCs w:val="11"/>
                <w:color w:val="auto"/>
              </w:rPr>
            </w:pPr>
          </w:p>
        </w:tc>
        <w:tc>
          <w:tcPr>
            <w:tcW w:w="22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3.57%</w:t>
            </w:r>
            <w:r>
              <w:rPr>
                <w:rFonts w:ascii="Arial" w:cs="Arial" w:eastAsia="Arial" w:hAnsi="Arial"/>
                <w:sz w:val="15"/>
                <w:szCs w:val="15"/>
                <w:color w:val="auto"/>
                <w:vertAlign w:val="superscript"/>
              </w:rPr>
              <w:t>(9)</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L+338</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6,836,508</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6,659,730</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4,802,647</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Jackson Hewitt Tax Service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10/16/2017</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Consumer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L+850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3,293,750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3,176,610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3,186,703</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K2 Pure Solutions NoCal, L.P.</w:t>
            </w:r>
          </w:p>
        </w:tc>
        <w:tc>
          <w:tcPr>
            <w:tcW w:w="620" w:type="dxa"/>
            <w:vAlign w:val="bottom"/>
          </w:tcPr>
          <w:p>
            <w:pPr>
              <w:spacing w:after="0"/>
              <w:rPr>
                <w:sz w:val="20"/>
                <w:szCs w:val="20"/>
                <w:color w:val="auto"/>
              </w:rPr>
            </w:pPr>
            <w:r>
              <w:rPr>
                <w:rFonts w:ascii="Arial" w:cs="Arial" w:eastAsia="Arial" w:hAnsi="Arial"/>
                <w:sz w:val="13"/>
                <w:szCs w:val="13"/>
                <w:color w:val="auto"/>
                <w:w w:val="92"/>
              </w:rPr>
              <w:t>09/10/2015</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Chemicals, Plastics and Rubber</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10.50%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P+725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5,895,141</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5,930,326</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5,806,714</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LifeCare Holdings LLC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11/30/2018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6,000,000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5,911,128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5,865,000</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Lineage Logistics, LLC</w:t>
            </w:r>
          </w:p>
        </w:tc>
        <w:tc>
          <w:tcPr>
            <w:tcW w:w="620" w:type="dxa"/>
            <w:vAlign w:val="bottom"/>
          </w:tcPr>
          <w:p>
            <w:pPr>
              <w:spacing w:after="0"/>
              <w:rPr>
                <w:sz w:val="20"/>
                <w:szCs w:val="20"/>
                <w:color w:val="auto"/>
              </w:rPr>
            </w:pPr>
            <w:r>
              <w:rPr>
                <w:rFonts w:ascii="Arial" w:cs="Arial" w:eastAsia="Arial" w:hAnsi="Arial"/>
                <w:sz w:val="13"/>
                <w:szCs w:val="13"/>
                <w:color w:val="auto"/>
                <w:w w:val="92"/>
              </w:rPr>
              <w:t>04/26/2019</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Beverage, Food and Tobacco</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4.50%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L+350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5,000,000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4,975,805</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4,978,125</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Meritas Schools Holdings, LLC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06/25/2019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Consumer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2,970,047</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2,998,125</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Milk Specialties Company</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11/09/2018</w:t>
            </w:r>
          </w:p>
        </w:tc>
        <w:tc>
          <w:tcPr>
            <w:tcW w:w="200" w:type="dxa"/>
            <w:vAlign w:val="bottom"/>
          </w:tcPr>
          <w:p>
            <w:pPr>
              <w:spacing w:after="0"/>
              <w:rPr>
                <w:sz w:val="12"/>
                <w:szCs w:val="12"/>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Consumer Goods: Non-Durable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3,391,500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3,361,772</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3,408,458</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05/07/2018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6"/>
              </w:rPr>
              <w:t>Media: Diversified and Production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2,354,516</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2,350,291</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2,350,984</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MX USA, Inc.</w:t>
            </w:r>
          </w:p>
        </w:tc>
        <w:tc>
          <w:tcPr>
            <w:tcW w:w="620" w:type="dxa"/>
            <w:vAlign w:val="bottom"/>
          </w:tcPr>
          <w:p>
            <w:pPr>
              <w:spacing w:after="0"/>
              <w:rPr>
                <w:sz w:val="20"/>
                <w:szCs w:val="20"/>
                <w:color w:val="auto"/>
              </w:rPr>
            </w:pPr>
            <w:r>
              <w:rPr>
                <w:rFonts w:ascii="Arial" w:cs="Arial" w:eastAsia="Arial" w:hAnsi="Arial"/>
                <w:sz w:val="13"/>
                <w:szCs w:val="13"/>
                <w:color w:val="auto"/>
                <w:w w:val="92"/>
              </w:rPr>
              <w:t>05/01/2017</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6.50%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2,960,964</w:t>
            </w:r>
          </w:p>
        </w:tc>
        <w:tc>
          <w:tcPr>
            <w:tcW w:w="2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2,925,114</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2,960,964</w:t>
            </w:r>
          </w:p>
        </w:tc>
        <w:tc>
          <w:tcPr>
            <w:tcW w:w="0" w:type="dxa"/>
            <w:vAlign w:val="bottom"/>
          </w:tcPr>
          <w:p>
            <w:pPr>
              <w:spacing w:after="0"/>
              <w:rPr>
                <w:sz w:val="1"/>
                <w:szCs w:val="1"/>
                <w:color w:val="auto"/>
              </w:rPr>
            </w:pPr>
          </w:p>
        </w:tc>
      </w:tr>
      <w:tr>
        <w:trPr>
          <w:trHeight w:val="138"/>
        </w:trPr>
        <w:tc>
          <w:tcPr>
            <w:tcW w:w="35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3060" w:type="dxa"/>
            <w:vAlign w:val="bottom"/>
            <w:gridSpan w:val="4"/>
            <w:shd w:val="clear" w:color="auto" w:fill="CCEEFF"/>
          </w:tcPr>
          <w:p>
            <w:pPr>
              <w:spacing w:after="0" w:line="138" w:lineRule="exact"/>
              <w:rPr>
                <w:sz w:val="20"/>
                <w:szCs w:val="20"/>
                <w:color w:val="auto"/>
              </w:rPr>
            </w:pPr>
            <w:r>
              <w:rPr>
                <w:rFonts w:ascii="Arial" w:cs="Arial" w:eastAsia="Arial" w:hAnsi="Arial"/>
                <w:sz w:val="13"/>
                <w:szCs w:val="13"/>
                <w:color w:val="auto"/>
              </w:rPr>
              <w:t>04/24/2018   Banking, Finance, Insurance and Real</w:t>
            </w:r>
          </w:p>
        </w:tc>
        <w:tc>
          <w:tcPr>
            <w:tcW w:w="106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946,500</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934,857</w:t>
            </w: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948,866</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Estate</w:t>
            </w:r>
          </w:p>
        </w:tc>
        <w:tc>
          <w:tcPr>
            <w:tcW w:w="5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Northfield Park Associates LLC</w:t>
            </w:r>
          </w:p>
        </w:tc>
        <w:tc>
          <w:tcPr>
            <w:tcW w:w="620" w:type="dxa"/>
            <w:vAlign w:val="bottom"/>
          </w:tcPr>
          <w:p>
            <w:pPr>
              <w:spacing w:after="0"/>
              <w:rPr>
                <w:sz w:val="20"/>
                <w:szCs w:val="20"/>
                <w:color w:val="auto"/>
              </w:rPr>
            </w:pPr>
            <w:r>
              <w:rPr>
                <w:rFonts w:ascii="Arial" w:cs="Arial" w:eastAsia="Arial" w:hAnsi="Arial"/>
                <w:sz w:val="13"/>
                <w:szCs w:val="13"/>
                <w:color w:val="auto"/>
                <w:w w:val="92"/>
              </w:rPr>
              <w:t>12/19/2018</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9.00%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L+775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4,500,000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4,416,217</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4,623,750</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03/25/2019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Transportation: Consumer</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L+475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4,010,000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Packaging Coordinators, Inc.</w:t>
            </w:r>
          </w:p>
        </w:tc>
        <w:tc>
          <w:tcPr>
            <w:tcW w:w="620" w:type="dxa"/>
            <w:vAlign w:val="bottom"/>
          </w:tcPr>
          <w:p>
            <w:pPr>
              <w:spacing w:after="0"/>
              <w:rPr>
                <w:sz w:val="20"/>
                <w:szCs w:val="20"/>
                <w:color w:val="auto"/>
              </w:rPr>
            </w:pPr>
            <w:r>
              <w:rPr>
                <w:rFonts w:ascii="Arial" w:cs="Arial" w:eastAsia="Arial" w:hAnsi="Arial"/>
                <w:sz w:val="13"/>
                <w:szCs w:val="13"/>
                <w:color w:val="auto"/>
                <w:w w:val="92"/>
              </w:rPr>
              <w:t>05/15/2020</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5.50%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L+425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2,500,000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2,487,614</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07/11/2018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Containers, Packaging and Glass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1,485,000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1,460,059</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1,485,000</w:t>
            </w:r>
          </w:p>
        </w:tc>
        <w:tc>
          <w:tcPr>
            <w:tcW w:w="0" w:type="dxa"/>
            <w:vAlign w:val="bottom"/>
          </w:tcPr>
          <w:p>
            <w:pPr>
              <w:spacing w:after="0"/>
              <w:rPr>
                <w:sz w:val="1"/>
                <w:szCs w:val="1"/>
                <w:color w:val="auto"/>
              </w:rPr>
            </w:pPr>
          </w:p>
        </w:tc>
      </w:tr>
      <w:tr>
        <w:trPr>
          <w:trHeight w:val="138"/>
        </w:trPr>
        <w:tc>
          <w:tcPr>
            <w:tcW w:w="350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Penton Media, Inc. </w:t>
            </w:r>
            <w:r>
              <w:rPr>
                <w:rFonts w:ascii="Arial" w:cs="Arial" w:eastAsia="Arial" w:hAnsi="Arial"/>
                <w:sz w:val="15"/>
                <w:szCs w:val="15"/>
                <w:color w:val="auto"/>
                <w:vertAlign w:val="superscript"/>
              </w:rPr>
              <w:t>(8)</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08/01/2014</w:t>
            </w:r>
          </w:p>
        </w:tc>
        <w:tc>
          <w:tcPr>
            <w:tcW w:w="200" w:type="dxa"/>
            <w:vAlign w:val="bottom"/>
          </w:tcPr>
          <w:p>
            <w:pPr>
              <w:spacing w:after="0"/>
              <w:rPr>
                <w:sz w:val="11"/>
                <w:szCs w:val="11"/>
                <w:color w:val="auto"/>
              </w:rPr>
            </w:pPr>
          </w:p>
        </w:tc>
        <w:tc>
          <w:tcPr>
            <w:tcW w:w="22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6.00%</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L+500</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5,509,179</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5,182,543</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5,247,493</w:t>
            </w: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(PIK 2.00%)</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Polyconcept Finance B.V.</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06/28/2019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4"/>
              </w:rPr>
              <w:t>Consumer Goods: Non-Durable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P+375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8,000,000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7,920,000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7,800,000</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Premier Dental Services,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11/01/2018</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Consumer Services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8.25%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L+700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3,383,000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3,291,106</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3,399,915</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11/29/2016</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Hotel, Gaming and Leisure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L+875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4,250,000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4,177,840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4,175,625</w:t>
            </w:r>
          </w:p>
        </w:tc>
        <w:tc>
          <w:tcPr>
            <w:tcW w:w="0" w:type="dxa"/>
            <w:vAlign w:val="bottom"/>
          </w:tcPr>
          <w:p>
            <w:pPr>
              <w:spacing w:after="0"/>
              <w:rPr>
                <w:sz w:val="1"/>
                <w:szCs w:val="1"/>
                <w:color w:val="auto"/>
              </w:rPr>
            </w:pPr>
          </w:p>
        </w:tc>
      </w:tr>
      <w:tr>
        <w:trPr>
          <w:trHeight w:val="148"/>
        </w:trPr>
        <w:tc>
          <w:tcPr>
            <w:tcW w:w="3500" w:type="dxa"/>
            <w:vAlign w:val="bottom"/>
            <w:gridSpan w:val="2"/>
          </w:tcPr>
          <w:p>
            <w:pPr>
              <w:spacing w:after="0"/>
              <w:rPr>
                <w:sz w:val="20"/>
                <w:szCs w:val="20"/>
                <w:color w:val="auto"/>
              </w:rPr>
            </w:pPr>
            <w:r>
              <w:rPr>
                <w:rFonts w:ascii="Arial" w:cs="Arial" w:eastAsia="Arial" w:hAnsi="Arial"/>
                <w:sz w:val="13"/>
                <w:szCs w:val="13"/>
                <w:color w:val="auto"/>
              </w:rPr>
              <w:t>Sabre Industries, Inc.</w:t>
            </w:r>
          </w:p>
        </w:tc>
        <w:tc>
          <w:tcPr>
            <w:tcW w:w="620" w:type="dxa"/>
            <w:vAlign w:val="bottom"/>
          </w:tcPr>
          <w:p>
            <w:pPr>
              <w:spacing w:after="0"/>
              <w:rPr>
                <w:sz w:val="20"/>
                <w:szCs w:val="20"/>
                <w:color w:val="auto"/>
              </w:rPr>
            </w:pPr>
            <w:r>
              <w:rPr>
                <w:rFonts w:ascii="Arial" w:cs="Arial" w:eastAsia="Arial" w:hAnsi="Arial"/>
                <w:sz w:val="13"/>
                <w:szCs w:val="13"/>
                <w:color w:val="auto"/>
                <w:w w:val="92"/>
              </w:rPr>
              <w:t>08/24/2018</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Construction and Building</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5.75%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L+475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2,985,000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2,945,873</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2,983,134</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Holdings, Inc. </w:t>
            </w:r>
            <w:r>
              <w:rPr>
                <w:rFonts w:ascii="Arial" w:cs="Arial" w:eastAsia="Arial" w:hAnsi="Arial"/>
                <w:sz w:val="17"/>
                <w:szCs w:val="17"/>
                <w:color w:val="auto"/>
                <w:vertAlign w:val="superscript"/>
              </w:rPr>
              <w:t>(8)</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04/30/2020</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Telecommunications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L+350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1,980,571</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1,978,750</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Sotera Defense Solutions, Inc.</w:t>
            </w:r>
          </w:p>
        </w:tc>
        <w:tc>
          <w:tcPr>
            <w:tcW w:w="620" w:type="dxa"/>
            <w:vAlign w:val="bottom"/>
          </w:tcPr>
          <w:p>
            <w:pPr>
              <w:spacing w:after="0"/>
              <w:rPr>
                <w:sz w:val="20"/>
                <w:szCs w:val="20"/>
                <w:color w:val="auto"/>
              </w:rPr>
            </w:pPr>
            <w:r>
              <w:rPr>
                <w:rFonts w:ascii="Arial" w:cs="Arial" w:eastAsia="Arial" w:hAnsi="Arial"/>
                <w:sz w:val="13"/>
                <w:szCs w:val="13"/>
                <w:color w:val="auto"/>
                <w:w w:val="92"/>
              </w:rPr>
              <w:t>04/21/2017</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Aerospace and Defense</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7.50%</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L+600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2,765,755</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2,746,298</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2,689,697</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 George’s University Scholastic Services LLC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12/20/2017</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Consumer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L+700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2,422,500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2,379,019</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2,425,528</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Steward Health Care System LLC </w:t>
            </w:r>
            <w:r>
              <w:rPr>
                <w:rFonts w:ascii="Arial" w:cs="Arial" w:eastAsia="Arial" w:hAnsi="Arial"/>
                <w:sz w:val="17"/>
                <w:szCs w:val="17"/>
                <w:color w:val="auto"/>
                <w:vertAlign w:val="superscript"/>
              </w:rPr>
              <w:t>(8)</w:t>
            </w:r>
          </w:p>
        </w:tc>
        <w:tc>
          <w:tcPr>
            <w:tcW w:w="620" w:type="dxa"/>
            <w:vAlign w:val="bottom"/>
          </w:tcPr>
          <w:p>
            <w:pPr>
              <w:spacing w:after="0"/>
              <w:rPr>
                <w:sz w:val="20"/>
                <w:szCs w:val="20"/>
                <w:color w:val="auto"/>
              </w:rPr>
            </w:pPr>
            <w:r>
              <w:rPr>
                <w:rFonts w:ascii="Arial" w:cs="Arial" w:eastAsia="Arial" w:hAnsi="Arial"/>
                <w:sz w:val="13"/>
                <w:szCs w:val="13"/>
                <w:color w:val="auto"/>
                <w:w w:val="92"/>
              </w:rPr>
              <w:t>04/13/2020</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6.75%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L+550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1,980,663</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2,010,000</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03/06/2019</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Business Services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L+600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968,700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982,563</w:t>
            </w:r>
          </w:p>
        </w:tc>
        <w:tc>
          <w:tcPr>
            <w:tcW w:w="0" w:type="dxa"/>
            <w:vAlign w:val="bottom"/>
          </w:tcPr>
          <w:p>
            <w:pPr>
              <w:spacing w:after="0"/>
              <w:rPr>
                <w:sz w:val="1"/>
                <w:szCs w:val="1"/>
                <w:color w:val="auto"/>
              </w:rPr>
            </w:pPr>
          </w:p>
        </w:tc>
      </w:tr>
      <w:tr>
        <w:trPr>
          <w:trHeight w:val="138"/>
        </w:trPr>
        <w:tc>
          <w:tcPr>
            <w:tcW w:w="3500" w:type="dxa"/>
            <w:vAlign w:val="bottom"/>
            <w:gridSpan w:val="2"/>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620" w:type="dxa"/>
            <w:vAlign w:val="bottom"/>
          </w:tcPr>
          <w:p>
            <w:pPr>
              <w:spacing w:after="0" w:line="138" w:lineRule="exact"/>
              <w:rPr>
                <w:sz w:val="20"/>
                <w:szCs w:val="20"/>
                <w:color w:val="auto"/>
              </w:rPr>
            </w:pPr>
            <w:r>
              <w:rPr>
                <w:rFonts w:ascii="Arial" w:cs="Arial" w:eastAsia="Arial" w:hAnsi="Arial"/>
                <w:sz w:val="13"/>
                <w:szCs w:val="13"/>
                <w:color w:val="auto"/>
                <w:w w:val="92"/>
              </w:rPr>
              <w:t>05/31/2018</w:t>
            </w:r>
          </w:p>
        </w:tc>
        <w:tc>
          <w:tcPr>
            <w:tcW w:w="200" w:type="dxa"/>
            <w:vAlign w:val="bottom"/>
          </w:tcPr>
          <w:p>
            <w:pPr>
              <w:spacing w:after="0"/>
              <w:rPr>
                <w:sz w:val="11"/>
                <w:szCs w:val="11"/>
                <w:color w:val="auto"/>
              </w:rPr>
            </w:pPr>
          </w:p>
        </w:tc>
        <w:tc>
          <w:tcPr>
            <w:tcW w:w="22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60" w:type="dxa"/>
            <w:vAlign w:val="bottom"/>
            <w:gridSpan w:val="2"/>
          </w:tcPr>
          <w:p>
            <w:pPr>
              <w:jc w:val="right"/>
              <w:ind w:right="360"/>
              <w:spacing w:after="0" w:line="138" w:lineRule="exact"/>
              <w:rPr>
                <w:sz w:val="20"/>
                <w:szCs w:val="20"/>
                <w:color w:val="auto"/>
              </w:rPr>
            </w:pPr>
            <w:r>
              <w:rPr>
                <w:rFonts w:ascii="Arial" w:cs="Arial" w:eastAsia="Arial" w:hAnsi="Arial"/>
                <w:sz w:val="13"/>
                <w:szCs w:val="13"/>
                <w:color w:val="auto"/>
              </w:rPr>
              <w:t>6.00%</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L+475</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w w:val="96"/>
              </w:rPr>
              <w:t>4,500,000</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3"/>
                <w:szCs w:val="13"/>
                <w:color w:val="auto"/>
              </w:rPr>
              <w:t>4,455,703</w:t>
            </w:r>
          </w:p>
        </w:tc>
        <w:tc>
          <w:tcPr>
            <w:tcW w:w="260" w:type="dxa"/>
            <w:vAlign w:val="bottom"/>
          </w:tcPr>
          <w:p>
            <w:pPr>
              <w:spacing w:after="0"/>
              <w:rPr>
                <w:sz w:val="11"/>
                <w:szCs w:val="11"/>
                <w:color w:val="auto"/>
              </w:rPr>
            </w:pP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Publishing</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Therakos, Inc.</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12/27/2017</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Healthcare and Pharmaceuticals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L+625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2,985,000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2,901,936</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2,977,538</w:t>
            </w:r>
          </w:p>
        </w:tc>
        <w:tc>
          <w:tcPr>
            <w:tcW w:w="0" w:type="dxa"/>
            <w:vAlign w:val="bottom"/>
          </w:tcPr>
          <w:p>
            <w:pPr>
              <w:spacing w:after="0"/>
              <w:rPr>
                <w:sz w:val="1"/>
                <w:szCs w:val="1"/>
                <w:color w:val="auto"/>
              </w:rPr>
            </w:pPr>
          </w:p>
        </w:tc>
      </w:t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Travelport LLC</w:t>
            </w:r>
          </w:p>
        </w:tc>
        <w:tc>
          <w:tcPr>
            <w:tcW w:w="620" w:type="dxa"/>
            <w:vAlign w:val="bottom"/>
          </w:tcPr>
          <w:p>
            <w:pPr>
              <w:spacing w:after="0"/>
              <w:rPr>
                <w:sz w:val="20"/>
                <w:szCs w:val="20"/>
                <w:color w:val="auto"/>
              </w:rPr>
            </w:pPr>
            <w:r>
              <w:rPr>
                <w:rFonts w:ascii="Arial" w:cs="Arial" w:eastAsia="Arial" w:hAnsi="Arial"/>
                <w:sz w:val="13"/>
                <w:szCs w:val="13"/>
                <w:color w:val="auto"/>
                <w:w w:val="92"/>
              </w:rPr>
              <w:t>06/26/2019</w:t>
            </w:r>
          </w:p>
        </w:tc>
        <w:tc>
          <w:tcPr>
            <w:tcW w:w="200" w:type="dxa"/>
            <w:vAlign w:val="bottom"/>
          </w:tcPr>
          <w:p>
            <w:pPr>
              <w:spacing w:after="0"/>
              <w:rPr>
                <w:sz w:val="12"/>
                <w:szCs w:val="12"/>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Transportation: Consumer</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6.25%</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color w:val="auto"/>
              </w:rPr>
              <w:t>L+500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6,000,000</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5,910,129</w:t>
            </w:r>
          </w:p>
        </w:tc>
        <w:tc>
          <w:tcPr>
            <w:tcW w:w="2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5,925,000</w:t>
            </w: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TriNet HR Corporation</w:t>
            </w: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w w:val="92"/>
              </w:rPr>
              <w:t>10/24/2018</w:t>
            </w:r>
          </w:p>
        </w:tc>
        <w:tc>
          <w:tcPr>
            <w:tcW w:w="2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High Tech Industries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L+525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1,994,992</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1,994,992</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1,990,005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459"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0"/>
              </w:rPr>
              <w:t>Above</w:t>
            </w:r>
          </w:p>
        </w:tc>
        <w:tc>
          <w:tcPr>
            <w:tcW w:w="740" w:type="dxa"/>
            <w:vAlign w:val="bottom"/>
            <w:gridSpan w:val="2"/>
          </w:tcPr>
          <w:p>
            <w:pPr>
              <w:jc w:val="right"/>
              <w:ind w:right="320"/>
              <w:spacing w:after="0" w:line="134"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22"/>
                <w:szCs w:val="22"/>
                <w:b w:val="1"/>
                <w:bCs w:val="1"/>
                <w:color w:val="auto"/>
                <w:w w:val="90"/>
                <w:vertAlign w:val="superscript"/>
              </w:rPr>
              <w:t>(2)</w:t>
            </w:r>
          </w:p>
        </w:tc>
        <w:tc>
          <w:tcPr>
            <w:tcW w:w="8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80" w:type="dxa"/>
            <w:vAlign w:val="bottom"/>
            <w:tcBorders>
              <w:bottom w:val="single" w:sz="8" w:color="CCEEFF"/>
            </w:tcBorders>
          </w:tcPr>
          <w:p>
            <w:pPr>
              <w:spacing w:after="0"/>
              <w:rPr>
                <w:sz w:val="15"/>
                <w:szCs w:val="15"/>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Coupon</w:t>
            </w:r>
          </w:p>
        </w:tc>
        <w:tc>
          <w:tcPr>
            <w:tcW w:w="3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spacing w:after="0" w:line="142"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6"/>
                <w:szCs w:val="16"/>
                <w:color w:val="auto"/>
                <w:vertAlign w:val="superscript"/>
              </w:rPr>
              <w:t>(8)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04/16/2018</w:t>
            </w:r>
          </w:p>
        </w:tc>
        <w:tc>
          <w:tcPr>
            <w:tcW w:w="80" w:type="dxa"/>
            <w:vAlign w:val="bottom"/>
            <w:shd w:val="clear" w:color="auto" w:fill="CCEEFF"/>
          </w:tcPr>
          <w:p>
            <w:pPr>
              <w:spacing w:after="0"/>
              <w:rPr>
                <w:sz w:val="12"/>
                <w:szCs w:val="12"/>
                <w:color w:val="auto"/>
              </w:rPr>
            </w:pPr>
          </w:p>
        </w:tc>
        <w:tc>
          <w:tcPr>
            <w:tcW w:w="32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Telecommunications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11.75%</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P+850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2,009,957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1,961,916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1,839,110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06/19/2017</w:t>
            </w:r>
          </w:p>
        </w:tc>
        <w:tc>
          <w:tcPr>
            <w:tcW w:w="80" w:type="dxa"/>
            <w:vAlign w:val="bottom"/>
          </w:tcPr>
          <w:p>
            <w:pPr>
              <w:spacing w:after="0"/>
              <w:rPr>
                <w:sz w:val="12"/>
                <w:szCs w:val="12"/>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6.50%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2,940,363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2,918,979</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2,822,749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Viamedia Services Corp.</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04/19/2016</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Media: Advertising, Printing and Publishing</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3,491,833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3,463,776</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3,491,833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12/22/2016</w:t>
            </w:r>
          </w:p>
        </w:tc>
        <w:tc>
          <w:tcPr>
            <w:tcW w:w="80" w:type="dxa"/>
            <w:vAlign w:val="bottom"/>
          </w:tcPr>
          <w:p>
            <w:pPr>
              <w:spacing w:after="0"/>
              <w:rPr>
                <w:sz w:val="12"/>
                <w:szCs w:val="12"/>
                <w:color w:val="auto"/>
              </w:rPr>
            </w:pPr>
          </w:p>
        </w:tc>
        <w:tc>
          <w:tcPr>
            <w:tcW w:w="33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Business Services</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7.75%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P+450</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2,947,500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2,927,091</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1,915,875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Water Pik,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08/10/2017</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L+525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3,363,750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3,356,481</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3,355,341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08/30/2018</w:t>
            </w:r>
          </w:p>
        </w:tc>
        <w:tc>
          <w:tcPr>
            <w:tcW w:w="80" w:type="dxa"/>
            <w:vAlign w:val="bottom"/>
          </w:tcPr>
          <w:p>
            <w:pPr>
              <w:spacing w:after="0"/>
              <w:rPr>
                <w:sz w:val="12"/>
                <w:szCs w:val="12"/>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L+625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3,272,500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3,217,620</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3,256,138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YP LLC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06/04/2018</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6"/>
              </w:rPr>
              <w:t>Media: Advertising, Printing and Publishing</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L+675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5,985,000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5,836,762</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5,910,188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229,974,784</w:t>
            </w: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w w:val="96"/>
              </w:rPr>
              <w:t>228,527,557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Second Lien Secured Debt—9.2% </w:t>
            </w:r>
            <w:r>
              <w:rPr>
                <w:rFonts w:ascii="Arial" w:cs="Arial" w:eastAsia="Arial" w:hAnsi="Arial"/>
                <w:sz w:val="17"/>
                <w:szCs w:val="17"/>
                <w:b w:val="1"/>
                <w:bCs w:val="1"/>
                <w:color w:val="auto"/>
                <w:vertAlign w:val="superscript"/>
              </w:rPr>
              <w:t>(8)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09/01/2017</w:t>
            </w:r>
          </w:p>
        </w:tc>
        <w:tc>
          <w:tcPr>
            <w:tcW w:w="80" w:type="dxa"/>
            <w:vAlign w:val="bottom"/>
          </w:tcPr>
          <w:p>
            <w:pPr>
              <w:spacing w:after="0"/>
              <w:rPr>
                <w:sz w:val="12"/>
                <w:szCs w:val="12"/>
                <w:color w:val="auto"/>
              </w:rPr>
            </w:pPr>
          </w:p>
        </w:tc>
        <w:tc>
          <w:tcPr>
            <w:tcW w:w="334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Metals and Mining</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11.50%</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3,157,500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10/23/2019</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Energy: Oil and Gas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L+975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1,906,607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1,860,066</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1,939,973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3"/>
                <w:szCs w:val="13"/>
                <w:color w:val="auto"/>
              </w:rPr>
              <w:t>Cannery Casino Resorts, LLC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10/02/2019</w:t>
            </w:r>
          </w:p>
        </w:tc>
        <w:tc>
          <w:tcPr>
            <w:tcW w:w="80" w:type="dxa"/>
            <w:vAlign w:val="bottom"/>
          </w:tcPr>
          <w:p>
            <w:pPr>
              <w:spacing w:after="0"/>
              <w:rPr>
                <w:sz w:val="12"/>
                <w:szCs w:val="12"/>
                <w:color w:val="auto"/>
              </w:rPr>
            </w:pPr>
          </w:p>
        </w:tc>
        <w:tc>
          <w:tcPr>
            <w:tcW w:w="33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10.00%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L+875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1,700,000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1,670,556</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1,610,750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05/15/2018</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Energy: Oil and Gas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8.63%</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2,000,000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3"/>
                <w:szCs w:val="13"/>
                <w:color w:val="auto"/>
              </w:rPr>
              <w:t>Language Line, LLC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12/20/2016</w:t>
            </w:r>
          </w:p>
        </w:tc>
        <w:tc>
          <w:tcPr>
            <w:tcW w:w="80" w:type="dxa"/>
            <w:vAlign w:val="bottom"/>
          </w:tcPr>
          <w:p>
            <w:pPr>
              <w:spacing w:after="0"/>
              <w:rPr>
                <w:sz w:val="12"/>
                <w:szCs w:val="12"/>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10.50%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L+875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2,955,000</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2,942,499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05/15/2019</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4"/>
              </w:rPr>
              <w:t>Hotel, Gaming and Leisure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9.13%</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1,500,000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12,985,622</w:t>
            </w: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13,160,722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Subordinated Debt/Corporate Notes—6.0% </w:t>
            </w:r>
            <w:r>
              <w:rPr>
                <w:rFonts w:ascii="Arial" w:cs="Arial" w:eastAsia="Arial" w:hAnsi="Arial"/>
                <w:sz w:val="17"/>
                <w:szCs w:val="17"/>
                <w:b w:val="1"/>
                <w:bCs w:val="1"/>
                <w:color w:val="auto"/>
                <w:vertAlign w:val="superscript"/>
              </w:rPr>
              <w:t>(8)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3"/>
                <w:szCs w:val="13"/>
                <w:color w:val="auto"/>
              </w:rPr>
              <w:t>Affinion Group Holdings,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11/15/2015</w:t>
            </w:r>
          </w:p>
        </w:tc>
        <w:tc>
          <w:tcPr>
            <w:tcW w:w="80" w:type="dxa"/>
            <w:vAlign w:val="bottom"/>
          </w:tcPr>
          <w:p>
            <w:pPr>
              <w:spacing w:after="0"/>
              <w:rPr>
                <w:sz w:val="12"/>
                <w:szCs w:val="12"/>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11.63%</w:t>
            </w: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w w:val="96"/>
              </w:rPr>
              <w:t>4,100,000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3,851,875</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2,050,000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Infonet,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10/26/2018</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5"/>
              </w:rPr>
              <w:t>High Tech Industries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12.25%</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1,987,500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1,948,498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1,989,416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gridSpan w:val="2"/>
          </w:tcPr>
          <w:p>
            <w:pPr>
              <w:spacing w:after="0" w:line="138" w:lineRule="exact"/>
              <w:rPr>
                <w:sz w:val="20"/>
                <w:szCs w:val="20"/>
                <w:color w:val="auto"/>
              </w:rPr>
            </w:pPr>
            <w:r>
              <w:rPr>
                <w:rFonts w:ascii="Arial" w:cs="Arial" w:eastAsia="Arial" w:hAnsi="Arial"/>
                <w:sz w:val="13"/>
                <w:szCs w:val="13"/>
                <w:color w:val="auto"/>
              </w:rPr>
              <w:t>Varel International Energy Mezzanine Funding</w:t>
            </w:r>
          </w:p>
        </w:tc>
        <w:tc>
          <w:tcPr>
            <w:tcW w:w="640" w:type="dxa"/>
            <w:vAlign w:val="bottom"/>
          </w:tcPr>
          <w:p>
            <w:pPr>
              <w:jc w:val="center"/>
              <w:spacing w:after="0" w:line="138" w:lineRule="exact"/>
              <w:rPr>
                <w:sz w:val="20"/>
                <w:szCs w:val="20"/>
                <w:color w:val="auto"/>
              </w:rPr>
            </w:pPr>
            <w:r>
              <w:rPr>
                <w:rFonts w:ascii="Arial" w:cs="Arial" w:eastAsia="Arial" w:hAnsi="Arial"/>
                <w:sz w:val="13"/>
                <w:szCs w:val="13"/>
                <w:color w:val="auto"/>
                <w:w w:val="92"/>
              </w:rPr>
              <w:t>01/15/2018</w:t>
            </w:r>
          </w:p>
        </w:tc>
        <w:tc>
          <w:tcPr>
            <w:tcW w:w="80" w:type="dxa"/>
            <w:vAlign w:val="bottom"/>
          </w:tcPr>
          <w:p>
            <w:pPr>
              <w:spacing w:after="0"/>
              <w:rPr>
                <w:sz w:val="11"/>
                <w:szCs w:val="11"/>
                <w:color w:val="auto"/>
              </w:rPr>
            </w:pPr>
          </w:p>
        </w:tc>
        <w:tc>
          <w:tcPr>
            <w:tcW w:w="334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Energy: Oil and Gas</w:t>
            </w:r>
          </w:p>
        </w:tc>
        <w:tc>
          <w:tcPr>
            <w:tcW w:w="9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14.00%</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6"/>
              </w:rPr>
              <w:t>1,792,215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1,759,659</w:t>
            </w: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1,771,822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20" w:type="dxa"/>
            <w:vAlign w:val="bottom"/>
            <w:gridSpan w:val="2"/>
          </w:tcPr>
          <w:p>
            <w:pPr>
              <w:ind w:left="220"/>
              <w:spacing w:after="0"/>
              <w:rPr>
                <w:sz w:val="20"/>
                <w:szCs w:val="20"/>
                <w:color w:val="auto"/>
              </w:rPr>
            </w:pPr>
            <w:r>
              <w:rPr>
                <w:rFonts w:ascii="Arial" w:cs="Arial" w:eastAsia="Arial" w:hAnsi="Arial"/>
                <w:sz w:val="13"/>
                <w:szCs w:val="13"/>
                <w:color w:val="auto"/>
              </w:rPr>
              <w:t>Corp.</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color w:val="auto"/>
              </w:rPr>
              <w:t>(PIK 4.00%)</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Vestcom International,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06/27/2019</w:t>
            </w:r>
          </w:p>
        </w:tc>
        <w:tc>
          <w:tcPr>
            <w:tcW w:w="8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Media: Advertising, Printing and Publishing</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12.00%</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6"/>
              </w:rPr>
              <w:t>2,859,027</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2,804,358</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2,836,907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10,364,390</w:t>
            </w: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8,648,145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Equity—0.1% </w:t>
            </w:r>
            <w:r>
              <w:rPr>
                <w:rFonts w:ascii="Arial" w:cs="Arial" w:eastAsia="Arial" w:hAnsi="Arial"/>
                <w:sz w:val="17"/>
                <w:szCs w:val="17"/>
                <w:b w:val="1"/>
                <w:bCs w:val="1"/>
                <w:color w:val="auto"/>
                <w:vertAlign w:val="superscript"/>
              </w:rPr>
              <w:t>(7), (8)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gridSpan w:val="2"/>
          </w:tcPr>
          <w:p>
            <w:pPr>
              <w:spacing w:after="0" w:line="138" w:lineRule="exact"/>
              <w:rPr>
                <w:sz w:val="20"/>
                <w:szCs w:val="20"/>
                <w:color w:val="auto"/>
              </w:rPr>
            </w:pPr>
            <w:r>
              <w:rPr>
                <w:rFonts w:ascii="Arial" w:cs="Arial" w:eastAsia="Arial" w:hAnsi="Arial"/>
                <w:sz w:val="13"/>
                <w:szCs w:val="13"/>
                <w:color w:val="auto"/>
              </w:rPr>
              <w:t>Vestcom Parent Holdings, Inc. (Vestcom</w:t>
            </w:r>
          </w:p>
        </w:tc>
        <w:tc>
          <w:tcPr>
            <w:tcW w:w="72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334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7"/>
              </w:rPr>
              <w:t>Media: Advertising, Printing and Publishing</w:t>
            </w:r>
          </w:p>
        </w:tc>
        <w:tc>
          <w:tcPr>
            <w:tcW w:w="90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15,179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166,667</w:t>
            </w: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177,988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ind w:left="220"/>
              <w:spacing w:after="0"/>
              <w:rPr>
                <w:sz w:val="20"/>
                <w:szCs w:val="20"/>
                <w:color w:val="auto"/>
              </w:rPr>
            </w:pPr>
            <w:r>
              <w:rPr>
                <w:rFonts w:ascii="Arial" w:cs="Arial" w:eastAsia="Arial" w:hAnsi="Arial"/>
                <w:sz w:val="13"/>
                <w:szCs w:val="13"/>
                <w:color w:val="auto"/>
              </w:rPr>
              <w:t>International, Inc.)</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8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253,491,463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6"/>
              </w:rPr>
              <w:t>250,514,412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Equivalents—4.8%</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BlackRock Liquidity Funds,</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5,187,667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5,187,667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Temp Cash, Institutional Shares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20" w:type="dxa"/>
            <w:vAlign w:val="bottom"/>
            <w:gridSpan w:val="2"/>
          </w:tcPr>
          <w:p>
            <w:pPr>
              <w:spacing w:after="0" w:line="138" w:lineRule="exact"/>
              <w:rPr>
                <w:sz w:val="20"/>
                <w:szCs w:val="20"/>
                <w:color w:val="auto"/>
              </w:rPr>
            </w:pPr>
            <w:r>
              <w:rPr>
                <w:rFonts w:ascii="Arial" w:cs="Arial" w:eastAsia="Arial" w:hAnsi="Arial"/>
                <w:sz w:val="13"/>
                <w:szCs w:val="13"/>
                <w:color w:val="auto"/>
              </w:rPr>
              <w:t>BlackRock Liquidity Funds,</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1,748,508</w:t>
            </w: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1,748,508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820" w:type="dxa"/>
            <w:vAlign w:val="bottom"/>
            <w:gridSpan w:val="2"/>
          </w:tcPr>
          <w:p>
            <w:pPr>
              <w:ind w:left="220"/>
              <w:spacing w:after="0"/>
              <w:rPr>
                <w:sz w:val="20"/>
                <w:szCs w:val="20"/>
                <w:color w:val="auto"/>
              </w:rPr>
            </w:pPr>
            <w:r>
              <w:rPr>
                <w:rFonts w:ascii="Arial" w:cs="Arial" w:eastAsia="Arial" w:hAnsi="Arial"/>
                <w:sz w:val="13"/>
                <w:szCs w:val="13"/>
                <w:color w:val="auto"/>
              </w:rPr>
              <w:t>Temp Fund, Institutional Shares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Cash Equivalents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6,936,175</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6,936,175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40" w:type="dxa"/>
            <w:vAlign w:val="bottom"/>
            <w:gridSpan w:val="4"/>
          </w:tcPr>
          <w:p>
            <w:pPr>
              <w:spacing w:after="0"/>
              <w:rPr>
                <w:sz w:val="20"/>
                <w:szCs w:val="20"/>
                <w:color w:val="auto"/>
              </w:rPr>
            </w:pPr>
            <w:r>
              <w:rPr>
                <w:rFonts w:ascii="Arial" w:cs="Arial" w:eastAsia="Arial" w:hAnsi="Arial"/>
                <w:sz w:val="13"/>
                <w:szCs w:val="13"/>
                <w:b w:val="1"/>
                <w:bCs w:val="1"/>
                <w:color w:val="auto"/>
              </w:rPr>
              <w:t>Total Investments and Cash Equivalents—178.7%</w:t>
            </w: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260,427,638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w w:val="96"/>
              </w:rPr>
              <w:t>257,450,587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99"/>
              </w:rPr>
              <w:t>Liabilities in Excess of Other Assets—(78.7)%</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w w:val="91"/>
              </w:rPr>
              <w:t>(113,357,461)</w:t>
            </w: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3"/>
                <w:szCs w:val="13"/>
                <w:b w:val="1"/>
                <w:bCs w:val="1"/>
                <w:color w:val="auto"/>
              </w:rPr>
              <w:t>Net Assets—100.0%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w w:val="96"/>
              </w:rPr>
              <w:t>144,093,126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18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10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vMerge w:val="restart"/>
          </w:tcPr>
          <w:p>
            <w:pPr>
              <w:jc w:val="center"/>
              <w:ind w:left="413"/>
              <w:spacing w:after="0"/>
              <w:rPr>
                <w:sz w:val="20"/>
                <w:szCs w:val="20"/>
                <w:color w:val="auto"/>
              </w:rPr>
            </w:pPr>
            <w:r>
              <w:rPr>
                <w:rFonts w:ascii="Arial" w:cs="Arial" w:eastAsia="Arial" w:hAnsi="Arial"/>
                <w:sz w:val="13"/>
                <w:szCs w:val="13"/>
                <w:b w:val="1"/>
                <w:bCs w:val="1"/>
                <w:color w:val="auto"/>
              </w:rPr>
              <w:t>Maturity</w:t>
            </w:r>
          </w:p>
        </w:tc>
        <w:tc>
          <w:tcPr>
            <w:tcW w:w="2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Current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Above</w:t>
            </w:r>
          </w:p>
        </w:tc>
        <w:tc>
          <w:tcPr>
            <w:tcW w:w="900" w:type="dxa"/>
            <w:vAlign w:val="bottom"/>
          </w:tcPr>
          <w:p>
            <w:pPr>
              <w:jc w:val="right"/>
              <w:ind w:right="313"/>
              <w:spacing w:after="0"/>
              <w:rPr>
                <w:sz w:val="20"/>
                <w:szCs w:val="20"/>
                <w:color w:val="auto"/>
              </w:rPr>
            </w:pPr>
            <w:r>
              <w:rPr>
                <w:rFonts w:ascii="Arial" w:cs="Arial" w:eastAsia="Arial" w:hAnsi="Arial"/>
                <w:sz w:val="13"/>
                <w:szCs w:val="13"/>
                <w:b w:val="1"/>
                <w:bCs w:val="1"/>
                <w:color w:val="auto"/>
              </w:rPr>
              <w:t>Par/</w:t>
            </w:r>
          </w:p>
        </w:tc>
        <w:tc>
          <w:tcPr>
            <w:tcW w:w="20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2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Coupon</w:t>
            </w:r>
          </w:p>
        </w:tc>
        <w:tc>
          <w:tcPr>
            <w:tcW w:w="9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24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Companies—179.5%</w:t>
            </w:r>
            <w:r>
              <w:rPr>
                <w:rFonts w:ascii="Arial" w:cs="Arial" w:eastAsia="Arial" w:hAnsi="Arial"/>
                <w:sz w:val="17"/>
                <w:szCs w:val="17"/>
                <w:b w:val="1"/>
                <w:bCs w:val="1"/>
                <w:color w:val="auto"/>
                <w:vertAlign w:val="superscript"/>
              </w:rPr>
              <w:t>(3),(4)</w:t>
            </w:r>
          </w:p>
        </w:tc>
        <w:tc>
          <w:tcPr>
            <w:tcW w:w="10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b w:val="1"/>
                <w:bCs w:val="1"/>
                <w:color w:val="auto"/>
              </w:rPr>
              <w:t>First Lien Secured Debt—156.9%</w:t>
            </w:r>
          </w:p>
        </w:tc>
        <w:tc>
          <w:tcPr>
            <w:tcW w:w="1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Airvana Network Solutions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03/25/2015</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L+800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214,286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214,838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214,018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Archipelago Learning, Inc.</w:t>
            </w:r>
          </w:p>
        </w:tc>
        <w:tc>
          <w:tcPr>
            <w:tcW w:w="132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2"/>
              </w:rPr>
              <w:t>05/17/2018</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7.50%</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L+600</w:t>
            </w:r>
          </w:p>
        </w:tc>
        <w:tc>
          <w:tcPr>
            <w:tcW w:w="9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987,500</w:t>
            </w:r>
          </w:p>
        </w:tc>
        <w:tc>
          <w:tcPr>
            <w:tcW w:w="92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959,574</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987,500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Aspen Dental Management,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10/06/2016</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2,977,500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2,937,079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2,962,613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Attachmate Corporation</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11/22/2017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2,943,750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2,888,381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2,960,309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07/31/2017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985,747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987,525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Blue Coat Systems,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02/15/2018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3,975,000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3,902,979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4,014,750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C.H.I. Overhead Doors,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08/17/2017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Consumer Goods: Durable</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3,866,119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3,801,408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3,859,675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03/19/2018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3,733,125</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3,673,063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3,677,128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12/01/2016</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981,827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987,525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DS Waters of America,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08/29/2017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10.50%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L+900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3,980,000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3,904,846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4,109,350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EAG,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07/28/2017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P+350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950,104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946,081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945,353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EIG Investors Corp.</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04/20/2018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L+625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3,990,000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3,952,867</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4,009,950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Emerald Performance Materials, LLC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05/18/2018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1,995,000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1,975,762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2,004,975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eResearchtechnology,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05/02/2018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8.00%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3,000,000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2,884,003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2,962,500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Fundtech (US FT HOLDCO,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11/30/2017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2,977,500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2,898,672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2,977,500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GFA Brands,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07/02/2018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2"/>
              </w:rPr>
              <w:t>Beverage, Food and Tobacco</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1,995,000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1,956,496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2,012,456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09/02/2019</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9.63%</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3,120,000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Gundle/SLT Environmental,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05/27/2016</w:t>
            </w: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2,956,829</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2,933,351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2,934,653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Healogics, Inc. (f/k/a National Healing Corp.)</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11/30/2017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4,962,500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4,742,008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4,925,281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HMK Intermediate Holdings LLC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04/01/2019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L+600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2,985,000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2,929,228</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2,992,463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Howard Berger Co. LLC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08/03/2017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Wholesale</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2,743,125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2,702,953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2,715,694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03/30/2017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11.50%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2,000,000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1,963,159</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2,125,000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Ikaria Acquisition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06/22/2016</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1,700,000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1,691,500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1,649,000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Instant Web, Inc.</w:t>
            </w:r>
          </w:p>
        </w:tc>
        <w:tc>
          <w:tcPr>
            <w:tcW w:w="132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2"/>
              </w:rPr>
              <w:t>08/07/2014</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20" w:type="dxa"/>
            <w:vAlign w:val="bottom"/>
          </w:tcPr>
          <w:p>
            <w:pPr>
              <w:jc w:val="right"/>
              <w:ind w:right="3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L+338</w:t>
            </w:r>
          </w:p>
        </w:tc>
        <w:tc>
          <w:tcPr>
            <w:tcW w:w="9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6,836,508</w:t>
            </w:r>
          </w:p>
        </w:tc>
        <w:tc>
          <w:tcPr>
            <w:tcW w:w="92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6,534,349</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5,247,020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K2 Pure Solutions NoCal, L.P.</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09/10/2015</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5,476,250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5,512,699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5,558,394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06/02/2014</w:t>
            </w:r>
          </w:p>
        </w:tc>
        <w:tc>
          <w:tcPr>
            <w:tcW w:w="214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8.50%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L+700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4,937,500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4,845,282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4,863,438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Medpace Intermediateco,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06/19/2017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1,844,649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1,821,373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1,766,252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MModal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08/16/2019</w:t>
            </w:r>
          </w:p>
        </w:tc>
        <w:tc>
          <w:tcPr>
            <w:tcW w:w="214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6.75%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3,400,000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3,349,374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3,351,125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05/07/2018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Media: Diversified and Production</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3,950,000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3,916,596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3,921,611</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12/23/2016</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8.50%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L+700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2,887,500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2,826,368</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2,887,500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MX USA, Inc. and KAN-DI-KI, LLC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05/01/2017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L+525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2,985,000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2,943,607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2,955,150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NAB Holdings, LLC</w:t>
            </w:r>
          </w:p>
        </w:tc>
        <w:tc>
          <w:tcPr>
            <w:tcW w:w="132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2"/>
              </w:rPr>
              <w:t>04/24/2018</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3"/>
              </w:rPr>
              <w:t>Banking, Finance, Insurance and</w:t>
            </w:r>
          </w:p>
        </w:tc>
        <w:tc>
          <w:tcPr>
            <w:tcW w:w="10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987,500</w:t>
            </w:r>
          </w:p>
        </w:tc>
        <w:tc>
          <w:tcPr>
            <w:tcW w:w="92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973,817</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997,375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color w:val="auto"/>
                <w:w w:val="89"/>
              </w:rPr>
              <w:t>Real Estate</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07/11/2018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1,496,250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1,467,389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1,492,509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32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2"/>
              </w:rPr>
              <w:t>08/01/2014</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Diversified and Production</w:t>
            </w:r>
          </w:p>
        </w:tc>
        <w:tc>
          <w:tcPr>
            <w:tcW w:w="10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5.00%</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L+400</w:t>
            </w:r>
          </w:p>
        </w:tc>
        <w:tc>
          <w:tcPr>
            <w:tcW w:w="9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5,497,407</w:t>
            </w:r>
          </w:p>
        </w:tc>
        <w:tc>
          <w:tcPr>
            <w:tcW w:w="92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4,931,995</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4,439,156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20" w:type="dxa"/>
            <w:vAlign w:val="bottom"/>
          </w:tcPr>
          <w:p>
            <w:pPr>
              <w:ind w:left="140"/>
              <w:spacing w:after="0"/>
              <w:rPr>
                <w:sz w:val="20"/>
                <w:szCs w:val="20"/>
                <w:color w:val="auto"/>
              </w:rPr>
            </w:pPr>
            <w:r>
              <w:rPr>
                <w:rFonts w:ascii="Arial" w:cs="Arial" w:eastAsia="Arial" w:hAnsi="Arial"/>
                <w:sz w:val="13"/>
                <w:szCs w:val="13"/>
                <w:color w:val="auto"/>
              </w:rPr>
              <w:t>(PIK 1.00%)</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Potter’s Holdings II, L.P.</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05/08/2017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Containers, Packaging and Glass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1,975,000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1,958,715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1,967,594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Pro Mach,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07/06/2017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5"/>
              </w:rPr>
              <w:t>Capital Equipment</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978,077</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970,036</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967,889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Renaissance Learning, Inc.</w:t>
            </w:r>
          </w:p>
        </w:tc>
        <w:tc>
          <w:tcPr>
            <w:tcW w:w="1320" w:type="dxa"/>
            <w:vAlign w:val="bottom"/>
            <w:shd w:val="clear" w:color="auto" w:fill="CCEEFF"/>
          </w:tcPr>
          <w:p>
            <w:pPr>
              <w:jc w:val="center"/>
              <w:ind w:left="413"/>
              <w:spacing w:after="0" w:line="138" w:lineRule="exact"/>
              <w:rPr>
                <w:sz w:val="20"/>
                <w:szCs w:val="20"/>
                <w:color w:val="auto"/>
              </w:rPr>
            </w:pPr>
            <w:r>
              <w:rPr>
                <w:rFonts w:ascii="Arial" w:cs="Arial" w:eastAsia="Arial" w:hAnsi="Arial"/>
                <w:sz w:val="13"/>
                <w:szCs w:val="13"/>
                <w:color w:val="auto"/>
                <w:w w:val="92"/>
              </w:rPr>
              <w:t>10/19/2017</w:t>
            </w: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2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7.75%</w:t>
            </w:r>
          </w:p>
        </w:tc>
        <w:tc>
          <w:tcPr>
            <w:tcW w:w="90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L+625</w:t>
            </w:r>
          </w:p>
        </w:tc>
        <w:tc>
          <w:tcPr>
            <w:tcW w:w="90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1,980,000</w:t>
            </w:r>
          </w:p>
        </w:tc>
        <w:tc>
          <w:tcPr>
            <w:tcW w:w="92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1,909,788</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1,994,850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10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Rocket Software,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02/08/2018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3,970,000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3,898,141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3,970,000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08/24/2018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3,000,000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2,955,509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2,973,126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Securus Technologies,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05/31/2017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6.50%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L+525</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2,962,500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2,938,182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2,960,648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Seven Seas Cruises S. DE R.L.</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12/21/2018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L+500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1,500,000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1,485,300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1,505,625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Sotera Defense Solutions,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04/21/2017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2,962,512</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2,939,052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2,932,887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 (First Out)</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01/29/2018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L+750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150,000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147,935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01/29/2018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13.50%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L+1,200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1,875,000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1,823,914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1,914,375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Triple Point Technology,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10/27/2017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L+650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992,500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958,036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992,500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3"/>
                <w:szCs w:val="13"/>
                <w:color w:val="auto"/>
              </w:rPr>
              <w:t>UniTek Global Services,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04/16/2018</w:t>
            </w:r>
          </w:p>
        </w:tc>
        <w:tc>
          <w:tcPr>
            <w:tcW w:w="214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9.00%</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L+750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1,995,000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1,935,550</w:t>
            </w: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1,950,113</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Univita Health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06/19/2017</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6.25%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L+475</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2,962,500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2,938,318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2,844,000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3"/>
                <w:szCs w:val="13"/>
                <w:color w:val="auto"/>
              </w:rPr>
              <w:t>Valitas Health Services, Inc.</w:t>
            </w:r>
          </w:p>
        </w:tc>
        <w:tc>
          <w:tcPr>
            <w:tcW w:w="1320" w:type="dxa"/>
            <w:vAlign w:val="bottom"/>
          </w:tcPr>
          <w:p>
            <w:pPr>
              <w:jc w:val="center"/>
              <w:ind w:left="413"/>
              <w:spacing w:after="0"/>
              <w:rPr>
                <w:sz w:val="20"/>
                <w:szCs w:val="20"/>
                <w:color w:val="auto"/>
              </w:rPr>
            </w:pPr>
            <w:r>
              <w:rPr>
                <w:rFonts w:ascii="Arial" w:cs="Arial" w:eastAsia="Arial" w:hAnsi="Arial"/>
                <w:sz w:val="13"/>
                <w:szCs w:val="13"/>
                <w:color w:val="auto"/>
                <w:w w:val="92"/>
              </w:rPr>
              <w:t>06/02/2017</w:t>
            </w:r>
          </w:p>
        </w:tc>
        <w:tc>
          <w:tcPr>
            <w:tcW w:w="214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5.75%</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L+450</w:t>
            </w:r>
          </w:p>
        </w:tc>
        <w:tc>
          <w:tcPr>
            <w:tcW w:w="900" w:type="dxa"/>
            <w:vAlign w:val="bottom"/>
          </w:tcPr>
          <w:p>
            <w:pPr>
              <w:jc w:val="right"/>
              <w:ind w:right="153"/>
              <w:spacing w:after="0"/>
              <w:rPr>
                <w:sz w:val="20"/>
                <w:szCs w:val="20"/>
                <w:color w:val="auto"/>
              </w:rPr>
            </w:pPr>
            <w:r>
              <w:rPr>
                <w:rFonts w:ascii="Arial" w:cs="Arial" w:eastAsia="Arial" w:hAnsi="Arial"/>
                <w:sz w:val="13"/>
                <w:szCs w:val="13"/>
                <w:color w:val="auto"/>
              </w:rPr>
              <w:t>1,481,250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1,474,945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1,466,438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Vantage Specialties, Inc.</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02/09/2018</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7.00%</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L+550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2,985,000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2,930,559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2,999,925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line="138" w:lineRule="exact"/>
              <w:rPr>
                <w:sz w:val="20"/>
                <w:szCs w:val="20"/>
                <w:color w:val="auto"/>
              </w:rPr>
            </w:pPr>
            <w:r>
              <w:rPr>
                <w:rFonts w:ascii="Arial" w:cs="Arial" w:eastAsia="Arial" w:hAnsi="Arial"/>
                <w:sz w:val="13"/>
                <w:szCs w:val="13"/>
                <w:color w:val="auto"/>
              </w:rPr>
              <w:t>Viamedia Services Corp.</w:t>
            </w:r>
          </w:p>
        </w:tc>
        <w:tc>
          <w:tcPr>
            <w:tcW w:w="1320" w:type="dxa"/>
            <w:vAlign w:val="bottom"/>
          </w:tcPr>
          <w:p>
            <w:pPr>
              <w:jc w:val="center"/>
              <w:ind w:left="413"/>
              <w:spacing w:after="0" w:line="138" w:lineRule="exact"/>
              <w:rPr>
                <w:sz w:val="20"/>
                <w:szCs w:val="20"/>
                <w:color w:val="auto"/>
              </w:rPr>
            </w:pPr>
            <w:r>
              <w:rPr>
                <w:rFonts w:ascii="Arial" w:cs="Arial" w:eastAsia="Arial" w:hAnsi="Arial"/>
                <w:sz w:val="13"/>
                <w:szCs w:val="13"/>
                <w:color w:val="auto"/>
                <w:w w:val="92"/>
              </w:rPr>
              <w:t>04/19/2016</w:t>
            </w:r>
          </w:p>
        </w:tc>
        <w:tc>
          <w:tcPr>
            <w:tcW w:w="214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2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7.00%</w:t>
            </w:r>
          </w:p>
        </w:tc>
        <w:tc>
          <w:tcPr>
            <w:tcW w:w="900" w:type="dxa"/>
            <w:vAlign w:val="bottom"/>
          </w:tcPr>
          <w:p>
            <w:pPr>
              <w:jc w:val="right"/>
              <w:ind w:right="73"/>
              <w:spacing w:after="0" w:line="138" w:lineRule="exact"/>
              <w:rPr>
                <w:sz w:val="20"/>
                <w:szCs w:val="20"/>
                <w:color w:val="auto"/>
              </w:rPr>
            </w:pPr>
            <w:r>
              <w:rPr>
                <w:rFonts w:ascii="Arial" w:cs="Arial" w:eastAsia="Arial" w:hAnsi="Arial"/>
                <w:sz w:val="13"/>
                <w:szCs w:val="13"/>
                <w:color w:val="auto"/>
              </w:rPr>
              <w:t>L+550</w:t>
            </w:r>
          </w:p>
        </w:tc>
        <w:tc>
          <w:tcPr>
            <w:tcW w:w="90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4,187,556</w:t>
            </w:r>
          </w:p>
        </w:tc>
        <w:tc>
          <w:tcPr>
            <w:tcW w:w="920" w:type="dxa"/>
            <w:vAlign w:val="bottom"/>
            <w:gridSpan w:val="3"/>
          </w:tcPr>
          <w:p>
            <w:pPr>
              <w:jc w:val="right"/>
              <w:ind w:right="120"/>
              <w:spacing w:after="0" w:line="138" w:lineRule="exact"/>
              <w:rPr>
                <w:sz w:val="20"/>
                <w:szCs w:val="20"/>
                <w:color w:val="auto"/>
              </w:rPr>
            </w:pPr>
            <w:r>
              <w:rPr>
                <w:rFonts w:ascii="Arial" w:cs="Arial" w:eastAsia="Arial" w:hAnsi="Arial"/>
                <w:sz w:val="13"/>
                <w:szCs w:val="13"/>
                <w:color w:val="auto"/>
              </w:rPr>
              <w:t>4,147,483</w:t>
            </w: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4,187,556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Virtual Radiologic Corporation</w:t>
            </w:r>
          </w:p>
        </w:tc>
        <w:tc>
          <w:tcPr>
            <w:tcW w:w="1320" w:type="dxa"/>
            <w:vAlign w:val="bottom"/>
            <w:shd w:val="clear" w:color="auto" w:fill="CCEEFF"/>
          </w:tcPr>
          <w:p>
            <w:pPr>
              <w:jc w:val="center"/>
              <w:ind w:left="413"/>
              <w:spacing w:after="0"/>
              <w:rPr>
                <w:sz w:val="20"/>
                <w:szCs w:val="20"/>
                <w:color w:val="auto"/>
              </w:rPr>
            </w:pPr>
            <w:r>
              <w:rPr>
                <w:rFonts w:ascii="Arial" w:cs="Arial" w:eastAsia="Arial" w:hAnsi="Arial"/>
                <w:sz w:val="13"/>
                <w:szCs w:val="13"/>
                <w:color w:val="auto"/>
                <w:w w:val="92"/>
              </w:rPr>
              <w:t>12/22/2016</w:t>
            </w:r>
          </w:p>
        </w:tc>
        <w:tc>
          <w:tcPr>
            <w:tcW w:w="2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7.75%</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P+450</w:t>
            </w:r>
          </w:p>
        </w:tc>
        <w:tc>
          <w:tcPr>
            <w:tcW w:w="9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2,970,000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2,940,842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2,643,300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Basis Point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Spread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vMerge w:val="restart"/>
          </w:tcPr>
          <w:p>
            <w:pPr>
              <w:spacing w:after="0"/>
              <w:rPr>
                <w:sz w:val="20"/>
                <w:szCs w:val="20"/>
                <w:color w:val="auto"/>
              </w:rPr>
            </w:pPr>
            <w:r>
              <w:rPr>
                <w:rFonts w:ascii="Arial" w:cs="Arial" w:eastAsia="Arial" w:hAnsi="Arial"/>
                <w:sz w:val="13"/>
                <w:szCs w:val="13"/>
                <w:b w:val="1"/>
                <w:bCs w:val="1"/>
                <w:color w:val="auto"/>
                <w:w w:val="95"/>
              </w:rPr>
              <w:t>Issuer Name</w:t>
            </w:r>
          </w:p>
        </w:tc>
        <w:tc>
          <w:tcPr>
            <w:tcW w:w="2100" w:type="dxa"/>
            <w:vAlign w:val="bottom"/>
            <w:vMerge w:val="restart"/>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Maturity</w:t>
            </w:r>
          </w:p>
        </w:tc>
        <w:tc>
          <w:tcPr>
            <w:tcW w:w="2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Above</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0"/>
        </w:trPr>
        <w:tc>
          <w:tcPr>
            <w:tcW w:w="760" w:type="dxa"/>
            <w:vAlign w:val="bottom"/>
            <w:tcBorders>
              <w:bottom w:val="single" w:sz="8" w:color="auto"/>
            </w:tcBorders>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780" w:type="dxa"/>
            <w:vAlign w:val="bottom"/>
            <w:gridSpan w:val="2"/>
            <w:vMerge w:val="continue"/>
          </w:tcPr>
          <w:p>
            <w:pPr>
              <w:spacing w:after="0"/>
              <w:rPr>
                <w:sz w:val="11"/>
                <w:szCs w:val="11"/>
                <w:color w:val="auto"/>
              </w:rPr>
            </w:pP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Coupon</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W3 CO.</w:t>
            </w: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60" w:type="dxa"/>
            <w:vAlign w:val="bottom"/>
            <w:gridSpan w:val="2"/>
            <w:vMerge w:val="continue"/>
            <w:shd w:val="clear" w:color="auto" w:fill="CCEEFF"/>
          </w:tcPr>
          <w:p>
            <w:pPr>
              <w:spacing w:after="0"/>
              <w:rPr>
                <w:sz w:val="11"/>
                <w:szCs w:val="11"/>
                <w:color w:val="auto"/>
              </w:rPr>
            </w:pPr>
          </w:p>
        </w:tc>
        <w:tc>
          <w:tcPr>
            <w:tcW w:w="6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2"/>
              </w:rPr>
              <w:t>10/31/2017</w:t>
            </w:r>
          </w:p>
        </w:tc>
        <w:tc>
          <w:tcPr>
            <w:tcW w:w="180" w:type="dxa"/>
            <w:vAlign w:val="bottom"/>
            <w:vMerge w:val="continue"/>
            <w:shd w:val="clear" w:color="auto" w:fill="CCEEFF"/>
          </w:tcPr>
          <w:p>
            <w:pPr>
              <w:spacing w:after="0"/>
              <w:rPr>
                <w:sz w:val="11"/>
                <w:szCs w:val="11"/>
                <w:color w:val="auto"/>
              </w:rPr>
            </w:pPr>
          </w:p>
        </w:tc>
        <w:tc>
          <w:tcPr>
            <w:tcW w:w="260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3"/>
              </w:rPr>
              <w:t>Energy: Oil and Gas</w:t>
            </w:r>
          </w:p>
        </w:tc>
        <w:tc>
          <w:tcPr>
            <w:tcW w:w="180" w:type="dxa"/>
            <w:vAlign w:val="bottom"/>
            <w:vMerge w:val="continue"/>
            <w:shd w:val="clear" w:color="auto" w:fill="CCEEFF"/>
          </w:tcPr>
          <w:p>
            <w:pPr>
              <w:spacing w:after="0"/>
              <w:rPr>
                <w:sz w:val="11"/>
                <w:szCs w:val="11"/>
                <w:color w:val="auto"/>
              </w:rPr>
            </w:pPr>
          </w:p>
        </w:tc>
        <w:tc>
          <w:tcPr>
            <w:tcW w:w="96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7.50%</w:t>
            </w:r>
          </w:p>
        </w:tc>
        <w:tc>
          <w:tcPr>
            <w:tcW w:w="640" w:type="dxa"/>
            <w:vAlign w:val="bottom"/>
            <w:shd w:val="clear" w:color="auto" w:fill="CCEEFF"/>
          </w:tcPr>
          <w:p>
            <w:pPr>
              <w:ind w:left="280"/>
              <w:spacing w:after="0" w:line="136" w:lineRule="exact"/>
              <w:rPr>
                <w:sz w:val="20"/>
                <w:szCs w:val="20"/>
                <w:color w:val="auto"/>
              </w:rPr>
            </w:pPr>
            <w:r>
              <w:rPr>
                <w:rFonts w:ascii="Arial" w:cs="Arial" w:eastAsia="Arial" w:hAnsi="Arial"/>
                <w:sz w:val="13"/>
                <w:szCs w:val="13"/>
                <w:color w:val="auto"/>
                <w:w w:val="93"/>
              </w:rPr>
              <w:t>L+625</w:t>
            </w:r>
          </w:p>
        </w:tc>
        <w:tc>
          <w:tcPr>
            <w:tcW w:w="42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6"/>
              </w:rPr>
              <w:t>1,985,000</w:t>
            </w:r>
          </w:p>
        </w:tc>
        <w:tc>
          <w:tcPr>
            <w:tcW w:w="1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1,916,035</w:t>
            </w:r>
          </w:p>
        </w:tc>
        <w:tc>
          <w:tcPr>
            <w:tcW w:w="1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1,982,519</w:t>
            </w:r>
          </w:p>
        </w:tc>
        <w:tc>
          <w:tcPr>
            <w:tcW w:w="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rPr>
                <w:sz w:val="20"/>
                <w:szCs w:val="20"/>
                <w:color w:val="auto"/>
              </w:rPr>
            </w:pPr>
            <w:r>
              <w:rPr>
                <w:rFonts w:ascii="Arial" w:cs="Arial" w:eastAsia="Arial" w:hAnsi="Arial"/>
                <w:sz w:val="13"/>
                <w:szCs w:val="13"/>
                <w:color w:val="auto"/>
              </w:rPr>
              <w:t>Water Pik,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08/10/2017</w:t>
            </w:r>
          </w:p>
        </w:tc>
        <w:tc>
          <w:tcPr>
            <w:tcW w:w="180" w:type="dxa"/>
            <w:vAlign w:val="bottom"/>
          </w:tcPr>
          <w:p>
            <w:pPr>
              <w:spacing w:after="0"/>
              <w:rPr>
                <w:sz w:val="12"/>
                <w:szCs w:val="12"/>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6.75%</w:t>
            </w: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L+525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3,465,000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3,434,281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3,456,338</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WCA Waste Corporation</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03/23/2018</w:t>
            </w:r>
          </w:p>
        </w:tc>
        <w:tc>
          <w:tcPr>
            <w:tcW w:w="1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Environmental Industries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5.50%</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L+425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985,787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998,316</w:t>
            </w: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08/30/2018</w:t>
            </w:r>
          </w:p>
        </w:tc>
        <w:tc>
          <w:tcPr>
            <w:tcW w:w="180" w:type="dxa"/>
            <w:vAlign w:val="bottom"/>
          </w:tcPr>
          <w:p>
            <w:pPr>
              <w:spacing w:after="0"/>
              <w:rPr>
                <w:sz w:val="12"/>
                <w:szCs w:val="12"/>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Consumer Goods: Non-Durable</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7.50%</w:t>
            </w: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L+625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3,400,000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3,332,763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3,417,000</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07/15/2016</w:t>
            </w:r>
          </w:p>
        </w:tc>
        <w:tc>
          <w:tcPr>
            <w:tcW w:w="1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11.38%</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4,288,196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4,320,000</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w w:val="91"/>
              </w:rPr>
              <w:t>150,258,038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150,209,747</w:t>
            </w:r>
          </w:p>
        </w:tc>
        <w:tc>
          <w:tcPr>
            <w:tcW w:w="0" w:type="dxa"/>
            <w:vAlign w:val="bottom"/>
          </w:tcPr>
          <w:p>
            <w:pPr>
              <w:spacing w:after="0"/>
              <w:rPr>
                <w:sz w:val="1"/>
                <w:szCs w:val="1"/>
                <w:color w:val="auto"/>
              </w:rPr>
            </w:pPr>
          </w:p>
        </w:tc>
      </w:tr>
      <w:tr>
        <w:trPr>
          <w:trHeight w:val="149"/>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Debt—12.6%</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09/01/2017</w:t>
            </w:r>
          </w:p>
        </w:tc>
        <w:tc>
          <w:tcPr>
            <w:tcW w:w="180" w:type="dxa"/>
            <w:vAlign w:val="bottom"/>
          </w:tcPr>
          <w:p>
            <w:pPr>
              <w:spacing w:after="0"/>
              <w:rPr>
                <w:sz w:val="12"/>
                <w:szCs w:val="12"/>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Metals and Mining</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11.50%</w:t>
            </w:r>
          </w:p>
        </w:tc>
        <w:tc>
          <w:tcPr>
            <w:tcW w:w="10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3,082,500</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Autoparts Holdings Limited</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01/29/2018</w:t>
            </w:r>
          </w:p>
        </w:tc>
        <w:tc>
          <w:tcPr>
            <w:tcW w:w="1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8"/>
              </w:rPr>
              <w:t>Automotive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10.50%</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L+900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995,180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10/02/2019</w:t>
            </w:r>
          </w:p>
        </w:tc>
        <w:tc>
          <w:tcPr>
            <w:tcW w:w="180" w:type="dxa"/>
            <w:vAlign w:val="bottom"/>
          </w:tcPr>
          <w:p>
            <w:pPr>
              <w:spacing w:after="0"/>
              <w:rPr>
                <w:sz w:val="12"/>
                <w:szCs w:val="12"/>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10.00%</w:t>
            </w: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L+875</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1,700,000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1,666,000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1,691,500</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11/06/2018</w:t>
            </w:r>
          </w:p>
        </w:tc>
        <w:tc>
          <w:tcPr>
            <w:tcW w:w="1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Media: Diversified and Production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10.25%</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L+875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1,486,780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1,475,250</w:t>
            </w:r>
          </w:p>
        </w:tc>
        <w:tc>
          <w:tcPr>
            <w:tcW w:w="0" w:type="dxa"/>
            <w:vAlign w:val="bottom"/>
          </w:tcPr>
          <w:p>
            <w:pPr>
              <w:spacing w:after="0"/>
              <w:rPr>
                <w:sz w:val="1"/>
                <w:szCs w:val="1"/>
                <w:color w:val="auto"/>
              </w:rPr>
            </w:pPr>
          </w:p>
        </w:tc>
      </w:tr>
      <w:tr>
        <w:trPr>
          <w:trHeight w:val="149"/>
        </w:trPr>
        <w:tc>
          <w:tcPr>
            <w:tcW w:w="28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09/01/2018</w:t>
            </w:r>
          </w:p>
        </w:tc>
        <w:tc>
          <w:tcPr>
            <w:tcW w:w="180" w:type="dxa"/>
            <w:vAlign w:val="bottom"/>
          </w:tcPr>
          <w:p>
            <w:pPr>
              <w:spacing w:after="0"/>
              <w:rPr>
                <w:sz w:val="12"/>
                <w:szCs w:val="12"/>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12.13%</w:t>
            </w:r>
          </w:p>
        </w:tc>
        <w:tc>
          <w:tcPr>
            <w:tcW w:w="10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1,969,103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2,320,000</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Sensus USA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05/09/2018</w:t>
            </w:r>
          </w:p>
        </w:tc>
        <w:tc>
          <w:tcPr>
            <w:tcW w:w="1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7"/>
              </w:rPr>
              <w:t>Utilities: Water</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8.50%</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L+725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991,580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996,250</w:t>
            </w: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05/15/2019</w:t>
            </w:r>
          </w:p>
        </w:tc>
        <w:tc>
          <w:tcPr>
            <w:tcW w:w="180" w:type="dxa"/>
            <w:vAlign w:val="bottom"/>
          </w:tcPr>
          <w:p>
            <w:pPr>
              <w:spacing w:after="0"/>
              <w:rPr>
                <w:sz w:val="12"/>
                <w:szCs w:val="12"/>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9.13%</w:t>
            </w:r>
          </w:p>
        </w:tc>
        <w:tc>
          <w:tcPr>
            <w:tcW w:w="10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1,500,000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1,500,000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1,560,000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11,608,643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12,025,500</w:t>
            </w:r>
          </w:p>
        </w:tc>
        <w:tc>
          <w:tcPr>
            <w:tcW w:w="0" w:type="dxa"/>
            <w:vAlign w:val="bottom"/>
          </w:tcPr>
          <w:p>
            <w:pPr>
              <w:spacing w:after="0"/>
              <w:rPr>
                <w:sz w:val="1"/>
                <w:szCs w:val="1"/>
                <w:color w:val="auto"/>
              </w:rPr>
            </w:pPr>
          </w:p>
        </w:tc>
      </w:tr>
      <w:tr>
        <w:trPr>
          <w:trHeight w:val="155"/>
        </w:trPr>
        <w:tc>
          <w:tcPr>
            <w:tcW w:w="286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1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Consumer Goods: Non-Durable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11.63%</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4,100,000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3,782,015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2,788,000</w:t>
            </w:r>
          </w:p>
        </w:tc>
        <w:tc>
          <w:tcPr>
            <w:tcW w:w="0" w:type="dxa"/>
            <w:vAlign w:val="bottom"/>
          </w:tcPr>
          <w:p>
            <w:pPr>
              <w:spacing w:after="0"/>
              <w:rPr>
                <w:sz w:val="1"/>
                <w:szCs w:val="1"/>
                <w:color w:val="auto"/>
              </w:rPr>
            </w:pPr>
          </w:p>
        </w:tc>
      </w:tr>
      <w:tr>
        <w:trPr>
          <w:trHeight w:val="148"/>
        </w:trPr>
        <w:tc>
          <w:tcPr>
            <w:tcW w:w="2860" w:type="dxa"/>
            <w:vAlign w:val="bottom"/>
            <w:gridSpan w:val="2"/>
          </w:tcPr>
          <w:p>
            <w:pPr>
              <w:spacing w:after="0"/>
              <w:rPr>
                <w:sz w:val="20"/>
                <w:szCs w:val="20"/>
                <w:color w:val="auto"/>
              </w:rPr>
            </w:pPr>
            <w:r>
              <w:rPr>
                <w:rFonts w:ascii="Arial" w:cs="Arial" w:eastAsia="Arial" w:hAnsi="Arial"/>
                <w:sz w:val="13"/>
                <w:szCs w:val="13"/>
                <w:color w:val="auto"/>
              </w:rPr>
              <w:t>Document Technologies, Inc.</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12/01/2017</w:t>
            </w:r>
          </w:p>
        </w:tc>
        <w:tc>
          <w:tcPr>
            <w:tcW w:w="180" w:type="dxa"/>
            <w:vAlign w:val="bottom"/>
          </w:tcPr>
          <w:p>
            <w:pPr>
              <w:spacing w:after="0"/>
              <w:rPr>
                <w:sz w:val="12"/>
                <w:szCs w:val="12"/>
                <w:color w:val="auto"/>
              </w:rPr>
            </w:pPr>
          </w:p>
        </w:tc>
        <w:tc>
          <w:tcPr>
            <w:tcW w:w="278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13.00%</w:t>
            </w:r>
          </w:p>
        </w:tc>
        <w:tc>
          <w:tcPr>
            <w:tcW w:w="10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980,074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06/03/2019</w:t>
            </w:r>
          </w:p>
        </w:tc>
        <w:tc>
          <w:tcPr>
            <w:tcW w:w="1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2"/>
              </w:rPr>
              <w:t>Beverage, Food and Tobacco</w:t>
            </w:r>
          </w:p>
        </w:tc>
        <w:tc>
          <w:tcPr>
            <w:tcW w:w="9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14.25%</w:t>
            </w:r>
          </w:p>
        </w:tc>
        <w:tc>
          <w:tcPr>
            <w:tcW w:w="10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w w:val="96"/>
              </w:rPr>
              <w:t>4,508,719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4,432,092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4,508,719</w:t>
            </w: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(PIK 2.25%)</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9,194,181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8,296,719</w:t>
            </w:r>
          </w:p>
        </w:tc>
        <w:tc>
          <w:tcPr>
            <w:tcW w:w="0" w:type="dxa"/>
            <w:vAlign w:val="bottom"/>
          </w:tcPr>
          <w:p>
            <w:pPr>
              <w:spacing w:after="0"/>
              <w:rPr>
                <w:sz w:val="1"/>
                <w:szCs w:val="1"/>
                <w:color w:val="auto"/>
              </w:rPr>
            </w:pPr>
          </w:p>
        </w:tc>
      </w:tr>
      <w:tr>
        <w:trPr>
          <w:trHeight w:val="122"/>
        </w:trPr>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Preferred Equity/Partnership Interests—</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20"/>
                <w:szCs w:val="20"/>
                <w:b w:val="1"/>
                <w:bCs w:val="1"/>
                <w:color w:val="auto"/>
                <w:vertAlign w:val="subscript"/>
              </w:rPr>
              <w:t>0.2%</w:t>
            </w:r>
            <w:r>
              <w:rPr>
                <w:rFonts w:ascii="Arial" w:cs="Arial" w:eastAsia="Arial" w:hAnsi="Arial"/>
                <w:sz w:val="10"/>
                <w:szCs w:val="10"/>
                <w:b w:val="1"/>
                <w:bCs w:val="1"/>
                <w:color w:val="auto"/>
              </w:rPr>
              <w:t xml:space="preserve"> (7), (8)</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860" w:type="dxa"/>
            <w:vAlign w:val="bottom"/>
            <w:gridSpan w:val="2"/>
          </w:tcPr>
          <w:p>
            <w:pPr>
              <w:spacing w:after="0" w:line="138" w:lineRule="exact"/>
              <w:rPr>
                <w:sz w:val="20"/>
                <w:szCs w:val="20"/>
                <w:color w:val="auto"/>
              </w:rPr>
            </w:pPr>
            <w:r>
              <w:rPr>
                <w:rFonts w:ascii="Arial" w:cs="Arial" w:eastAsia="Arial" w:hAnsi="Arial"/>
                <w:sz w:val="13"/>
                <w:szCs w:val="13"/>
                <w:color w:val="auto"/>
              </w:rPr>
              <w:t>TrustHouse Services Holdings, LLC (TrustHouse</w:t>
            </w:r>
          </w:p>
        </w:tc>
        <w:tc>
          <w:tcPr>
            <w:tcW w:w="82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27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1"/>
              </w:rPr>
              <w:t>Beverage, Food and Tobacco</w:t>
            </w:r>
          </w:p>
        </w:tc>
        <w:tc>
          <w:tcPr>
            <w:tcW w:w="96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12.50%</w:t>
            </w:r>
          </w:p>
        </w:tc>
        <w:tc>
          <w:tcPr>
            <w:tcW w:w="106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110,697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200,571</w:t>
            </w:r>
          </w:p>
        </w:tc>
        <w:tc>
          <w:tcPr>
            <w:tcW w:w="0" w:type="dxa"/>
            <w:vAlign w:val="bottom"/>
          </w:tcPr>
          <w:p>
            <w:pPr>
              <w:spacing w:after="0"/>
              <w:rPr>
                <w:sz w:val="1"/>
                <w:szCs w:val="1"/>
                <w:color w:val="auto"/>
              </w:rPr>
            </w:pPr>
          </w:p>
        </w:tc>
      </w:tr>
      <w:tr>
        <w:trPr>
          <w:trHeight w:val="166"/>
        </w:trPr>
        <w:tc>
          <w:tcPr>
            <w:tcW w:w="2860" w:type="dxa"/>
            <w:vAlign w:val="bottom"/>
            <w:gridSpan w:val="2"/>
          </w:tcPr>
          <w:p>
            <w:pPr>
              <w:ind w:left="220"/>
              <w:spacing w:after="0"/>
              <w:rPr>
                <w:sz w:val="20"/>
                <w:szCs w:val="20"/>
                <w:color w:val="auto"/>
              </w:rPr>
            </w:pPr>
            <w:r>
              <w:rPr>
                <w:rFonts w:ascii="Arial" w:cs="Arial" w:eastAsia="Arial" w:hAnsi="Arial"/>
                <w:sz w:val="13"/>
                <w:szCs w:val="13"/>
                <w:color w:val="auto"/>
              </w:rPr>
              <w:t>Services Group, Inc.)</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Common Equity/Partnership Interests—1.1%</w:t>
            </w: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ind w:left="220"/>
              <w:spacing w:after="0"/>
              <w:rPr>
                <w:sz w:val="20"/>
                <w:szCs w:val="20"/>
                <w:color w:val="auto"/>
              </w:rPr>
            </w:pPr>
            <w:r>
              <w:rPr>
                <w:rFonts w:ascii="Arial" w:cs="Arial" w:eastAsia="Arial" w:hAnsi="Arial"/>
                <w:sz w:val="11"/>
                <w:szCs w:val="11"/>
                <w:b w:val="1"/>
                <w:bCs w:val="1"/>
                <w:color w:val="auto"/>
              </w:rPr>
              <w:t>(7), (8)</w:t>
            </w:r>
          </w:p>
        </w:tc>
        <w:tc>
          <w:tcPr>
            <w:tcW w:w="2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gridSpan w:val="2"/>
          </w:tcPr>
          <w:p>
            <w:pPr>
              <w:spacing w:after="0" w:line="138" w:lineRule="exact"/>
              <w:rPr>
                <w:sz w:val="20"/>
                <w:szCs w:val="20"/>
                <w:color w:val="auto"/>
              </w:rPr>
            </w:pPr>
            <w:r>
              <w:rPr>
                <w:rFonts w:ascii="Arial" w:cs="Arial" w:eastAsia="Arial" w:hAnsi="Arial"/>
                <w:sz w:val="13"/>
                <w:szCs w:val="13"/>
                <w:color w:val="auto"/>
              </w:rPr>
              <w:t>Titan Private Holdings I, LLC (Tekelec Global,</w:t>
            </w:r>
          </w:p>
        </w:tc>
        <w:tc>
          <w:tcPr>
            <w:tcW w:w="82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27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3"/>
              </w:rPr>
              <w:t>Telecommunications</w:t>
            </w:r>
          </w:p>
        </w:tc>
        <w:tc>
          <w:tcPr>
            <w:tcW w:w="960" w:type="dxa"/>
            <w:vAlign w:val="bottom"/>
            <w:gridSpan w:val="2"/>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106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401,797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401,450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1,091,018</w:t>
            </w:r>
          </w:p>
        </w:tc>
        <w:tc>
          <w:tcPr>
            <w:tcW w:w="0" w:type="dxa"/>
            <w:vAlign w:val="bottom"/>
          </w:tcPr>
          <w:p>
            <w:pPr>
              <w:spacing w:after="0"/>
              <w:rPr>
                <w:sz w:val="1"/>
                <w:szCs w:val="1"/>
                <w:color w:val="auto"/>
              </w:rPr>
            </w:pPr>
          </w:p>
        </w:tc>
      </w:tr>
      <w:tr>
        <w:trPr>
          <w:trHeight w:val="159"/>
        </w:trPr>
        <w:tc>
          <w:tcPr>
            <w:tcW w:w="2860" w:type="dxa"/>
            <w:vAlign w:val="bottom"/>
            <w:gridSpan w:val="2"/>
          </w:tcPr>
          <w:p>
            <w:pPr>
              <w:ind w:left="220"/>
              <w:spacing w:after="0"/>
              <w:rPr>
                <w:sz w:val="20"/>
                <w:szCs w:val="20"/>
                <w:color w:val="auto"/>
              </w:rPr>
            </w:pPr>
            <w:r>
              <w:rPr>
                <w:rFonts w:ascii="Arial" w:cs="Arial" w:eastAsia="Arial" w:hAnsi="Arial"/>
                <w:sz w:val="13"/>
                <w:szCs w:val="13"/>
                <w:color w:val="auto"/>
              </w:rPr>
              <w:t>Inc.)</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6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Holdings, LLC (TrustHouse</w:t>
            </w:r>
          </w:p>
        </w:tc>
        <w:tc>
          <w:tcPr>
            <w:tcW w:w="82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27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2"/>
              </w:rPr>
              <w:t>Beverage, Food and Tobacco</w:t>
            </w:r>
          </w:p>
        </w:tc>
        <w:tc>
          <w:tcPr>
            <w:tcW w:w="96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10,845</w:t>
            </w:r>
          </w:p>
        </w:tc>
        <w:tc>
          <w:tcPr>
            <w:tcW w:w="0" w:type="dxa"/>
            <w:vAlign w:val="bottom"/>
          </w:tcPr>
          <w:p>
            <w:pPr>
              <w:spacing w:after="0"/>
              <w:rPr>
                <w:sz w:val="1"/>
                <w:szCs w:val="1"/>
                <w:color w:val="auto"/>
              </w:rPr>
            </w:pPr>
          </w:p>
        </w:tc>
      </w:tr>
      <w:tr>
        <w:trPr>
          <w:trHeight w:val="159"/>
        </w:trPr>
        <w:tc>
          <w:tcPr>
            <w:tcW w:w="28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Services Group, Inc.)</w:t>
            </w: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406,450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1,101,863</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171,578,009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171,834,400</w:t>
            </w:r>
          </w:p>
        </w:tc>
        <w:tc>
          <w:tcPr>
            <w:tcW w:w="0" w:type="dxa"/>
            <w:vAlign w:val="bottom"/>
          </w:tcPr>
          <w:p>
            <w:pPr>
              <w:spacing w:after="0"/>
              <w:rPr>
                <w:sz w:val="1"/>
                <w:szCs w:val="1"/>
                <w:color w:val="auto"/>
              </w:rPr>
            </w:pPr>
          </w:p>
        </w:tc>
      </w:tr>
      <w:tr>
        <w:trPr>
          <w:trHeight w:val="155"/>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Cash Equivalents—4.0%</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3,845,803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3,845,803</w:t>
            </w:r>
          </w:p>
        </w:tc>
        <w:tc>
          <w:tcPr>
            <w:tcW w:w="0" w:type="dxa"/>
            <w:vAlign w:val="bottom"/>
          </w:tcPr>
          <w:p>
            <w:pPr>
              <w:spacing w:after="0"/>
              <w:rPr>
                <w:sz w:val="1"/>
                <w:szCs w:val="1"/>
                <w:color w:val="auto"/>
              </w:rPr>
            </w:pPr>
          </w:p>
        </w:tc>
      </w:tr>
      <w:tr>
        <w:trPr>
          <w:trHeight w:val="136"/>
        </w:trPr>
        <w:tc>
          <w:tcPr>
            <w:tcW w:w="28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Total Investments and Cash Equivalents—</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183.5%</w:t>
            </w:r>
          </w:p>
        </w:tc>
        <w:tc>
          <w:tcPr>
            <w:tcW w:w="2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175,423,812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175,680,203</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Assets—(83.5)%</w:t>
            </w: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4"/>
              </w:rPr>
              <w:t>(79,936,326)</w:t>
            </w:r>
          </w:p>
        </w:tc>
        <w:tc>
          <w:tcPr>
            <w:tcW w:w="0" w:type="dxa"/>
            <w:vAlign w:val="bottom"/>
          </w:tcPr>
          <w:p>
            <w:pPr>
              <w:spacing w:after="0"/>
              <w:rPr>
                <w:sz w:val="1"/>
                <w:szCs w:val="1"/>
                <w:color w:val="auto"/>
              </w:rPr>
            </w:pPr>
          </w:p>
        </w:tc>
      </w:tr>
      <w:tr>
        <w:trPr>
          <w:trHeight w:val="148"/>
        </w:trPr>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95,743,877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right="140" w:firstLine="898"/>
        <w:spacing w:after="0" w:line="288"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4"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In April 2011, we closed our initial public offering and our common stock trades on the NASDAQ Global Select Market under the symbol “PFLT.” In connection with our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See Note 3.</w:t>
      </w:r>
    </w:p>
    <w:p>
      <w:pPr>
        <w:spacing w:after="0" w:line="143" w:lineRule="exact"/>
        <w:rPr>
          <w:sz w:val="20"/>
          <w:szCs w:val="20"/>
          <w:color w:val="auto"/>
        </w:rPr>
      </w:pPr>
    </w:p>
    <w:p>
      <w:pPr>
        <w:jc w:val="both"/>
        <w:ind w:right="40" w:firstLine="898"/>
        <w:spacing w:after="0" w:line="259" w:lineRule="auto"/>
        <w:rPr>
          <w:sz w:val="20"/>
          <w:szCs w:val="20"/>
          <w:color w:val="auto"/>
        </w:rPr>
      </w:pPr>
      <w:r>
        <w:rPr>
          <w:rFonts w:ascii="Arial" w:cs="Arial" w:eastAsia="Arial" w:hAnsi="Arial"/>
          <w:sz w:val="18"/>
          <w:szCs w:val="18"/>
          <w:color w:val="auto"/>
        </w:rPr>
        <w:t>In March 2013, we completed a follow-on public offering, including the underwriters’ exercise of the overallotment option,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140"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80" w:firstLine="898"/>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owed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18" w:lineRule="exact"/>
        <w:rPr>
          <w:sz w:val="20"/>
          <w:szCs w:val="20"/>
          <w:color w:val="auto"/>
        </w:rPr>
      </w:pPr>
    </w:p>
    <w:p>
      <w:pPr>
        <w:ind w:right="260" w:firstLine="89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0" w:firstLine="898"/>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700" w:hanging="243"/>
        <w:spacing w:after="0"/>
        <w:tabs>
          <w:tab w:leader="none" w:pos="70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15"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12" w:lineRule="exact"/>
        <w:rPr>
          <w:sz w:val="20"/>
          <w:szCs w:val="20"/>
          <w:color w:val="auto"/>
        </w:rPr>
      </w:pPr>
    </w:p>
    <w:p>
      <w:pPr>
        <w:jc w:val="both"/>
        <w:ind w:right="240" w:firstLine="898"/>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nine months ended June 30, 2013 and 2012, respectively.</w:t>
      </w:r>
    </w:p>
    <w:p>
      <w:pPr>
        <w:spacing w:after="0" w:line="120" w:lineRule="exact"/>
        <w:rPr>
          <w:sz w:val="20"/>
          <w:szCs w:val="20"/>
          <w:color w:val="auto"/>
        </w:rPr>
      </w:pPr>
    </w:p>
    <w:p>
      <w:pPr>
        <w:ind w:right="60" w:firstLine="898"/>
        <w:spacing w:after="0" w:line="254"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 and the state department of revenue.</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or return of capital.</w:t>
      </w:r>
    </w:p>
    <w:p>
      <w:pPr>
        <w:spacing w:after="0" w:line="143"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Asset Transfers and Servicing</w:t>
      </w:r>
    </w:p>
    <w:p>
      <w:pPr>
        <w:spacing w:after="0" w:line="90"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80" w:firstLine="898"/>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owing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The base management fee is calculated at an annual rate of 1.00% of our “average adjusted gross assets” (net of U.S. Treasury Bills,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nine months ended June 30, 2013, the Investment Adviser earned a base management fee of $0.5 million and $1.5 million, respectively, from us. For the three and nine months ended June 30, 2012, the Investment Adviser earned a base management fee of $0.4 million and $1.1 million, respectively, from us.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898"/>
        <w:spacing w:after="0" w:line="305"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nine months ended June 30, 2013, the Investment Adviser earned an incentive fee on net investment income as calculated under the Investment Management Agreement of $0.4 million and $1.0 million, respectively. For the three and nine months ended</w:t>
      </w:r>
    </w:p>
    <w:p>
      <w:pPr>
        <w:spacing w:after="0" w:line="17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June 30, 2012, the Investment Adviser earned an incentive fee on net investment income as calculated under the Investment Management Agreement, which resulted in an accrual of less than $0.1 million.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firstLine="898"/>
        <w:spacing w:after="0" w:line="317"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and nine months ended June 30, 2013 and 2012, the Investment Adviser did not earn an incentive fee on capital gains as calculated under the Investment Management Agreement.</w:t>
      </w:r>
    </w:p>
    <w:p>
      <w:pPr>
        <w:spacing w:after="0" w:line="103"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nine months ended June 30, 2013, the Investment Adviser earned an incentive fee on unrealized and realized capital gains as calculated under GAAP of approximately $(0.3) million, representing an expense reversal, and zero, respectively. For the three and nine months ended June 30, 2012, the Investment Adviser earned an incentive fee on unrealized and realized capital gains as calculated under GAAP, which resulted in $(0.1) million and no accrual, respectively.</w:t>
      </w:r>
    </w:p>
    <w:p>
      <w:pPr>
        <w:spacing w:after="0" w:line="126"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nine months ended June 30, 2013, the Investment Adviser and Administrator, collectively, were reimbursed approximately $0.1 million and $0.3 million, respectively, from us, including expenses the Investment Adviser incurred on behalf of the Administrator, for services described above. For the three and nine months ended June 30, 2012, the Investment Adviser was reimbursed approximately less than $0.1 million and $0.2 million, respectively, from us, including expenses the Investment Adviser incurred on behalf of the Administrator, for services described above.</w:t>
      </w:r>
    </w:p>
    <w:p>
      <w:pPr>
        <w:spacing w:after="0" w:line="126"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who then purchased shares of our common stock in the secondary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Purchases of investments, including PIK, for the three and nine months ended June 30, 2013 totaled $114.4 million and $198.5 million, respectively. For the same periods in the prior year, purchases of investments, including PIK, totaled $27.7 million and $100.0 million, respectively. Sales and repayments of investments for the three and nine months ended June 30, 2013 totaled $46.4 million and $120.7 million, respectively. For the same periods in the prior year, sales and repayments of investments totaled $15.4 million and $57.0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60" w:right="26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20" w:type="dxa"/>
            <w:vAlign w:val="bottom"/>
          </w:tcPr>
          <w:p>
            <w:pPr>
              <w:spacing w:after="0"/>
              <w:rPr>
                <w:sz w:val="14"/>
                <w:szCs w:val="14"/>
                <w:color w:val="auto"/>
              </w:rPr>
            </w:pPr>
          </w:p>
        </w:tc>
        <w:tc>
          <w:tcPr>
            <w:tcW w:w="2340" w:type="dxa"/>
            <w:vAlign w:val="bottom"/>
            <w:gridSpan w:val="3"/>
          </w:tcPr>
          <w:p>
            <w:pPr>
              <w:jc w:val="right"/>
              <w:ind w:right="696"/>
              <w:spacing w:after="0"/>
              <w:rPr>
                <w:sz w:val="20"/>
                <w:szCs w:val="20"/>
                <w:color w:val="auto"/>
              </w:rPr>
            </w:pPr>
            <w:r>
              <w:rPr>
                <w:rFonts w:ascii="Arial" w:cs="Arial" w:eastAsia="Arial" w:hAnsi="Arial"/>
                <w:sz w:val="13"/>
                <w:szCs w:val="13"/>
                <w:b w:val="1"/>
                <w:bCs w:val="1"/>
                <w:color w:val="auto"/>
              </w:rPr>
              <w:t>June 30, 2013</w:t>
            </w:r>
          </w:p>
        </w:tc>
        <w:tc>
          <w:tcPr>
            <w:tcW w:w="3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149"/>
        </w:trPr>
        <w:tc>
          <w:tcPr>
            <w:tcW w:w="39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4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$229,974,784</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$228,527,557</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$150,258,038</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12,985,622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13,160,722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11,608,643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10,364,390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8,648,145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166,667</w:t>
            </w:r>
          </w:p>
        </w:tc>
        <w:tc>
          <w:tcPr>
            <w:tcW w:w="4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177,988</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253,491,463</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250,514,412</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171,578,009</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171,834,400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2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6,936,175</w:t>
            </w:r>
          </w:p>
        </w:tc>
        <w:tc>
          <w:tcPr>
            <w:tcW w:w="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6,936,175</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260,427,638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257,450,587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175,423,812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175,680,203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898"/>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380" w:type="dxa"/>
            <w:vAlign w:val="bottom"/>
            <w:vMerge w:val="restart"/>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1136"/>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June 30, 2013</w:t>
            </w:r>
          </w:p>
        </w:tc>
        <w:tc>
          <w:tcPr>
            <w:tcW w:w="840" w:type="dxa"/>
            <w:vAlign w:val="bottom"/>
          </w:tcPr>
          <w:p>
            <w:pPr>
              <w:spacing w:after="0"/>
              <w:rPr>
                <w:sz w:val="12"/>
                <w:szCs w:val="12"/>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0"/>
              </w:rPr>
              <w:t>September 30, 2012</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196"/>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9"/>
              </w:rPr>
              <w:t>10</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9</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8</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7</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7</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7</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6</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Oil and Gas</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5</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4</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4</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3</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3</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3</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2</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2</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2</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1</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1</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1</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9"/>
              </w:rPr>
              <w:t>1</w:t>
            </w:r>
          </w:p>
        </w:tc>
        <w:tc>
          <w:tcPr>
            <w:tcW w:w="1960" w:type="dxa"/>
            <w:vAlign w:val="bottom"/>
            <w:gridSpan w:val="2"/>
            <w:shd w:val="clear" w:color="auto" w:fill="CCEEFF"/>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99"/>
              </w:rPr>
              <w:t>1</w:t>
            </w:r>
          </w:p>
        </w:tc>
        <w:tc>
          <w:tcPr>
            <w:tcW w:w="1960" w:type="dxa"/>
            <w:vAlign w:val="bottom"/>
            <w:gridSpan w:val="2"/>
          </w:tcPr>
          <w:p>
            <w:pPr>
              <w:jc w:val="right"/>
              <w:ind w:right="3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800" w:type="dxa"/>
            <w:vAlign w:val="bottom"/>
            <w:tcBorders>
              <w:bottom w:val="single" w:sz="8" w:color="auto"/>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1</w:t>
            </w:r>
          </w:p>
        </w:tc>
        <w:tc>
          <w:tcPr>
            <w:tcW w:w="8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19"/>
                <w:szCs w:val="19"/>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2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2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4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334"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2013, our ability to observe valuation inputs resulted in reclassification of one asset from Level 3 to 2 and we had no other transfers between levels. This compares to the nine months ended June 30, 2012, which resulted in no reclassification of assets from Levels 1, 2 or 3.</w:t>
      </w:r>
    </w:p>
    <w:p>
      <w:pPr>
        <w:spacing w:after="0" w:line="115"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some of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323" w:lineRule="auto"/>
        <w:rPr>
          <w:sz w:val="20"/>
          <w:szCs w:val="20"/>
          <w:color w:val="auto"/>
        </w:rPr>
      </w:pPr>
      <w:r>
        <w:rPr>
          <w:rFonts w:ascii="Arial" w:cs="Arial" w:eastAsia="Arial" w:hAnsi="Arial"/>
          <w:sz w:val="15"/>
          <w:szCs w:val="15"/>
          <w:color w:val="auto"/>
        </w:rPr>
        <w:t>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32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Fair Value as of</w:t>
            </w: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4"/>
              </w:rPr>
              <w:t>June 30, 2013</w:t>
            </w:r>
          </w:p>
        </w:tc>
        <w:tc>
          <w:tcPr>
            <w:tcW w:w="21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95"/>
        </w:trPr>
        <w:tc>
          <w:tcPr>
            <w:tcW w:w="41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231,690,743</w:t>
            </w:r>
          </w:p>
        </w:tc>
        <w:tc>
          <w:tcPr>
            <w:tcW w:w="2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Market Comparable</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Broker/Dealer</w:t>
            </w:r>
          </w:p>
        </w:tc>
        <w:tc>
          <w:tcPr>
            <w:tcW w:w="2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9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bid quotes</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15,005,681</w:t>
            </w:r>
          </w:p>
        </w:tc>
        <w:tc>
          <w:tcPr>
            <w:tcW w:w="28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7.3% – 15.2%(11.9%)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177,988</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Enterprise Market Value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EBITDA multiple</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7.0x – 7.0x (7.0x)</w:t>
            </w:r>
          </w:p>
        </w:tc>
        <w:tc>
          <w:tcPr>
            <w:tcW w:w="0" w:type="dxa"/>
            <w:vAlign w:val="bottom"/>
          </w:tcPr>
          <w:p>
            <w:pPr>
              <w:spacing w:after="0"/>
              <w:rPr>
                <w:sz w:val="1"/>
                <w:szCs w:val="1"/>
                <w:color w:val="auto"/>
              </w:rPr>
            </w:pPr>
          </w:p>
        </w:tc>
      </w:tr>
      <w:tr>
        <w:trPr>
          <w:trHeight w:val="222"/>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246,874,412</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85,600,000</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4"/>
              </w:rPr>
              <w:t>Asset Category</w:t>
            </w:r>
          </w:p>
        </w:tc>
        <w:tc>
          <w:tcPr>
            <w:tcW w:w="32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Fair Value as of</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4"/>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280"/>
              <w:spacing w:after="0" w:line="148" w:lineRule="exact"/>
              <w:rPr>
                <w:sz w:val="20"/>
                <w:szCs w:val="20"/>
                <w:color w:val="auto"/>
              </w:rPr>
            </w:pPr>
            <w:r>
              <w:rPr>
                <w:rFonts w:ascii="Arial" w:cs="Arial" w:eastAsia="Arial" w:hAnsi="Arial"/>
                <w:sz w:val="13"/>
                <w:szCs w:val="13"/>
                <w:b w:val="1"/>
                <w:bCs w:val="1"/>
                <w:color w:val="auto"/>
                <w:w w:val="92"/>
              </w:rPr>
              <w:t>September 30, 2012</w:t>
            </w:r>
          </w:p>
        </w:tc>
        <w:tc>
          <w:tcPr>
            <w:tcW w:w="210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5"/>
              </w:rPr>
              <w:t>Unobservable Input</w:t>
            </w: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(Weighted Average)</w:t>
            </w:r>
          </w:p>
        </w:tc>
        <w:tc>
          <w:tcPr>
            <w:tcW w:w="0" w:type="dxa"/>
            <w:vAlign w:val="bottom"/>
          </w:tcPr>
          <w:p>
            <w:pPr>
              <w:spacing w:after="0"/>
              <w:rPr>
                <w:sz w:val="1"/>
                <w:szCs w:val="1"/>
                <w:color w:val="auto"/>
              </w:rPr>
            </w:pPr>
          </w:p>
        </w:tc>
      </w:tr>
      <w:tr>
        <w:trPr>
          <w:trHeight w:val="195"/>
        </w:trPr>
        <w:tc>
          <w:tcPr>
            <w:tcW w:w="41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155,983,312</w:t>
            </w:r>
          </w:p>
        </w:tc>
        <w:tc>
          <w:tcPr>
            <w:tcW w:w="2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Market Comparable</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Broker/Dealer</w:t>
            </w:r>
          </w:p>
        </w:tc>
        <w:tc>
          <w:tcPr>
            <w:tcW w:w="2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4"/>
        </w:trPr>
        <w:tc>
          <w:tcPr>
            <w:tcW w:w="9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bid quotes</w:t>
            </w: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0"/>
              </w:rPr>
              <w:t>First lien, second lien, subordinated debt/corporate notes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11,760,650</w:t>
            </w: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7.3% – 15.3%(11.9%)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1,302,438</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Enterprise Market Value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EBITDA multiple</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6.5x – 8.5x (6.8x)</w:t>
            </w:r>
          </w:p>
        </w:tc>
        <w:tc>
          <w:tcPr>
            <w:tcW w:w="0" w:type="dxa"/>
            <w:vAlign w:val="bottom"/>
          </w:tcPr>
          <w:p>
            <w:pPr>
              <w:spacing w:after="0"/>
              <w:rPr>
                <w:sz w:val="1"/>
                <w:szCs w:val="1"/>
                <w:color w:val="auto"/>
              </w:rPr>
            </w:pPr>
          </w:p>
        </w:tc>
      </w:tr>
      <w:tr>
        <w:trPr>
          <w:trHeight w:val="222"/>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169,046,400</w:t>
            </w: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4"/>
              </w:rPr>
              <w:t>Fair Value Measurements at June 30, 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95"/>
              <w:spacing w:after="0" w:line="129" w:lineRule="exact"/>
              <w:rPr>
                <w:sz w:val="20"/>
                <w:szCs w:val="20"/>
                <w:color w:val="auto"/>
              </w:rPr>
            </w:pPr>
            <w:r>
              <w:rPr>
                <w:rFonts w:ascii="Arial" w:cs="Arial" w:eastAsia="Arial" w:hAnsi="Arial"/>
                <w:sz w:val="13"/>
                <w:szCs w:val="13"/>
                <w:b w:val="1"/>
                <w:bCs w:val="1"/>
                <w:color w:val="auto"/>
              </w:rPr>
              <w:t>Fair Value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228,527,557</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228,527,557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13,160,722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1,590,000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11,570,722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8,648,145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2,050,000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177,988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250,514,412</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3,640,000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246,874,412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6,936,175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6,936,175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257,450,587</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6,936,175</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3,640,000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246,874,412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2"/>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85,600,000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3420" w:type="dxa"/>
            <w:vAlign w:val="bottom"/>
            <w:vMerge w:val="restart"/>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3"/>
              </w:rPr>
              <w:t>Fair Value Measurements at September 30, 2012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95"/>
              <w:spacing w:after="0" w:line="129" w:lineRule="exact"/>
              <w:rPr>
                <w:sz w:val="20"/>
                <w:szCs w:val="20"/>
                <w:color w:val="auto"/>
              </w:rPr>
            </w:pPr>
            <w:r>
              <w:rPr>
                <w:rFonts w:ascii="Arial" w:cs="Arial" w:eastAsia="Arial" w:hAnsi="Arial"/>
                <w:sz w:val="13"/>
                <w:szCs w:val="13"/>
                <w:b w:val="1"/>
                <w:bCs w:val="1"/>
                <w:color w:val="auto"/>
              </w:rPr>
              <w:t>Fair Value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95"/>
              <w:spacing w:after="0" w:line="129" w:lineRule="exact"/>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1,302,434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3,845,803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3,845,803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3,845,803</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20" w:firstLine="898"/>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w w:val="94"/>
              </w:rPr>
              <w:t>Nine Months Ended June 30, 2013</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ind w:right="560"/>
              <w:spacing w:after="0" w:line="129" w:lineRule="exact"/>
              <w:rPr>
                <w:sz w:val="20"/>
                <w:szCs w:val="20"/>
                <w:color w:val="auto"/>
              </w:rPr>
            </w:pPr>
            <w:r>
              <w:rPr>
                <w:rFonts w:ascii="Arial" w:cs="Arial" w:eastAsia="Arial" w:hAnsi="Arial"/>
                <w:sz w:val="13"/>
                <w:szCs w:val="13"/>
                <w:b w:val="1"/>
                <w:bCs w:val="1"/>
                <w:color w:val="auto"/>
                <w:w w:val="91"/>
              </w:rPr>
              <w:t>Second lien,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57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3"/>
              </w:rPr>
              <w:t>subordinated debt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0" w:type="dxa"/>
            <w:vAlign w:val="bottom"/>
            <w:tcBorders>
              <w:bottom w:val="single" w:sz="8" w:color="auto"/>
            </w:tcBorders>
            <w:gridSpan w:val="2"/>
            <w:vMerge w:val="continue"/>
          </w:tcPr>
          <w:p>
            <w:pPr>
              <w:spacing w:after="0"/>
              <w:rPr>
                <w:sz w:val="14"/>
                <w:szCs w:val="14"/>
                <w:color w:val="auto"/>
              </w:rPr>
            </w:pPr>
          </w:p>
        </w:tc>
        <w:tc>
          <w:tcPr>
            <w:tcW w:w="5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80"/>
              <w:spacing w:after="0" w:line="148" w:lineRule="exact"/>
              <w:rPr>
                <w:sz w:val="20"/>
                <w:szCs w:val="20"/>
                <w:color w:val="auto"/>
              </w:rPr>
            </w:pPr>
            <w:r>
              <w:rPr>
                <w:rFonts w:ascii="Arial" w:cs="Arial" w:eastAsia="Arial" w:hAnsi="Arial"/>
                <w:sz w:val="13"/>
                <w:szCs w:val="13"/>
                <w:b w:val="1"/>
                <w:bCs w:val="1"/>
                <w:color w:val="auto"/>
              </w:rPr>
              <w:t>First Lien</w:t>
            </w:r>
          </w:p>
        </w:tc>
        <w:tc>
          <w:tcPr>
            <w:tcW w:w="380" w:type="dxa"/>
            <w:vAlign w:val="bottom"/>
          </w:tcPr>
          <w:p>
            <w:pPr>
              <w:spacing w:after="0"/>
              <w:rPr>
                <w:sz w:val="14"/>
                <w:szCs w:val="14"/>
                <w:color w:val="auto"/>
              </w:rPr>
            </w:pPr>
          </w:p>
        </w:tc>
        <w:tc>
          <w:tcPr>
            <w:tcW w:w="1740" w:type="dxa"/>
            <w:vAlign w:val="bottom"/>
            <w:gridSpan w:val="4"/>
          </w:tcPr>
          <w:p>
            <w:pPr>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$ 150,209,747</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169,046,400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ind w:left="44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1,470,514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1,736,347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3,206,861</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(1,398,938)</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(1,030,393)</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(2,429,331)</w:t>
            </w:r>
          </w:p>
        </w:tc>
        <w:tc>
          <w:tcPr>
            <w:tcW w:w="0" w:type="dxa"/>
            <w:vAlign w:val="bottom"/>
          </w:tcPr>
          <w:p>
            <w:pPr>
              <w:spacing w:after="0"/>
              <w:rPr>
                <w:sz w:val="1"/>
                <w:szCs w:val="1"/>
                <w:color w:val="auto"/>
              </w:rPr>
            </w:pPr>
          </w:p>
        </w:tc>
      </w:tr>
      <w:tr>
        <w:trPr>
          <w:trHeight w:val="216"/>
        </w:trPr>
        <w:tc>
          <w:tcPr>
            <w:tcW w:w="6460" w:type="dxa"/>
            <w:vAlign w:val="bottom"/>
            <w:gridSpan w:val="3"/>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181,863,473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17,429,350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199,292,823</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Sales / repayments / exchanges</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(103,617,239)</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(17,038,852)</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(120,656,091)</w:t>
            </w:r>
          </w:p>
        </w:tc>
        <w:tc>
          <w:tcPr>
            <w:tcW w:w="0" w:type="dxa"/>
            <w:vAlign w:val="bottom"/>
          </w:tcPr>
          <w:p>
            <w:pPr>
              <w:spacing w:after="0"/>
              <w:rPr>
                <w:sz w:val="1"/>
                <w:szCs w:val="1"/>
                <w:color w:val="auto"/>
              </w:rPr>
            </w:pPr>
          </w:p>
        </w:tc>
      </w:tr>
      <w:tr>
        <w:trPr>
          <w:trHeight w:val="216"/>
        </w:trPr>
        <w:tc>
          <w:tcPr>
            <w:tcW w:w="6460" w:type="dxa"/>
            <w:vAlign w:val="bottom"/>
            <w:gridSpan w:val="3"/>
          </w:tcPr>
          <w:p>
            <w:pPr>
              <w:ind w:left="440"/>
              <w:spacing w:after="0"/>
              <w:rPr>
                <w:sz w:val="20"/>
                <w:szCs w:val="20"/>
                <w:color w:val="auto"/>
              </w:rPr>
            </w:pPr>
            <w:r>
              <w:rPr>
                <w:rFonts w:ascii="Arial" w:cs="Arial" w:eastAsia="Arial" w:hAnsi="Arial"/>
                <w:sz w:val="18"/>
                <w:szCs w:val="18"/>
                <w:color w:val="auto"/>
              </w:rPr>
              <w:t>Transfers in and/or out of 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(1,586,250)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(1,586,250)</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June 30, 2013</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$ 228,527,557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18,346,855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246,874,412</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w w:val="94"/>
              </w:rPr>
              <w:t>Net change in unrealized appreciation (depreciation) reported within the net change in</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ind w:left="220"/>
              <w:spacing w:after="0"/>
              <w:rPr>
                <w:sz w:val="20"/>
                <w:szCs w:val="20"/>
                <w:color w:val="auto"/>
              </w:rPr>
            </w:pPr>
            <w:r>
              <w:rPr>
                <w:rFonts w:ascii="Arial" w:cs="Arial" w:eastAsia="Arial" w:hAnsi="Arial"/>
                <w:sz w:val="18"/>
                <w:szCs w:val="18"/>
                <w:color w:val="auto"/>
                <w:w w:val="92"/>
              </w:rPr>
              <w:t>unrealized appreciation on investments in our Consolidated Statement of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3"/>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(388,299)</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(2,694,643)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(3,082,942)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Nine Months Ended June 30, 2012</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tcPr>
          <w:p>
            <w:pPr>
              <w:jc w:val="center"/>
              <w:ind w:right="50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5760" w:type="dxa"/>
            <w:vAlign w:val="bottom"/>
            <w:gridSpan w:val="2"/>
            <w:vMerge w:val="restart"/>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1"/>
              </w:rPr>
              <w:t>subordinated debt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5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40"/>
              <w:spacing w:after="0" w:line="148" w:lineRule="exact"/>
              <w:rPr>
                <w:sz w:val="20"/>
                <w:szCs w:val="20"/>
                <w:color w:val="auto"/>
              </w:rPr>
            </w:pPr>
            <w:r>
              <w:rPr>
                <w:rFonts w:ascii="Arial" w:cs="Arial" w:eastAsia="Arial" w:hAnsi="Arial"/>
                <w:sz w:val="13"/>
                <w:szCs w:val="13"/>
                <w:b w:val="1"/>
                <w:bCs w:val="1"/>
                <w:color w:val="auto"/>
              </w:rPr>
              <w:t>First Lien</w:t>
            </w:r>
          </w:p>
        </w:tc>
        <w:tc>
          <w:tcPr>
            <w:tcW w:w="380" w:type="dxa"/>
            <w:vAlign w:val="bottom"/>
          </w:tcPr>
          <w:p>
            <w:pPr>
              <w:spacing w:after="0"/>
              <w:rPr>
                <w:sz w:val="14"/>
                <w:szCs w:val="14"/>
                <w:color w:val="auto"/>
              </w:rPr>
            </w:pPr>
          </w:p>
        </w:tc>
        <w:tc>
          <w:tcPr>
            <w:tcW w:w="1740" w:type="dxa"/>
            <w:vAlign w:val="bottom"/>
            <w:gridSpan w:val="4"/>
          </w:tcPr>
          <w:p>
            <w:pPr>
              <w:ind w:left="20"/>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107,535,494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ind w:left="44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460,977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160,181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621,158</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1,687,829</w:t>
            </w: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804,825</w:t>
            </w:r>
          </w:p>
        </w:tc>
        <w:tc>
          <w:tcPr>
            <w:tcW w:w="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2,492,654</w:t>
            </w:r>
          </w:p>
        </w:tc>
        <w:tc>
          <w:tcPr>
            <w:tcW w:w="0" w:type="dxa"/>
            <w:vAlign w:val="bottom"/>
          </w:tcPr>
          <w:p>
            <w:pPr>
              <w:spacing w:after="0"/>
              <w:rPr>
                <w:sz w:val="1"/>
                <w:szCs w:val="1"/>
                <w:color w:val="auto"/>
              </w:rPr>
            </w:pPr>
          </w:p>
        </w:tc>
      </w:tr>
      <w:tr>
        <w:trPr>
          <w:trHeight w:val="216"/>
        </w:trPr>
        <w:tc>
          <w:tcPr>
            <w:tcW w:w="6460" w:type="dxa"/>
            <w:vAlign w:val="bottom"/>
            <w:gridSpan w:val="3"/>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90,634,426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5,431,216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96,065,642</w:t>
            </w: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(45,371,493)</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(9,603,105)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(54,974,598)</w:t>
            </w:r>
          </w:p>
        </w:tc>
        <w:tc>
          <w:tcPr>
            <w:tcW w:w="0" w:type="dxa"/>
            <w:vAlign w:val="bottom"/>
          </w:tcPr>
          <w:p>
            <w:pPr>
              <w:spacing w:after="0"/>
              <w:rPr>
                <w:sz w:val="1"/>
                <w:szCs w:val="1"/>
                <w:color w:val="auto"/>
              </w:rPr>
            </w:pPr>
          </w:p>
        </w:tc>
      </w:tr>
      <w:tr>
        <w:trPr>
          <w:trHeight w:val="223"/>
        </w:trPr>
        <w:tc>
          <w:tcPr>
            <w:tcW w:w="6460" w:type="dxa"/>
            <w:vAlign w:val="bottom"/>
            <w:gridSpan w:val="3"/>
          </w:tcPr>
          <w:p>
            <w:pPr>
              <w:ind w:left="440"/>
              <w:spacing w:after="0"/>
              <w:rPr>
                <w:sz w:val="20"/>
                <w:szCs w:val="20"/>
                <w:color w:val="auto"/>
              </w:rPr>
            </w:pPr>
            <w:r>
              <w:rPr>
                <w:rFonts w:ascii="Arial" w:cs="Arial" w:eastAsia="Arial" w:hAnsi="Arial"/>
                <w:sz w:val="18"/>
                <w:szCs w:val="18"/>
                <w:color w:val="auto"/>
              </w:rPr>
              <w:t>Transfers in and/or out of Level 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 June 30, 2012</w:t>
            </w:r>
          </w:p>
        </w:tc>
        <w:tc>
          <w:tcPr>
            <w:tcW w:w="14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$ 136,741,118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14,999,232</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151,740,350</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appreciation reported within the net change in unrealized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ind w:left="220"/>
              <w:spacing w:after="0"/>
              <w:rPr>
                <w:sz w:val="20"/>
                <w:szCs w:val="20"/>
                <w:color w:val="auto"/>
              </w:rPr>
            </w:pPr>
            <w:r>
              <w:rPr>
                <w:rFonts w:ascii="Arial" w:cs="Arial" w:eastAsia="Arial" w:hAnsi="Arial"/>
                <w:sz w:val="18"/>
                <w:szCs w:val="18"/>
                <w:color w:val="auto"/>
                <w:w w:val="91"/>
              </w:rPr>
              <w:t>appreciation on investments in our Consolidated Statement of Operations attributable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3"/>
          </w:tcPr>
          <w:p>
            <w:pPr>
              <w:ind w:left="220"/>
              <w:spacing w:after="0"/>
              <w:rPr>
                <w:sz w:val="20"/>
                <w:szCs w:val="20"/>
                <w:color w:val="auto"/>
              </w:rPr>
            </w:pPr>
            <w:r>
              <w:rPr>
                <w:rFonts w:ascii="Arial" w:cs="Arial" w:eastAsia="Arial" w:hAnsi="Arial"/>
                <w:sz w:val="18"/>
                <w:szCs w:val="18"/>
                <w:color w:val="auto"/>
              </w:rPr>
              <w:t>to our Level 3 assets still held at the reporting date.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2,168,199</w:t>
            </w:r>
          </w:p>
        </w:tc>
        <w:tc>
          <w:tcPr>
            <w:tcW w:w="10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807,232</w:t>
            </w:r>
          </w:p>
        </w:tc>
        <w:tc>
          <w:tcPr>
            <w:tcW w:w="4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2,975,431</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ind w:left="55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61"/>
        </w:trPr>
        <w:tc>
          <w:tcPr>
            <w:tcW w:w="6520" w:type="dxa"/>
            <w:vAlign w:val="bottom"/>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100" w:type="dxa"/>
            <w:vAlign w:val="bottom"/>
          </w:tcPr>
          <w:p>
            <w:pPr>
              <w:spacing w:after="0"/>
              <w:rPr>
                <w:sz w:val="14"/>
                <w:szCs w:val="14"/>
                <w:color w:val="auto"/>
              </w:rPr>
            </w:pPr>
          </w:p>
        </w:tc>
        <w:tc>
          <w:tcPr>
            <w:tcW w:w="282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3"/>
                <w:szCs w:val="13"/>
                <w:b w:val="1"/>
                <w:bCs w:val="1"/>
                <w:color w:val="auto"/>
              </w:rPr>
              <w:t>2013</w:t>
            </w:r>
          </w:p>
        </w:tc>
        <w:tc>
          <w:tcPr>
            <w:tcW w:w="8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5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Beginning Balance, September 30, 2012 and 2011, respectively (cost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$75,500,000 and $24,650,000,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8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$ 24,650,000</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Total unrealized appreciation (depreciation) included in earnings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377,500</w:t>
            </w:r>
          </w:p>
        </w:tc>
        <w:tc>
          <w:tcPr>
            <w:tcW w:w="8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(272,000)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121,450,000</w:t>
            </w:r>
          </w:p>
        </w:tc>
        <w:tc>
          <w:tcPr>
            <w:tcW w:w="8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71,450,000</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0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(111,350,000)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(41,700,000)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Ending Balance, June 30, 2013 and 2012, respectively (cost – $85,600,000 and</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$54,400,000,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85,600,000</w:t>
            </w:r>
          </w:p>
        </w:tc>
        <w:tc>
          <w:tcPr>
            <w:tcW w:w="8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$ 54,128,000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nine months ended June 30,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2013, we had a net change in unrealized appreciation of zero and $0.4 million, respectively. For the three and nine months ended June 30, 2012, we had a net change in unrealized appreciation of $0.1 million and $0.3 million, respectively. As of June 30,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ind w:left="320"/>
              <w:spacing w:after="0"/>
              <w:rPr>
                <w:sz w:val="20"/>
                <w:szCs w:val="20"/>
                <w:color w:val="auto"/>
              </w:rPr>
            </w:pPr>
            <w:r>
              <w:rPr>
                <w:rFonts w:ascii="Arial" w:cs="Arial" w:eastAsia="Arial" w:hAnsi="Arial"/>
                <w:sz w:val="13"/>
                <w:szCs w:val="13"/>
                <w:b w:val="1"/>
                <w:bCs w:val="1"/>
                <w:color w:val="auto"/>
              </w:rPr>
              <w:t>Nine Months Ended</w:t>
            </w:r>
          </w:p>
        </w:tc>
      </w:tr>
      <w:tr>
        <w:trPr>
          <w:trHeight w:val="16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3"/>
                <w:szCs w:val="13"/>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3"/>
                <w:szCs w:val="13"/>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1,567,127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6,538,293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8,017,647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10,302,918</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6,850,667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8,067,406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6,850,667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60" w:firstLine="898"/>
        <w:spacing w:after="0" w:line="287"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2013 and September 30, 2012, cash equivalents consisted of money market funds in the amounts of $6.9 million and $3.8 million, respectively.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60" w:right="274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Below are the financial highlights: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3"/>
                <w:szCs w:val="13"/>
                <w:b w:val="1"/>
                <w:bCs w:val="1"/>
                <w:color w:val="auto"/>
              </w:rPr>
              <w:t>2013</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13.98</w:t>
            </w:r>
          </w:p>
        </w:tc>
        <w:tc>
          <w:tcPr>
            <w:tcW w:w="5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(loss) gain </w:t>
            </w:r>
            <w:r>
              <w:rPr>
                <w:rFonts w:ascii="Arial" w:cs="Arial" w:eastAsia="Arial" w:hAnsi="Arial"/>
                <w:sz w:val="11"/>
                <w:szCs w:val="11"/>
                <w:color w:val="auto"/>
              </w:rPr>
              <w:t>(1)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433"/>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1"/>
                <w:szCs w:val="11"/>
                <w:color w:val="auto"/>
              </w:rPr>
              <w:t>(1), (2)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433"/>
              <w:spacing w:after="0"/>
              <w:rPr>
                <w:sz w:val="20"/>
                <w:szCs w:val="20"/>
                <w:color w:val="auto"/>
              </w:rPr>
            </w:pPr>
            <w:r>
              <w:rPr>
                <w:rFonts w:ascii="Arial" w:cs="Arial" w:eastAsia="Arial" w:hAnsi="Arial"/>
                <w:sz w:val="18"/>
                <w:szCs w:val="18"/>
                <w:color w:val="auto"/>
              </w:rPr>
              <w:t>(0.76)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Effect of offering costs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33"/>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13.98</w:t>
            </w:r>
          </w:p>
        </w:tc>
        <w:tc>
          <w:tcPr>
            <w:tcW w:w="5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333"/>
              <w:spacing w:after="0"/>
              <w:rPr>
                <w:sz w:val="20"/>
                <w:szCs w:val="20"/>
                <w:color w:val="auto"/>
              </w:rPr>
            </w:pPr>
            <w:r>
              <w:rPr>
                <w:rFonts w:ascii="Arial" w:cs="Arial" w:eastAsia="Arial" w:hAnsi="Arial"/>
                <w:sz w:val="18"/>
                <w:szCs w:val="18"/>
                <w:color w:val="auto"/>
              </w:rPr>
              <w:t>17.94%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10,304,692</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6,850,667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1"/>
                <w:szCs w:val="11"/>
                <w:color w:val="auto"/>
              </w:rPr>
              <w:t>(4)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1"/>
              </w:rPr>
              <w:t xml:space="preserve">Ratio of Credit Facility related expenses to average net assets </w:t>
            </w:r>
            <w:r>
              <w:rPr>
                <w:rFonts w:ascii="Arial" w:cs="Arial" w:eastAsia="Arial" w:hAnsi="Arial"/>
                <w:sz w:val="11"/>
                <w:szCs w:val="11"/>
                <w:color w:val="auto"/>
                <w:w w:val="91"/>
              </w:rPr>
              <w:t>(5)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333"/>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333"/>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144,093,126</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95,499,807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Average debt outstanding</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66,821,154</w:t>
            </w:r>
          </w:p>
        </w:tc>
        <w:tc>
          <w:tcPr>
            <w:tcW w:w="5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40,176,277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1"/>
                <w:szCs w:val="11"/>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333"/>
              <w:spacing w:after="0"/>
              <w:rPr>
                <w:sz w:val="20"/>
                <w:szCs w:val="20"/>
                <w:color w:val="auto"/>
              </w:rPr>
            </w:pPr>
            <w:r>
              <w:rPr>
                <w:rFonts w:ascii="Arial" w:cs="Arial" w:eastAsia="Arial" w:hAnsi="Arial"/>
                <w:sz w:val="18"/>
                <w:szCs w:val="18"/>
                <w:color w:val="auto"/>
              </w:rPr>
              <w:t>85.26%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4" w:lineRule="exact"/>
        <w:rPr>
          <w:sz w:val="20"/>
          <w:szCs w:val="20"/>
          <w:color w:val="auto"/>
        </w:rPr>
      </w:pPr>
    </w:p>
    <w:p>
      <w:pPr>
        <w:ind w:right="7540" w:firstLine="8"/>
        <w:spacing w:after="0" w:line="257" w:lineRule="auto"/>
        <w:tabs>
          <w:tab w:leader="none" w:pos="445"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Per share data are calculated based on the weighted average shares outstanding for the respective periods.</w:t>
      </w:r>
    </w:p>
    <w:p>
      <w:pPr>
        <w:spacing w:after="0" w:line="7" w:lineRule="exact"/>
        <w:rPr>
          <w:rFonts w:ascii="Arial" w:cs="Arial" w:eastAsia="Arial" w:hAnsi="Arial"/>
          <w:sz w:val="22"/>
          <w:szCs w:val="22"/>
          <w:color w:val="auto"/>
          <w:vertAlign w:val="superscript"/>
        </w:rPr>
      </w:pPr>
    </w:p>
    <w:p>
      <w:pPr>
        <w:ind w:left="460" w:right="500" w:hanging="452"/>
        <w:spacing w:after="0" w:line="221"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Distributions and dividends are determined based on taxable income calculated in accordance with income tax regulations, which may differ from amounts determined under GAAP.</w:t>
      </w:r>
    </w:p>
    <w:p>
      <w:pPr>
        <w:ind w:left="460" w:right="240" w:hanging="452"/>
        <w:spacing w:after="0" w:line="22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ind w:left="460" w:hanging="452"/>
        <w:spacing w:after="0" w:line="204"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Operating expenses exclude Credit Facility amendment costs.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Ratio does not annualize Credit Facility amendment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Funding I’s Credit Facility with SunTrust Bank, or the Lender, is $125 million, subject to satisfaction of certain conditions and the regulatory restrictions that the 1940 Act imposes on us as a BDC, has an interest rate spread above LIBOR of 200 basis points, a maturity date of May 2018 and a revolving period (as defined below) of May 2016. As of June 30, 2013 and September 30, 2012, Funding I had $85.6 million and $75.5 million of outstanding borrowings under the Credit Facility, respectively, and carried an interest rate of 2.20% and 2.47%, respectively, excluding the 0.375% undrawn commitment fee.</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34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JUNE 30, 2013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47"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20" w:firstLine="898"/>
        <w:spacing w:after="0" w:line="294"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300" w:firstLine="898"/>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In connection with our July 16, 2013 public offering, we issued approximately 4.6 million shares (including underwriters’ overallotment option) of common stock at a public offering price of $14.20 per share, raising approximately $65.2 million in gross proceeds.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(the “Company”), including the consolidated schedule of investments, as of June 30, 2013 and the consolidated statement of operations for the three and nine months ended June 30, 2013 and 2012, changes in net assets, and cash flows for the nine months ended June 30, 2013 and 2012. These consolidated financial statements are the responsibility of the Company’s management.</w:t>
      </w:r>
    </w:p>
    <w:p>
      <w:pPr>
        <w:spacing w:after="0" w:line="143"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400" w:firstLine="898"/>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8580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0" cy="1289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66" w:lineRule="exact"/>
        <w:rPr>
          <w:sz w:val="20"/>
          <w:szCs w:val="20"/>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the Investment Adviser to locate suitable investments for us and to monitor and administer our investments; and</w:t>
      </w:r>
    </w:p>
    <w:p>
      <w:pPr>
        <w:spacing w:after="0" w:line="113" w:lineRule="exact"/>
        <w:rPr>
          <w:rFonts w:ascii="Arial" w:cs="Arial" w:eastAsia="Arial" w:hAnsi="Arial"/>
          <w:sz w:val="16"/>
          <w:szCs w:val="16"/>
          <w:color w:val="auto"/>
        </w:rPr>
      </w:pPr>
    </w:p>
    <w:p>
      <w:pPr>
        <w:ind w:left="1440" w:hanging="43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jc w:val="both"/>
        <w:ind w:right="160" w:firstLine="898"/>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6"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2" w:lineRule="exact"/>
        <w:rPr>
          <w:sz w:val="20"/>
          <w:szCs w:val="20"/>
          <w:color w:val="auto"/>
        </w:rPr>
      </w:pPr>
    </w:p>
    <w:p>
      <w:pPr>
        <w:jc w:val="both"/>
        <w:ind w:right="20" w:firstLine="898"/>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140" w:lineRule="exact"/>
        <w:rPr>
          <w:sz w:val="20"/>
          <w:szCs w:val="20"/>
          <w:color w:val="auto"/>
        </w:rPr>
      </w:pPr>
    </w:p>
    <w:p>
      <w:pPr>
        <w:ind w:right="700" w:firstLine="898"/>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898"/>
        <w:spacing w:after="0" w:line="298" w:lineRule="auto"/>
        <w:rPr>
          <w:sz w:val="20"/>
          <w:szCs w:val="20"/>
          <w:color w:val="auto"/>
        </w:rPr>
      </w:pPr>
      <w:r>
        <w:rPr>
          <w:rFonts w:ascii="Arial" w:cs="Arial" w:eastAsia="Arial" w:hAnsi="Arial"/>
          <w:sz w:val="16"/>
          <w:szCs w:val="16"/>
          <w:color w:val="auto"/>
        </w:rPr>
        <w:t>PennantPark Floating Rate Capital Ltd. is a BDC whose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the London Interbank Offered Rate, or LIBOR, plus a fixed spread.</w:t>
      </w:r>
    </w:p>
    <w:p>
      <w:pPr>
        <w:spacing w:after="0" w:line="112" w:lineRule="exact"/>
        <w:rPr>
          <w:sz w:val="20"/>
          <w:szCs w:val="20"/>
          <w:color w:val="auto"/>
        </w:rPr>
      </w:pPr>
    </w:p>
    <w:p>
      <w:pPr>
        <w:jc w:val="both"/>
        <w:ind w:right="240" w:firstLine="898"/>
        <w:spacing w:after="0" w:line="284"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18"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which may, from time to time, include variable-rate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90" w:lineRule="exact"/>
        <w:rPr>
          <w:sz w:val="20"/>
          <w:szCs w:val="20"/>
          <w:color w:val="auto"/>
        </w:rPr>
      </w:pPr>
    </w:p>
    <w:p>
      <w:pPr>
        <w:jc w:val="both"/>
        <w:ind w:right="80" w:firstLine="898"/>
        <w:spacing w:after="0" w:line="25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144" w:lineRule="exact"/>
        <w:rPr>
          <w:sz w:val="20"/>
          <w:szCs w:val="20"/>
          <w:color w:val="auto"/>
        </w:rPr>
      </w:pPr>
    </w:p>
    <w:p>
      <w:pPr>
        <w:ind w:right="60" w:firstLine="898"/>
        <w:spacing w:after="0" w:line="290" w:lineRule="auto"/>
        <w:rPr>
          <w:sz w:val="20"/>
          <w:szCs w:val="20"/>
          <w:color w:val="auto"/>
        </w:rPr>
      </w:pPr>
      <w:r>
        <w:rPr>
          <w:rFonts w:ascii="Arial" w:cs="Arial" w:eastAsia="Arial" w:hAnsi="Arial"/>
          <w:sz w:val="16"/>
          <w:szCs w:val="16"/>
          <w:color w:val="auto"/>
        </w:rPr>
        <w:t>Our investment activities are managed by the Investment Advisers. Under our investment management agreement, or the Investment Management Agreement, we have agreed to pay our Investment Adviser an annual base management fee based on our average adjusted gross total assets as well as an incentive fee based on our investment performance. We have also entered into an administration agreement, or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160" w:firstLine="898"/>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898"/>
        <w:spacing w:after="0" w:line="298" w:lineRule="auto"/>
        <w:rPr>
          <w:sz w:val="20"/>
          <w:szCs w:val="20"/>
          <w:color w:val="auto"/>
        </w:rPr>
      </w:pPr>
      <w:r>
        <w:rPr>
          <w:rFonts w:ascii="Arial" w:cs="Arial" w:eastAsia="Arial" w:hAnsi="Arial"/>
          <w:sz w:val="16"/>
          <w:szCs w:val="16"/>
          <w:color w:val="auto"/>
        </w:rPr>
        <w:t>Our primary operating expenses include the payment of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31" w:lineRule="exact"/>
        <w:rPr>
          <w:sz w:val="20"/>
          <w:szCs w:val="20"/>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440" w:right="200" w:hanging="433"/>
        <w:spacing w:after="0" w:line="268"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440" w:hanging="433"/>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440" w:right="60" w:hanging="433"/>
        <w:spacing w:after="0" w:line="298" w:lineRule="auto"/>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2" w:lineRule="exact"/>
        <w:rPr>
          <w:sz w:val="20"/>
          <w:szCs w:val="20"/>
          <w:color w:val="auto"/>
        </w:rPr>
      </w:pPr>
    </w:p>
    <w:p>
      <w:pPr>
        <w:ind w:right="180" w:firstLine="898"/>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 interest expense and costs relating to future offerings of securities would be additive to the expenses described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40" w:firstLine="898"/>
        <w:spacing w:after="0" w:line="294" w:lineRule="auto"/>
        <w:rPr>
          <w:sz w:val="20"/>
          <w:szCs w:val="20"/>
          <w:color w:val="auto"/>
        </w:rPr>
      </w:pPr>
      <w:r>
        <w:rPr>
          <w:rFonts w:ascii="Arial" w:cs="Arial" w:eastAsia="Arial" w:hAnsi="Arial"/>
          <w:sz w:val="16"/>
          <w:szCs w:val="16"/>
          <w:color w:val="auto"/>
        </w:rPr>
        <w:t>As of June 30, 2013, our portfolio totaled $250.5 million and consisted of $228.5 million of senior secured loans, $13.2 million of second lien secured debt and $8.8 million of subordinated debt, preferred and common equity investments. Our debt portfolio consisted of 91% variable-rate investments (including 88% with a LIBOR or prime floor) and 9% fixed-rate investments. Overall, the portfolio had unrealized depreciation of $3.0 million. Our overall portfolio consisted of 78 companies with an average investment size of $3.2 million, had a weighted average yield on debt investments of 8.1%, and was invested 91% in senior secured loans, 5% in second lien secured debt and 4% in subordinated debt, preferred and common equity investments.</w:t>
      </w:r>
    </w:p>
    <w:p>
      <w:pPr>
        <w:spacing w:after="0" w:line="115" w:lineRule="exact"/>
        <w:rPr>
          <w:sz w:val="20"/>
          <w:szCs w:val="20"/>
          <w:color w:val="auto"/>
        </w:rPr>
      </w:pPr>
    </w:p>
    <w:p>
      <w:pPr>
        <w:ind w:right="80" w:firstLine="898"/>
        <w:spacing w:after="0" w:line="317" w:lineRule="auto"/>
        <w:rPr>
          <w:sz w:val="20"/>
          <w:szCs w:val="20"/>
          <w:color w:val="auto"/>
        </w:rPr>
      </w:pPr>
      <w:r>
        <w:rPr>
          <w:rFonts w:ascii="Arial" w:cs="Arial" w:eastAsia="Arial" w:hAnsi="Arial"/>
          <w:sz w:val="15"/>
          <w:szCs w:val="15"/>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03" w:lineRule="exact"/>
        <w:rPr>
          <w:sz w:val="20"/>
          <w:szCs w:val="20"/>
          <w:color w:val="auto"/>
        </w:rPr>
      </w:pPr>
    </w:p>
    <w:p>
      <w:pPr>
        <w:jc w:val="both"/>
        <w:ind w:right="160" w:firstLine="898"/>
        <w:spacing w:after="0" w:line="298" w:lineRule="auto"/>
        <w:rPr>
          <w:sz w:val="20"/>
          <w:szCs w:val="20"/>
          <w:color w:val="auto"/>
        </w:rPr>
      </w:pPr>
      <w:r>
        <w:rPr>
          <w:rFonts w:ascii="Arial" w:cs="Arial" w:eastAsia="Arial" w:hAnsi="Arial"/>
          <w:sz w:val="16"/>
          <w:szCs w:val="16"/>
          <w:color w:val="auto"/>
        </w:rPr>
        <w:t>For the three months ended June 30, 2013, we invested $114.3 million in 26 new and five existing portfolio companies with a weighted average yield on debt investments of 7.5%. Sales and repayments of investments for the three months ended June 30, 2013 totaled $46.4 million. For the nine months ended June 30, 2013, we invested $198.3 million in 54 new and 11 existing portfolio companies with a weighted average yield on debt investments of 8.0%. Sales and repayments of investments for the nine months ended June 30, 2013 totaled $120.7 million.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firstLine="898"/>
        <w:spacing w:after="0" w:line="298" w:lineRule="auto"/>
        <w:rPr>
          <w:sz w:val="20"/>
          <w:szCs w:val="20"/>
          <w:color w:val="auto"/>
        </w:rPr>
      </w:pPr>
      <w:r>
        <w:rPr>
          <w:rFonts w:ascii="Arial" w:cs="Arial" w:eastAsia="Arial" w:hAnsi="Arial"/>
          <w:sz w:val="16"/>
          <w:szCs w:val="16"/>
          <w:color w:val="auto"/>
        </w:rPr>
        <w:t>For the three months ended June 30, 2012, we invested $27.7 million in 11 new and two existing portfolio companies with a weighted average yield on debt investments of 9.3%. Sales and repayments of investments for the three months ended June 30, 2012 totaled $15.4 million. For the nine months ended June 30, 2012, we invested $99.9 million in 36 new and four existing portfolio companies with a weighted average yield on debt investments of 9.2%. Sales and repayments of investments for the nine months ended June 30, 2012 totaled $57.0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898"/>
        <w:spacing w:after="0" w:line="314" w:lineRule="auto"/>
        <w:rPr>
          <w:sz w:val="20"/>
          <w:szCs w:val="20"/>
          <w:color w:val="auto"/>
        </w:rPr>
      </w:pPr>
      <w:r>
        <w:rPr>
          <w:rFonts w:ascii="Arial" w:cs="Arial" w:eastAsia="Arial" w:hAnsi="Arial"/>
          <w:sz w:val="15"/>
          <w:szCs w:val="15"/>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4" w:lineRule="exact"/>
        <w:rPr>
          <w:sz w:val="20"/>
          <w:szCs w:val="20"/>
          <w:color w:val="auto"/>
        </w:rPr>
      </w:pPr>
    </w:p>
    <w:p>
      <w:pPr>
        <w:ind w:right="60" w:firstLine="898"/>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from our valuations and the differences may be material.</w:t>
      </w:r>
    </w:p>
    <w:p>
      <w:pPr>
        <w:spacing w:after="0" w:line="119"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200" w:hanging="561"/>
        <w:spacing w:after="0" w:line="298"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20" w:hanging="561"/>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firstLine="898"/>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1660" w:right="1540" w:hanging="755"/>
        <w:spacing w:after="0" w:line="268" w:lineRule="auto"/>
        <w:tabs>
          <w:tab w:leader="none" w:pos="1640" w:val="left"/>
        </w:tabs>
        <w:rPr>
          <w:sz w:val="20"/>
          <w:szCs w:val="20"/>
          <w:color w:val="auto"/>
        </w:rPr>
      </w:pPr>
      <w:r>
        <w:rPr>
          <w:rFonts w:ascii="Arial" w:cs="Arial" w:eastAsia="Arial" w:hAnsi="Arial"/>
          <w:sz w:val="18"/>
          <w:szCs w:val="18"/>
          <w:color w:val="auto"/>
        </w:rPr>
        <w:t>Level 1:</w:t>
        <w:tab/>
        <w:t>Inputs that are quoted prices (unadjusted) in active markets for identical assets or liabilities, accessible by us at the measurement date.</w:t>
      </w:r>
    </w:p>
    <w:p>
      <w:pPr>
        <w:spacing w:after="0" w:line="78" w:lineRule="exact"/>
        <w:rPr>
          <w:sz w:val="20"/>
          <w:szCs w:val="20"/>
          <w:color w:val="auto"/>
        </w:rPr>
      </w:pPr>
    </w:p>
    <w:p>
      <w:pPr>
        <w:jc w:val="both"/>
        <w:ind w:left="1660" w:right="1340" w:hanging="755"/>
        <w:spacing w:after="0" w:line="306"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2" w:lineRule="exact"/>
        <w:rPr>
          <w:sz w:val="20"/>
          <w:szCs w:val="20"/>
          <w:color w:val="auto"/>
        </w:rPr>
      </w:pPr>
    </w:p>
    <w:p>
      <w:pPr>
        <w:ind w:left="1660" w:right="1260" w:hanging="755"/>
        <w:spacing w:after="0" w:line="268" w:lineRule="auto"/>
        <w:tabs>
          <w:tab w:leader="none" w:pos="164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nine months ended June 30,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nine months ended June 30, 2013, we had a net change in unrealized appreciation of zero and $0.4 million, respectively. For the three and nine months ended June 30, 2012, we had a net change in unrealized appreciation of less than $0.1 million and $0.3 million, respectively. As of June 30,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and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898"/>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160" w:firstLine="898"/>
        <w:spacing w:after="0" w:line="302" w:lineRule="auto"/>
        <w:rPr>
          <w:sz w:val="20"/>
          <w:szCs w:val="20"/>
          <w:color w:val="auto"/>
        </w:rPr>
      </w:pPr>
      <w:r>
        <w:rPr>
          <w:rFonts w:ascii="Arial" w:cs="Arial" w:eastAsia="Arial" w:hAnsi="Arial"/>
          <w:sz w:val="15"/>
          <w:szCs w:val="15"/>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ind w:right="60" w:firstLine="8"/>
        <w:spacing w:after="0" w:line="292"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Set forth below are the results of operations for the three and nine months ended June 30,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80" w:firstLine="898"/>
        <w:spacing w:after="0" w:line="291" w:lineRule="auto"/>
        <w:rPr>
          <w:sz w:val="20"/>
          <w:szCs w:val="20"/>
          <w:color w:val="auto"/>
        </w:rPr>
      </w:pPr>
      <w:r>
        <w:rPr>
          <w:rFonts w:ascii="Arial" w:cs="Arial" w:eastAsia="Arial" w:hAnsi="Arial"/>
          <w:sz w:val="16"/>
          <w:szCs w:val="16"/>
          <w:color w:val="auto"/>
        </w:rPr>
        <w:t>Investment income for the three and nine months ended June 30, 2013 was $4.7 million and $12.8 million, respectively, and was attributable to $3.9 million and $10.8 million from senior secured loans, $0.5 million and $1.0 million from second lien secured debt investments and $0.3 million and $1.0 million from subordinated debt investments, respectively. This compares to investment income for the three and nine months ended June 30, 2012, which was $3.2 million and $8.6 million, respectively, and was attributable to $2.7 million and $7.0 million from senior secured loans, $0.2 million and $0.8 million from second lien secured debt investments and $0.3 million and $0.5 million from subordinated debt investments, respectively. The increase in investment income compared with the same periods in the prior year is primarily the result of deploying our proceeds from our March 2013 equity offering.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Expenses for the three and nine months ended June 30, 2013 totaled $1.5 million and $5.8 million, respectively. Base management fee for the same periods totaled $0.5 million and $1.5 million, incentive fee totaled less than $0.1 million and $1.0 million, Credit Facility expenses totaled $0.4 million and $1.8 million (including $0.5 million of Credit Facility amendment expenses), general and administrative expenses totaled $0.5 million and $1.4 million and excise taxes were $0.1 million, respectively. This compares to expenses for the three and nine months ended June 30, 2012, which totaled $1.4 million and $3.8 million, respectively. Base management fee for the same periods in the prior year totaled $0.4 million and $1.1 million, incentive fee totaled $(0.1) million and $0.1 million, Credit Facility expenses totaled $0.7 million and $1.3 million (including $0.3 million of non-recurring expenses) and general and administrative expenses totaled $0.4 million and $1.4 million, respectively. The increase in management fee, incentive fee and Credit Facility expenses was due to the growth of our portfolio and expanding our borrowing capacity under our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80" w:firstLine="898"/>
        <w:spacing w:after="0" w:line="256" w:lineRule="auto"/>
        <w:rPr>
          <w:sz w:val="20"/>
          <w:szCs w:val="20"/>
          <w:color w:val="auto"/>
        </w:rPr>
      </w:pPr>
      <w:r>
        <w:rPr>
          <w:rFonts w:ascii="Arial" w:cs="Arial" w:eastAsia="Arial" w:hAnsi="Arial"/>
          <w:sz w:val="18"/>
          <w:szCs w:val="18"/>
          <w:color w:val="auto"/>
        </w:rPr>
        <w:t>Net investment income totaled $3.2 million and $7.0 million, or $0.31 and $0.86 per share, for the three and nine months ended June 30, 2013, respectively. Net investment income totaled $1.8 million and $4.8 million, or $0.27 and $0.70 per share, for the three and nine months ended June 30, 2012, respectively. The increase in net investment income was due to a larger portfolio and higher yielding assets offset by higher Credit Facility expenses and management and incentive fees.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Sales and repayments of investments for the three and nine months ended June 30, 2013 totaled $46.4 million and $120.7 million and realized gains totaled $1.7 million and $3.2 million, respectively. Sales and repayments of investments for the three and nine months ended June 30, 2012 totaled $15.4 million and $57.0 million and realized gains totaled $0.2 million and $0.6 million, respectively. The increase in realized gains was driven by a higher volume of sales and early repayments than the comparable periods in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For the three and nine months ended June 30, 2013, we reported unrealized depreciation on investments of $3.3 million and $3.2 million, respectively. For the three and nine months ended June 30, 2012, we reported unrealized (depreciation) appreciation on investments of $(1.7) million and $2.4 million, respectively. As of June 30, 2013 and September 30, 2012, net unrealized (depreciation) appreciation on investments totaled $(3.0) million and $0.3 million, respectively. The decrease in unrealized appreciation for current periods compared to prior periods was the result of the reversal of unrealized gains upon exiting our investments and changes in market values.</w:t>
      </w:r>
    </w:p>
    <w:p>
      <w:pPr>
        <w:spacing w:after="0" w:line="147"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For the three and nine months ended June 30, 2013, our long-term Credit Facility had a change in unrealized appreciation of zero and $0.4 million, respectively. For the three and nine months ended June 30, 2012, our long-term Credit Facility had a change in unrealized depreciation of less than $0.1 million and $0.3 million, respectively. As of June 30,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jc w:val="both"/>
        <w:ind w:right="160" w:firstLine="898"/>
        <w:spacing w:after="0" w:line="256" w:lineRule="auto"/>
        <w:rPr>
          <w:sz w:val="20"/>
          <w:szCs w:val="20"/>
          <w:color w:val="auto"/>
        </w:rPr>
      </w:pPr>
      <w:r>
        <w:rPr>
          <w:rFonts w:ascii="Arial" w:cs="Arial" w:eastAsia="Arial" w:hAnsi="Arial"/>
          <w:sz w:val="18"/>
          <w:szCs w:val="18"/>
          <w:color w:val="auto"/>
        </w:rPr>
        <w:t>Net increase in net assets resulting from operations totaled $1.6 million and $6.5 million, or $0.15 and $0.81 per share, respectively, for the three and nine months ended June 30, 2013. This compares to a net increase in net assets resulting from operations which totaled $0.4 million and $8.0 million, or $0.06 and $1.17 per share, respectively, for the three and nine months ended June 30, 2012. The decrease in net assets resulting from operations compared to last year was due to changes in the market values of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43"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Funding I’s Credit Facility with SunTrust Bank, or the Lender, is $125 million, subject to satisfaction of certain conditions and the regulatory restrictions that the 1940 Act imposes on us as a BDC, has an interest rate spread above LIBOR of 200 basis points, a maturity date of May 2018 and a revolving period (as defined below) of May 2016. As of June 30, 2013 and September 30, 2012, Funding I had $85.6 million and $75.5 million of outstanding borrowings under the Credit Facility, respectively, and carried an interest rate of 2.20% and 2.47%, respectively, excluding the 0.375% undrawn commitment fee.</w:t>
      </w:r>
    </w:p>
    <w:p>
      <w:pPr>
        <w:spacing w:after="0" w:line="147"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As of June 30, 2013, we were in compliance with the covenants relating to our Credit Facility.</w:t>
      </w:r>
    </w:p>
    <w:p>
      <w:pPr>
        <w:spacing w:after="0" w:line="120"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20" w:lineRule="exact"/>
        <w:rPr>
          <w:sz w:val="20"/>
          <w:szCs w:val="20"/>
          <w:color w:val="auto"/>
        </w:rPr>
      </w:pPr>
    </w:p>
    <w:p>
      <w:pPr>
        <w:ind w:right="120" w:firstLine="898"/>
        <w:spacing w:after="0" w:line="253"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 In March 2013, we completed a follow-on public offering, including the underwriters’ exercise of the overallotment option,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147" w:lineRule="exact"/>
        <w:rPr>
          <w:sz w:val="20"/>
          <w:szCs w:val="20"/>
          <w:color w:val="auto"/>
        </w:rPr>
      </w:pPr>
    </w:p>
    <w:p>
      <w:pPr>
        <w:ind w:right="260" w:firstLine="898"/>
        <w:spacing w:after="0" w:line="268" w:lineRule="auto"/>
        <w:rPr>
          <w:sz w:val="20"/>
          <w:szCs w:val="20"/>
          <w:color w:val="auto"/>
        </w:rPr>
      </w:pPr>
      <w:r>
        <w:rPr>
          <w:rFonts w:ascii="Arial" w:cs="Arial" w:eastAsia="Arial" w:hAnsi="Arial"/>
          <w:sz w:val="18"/>
          <w:szCs w:val="18"/>
          <w:color w:val="auto"/>
        </w:rPr>
        <w:t>On June 30, 2013, we had cash equivalents of $6.9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Our operating activities used cash of $47.1 million for the nine months ended June 30, 2013, and our financing activities provided cash of $50.2 million for the same period. Our operating activities used cash primarily for our investment activity that was offset by our financing activities, which provided cash primarily from a public offering and net repayments under the Credit Facility.</w:t>
      </w:r>
    </w:p>
    <w:p>
      <w:pPr>
        <w:spacing w:after="0" w:line="140" w:lineRule="exact"/>
        <w:rPr>
          <w:sz w:val="20"/>
          <w:szCs w:val="20"/>
          <w:color w:val="auto"/>
        </w:rPr>
      </w:pPr>
    </w:p>
    <w:p>
      <w:pPr>
        <w:jc w:val="both"/>
        <w:ind w:right="200" w:firstLine="898"/>
        <w:spacing w:after="0" w:line="369" w:lineRule="auto"/>
        <w:rPr>
          <w:sz w:val="20"/>
          <w:szCs w:val="20"/>
          <w:color w:val="auto"/>
        </w:rPr>
      </w:pPr>
      <w:r>
        <w:rPr>
          <w:rFonts w:ascii="Arial" w:cs="Arial" w:eastAsia="Arial" w:hAnsi="Arial"/>
          <w:sz w:val="15"/>
          <w:szCs w:val="15"/>
          <w:color w:val="auto"/>
        </w:rPr>
        <w:t>Our operating activities used cash of $28.9 million for the nine months ended June 30, 2012, and our financing activities provided cash of $25.2 million for the same period. Our operating activities used cash primarily for our investment activity that was financed by net draws under the Credit Facility.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460" w:firstLine="898"/>
        <w:spacing w:after="0" w:line="268" w:lineRule="auto"/>
        <w:rPr>
          <w:sz w:val="20"/>
          <w:szCs w:val="20"/>
          <w:color w:val="auto"/>
        </w:rPr>
      </w:pPr>
      <w:r>
        <w:rPr>
          <w:rFonts w:ascii="Arial" w:cs="Arial" w:eastAsia="Arial" w:hAnsi="Arial"/>
          <w:sz w:val="18"/>
          <w:szCs w:val="18"/>
          <w:color w:val="auto"/>
        </w:rPr>
        <w:t>A summary of our significant contractual payment obligations as of June 30, 2013,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w w:val="96"/>
              </w:rPr>
              <w:t>Payments due by period (millions)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3"/>
                <w:szCs w:val="13"/>
                <w:b w:val="1"/>
                <w:bCs w:val="1"/>
                <w:color w:val="auto"/>
                <w:w w:val="85"/>
              </w:rPr>
              <w:t>Less than</w:t>
            </w:r>
          </w:p>
        </w:tc>
        <w:tc>
          <w:tcPr>
            <w:tcW w:w="620" w:type="dxa"/>
            <w:vAlign w:val="bottom"/>
            <w:gridSpan w:val="2"/>
          </w:tcPr>
          <w:p>
            <w:pPr>
              <w:jc w:val="right"/>
              <w:ind w:right="2"/>
              <w:spacing w:after="0" w:line="129" w:lineRule="exact"/>
              <w:rPr>
                <w:sz w:val="20"/>
                <w:szCs w:val="20"/>
                <w:color w:val="auto"/>
              </w:rPr>
            </w:pPr>
            <w:r>
              <w:rPr>
                <w:rFonts w:ascii="Arial" w:cs="Arial" w:eastAsia="Arial" w:hAnsi="Arial"/>
                <w:sz w:val="13"/>
                <w:szCs w:val="13"/>
                <w:b w:val="1"/>
                <w:bCs w:val="1"/>
                <w:color w:val="auto"/>
              </w:rPr>
              <w:t>1-3</w:t>
            </w:r>
          </w:p>
        </w:tc>
        <w:tc>
          <w:tcPr>
            <w:tcW w:w="660" w:type="dxa"/>
            <w:vAlign w:val="bottom"/>
            <w:gridSpan w:val="2"/>
          </w:tcPr>
          <w:p>
            <w:pPr>
              <w:jc w:val="right"/>
              <w:ind w:right="22"/>
              <w:spacing w:after="0" w:line="129" w:lineRule="exact"/>
              <w:rPr>
                <w:sz w:val="20"/>
                <w:szCs w:val="20"/>
                <w:color w:val="auto"/>
              </w:rPr>
            </w:pPr>
            <w:r>
              <w:rPr>
                <w:rFonts w:ascii="Arial" w:cs="Arial" w:eastAsia="Arial" w:hAnsi="Arial"/>
                <w:sz w:val="13"/>
                <w:szCs w:val="13"/>
                <w:b w:val="1"/>
                <w:bCs w:val="1"/>
                <w:color w:val="auto"/>
              </w:rPr>
              <w:t>3-5</w:t>
            </w:r>
          </w:p>
        </w:tc>
        <w:tc>
          <w:tcPr>
            <w:tcW w:w="2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38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2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b w:val="1"/>
                <w:bCs w:val="1"/>
                <w:color w:val="auto"/>
              </w:rPr>
              <w:t>1 year</w:t>
            </w: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4"/>
              </w:rPr>
              <w:t>years</w:t>
            </w:r>
          </w:p>
        </w:tc>
        <w:tc>
          <w:tcPr>
            <w:tcW w:w="2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209"/>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85.6</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85.6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898"/>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2"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jc w:val="both"/>
        <w:ind w:right="80" w:firstLine="898"/>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2" w:lineRule="exact"/>
        <w:rPr>
          <w:sz w:val="20"/>
          <w:szCs w:val="20"/>
          <w:color w:val="auto"/>
        </w:rPr>
      </w:pPr>
    </w:p>
    <w:p>
      <w:pPr>
        <w:ind w:right="260" w:firstLine="898"/>
        <w:spacing w:after="0" w:line="291" w:lineRule="auto"/>
        <w:rPr>
          <w:sz w:val="20"/>
          <w:szCs w:val="20"/>
          <w:color w:val="auto"/>
        </w:rPr>
      </w:pPr>
      <w:r>
        <w:rPr>
          <w:rFonts w:ascii="Arial" w:cs="Arial" w:eastAsia="Arial" w:hAnsi="Arial"/>
          <w:sz w:val="16"/>
          <w:szCs w:val="16"/>
          <w:color w:val="auto"/>
        </w:rPr>
        <w:t>During the three and nine months ended June 30, 2013, we declared to stockholders distributions of $0.263 and $0.765 per share, for total distributions of $2.7 million and $6.1 million, respectively. For the same periods in the prior year, we declared distributions of $0.235 and $0.670 per share, respectively, for total distributions of $1.6 million and $4.6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20"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jc w:val="both"/>
        <w:ind w:right="80" w:firstLine="898"/>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6"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In connection with our July 16, 2013 public offering, we issued approximately 4.6 million shares (including underwriters’ overallotment option) of common stock at a public offering price of $14.20 per share, raising approximately $65.2 million in gross proceeds.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June 30, 2013, our debt portfolio consisted of 91% variable-rate investments (including 88% with a LIBOR or prime floor) and 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Change In Interest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3"/>
                <w:szCs w:val="13"/>
                <w:b w:val="1"/>
                <w:bCs w:val="1"/>
                <w:color w:val="auto"/>
                <w:w w:val="98"/>
              </w:rPr>
              <w:t>Change In Interest Rates</w:t>
            </w:r>
          </w:p>
        </w:tc>
        <w:tc>
          <w:tcPr>
            <w:tcW w:w="4520" w:type="dxa"/>
            <w:vAlign w:val="bottom"/>
          </w:tcPr>
          <w:p>
            <w:pPr>
              <w:spacing w:after="0"/>
              <w:rPr>
                <w:sz w:val="12"/>
                <w:szCs w:val="12"/>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Income, Net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gridSpan w:val="2"/>
          </w:tcPr>
          <w:p>
            <w:pPr>
              <w:jc w:val="center"/>
              <w:ind w:right="360"/>
              <w:spacing w:after="0" w:line="148" w:lineRule="exact"/>
              <w:rPr>
                <w:sz w:val="20"/>
                <w:szCs w:val="20"/>
                <w:color w:val="auto"/>
              </w:rPr>
            </w:pPr>
            <w:r>
              <w:rPr>
                <w:rFonts w:ascii="Arial" w:cs="Arial" w:eastAsia="Arial" w:hAnsi="Arial"/>
                <w:sz w:val="13"/>
                <w:szCs w:val="13"/>
                <w:b w:val="1"/>
                <w:bCs w:val="1"/>
                <w:color w:val="auto"/>
                <w:w w:val="92"/>
              </w:rPr>
              <w:t>Interest Expense</w:t>
            </w:r>
          </w:p>
        </w:tc>
        <w:tc>
          <w:tcPr>
            <w:tcW w:w="320" w:type="dxa"/>
            <w:vAlign w:val="bottom"/>
          </w:tcPr>
          <w:p>
            <w:pPr>
              <w:spacing w:after="0"/>
              <w:rPr>
                <w:sz w:val="14"/>
                <w:szCs w:val="14"/>
                <w:color w:val="auto"/>
              </w:rPr>
            </w:pPr>
          </w:p>
        </w:tc>
        <w:tc>
          <w:tcPr>
            <w:tcW w:w="6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1%</w:t>
            </w:r>
          </w:p>
        </w:tc>
        <w:tc>
          <w:tcPr>
            <w:tcW w:w="4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(760,458)</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(0.07)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Up 2%</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144,173</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1,635,040</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Up 4%</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3,125,906</w:t>
            </w:r>
          </w:p>
        </w:tc>
        <w:tc>
          <w:tcPr>
            <w:tcW w:w="38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43" w:lineRule="exact"/>
        <w:rPr>
          <w:sz w:val="20"/>
          <w:szCs w:val="20"/>
          <w:color w:val="auto"/>
        </w:rPr>
      </w:pPr>
    </w:p>
    <w:p>
      <w:pPr>
        <w:ind w:firstLine="898"/>
        <w:spacing w:after="0" w:line="306"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6"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898"/>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600" w:firstLine="89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June 30, 2013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net asset value and the trading price of our common stock, or any securities we may issue, could decline, and you may lose all or part of your investment.</w:t>
      </w:r>
    </w:p>
    <w:p>
      <w:pPr>
        <w:spacing w:after="0" w:line="120" w:lineRule="exact"/>
        <w:rPr>
          <w:sz w:val="20"/>
          <w:szCs w:val="20"/>
          <w:color w:val="auto"/>
        </w:rPr>
      </w:pPr>
    </w:p>
    <w:p>
      <w:pPr>
        <w:ind w:right="200" w:firstLine="898"/>
        <w:spacing w:after="0" w:line="256" w:lineRule="auto"/>
        <w:rPr>
          <w:sz w:val="20"/>
          <w:szCs w:val="20"/>
          <w:color w:val="auto"/>
        </w:rPr>
      </w:pPr>
      <w:r>
        <w:rPr>
          <w:rFonts w:ascii="Arial" w:cs="Arial" w:eastAsia="Arial" w:hAnsi="Arial"/>
          <w:sz w:val="18"/>
          <w:szCs w:val="18"/>
          <w:color w:val="auto"/>
        </w:rPr>
        <w:t>In addition to the risk factor above and other information set forth in this Report, you should consider carefully the factors discussed in Part I “Item 1A. Risk Factors” in our Annual Report on Form 10-K for the fiscal year ended September 30, 2012 and in Part I “Item 1A. Risk Factors” in our Quarterly Report on Form 10-Q for the fiscal quarter ended March 31, 2013, which could materially affect our business, financial condition and/or operating results.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198" w:lineRule="exact"/>
        <w:rPr>
          <w:sz w:val="20"/>
          <w:szCs w:val="20"/>
          <w:color w:val="auto"/>
        </w:rPr>
      </w:pPr>
    </w:p>
    <w:p>
      <w:pPr>
        <w:ind w:left="840" w:right="240" w:hanging="748"/>
        <w:spacing w:after="0" w:line="268"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Amendment and Restatement of the Registrant (Incorporated by reference to the Registrant’s Pre-Effective Amendment No. 3 to the Registration Statement on Form N-2 (File No. 333-170243), filed on March 29, 2011).</w:t>
      </w:r>
    </w:p>
    <w:p>
      <w:pPr>
        <w:spacing w:after="0" w:line="78"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of the Registrant (Incorporated by reference to the Registrant’s Quarterly Report on Form 10-Q (File No. 814-</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00891), filed on May 3, 2012).</w:t>
      </w:r>
    </w:p>
    <w:p>
      <w:pPr>
        <w:spacing w:after="0" w:line="111"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the Registrant’s Pre-Effective Amendment No. 5 to the Registration Statement on Form 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 (File No. 333-170243), filed on April 5, 2011).</w:t>
      </w:r>
    </w:p>
    <w:p>
      <w:pPr>
        <w:spacing w:after="0" w:line="111" w:lineRule="exact"/>
        <w:rPr>
          <w:sz w:val="20"/>
          <w:szCs w:val="20"/>
          <w:color w:val="auto"/>
        </w:rPr>
      </w:pPr>
    </w:p>
    <w:p>
      <w:pPr>
        <w:ind w:left="840" w:hanging="8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40" w:right="540" w:hanging="836"/>
        <w:spacing w:after="0" w:line="268" w:lineRule="auto"/>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spacing w:after="0"/>
        <w:tabs>
          <w:tab w:leader="none" w:pos="5380" w:val="left"/>
          <w:tab w:leader="none" w:pos="7700" w:val="left"/>
          <w:tab w:leader="none" w:pos="804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Chairman of the Board of Directors and Chief Executive Officer</w:t>
      </w:r>
    </w:p>
    <w:p>
      <w:pPr>
        <w:spacing w:after="0" w:line="3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pacing w:after="0" w:line="232" w:lineRule="exact"/>
        <w:rPr>
          <w:sz w:val="20"/>
          <w:szCs w:val="20"/>
          <w:color w:val="auto"/>
        </w:rPr>
      </w:pPr>
    </w:p>
    <w:p>
      <w:pPr>
        <w:spacing w:after="0"/>
        <w:tabs>
          <w:tab w:leader="none" w:pos="5380" w:val="left"/>
          <w:tab w:leader="none" w:pos="7880" w:val="left"/>
          <w:tab w:leader="none" w:pos="820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Aviv Efrat</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Arthur H. Penn, Chief Executive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100" w:firstLine="457"/>
        <w:spacing w:after="0" w:line="259"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80" w:firstLine="906"/>
        <w:spacing w:after="0" w:line="259" w:lineRule="auto"/>
        <w:tabs>
          <w:tab w:leader="none" w:pos="10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40" w:firstLine="906"/>
        <w:spacing w:after="0" w:line="331" w:lineRule="auto"/>
        <w:tabs>
          <w:tab w:leader="none" w:pos="108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280" w:firstLine="457"/>
        <w:spacing w:after="0" w:line="331" w:lineRule="auto"/>
        <w:tabs>
          <w:tab w:leader="none" w:pos="6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Aviv Efrat, Chief Financial Officer of PennantPark Floating Rate Capital Ltd., certify that:</w:t>
      </w:r>
    </w:p>
    <w:p>
      <w:pPr>
        <w:spacing w:after="0" w:line="171" w:lineRule="exact"/>
        <w:rPr>
          <w:sz w:val="20"/>
          <w:szCs w:val="20"/>
          <w:color w:val="auto"/>
        </w:rPr>
      </w:pPr>
    </w:p>
    <w:p>
      <w:pPr>
        <w:ind w:left="640" w:hanging="18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Floating Rate Capital Ltd.;</w:t>
      </w:r>
    </w:p>
    <w:p>
      <w:pPr>
        <w:spacing w:after="0" w:line="171" w:lineRule="exact"/>
        <w:rPr>
          <w:rFonts w:ascii="Arial" w:cs="Arial" w:eastAsia="Arial" w:hAnsi="Arial"/>
          <w:sz w:val="18"/>
          <w:szCs w:val="18"/>
          <w:color w:val="auto"/>
        </w:rPr>
      </w:pPr>
    </w:p>
    <w:p>
      <w:pPr>
        <w:ind w:right="340" w:firstLine="457"/>
        <w:spacing w:after="0" w:line="369" w:lineRule="auto"/>
        <w:tabs>
          <w:tab w:leader="none" w:pos="625"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5"/>
          <w:szCs w:val="15"/>
          <w:color w:val="auto"/>
        </w:rPr>
      </w:pPr>
    </w:p>
    <w:p>
      <w:pPr>
        <w:ind w:right="300" w:firstLine="457"/>
        <w:spacing w:after="0" w:line="331" w:lineRule="auto"/>
        <w:tabs>
          <w:tab w:leader="none" w:pos="6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6"/>
          <w:szCs w:val="16"/>
          <w:color w:val="auto"/>
        </w:rPr>
      </w:pPr>
    </w:p>
    <w:p>
      <w:pPr>
        <w:ind w:right="400" w:firstLine="457"/>
        <w:spacing w:after="0" w:line="259" w:lineRule="auto"/>
        <w:tabs>
          <w:tab w:leader="none" w:pos="6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39" w:lineRule="exact"/>
        <w:rPr>
          <w:rFonts w:ascii="Arial" w:cs="Arial" w:eastAsia="Arial" w:hAnsi="Arial"/>
          <w:sz w:val="18"/>
          <w:szCs w:val="18"/>
          <w:color w:val="auto"/>
        </w:rPr>
      </w:pPr>
    </w:p>
    <w:p>
      <w:pPr>
        <w:ind w:right="80" w:firstLine="906"/>
        <w:spacing w:after="0" w:line="259" w:lineRule="auto"/>
        <w:tabs>
          <w:tab w:leader="none" w:pos="10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120" w:firstLine="906"/>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640" w:firstLine="906"/>
        <w:spacing w:after="0" w:line="331" w:lineRule="auto"/>
        <w:tabs>
          <w:tab w:leader="none" w:pos="107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6"/>
          <w:szCs w:val="16"/>
          <w:color w:val="auto"/>
        </w:rPr>
      </w:pPr>
    </w:p>
    <w:p>
      <w:pPr>
        <w:ind w:right="240" w:firstLine="906"/>
        <w:spacing w:after="0" w:line="331" w:lineRule="auto"/>
        <w:tabs>
          <w:tab w:leader="none" w:pos="108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6"/>
          <w:szCs w:val="16"/>
          <w:color w:val="auto"/>
        </w:rPr>
      </w:pPr>
    </w:p>
    <w:p>
      <w:pPr>
        <w:ind w:right="280" w:firstLine="457"/>
        <w:spacing w:after="0" w:line="331" w:lineRule="auto"/>
        <w:tabs>
          <w:tab w:leader="none" w:pos="6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6"/>
          <w:szCs w:val="16"/>
          <w:color w:val="auto"/>
        </w:rPr>
      </w:pPr>
    </w:p>
    <w:p>
      <w:pPr>
        <w:ind w:right="100" w:firstLine="906"/>
        <w:spacing w:after="0" w:line="268" w:lineRule="auto"/>
        <w:tabs>
          <w:tab w:leader="none" w:pos="10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60" w:firstLine="906"/>
        <w:spacing w:after="0" w:line="268"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nine months ended June 30, 2013,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2013</w:t>
      </w:r>
    </w:p>
    <w:p>
      <w:pPr>
        <w:sectPr>
          <w:pgSz w:w="11900" w:h="16838" w:orient="portrait"/>
          <w:cols w:equalWidth="0" w:num="1">
            <w:col w:w="11240"/>
          </w:cols>
          <w:pgMar w:left="320" w:top="125" w:right="339" w:bottom="1440" w:gutter="0" w:footer="0" w:header="0"/>
        </w:sectPr>
      </w:pPr>
    </w:p>
    <w:bookmarkStart w:id="40" w:name="page41"/>
    <w:bookmarkEnd w:id="40"/>
    <w:p>
      <w:pPr>
        <w:ind w:left="1014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nine months ended June 30, 2013,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2013</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lvl w:ilvl="1">
      <w:lvlJc w:val="left"/>
      <w:lvlText w:val="(%2)"/>
      <w:numFmt w:val="lowerLetter"/>
      <w:start w:val="2"/>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2020-05-05T12:05:17Z</dcterms:created>
  <dcterms:modified xsi:type="dcterms:W3CDTF">2020-05-05T12:05:17Z</dcterms:modified>
</cp:coreProperties>
</file>