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February 9, 2022</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1691 Michigan Avenue, Miami Beach, Florida 33139</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590 Madison Avenue, 15th Floor</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9, 2022, PennantPark Floating Rate Capital Ltd., or the Company, issued a press release announcing its financial results for the first fiscal quarter ended December 31, 2021. A copy of the press release is furnished as Exhibit 99.1 to this report pursuant to Item 2.02 on Form 8-K and Regulation FD.</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 information concerning the COVID-19 pandemic and its potential impact on the Company’s business and operating results, see the Company’s Quarterly Report on Form 10-Q for the quarter ended December 31, 2021, including “Item 2. Management's Discussion and Analysis of Financial Condition and Results of Operations – COVID-19 Developments”.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5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Press Release of PennantPark Floating Rate Capital Ltd. dated February 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5000" w:type="dxa"/>
            <w:vAlign w:val="bottom"/>
            <w:gridSpan w:val="3"/>
          </w:tcPr>
          <w:p>
            <w:pPr>
              <w:ind w:left="190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7"/>
        </w:trPr>
        <w:tc>
          <w:tcPr>
            <w:tcW w:w="3560" w:type="dxa"/>
            <w:vAlign w:val="bottom"/>
          </w:tcPr>
          <w:p>
            <w:pPr>
              <w:spacing w:after="0"/>
              <w:rPr>
                <w:sz w:val="20"/>
                <w:szCs w:val="20"/>
                <w:color w:val="auto"/>
              </w:rPr>
            </w:pPr>
            <w:r>
              <w:rPr>
                <w:rFonts w:ascii="Arial" w:cs="Arial" w:eastAsia="Arial" w:hAnsi="Arial"/>
                <w:sz w:val="18"/>
                <w:szCs w:val="18"/>
                <w:color w:val="auto"/>
              </w:rPr>
              <w:t>Date: February 9, 2022</w:t>
            </w:r>
          </w:p>
        </w:tc>
        <w:tc>
          <w:tcPr>
            <w:tcW w:w="5000" w:type="dxa"/>
            <w:vAlign w:val="bottom"/>
            <w:gridSpan w:val="3"/>
          </w:tcPr>
          <w:p>
            <w:pPr>
              <w:ind w:left="1900"/>
              <w:spacing w:after="0"/>
              <w:rPr>
                <w:sz w:val="20"/>
                <w:szCs w:val="20"/>
                <w:color w:val="auto"/>
              </w:rPr>
            </w:pPr>
            <w:r>
              <w:rPr>
                <w:rFonts w:ascii="Arial" w:cs="Arial" w:eastAsia="Arial" w:hAnsi="Arial"/>
                <w:sz w:val="18"/>
                <w:szCs w:val="18"/>
                <w:color w:val="auto"/>
              </w:rPr>
              <w:t>By: /s/ Richard Cheung</w:t>
            </w:r>
          </w:p>
        </w:tc>
      </w:tr>
      <w:tr>
        <w:trPr>
          <w:trHeight w:val="222"/>
        </w:trPr>
        <w:tc>
          <w:tcPr>
            <w:tcW w:w="3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104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PennantPark Floating Rate Capital Ltd. Announces Financial Results for the Quarter Ended December 31, 2021</w:t>
      </w:r>
    </w:p>
    <w:p>
      <w:pPr>
        <w:spacing w:after="0" w:line="224" w:lineRule="exact"/>
        <w:rPr>
          <w:sz w:val="20"/>
          <w:szCs w:val="20"/>
          <w:color w:val="auto"/>
        </w:rPr>
      </w:pPr>
    </w:p>
    <w:p>
      <w:pPr>
        <w:ind w:right="440"/>
        <w:spacing w:after="0" w:line="250" w:lineRule="auto"/>
        <w:rPr>
          <w:sz w:val="20"/>
          <w:szCs w:val="20"/>
          <w:color w:val="auto"/>
        </w:rPr>
      </w:pPr>
      <w:r>
        <w:rPr>
          <w:rFonts w:ascii="Arial" w:cs="Arial" w:eastAsia="Arial" w:hAnsi="Arial"/>
          <w:sz w:val="22"/>
          <w:szCs w:val="22"/>
          <w:color w:val="auto"/>
        </w:rPr>
        <w:t>MIAMI, Feb. 09, 2022 (GLOBE NEWSWIRE) -- PennantPark Floating Rate Capital Ltd. (NASDAQ: PFLT) (TASE: PFLT) announced today financial results for the first fiscal quarter ended December 31,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220" w:type="dxa"/>
            <w:vAlign w:val="bottom"/>
          </w:tcPr>
          <w:p>
            <w:pPr>
              <w:spacing w:after="0"/>
              <w:rPr>
                <w:sz w:val="20"/>
                <w:szCs w:val="20"/>
                <w:color w:val="auto"/>
              </w:rPr>
            </w:pPr>
            <w:r>
              <w:rPr>
                <w:rFonts w:ascii="Arial" w:cs="Arial" w:eastAsia="Arial" w:hAnsi="Arial"/>
                <w:sz w:val="22"/>
                <w:szCs w:val="22"/>
                <w:b w:val="1"/>
                <w:bCs w:val="1"/>
                <w:color w:val="auto"/>
              </w:rPr>
              <w:t>HIGHLIGHTS</w:t>
            </w:r>
          </w:p>
        </w:tc>
        <w:tc>
          <w:tcPr>
            <w:tcW w:w="3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220" w:type="dxa"/>
            <w:vAlign w:val="bottom"/>
          </w:tcPr>
          <w:p>
            <w:pPr>
              <w:ind w:left="20"/>
              <w:spacing w:after="0"/>
              <w:rPr>
                <w:sz w:val="20"/>
                <w:szCs w:val="20"/>
                <w:color w:val="auto"/>
              </w:rPr>
            </w:pPr>
            <w:r>
              <w:rPr>
                <w:rFonts w:ascii="Arial" w:cs="Arial" w:eastAsia="Arial" w:hAnsi="Arial"/>
                <w:sz w:val="22"/>
                <w:szCs w:val="22"/>
                <w:color w:val="auto"/>
              </w:rPr>
              <w:t>Quarter ended December 31, 2021</w:t>
            </w:r>
          </w:p>
        </w:tc>
        <w:tc>
          <w:tcPr>
            <w:tcW w:w="3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220" w:type="dxa"/>
            <w:vAlign w:val="bottom"/>
          </w:tcPr>
          <w:p>
            <w:pPr>
              <w:ind w:left="20"/>
              <w:spacing w:after="0"/>
              <w:rPr>
                <w:sz w:val="20"/>
                <w:szCs w:val="20"/>
                <w:color w:val="auto"/>
              </w:rPr>
            </w:pPr>
            <w:r>
              <w:rPr>
                <w:rFonts w:ascii="Arial" w:cs="Arial" w:eastAsia="Arial" w:hAnsi="Arial"/>
                <w:sz w:val="22"/>
                <w:szCs w:val="22"/>
                <w:color w:val="auto"/>
              </w:rPr>
              <w:t>($ in millions, except per share amounts)</w:t>
            </w:r>
          </w:p>
        </w:tc>
        <w:tc>
          <w:tcPr>
            <w:tcW w:w="30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7220" w:type="dxa"/>
            <w:vAlign w:val="bottom"/>
          </w:tcPr>
          <w:p>
            <w:pPr>
              <w:ind w:left="20"/>
              <w:spacing w:after="0"/>
              <w:rPr>
                <w:sz w:val="20"/>
                <w:szCs w:val="20"/>
                <w:color w:val="auto"/>
              </w:rPr>
            </w:pPr>
            <w:r>
              <w:rPr>
                <w:rFonts w:ascii="Arial" w:cs="Arial" w:eastAsia="Arial" w:hAnsi="Arial"/>
                <w:sz w:val="22"/>
                <w:szCs w:val="22"/>
                <w:color w:val="auto"/>
              </w:rPr>
              <w:t>Assets and Liabilities:</w:t>
            </w:r>
          </w:p>
        </w:tc>
        <w:tc>
          <w:tcPr>
            <w:tcW w:w="3040" w:type="dxa"/>
            <w:vAlign w:val="bottom"/>
            <w:vMerge w:val="restart"/>
          </w:tcPr>
          <w:p>
            <w:pPr>
              <w:jc w:val="right"/>
              <w:ind w:right="132"/>
              <w:spacing w:after="0"/>
              <w:rPr>
                <w:sz w:val="20"/>
                <w:szCs w:val="20"/>
                <w:color w:val="auto"/>
              </w:rPr>
            </w:pPr>
            <w:r>
              <w:rPr>
                <w:rFonts w:ascii="Arial" w:cs="Arial" w:eastAsia="Arial" w:hAnsi="Arial"/>
                <w:sz w:val="22"/>
                <w:szCs w:val="22"/>
                <w:color w:val="auto"/>
              </w:rPr>
              <w: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7220" w:type="dxa"/>
            <w:vAlign w:val="bottom"/>
          </w:tcPr>
          <w:p>
            <w:pPr>
              <w:ind w:left="140"/>
              <w:spacing w:after="0" w:line="319" w:lineRule="exact"/>
              <w:rPr>
                <w:sz w:val="20"/>
                <w:szCs w:val="20"/>
                <w:color w:val="auto"/>
              </w:rPr>
            </w:pPr>
            <w:r>
              <w:rPr>
                <w:rFonts w:ascii="Arial" w:cs="Arial" w:eastAsia="Arial" w:hAnsi="Arial"/>
                <w:sz w:val="22"/>
                <w:szCs w:val="22"/>
                <w:color w:val="auto"/>
              </w:rPr>
              <w:t xml:space="preserve">Investment portfolio </w:t>
            </w:r>
            <w:r>
              <w:rPr>
                <w:rFonts w:ascii="Arial" w:cs="Arial" w:eastAsia="Arial" w:hAnsi="Arial"/>
                <w:sz w:val="35"/>
                <w:szCs w:val="35"/>
                <w:color w:val="auto"/>
                <w:vertAlign w:val="superscript"/>
              </w:rPr>
              <w:t>(1)</w:t>
            </w:r>
          </w:p>
        </w:tc>
        <w:tc>
          <w:tcPr>
            <w:tcW w:w="3040" w:type="dxa"/>
            <w:vAlign w:val="bottom"/>
            <w:vMerge w:val="continue"/>
          </w:tcPr>
          <w:p>
            <w:pPr>
              <w:spacing w:after="0"/>
              <w:rPr>
                <w:sz w:val="24"/>
                <w:szCs w:val="24"/>
                <w:color w:val="auto"/>
              </w:rPr>
            </w:pPr>
          </w:p>
        </w:tc>
        <w:tc>
          <w:tcPr>
            <w:tcW w:w="960" w:type="dxa"/>
            <w:vAlign w:val="bottom"/>
          </w:tcPr>
          <w:p>
            <w:pPr>
              <w:jc w:val="right"/>
              <w:ind w:right="72"/>
              <w:spacing w:after="0"/>
              <w:rPr>
                <w:sz w:val="20"/>
                <w:szCs w:val="20"/>
                <w:color w:val="auto"/>
              </w:rPr>
            </w:pPr>
            <w:r>
              <w:rPr>
                <w:rFonts w:ascii="Arial" w:cs="Arial" w:eastAsia="Arial" w:hAnsi="Arial"/>
                <w:sz w:val="22"/>
                <w:szCs w:val="22"/>
                <w:color w:val="auto"/>
              </w:rPr>
              <w:t>1,179.8</w:t>
            </w:r>
          </w:p>
        </w:tc>
        <w:tc>
          <w:tcPr>
            <w:tcW w:w="0" w:type="dxa"/>
            <w:vAlign w:val="bottom"/>
          </w:tcPr>
          <w:p>
            <w:pPr>
              <w:spacing w:after="0"/>
              <w:rPr>
                <w:sz w:val="1"/>
                <w:szCs w:val="1"/>
                <w:color w:val="auto"/>
              </w:rPr>
            </w:pPr>
          </w:p>
        </w:tc>
      </w:tr>
      <w:tr>
        <w:trPr>
          <w:trHeight w:val="270"/>
        </w:trPr>
        <w:tc>
          <w:tcPr>
            <w:tcW w:w="7220" w:type="dxa"/>
            <w:vAlign w:val="bottom"/>
          </w:tcPr>
          <w:p>
            <w:pPr>
              <w:ind w:left="140"/>
              <w:spacing w:after="0"/>
              <w:rPr>
                <w:sz w:val="20"/>
                <w:szCs w:val="20"/>
                <w:color w:val="auto"/>
              </w:rPr>
            </w:pPr>
            <w:r>
              <w:rPr>
                <w:rFonts w:ascii="Arial" w:cs="Arial" w:eastAsia="Arial" w:hAnsi="Arial"/>
                <w:sz w:val="22"/>
                <w:szCs w:val="22"/>
                <w:color w:val="auto"/>
              </w:rPr>
              <w:t>PSSL investment portfolio</w:t>
            </w:r>
          </w:p>
        </w:tc>
        <w:tc>
          <w:tcPr>
            <w:tcW w:w="30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960" w:type="dxa"/>
            <w:vAlign w:val="bottom"/>
          </w:tcPr>
          <w:p>
            <w:pPr>
              <w:jc w:val="right"/>
              <w:ind w:right="72"/>
              <w:spacing w:after="0"/>
              <w:rPr>
                <w:sz w:val="20"/>
                <w:szCs w:val="20"/>
                <w:color w:val="auto"/>
              </w:rPr>
            </w:pPr>
            <w:r>
              <w:rPr>
                <w:rFonts w:ascii="Arial" w:cs="Arial" w:eastAsia="Arial" w:hAnsi="Arial"/>
                <w:sz w:val="22"/>
                <w:szCs w:val="22"/>
                <w:color w:val="auto"/>
              </w:rPr>
              <w:t>641.7</w:t>
            </w:r>
          </w:p>
        </w:tc>
        <w:tc>
          <w:tcPr>
            <w:tcW w:w="0" w:type="dxa"/>
            <w:vAlign w:val="bottom"/>
          </w:tcPr>
          <w:p>
            <w:pPr>
              <w:spacing w:after="0"/>
              <w:rPr>
                <w:sz w:val="1"/>
                <w:szCs w:val="1"/>
                <w:color w:val="auto"/>
              </w:rPr>
            </w:pPr>
          </w:p>
        </w:tc>
      </w:tr>
      <w:tr>
        <w:trPr>
          <w:trHeight w:val="270"/>
        </w:trPr>
        <w:tc>
          <w:tcPr>
            <w:tcW w:w="7220" w:type="dxa"/>
            <w:vAlign w:val="bottom"/>
          </w:tcPr>
          <w:p>
            <w:pPr>
              <w:ind w:left="140"/>
              <w:spacing w:after="0"/>
              <w:rPr>
                <w:sz w:val="20"/>
                <w:szCs w:val="20"/>
                <w:color w:val="auto"/>
              </w:rPr>
            </w:pPr>
            <w:r>
              <w:rPr>
                <w:rFonts w:ascii="Arial" w:cs="Arial" w:eastAsia="Arial" w:hAnsi="Arial"/>
                <w:sz w:val="22"/>
                <w:szCs w:val="22"/>
                <w:color w:val="auto"/>
              </w:rPr>
              <w:t>Net assets</w:t>
            </w:r>
          </w:p>
        </w:tc>
        <w:tc>
          <w:tcPr>
            <w:tcW w:w="30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960" w:type="dxa"/>
            <w:vAlign w:val="bottom"/>
          </w:tcPr>
          <w:p>
            <w:pPr>
              <w:jc w:val="right"/>
              <w:ind w:right="72"/>
              <w:spacing w:after="0"/>
              <w:rPr>
                <w:sz w:val="20"/>
                <w:szCs w:val="20"/>
                <w:color w:val="auto"/>
              </w:rPr>
            </w:pPr>
            <w:r>
              <w:rPr>
                <w:rFonts w:ascii="Arial" w:cs="Arial" w:eastAsia="Arial" w:hAnsi="Arial"/>
                <w:sz w:val="22"/>
                <w:szCs w:val="22"/>
                <w:color w:val="auto"/>
              </w:rPr>
              <w:t>497.4</w:t>
            </w:r>
          </w:p>
        </w:tc>
        <w:tc>
          <w:tcPr>
            <w:tcW w:w="0" w:type="dxa"/>
            <w:vAlign w:val="bottom"/>
          </w:tcPr>
          <w:p>
            <w:pPr>
              <w:spacing w:after="0"/>
              <w:rPr>
                <w:sz w:val="1"/>
                <w:szCs w:val="1"/>
                <w:color w:val="auto"/>
              </w:rPr>
            </w:pPr>
          </w:p>
        </w:tc>
      </w:tr>
      <w:tr>
        <w:trPr>
          <w:trHeight w:val="270"/>
        </w:trPr>
        <w:tc>
          <w:tcPr>
            <w:tcW w:w="7220" w:type="dxa"/>
            <w:vAlign w:val="bottom"/>
          </w:tcPr>
          <w:p>
            <w:pPr>
              <w:ind w:left="140"/>
              <w:spacing w:after="0"/>
              <w:rPr>
                <w:sz w:val="20"/>
                <w:szCs w:val="20"/>
                <w:color w:val="auto"/>
              </w:rPr>
            </w:pPr>
            <w:r>
              <w:rPr>
                <w:rFonts w:ascii="Arial" w:cs="Arial" w:eastAsia="Arial" w:hAnsi="Arial"/>
                <w:sz w:val="22"/>
                <w:szCs w:val="22"/>
                <w:color w:val="auto"/>
              </w:rPr>
              <w:t>GAAP net asset value per share</w:t>
            </w:r>
          </w:p>
        </w:tc>
        <w:tc>
          <w:tcPr>
            <w:tcW w:w="30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960" w:type="dxa"/>
            <w:vAlign w:val="bottom"/>
          </w:tcPr>
          <w:p>
            <w:pPr>
              <w:jc w:val="right"/>
              <w:ind w:right="72"/>
              <w:spacing w:after="0"/>
              <w:rPr>
                <w:sz w:val="20"/>
                <w:szCs w:val="20"/>
                <w:color w:val="auto"/>
              </w:rPr>
            </w:pPr>
            <w:r>
              <w:rPr>
                <w:rFonts w:ascii="Arial" w:cs="Arial" w:eastAsia="Arial" w:hAnsi="Arial"/>
                <w:sz w:val="22"/>
                <w:szCs w:val="22"/>
                <w:color w:val="auto"/>
              </w:rPr>
              <w:t>12.70</w:t>
            </w:r>
          </w:p>
        </w:tc>
        <w:tc>
          <w:tcPr>
            <w:tcW w:w="0" w:type="dxa"/>
            <w:vAlign w:val="bottom"/>
          </w:tcPr>
          <w:p>
            <w:pPr>
              <w:spacing w:after="0"/>
              <w:rPr>
                <w:sz w:val="1"/>
                <w:szCs w:val="1"/>
                <w:color w:val="auto"/>
              </w:rPr>
            </w:pPr>
          </w:p>
        </w:tc>
      </w:tr>
      <w:tr>
        <w:trPr>
          <w:trHeight w:val="274"/>
        </w:trPr>
        <w:tc>
          <w:tcPr>
            <w:tcW w:w="7220" w:type="dxa"/>
            <w:vAlign w:val="bottom"/>
          </w:tcPr>
          <w:p>
            <w:pPr>
              <w:ind w:left="140"/>
              <w:spacing w:after="0"/>
              <w:rPr>
                <w:sz w:val="20"/>
                <w:szCs w:val="20"/>
                <w:color w:val="auto"/>
              </w:rPr>
            </w:pPr>
            <w:r>
              <w:rPr>
                <w:rFonts w:ascii="Arial" w:cs="Arial" w:eastAsia="Arial" w:hAnsi="Arial"/>
                <w:sz w:val="22"/>
                <w:szCs w:val="22"/>
                <w:color w:val="auto"/>
              </w:rPr>
              <w:t>Quarterly increase GAAP net asset value per share</w:t>
            </w:r>
          </w:p>
        </w:tc>
        <w:tc>
          <w:tcPr>
            <w:tcW w:w="3040" w:type="dxa"/>
            <w:vAlign w:val="bottom"/>
            <w:vMerge w:val="restart"/>
          </w:tcPr>
          <w:p>
            <w:pPr>
              <w:jc w:val="right"/>
              <w:ind w:right="132"/>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0.7%</w:t>
            </w:r>
          </w:p>
        </w:tc>
        <w:tc>
          <w:tcPr>
            <w:tcW w:w="0" w:type="dxa"/>
            <w:vAlign w:val="bottom"/>
          </w:tcPr>
          <w:p>
            <w:pPr>
              <w:spacing w:after="0"/>
              <w:rPr>
                <w:sz w:val="1"/>
                <w:szCs w:val="1"/>
                <w:color w:val="auto"/>
              </w:rPr>
            </w:pPr>
          </w:p>
        </w:tc>
      </w:tr>
      <w:tr>
        <w:trPr>
          <w:trHeight w:val="474"/>
        </w:trPr>
        <w:tc>
          <w:tcPr>
            <w:tcW w:w="7220" w:type="dxa"/>
            <w:vAlign w:val="bottom"/>
          </w:tcPr>
          <w:p>
            <w:pPr>
              <w:ind w:left="140"/>
              <w:spacing w:after="0"/>
              <w:rPr>
                <w:sz w:val="20"/>
                <w:szCs w:val="20"/>
                <w:color w:val="auto"/>
              </w:rPr>
            </w:pPr>
            <w:r>
              <w:rPr>
                <w:rFonts w:ascii="Arial" w:cs="Arial" w:eastAsia="Arial" w:hAnsi="Arial"/>
                <w:sz w:val="22"/>
                <w:szCs w:val="22"/>
                <w:color w:val="auto"/>
              </w:rPr>
              <w:t xml:space="preserve">Adjusted net asset value per share </w:t>
            </w:r>
            <w:r>
              <w:rPr>
                <w:rFonts w:ascii="Arial" w:cs="Arial" w:eastAsia="Arial" w:hAnsi="Arial"/>
                <w:sz w:val="35"/>
                <w:szCs w:val="35"/>
                <w:color w:val="auto"/>
                <w:vertAlign w:val="superscript"/>
              </w:rPr>
              <w:t>(2)</w:t>
            </w:r>
          </w:p>
        </w:tc>
        <w:tc>
          <w:tcPr>
            <w:tcW w:w="3040" w:type="dxa"/>
            <w:vAlign w:val="bottom"/>
            <w:vMerge w:val="continue"/>
          </w:tcPr>
          <w:p>
            <w:pPr>
              <w:spacing w:after="0"/>
              <w:rPr>
                <w:sz w:val="24"/>
                <w:szCs w:val="24"/>
                <w:color w:val="auto"/>
              </w:rPr>
            </w:pPr>
          </w:p>
        </w:tc>
        <w:tc>
          <w:tcPr>
            <w:tcW w:w="960" w:type="dxa"/>
            <w:vAlign w:val="bottom"/>
          </w:tcPr>
          <w:p>
            <w:pPr>
              <w:jc w:val="right"/>
              <w:ind w:right="72"/>
              <w:spacing w:after="0"/>
              <w:rPr>
                <w:sz w:val="20"/>
                <w:szCs w:val="20"/>
                <w:color w:val="auto"/>
              </w:rPr>
            </w:pPr>
            <w:r>
              <w:rPr>
                <w:rFonts w:ascii="Arial" w:cs="Arial" w:eastAsia="Arial" w:hAnsi="Arial"/>
                <w:sz w:val="22"/>
                <w:szCs w:val="22"/>
                <w:color w:val="auto"/>
              </w:rPr>
              <w:t>12.43</w:t>
            </w:r>
          </w:p>
        </w:tc>
        <w:tc>
          <w:tcPr>
            <w:tcW w:w="0" w:type="dxa"/>
            <w:vAlign w:val="bottom"/>
          </w:tcPr>
          <w:p>
            <w:pPr>
              <w:spacing w:after="0"/>
              <w:rPr>
                <w:sz w:val="1"/>
                <w:szCs w:val="1"/>
                <w:color w:val="auto"/>
              </w:rPr>
            </w:pPr>
          </w:p>
        </w:tc>
      </w:tr>
      <w:tr>
        <w:trPr>
          <w:trHeight w:val="386"/>
        </w:trPr>
        <w:tc>
          <w:tcPr>
            <w:tcW w:w="7220" w:type="dxa"/>
            <w:vAlign w:val="bottom"/>
          </w:tcPr>
          <w:p>
            <w:pPr>
              <w:ind w:left="140"/>
              <w:spacing w:after="0"/>
              <w:rPr>
                <w:sz w:val="20"/>
                <w:szCs w:val="20"/>
                <w:color w:val="auto"/>
              </w:rPr>
            </w:pPr>
            <w:r>
              <w:rPr>
                <w:rFonts w:ascii="Arial" w:cs="Arial" w:eastAsia="Arial" w:hAnsi="Arial"/>
                <w:sz w:val="22"/>
                <w:szCs w:val="22"/>
                <w:color w:val="auto"/>
              </w:rPr>
              <w:t>Credit Facility</w:t>
            </w:r>
          </w:p>
        </w:tc>
        <w:tc>
          <w:tcPr>
            <w:tcW w:w="30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960" w:type="dxa"/>
            <w:vAlign w:val="bottom"/>
          </w:tcPr>
          <w:p>
            <w:pPr>
              <w:jc w:val="right"/>
              <w:ind w:right="72"/>
              <w:spacing w:after="0"/>
              <w:rPr>
                <w:sz w:val="20"/>
                <w:szCs w:val="20"/>
                <w:color w:val="auto"/>
              </w:rPr>
            </w:pPr>
            <w:r>
              <w:rPr>
                <w:rFonts w:ascii="Arial" w:cs="Arial" w:eastAsia="Arial" w:hAnsi="Arial"/>
                <w:sz w:val="22"/>
                <w:szCs w:val="22"/>
                <w:color w:val="auto"/>
              </w:rPr>
              <w:t>256.7</w:t>
            </w:r>
          </w:p>
        </w:tc>
        <w:tc>
          <w:tcPr>
            <w:tcW w:w="0" w:type="dxa"/>
            <w:vAlign w:val="bottom"/>
          </w:tcPr>
          <w:p>
            <w:pPr>
              <w:spacing w:after="0"/>
              <w:rPr>
                <w:sz w:val="1"/>
                <w:szCs w:val="1"/>
                <w:color w:val="auto"/>
              </w:rPr>
            </w:pPr>
          </w:p>
        </w:tc>
      </w:tr>
      <w:tr>
        <w:trPr>
          <w:trHeight w:val="270"/>
        </w:trPr>
        <w:tc>
          <w:tcPr>
            <w:tcW w:w="7220" w:type="dxa"/>
            <w:vAlign w:val="bottom"/>
          </w:tcPr>
          <w:p>
            <w:pPr>
              <w:ind w:left="140"/>
              <w:spacing w:after="0"/>
              <w:rPr>
                <w:sz w:val="20"/>
                <w:szCs w:val="20"/>
                <w:color w:val="auto"/>
              </w:rPr>
            </w:pPr>
            <w:r>
              <w:rPr>
                <w:rFonts w:ascii="Arial" w:cs="Arial" w:eastAsia="Arial" w:hAnsi="Arial"/>
                <w:sz w:val="22"/>
                <w:szCs w:val="22"/>
                <w:color w:val="auto"/>
              </w:rPr>
              <w:t>2023 Notes</w:t>
            </w:r>
          </w:p>
        </w:tc>
        <w:tc>
          <w:tcPr>
            <w:tcW w:w="30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960" w:type="dxa"/>
            <w:vAlign w:val="bottom"/>
          </w:tcPr>
          <w:p>
            <w:pPr>
              <w:jc w:val="right"/>
              <w:ind w:right="72"/>
              <w:spacing w:after="0"/>
              <w:rPr>
                <w:sz w:val="20"/>
                <w:szCs w:val="20"/>
                <w:color w:val="auto"/>
              </w:rPr>
            </w:pPr>
            <w:r>
              <w:rPr>
                <w:rFonts w:ascii="Arial" w:cs="Arial" w:eastAsia="Arial" w:hAnsi="Arial"/>
                <w:sz w:val="22"/>
                <w:szCs w:val="22"/>
                <w:color w:val="auto"/>
              </w:rPr>
              <w:t>86.2</w:t>
            </w:r>
          </w:p>
        </w:tc>
        <w:tc>
          <w:tcPr>
            <w:tcW w:w="0" w:type="dxa"/>
            <w:vAlign w:val="bottom"/>
          </w:tcPr>
          <w:p>
            <w:pPr>
              <w:spacing w:after="0"/>
              <w:rPr>
                <w:sz w:val="1"/>
                <w:szCs w:val="1"/>
                <w:color w:val="auto"/>
              </w:rPr>
            </w:pPr>
          </w:p>
        </w:tc>
      </w:tr>
      <w:tr>
        <w:trPr>
          <w:trHeight w:val="270"/>
        </w:trPr>
        <w:tc>
          <w:tcPr>
            <w:tcW w:w="7220" w:type="dxa"/>
            <w:vAlign w:val="bottom"/>
          </w:tcPr>
          <w:p>
            <w:pPr>
              <w:ind w:left="140"/>
              <w:spacing w:after="0"/>
              <w:rPr>
                <w:sz w:val="20"/>
                <w:szCs w:val="20"/>
                <w:color w:val="auto"/>
              </w:rPr>
            </w:pPr>
            <w:r>
              <w:rPr>
                <w:rFonts w:ascii="Arial" w:cs="Arial" w:eastAsia="Arial" w:hAnsi="Arial"/>
                <w:sz w:val="22"/>
                <w:szCs w:val="22"/>
                <w:color w:val="auto"/>
              </w:rPr>
              <w:t>2026 Notes</w:t>
            </w:r>
          </w:p>
        </w:tc>
        <w:tc>
          <w:tcPr>
            <w:tcW w:w="30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960" w:type="dxa"/>
            <w:vAlign w:val="bottom"/>
          </w:tcPr>
          <w:p>
            <w:pPr>
              <w:jc w:val="right"/>
              <w:ind w:right="72"/>
              <w:spacing w:after="0"/>
              <w:rPr>
                <w:sz w:val="20"/>
                <w:szCs w:val="20"/>
                <w:color w:val="auto"/>
              </w:rPr>
            </w:pPr>
            <w:r>
              <w:rPr>
                <w:rFonts w:ascii="Arial" w:cs="Arial" w:eastAsia="Arial" w:hAnsi="Arial"/>
                <w:sz w:val="22"/>
                <w:szCs w:val="22"/>
                <w:color w:val="auto"/>
              </w:rPr>
              <w:t>181.7</w:t>
            </w:r>
          </w:p>
        </w:tc>
        <w:tc>
          <w:tcPr>
            <w:tcW w:w="0" w:type="dxa"/>
            <w:vAlign w:val="bottom"/>
          </w:tcPr>
          <w:p>
            <w:pPr>
              <w:spacing w:after="0"/>
              <w:rPr>
                <w:sz w:val="1"/>
                <w:szCs w:val="1"/>
                <w:color w:val="auto"/>
              </w:rPr>
            </w:pPr>
          </w:p>
        </w:tc>
      </w:tr>
      <w:tr>
        <w:trPr>
          <w:trHeight w:val="270"/>
        </w:trPr>
        <w:tc>
          <w:tcPr>
            <w:tcW w:w="7220" w:type="dxa"/>
            <w:vAlign w:val="bottom"/>
          </w:tcPr>
          <w:p>
            <w:pPr>
              <w:ind w:left="140"/>
              <w:spacing w:after="0"/>
              <w:rPr>
                <w:sz w:val="20"/>
                <w:szCs w:val="20"/>
                <w:color w:val="auto"/>
              </w:rPr>
            </w:pPr>
            <w:r>
              <w:rPr>
                <w:rFonts w:ascii="Arial" w:cs="Arial" w:eastAsia="Arial" w:hAnsi="Arial"/>
                <w:sz w:val="22"/>
                <w:szCs w:val="22"/>
                <w:color w:val="auto"/>
              </w:rPr>
              <w:t>2031 Asset-Backed Debt</w:t>
            </w:r>
          </w:p>
        </w:tc>
        <w:tc>
          <w:tcPr>
            <w:tcW w:w="30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960" w:type="dxa"/>
            <w:vAlign w:val="bottom"/>
          </w:tcPr>
          <w:p>
            <w:pPr>
              <w:jc w:val="right"/>
              <w:ind w:right="72"/>
              <w:spacing w:after="0"/>
              <w:rPr>
                <w:sz w:val="20"/>
                <w:szCs w:val="20"/>
                <w:color w:val="auto"/>
              </w:rPr>
            </w:pPr>
            <w:r>
              <w:rPr>
                <w:rFonts w:ascii="Arial" w:cs="Arial" w:eastAsia="Arial" w:hAnsi="Arial"/>
                <w:sz w:val="22"/>
                <w:szCs w:val="22"/>
                <w:color w:val="auto"/>
              </w:rPr>
              <w:t>225.7</w:t>
            </w:r>
          </w:p>
        </w:tc>
        <w:tc>
          <w:tcPr>
            <w:tcW w:w="0" w:type="dxa"/>
            <w:vAlign w:val="bottom"/>
          </w:tcPr>
          <w:p>
            <w:pPr>
              <w:spacing w:after="0"/>
              <w:rPr>
                <w:sz w:val="1"/>
                <w:szCs w:val="1"/>
                <w:color w:val="auto"/>
              </w:rPr>
            </w:pPr>
          </w:p>
        </w:tc>
      </w:tr>
      <w:tr>
        <w:trPr>
          <w:trHeight w:val="274"/>
        </w:trPr>
        <w:tc>
          <w:tcPr>
            <w:tcW w:w="7220" w:type="dxa"/>
            <w:vAlign w:val="bottom"/>
          </w:tcPr>
          <w:p>
            <w:pPr>
              <w:ind w:left="140"/>
              <w:spacing w:after="0"/>
              <w:rPr>
                <w:sz w:val="20"/>
                <w:szCs w:val="20"/>
                <w:color w:val="auto"/>
              </w:rPr>
            </w:pPr>
            <w:r>
              <w:rPr>
                <w:rFonts w:ascii="Arial" w:cs="Arial" w:eastAsia="Arial" w:hAnsi="Arial"/>
                <w:sz w:val="22"/>
                <w:szCs w:val="22"/>
                <w:color w:val="auto"/>
              </w:rPr>
              <w:t>Regulatory Debt to Equity</w:t>
            </w:r>
          </w:p>
        </w:tc>
        <w:tc>
          <w:tcPr>
            <w:tcW w:w="304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22"/>
                <w:szCs w:val="22"/>
                <w:color w:val="auto"/>
              </w:rPr>
              <w:t>1.58x</w:t>
            </w:r>
          </w:p>
        </w:tc>
        <w:tc>
          <w:tcPr>
            <w:tcW w:w="0" w:type="dxa"/>
            <w:vAlign w:val="bottom"/>
          </w:tcPr>
          <w:p>
            <w:pPr>
              <w:spacing w:after="0"/>
              <w:rPr>
                <w:sz w:val="1"/>
                <w:szCs w:val="1"/>
                <w:color w:val="auto"/>
              </w:rPr>
            </w:pPr>
          </w:p>
        </w:tc>
      </w:tr>
      <w:tr>
        <w:trPr>
          <w:trHeight w:val="327"/>
        </w:trPr>
        <w:tc>
          <w:tcPr>
            <w:tcW w:w="7220" w:type="dxa"/>
            <w:vAlign w:val="bottom"/>
          </w:tcPr>
          <w:p>
            <w:pPr>
              <w:ind w:left="140"/>
              <w:spacing w:after="0" w:line="326" w:lineRule="exact"/>
              <w:rPr>
                <w:sz w:val="20"/>
                <w:szCs w:val="20"/>
                <w:color w:val="auto"/>
              </w:rPr>
            </w:pPr>
            <w:r>
              <w:rPr>
                <w:rFonts w:ascii="Arial" w:cs="Arial" w:eastAsia="Arial" w:hAnsi="Arial"/>
                <w:sz w:val="22"/>
                <w:szCs w:val="22"/>
                <w:color w:val="auto"/>
              </w:rPr>
              <w:t xml:space="preserve">Regulatory Net Debt to Equity </w:t>
            </w:r>
            <w:r>
              <w:rPr>
                <w:rFonts w:ascii="Arial" w:cs="Arial" w:eastAsia="Arial" w:hAnsi="Arial"/>
                <w:sz w:val="35"/>
                <w:szCs w:val="35"/>
                <w:color w:val="auto"/>
                <w:vertAlign w:val="superscript"/>
              </w:rPr>
              <w:t>(3)</w:t>
            </w:r>
          </w:p>
        </w:tc>
        <w:tc>
          <w:tcPr>
            <w:tcW w:w="304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22"/>
                <w:szCs w:val="22"/>
                <w:color w:val="auto"/>
              </w:rPr>
              <w:t>1.43x</w:t>
            </w:r>
          </w:p>
        </w:tc>
        <w:tc>
          <w:tcPr>
            <w:tcW w:w="0" w:type="dxa"/>
            <w:vAlign w:val="bottom"/>
          </w:tcPr>
          <w:p>
            <w:pPr>
              <w:spacing w:after="0"/>
              <w:rPr>
                <w:sz w:val="1"/>
                <w:szCs w:val="1"/>
                <w:color w:val="auto"/>
              </w:rPr>
            </w:pPr>
          </w:p>
        </w:tc>
      </w:tr>
      <w:tr>
        <w:trPr>
          <w:trHeight w:val="471"/>
        </w:trPr>
        <w:tc>
          <w:tcPr>
            <w:tcW w:w="7220" w:type="dxa"/>
            <w:vAlign w:val="bottom"/>
          </w:tcPr>
          <w:p>
            <w:pPr>
              <w:ind w:left="140"/>
              <w:spacing w:after="0"/>
              <w:rPr>
                <w:sz w:val="20"/>
                <w:szCs w:val="20"/>
                <w:color w:val="auto"/>
              </w:rPr>
            </w:pPr>
            <w:r>
              <w:rPr>
                <w:rFonts w:ascii="Arial" w:cs="Arial" w:eastAsia="Arial" w:hAnsi="Arial"/>
                <w:sz w:val="22"/>
                <w:szCs w:val="22"/>
                <w:color w:val="auto"/>
              </w:rPr>
              <w:t xml:space="preserve">GAAP Net Debt to Equity </w:t>
            </w:r>
            <w:r>
              <w:rPr>
                <w:rFonts w:ascii="Arial" w:cs="Arial" w:eastAsia="Arial" w:hAnsi="Arial"/>
                <w:sz w:val="35"/>
                <w:szCs w:val="35"/>
                <w:color w:val="auto"/>
                <w:vertAlign w:val="superscript"/>
              </w:rPr>
              <w:t>(4)</w:t>
            </w:r>
          </w:p>
        </w:tc>
        <w:tc>
          <w:tcPr>
            <w:tcW w:w="304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22"/>
                <w:szCs w:val="22"/>
                <w:color w:val="auto"/>
              </w:rPr>
              <w:t>1.38x</w:t>
            </w:r>
          </w:p>
        </w:tc>
        <w:tc>
          <w:tcPr>
            <w:tcW w:w="0" w:type="dxa"/>
            <w:vAlign w:val="bottom"/>
          </w:tcPr>
          <w:p>
            <w:pPr>
              <w:spacing w:after="0"/>
              <w:rPr>
                <w:sz w:val="1"/>
                <w:szCs w:val="1"/>
                <w:color w:val="auto"/>
              </w:rPr>
            </w:pPr>
          </w:p>
        </w:tc>
      </w:tr>
      <w:tr>
        <w:trPr>
          <w:trHeight w:val="390"/>
        </w:trPr>
        <w:tc>
          <w:tcPr>
            <w:tcW w:w="7220" w:type="dxa"/>
            <w:vAlign w:val="bottom"/>
          </w:tcPr>
          <w:p>
            <w:pPr>
              <w:ind w:left="140"/>
              <w:spacing w:after="0"/>
              <w:rPr>
                <w:sz w:val="20"/>
                <w:szCs w:val="20"/>
                <w:color w:val="auto"/>
              </w:rPr>
            </w:pPr>
            <w:r>
              <w:rPr>
                <w:rFonts w:ascii="Arial" w:cs="Arial" w:eastAsia="Arial" w:hAnsi="Arial"/>
                <w:sz w:val="22"/>
                <w:szCs w:val="22"/>
                <w:color w:val="auto"/>
              </w:rPr>
              <w:t>Yield on debt investments at quarter-end</w:t>
            </w:r>
          </w:p>
        </w:tc>
        <w:tc>
          <w:tcPr>
            <w:tcW w:w="30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941"/>
        </w:trPr>
        <w:tc>
          <w:tcPr>
            <w:tcW w:w="7220" w:type="dxa"/>
            <w:vAlign w:val="bottom"/>
          </w:tcPr>
          <w:p>
            <w:pPr>
              <w:ind w:left="20"/>
              <w:spacing w:after="0"/>
              <w:rPr>
                <w:sz w:val="20"/>
                <w:szCs w:val="20"/>
                <w:color w:val="auto"/>
              </w:rPr>
            </w:pPr>
            <w:r>
              <w:rPr>
                <w:rFonts w:ascii="Arial" w:cs="Arial" w:eastAsia="Arial" w:hAnsi="Arial"/>
                <w:sz w:val="22"/>
                <w:szCs w:val="22"/>
                <w:color w:val="auto"/>
              </w:rPr>
              <w:t>Operating Results:</w:t>
            </w:r>
          </w:p>
        </w:tc>
        <w:tc>
          <w:tcPr>
            <w:tcW w:w="3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20" w:type="dxa"/>
            <w:vAlign w:val="bottom"/>
          </w:tcPr>
          <w:p>
            <w:pPr>
              <w:ind w:left="140"/>
              <w:spacing w:after="0"/>
              <w:rPr>
                <w:sz w:val="20"/>
                <w:szCs w:val="20"/>
                <w:color w:val="auto"/>
              </w:rPr>
            </w:pPr>
            <w:r>
              <w:rPr>
                <w:rFonts w:ascii="Arial" w:cs="Arial" w:eastAsia="Arial" w:hAnsi="Arial"/>
                <w:sz w:val="22"/>
                <w:szCs w:val="22"/>
                <w:color w:val="auto"/>
              </w:rPr>
              <w:t>Net investment income</w:t>
            </w:r>
          </w:p>
        </w:tc>
        <w:tc>
          <w:tcPr>
            <w:tcW w:w="304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12.7</w:t>
            </w:r>
          </w:p>
        </w:tc>
        <w:tc>
          <w:tcPr>
            <w:tcW w:w="0" w:type="dxa"/>
            <w:vAlign w:val="bottom"/>
          </w:tcPr>
          <w:p>
            <w:pPr>
              <w:spacing w:after="0"/>
              <w:rPr>
                <w:sz w:val="1"/>
                <w:szCs w:val="1"/>
                <w:color w:val="auto"/>
              </w:rPr>
            </w:pPr>
          </w:p>
        </w:tc>
      </w:tr>
      <w:tr>
        <w:trPr>
          <w:trHeight w:val="270"/>
        </w:trPr>
        <w:tc>
          <w:tcPr>
            <w:tcW w:w="7220" w:type="dxa"/>
            <w:vAlign w:val="bottom"/>
          </w:tcPr>
          <w:p>
            <w:pPr>
              <w:ind w:left="140"/>
              <w:spacing w:after="0"/>
              <w:rPr>
                <w:sz w:val="20"/>
                <w:szCs w:val="20"/>
                <w:color w:val="auto"/>
              </w:rPr>
            </w:pPr>
            <w:r>
              <w:rPr>
                <w:rFonts w:ascii="Arial" w:cs="Arial" w:eastAsia="Arial" w:hAnsi="Arial"/>
                <w:sz w:val="22"/>
                <w:szCs w:val="22"/>
                <w:color w:val="auto"/>
              </w:rPr>
              <w:t>Net investment income per share</w:t>
            </w:r>
          </w:p>
        </w:tc>
        <w:tc>
          <w:tcPr>
            <w:tcW w:w="304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0.33</w:t>
            </w:r>
          </w:p>
        </w:tc>
        <w:tc>
          <w:tcPr>
            <w:tcW w:w="0" w:type="dxa"/>
            <w:vAlign w:val="bottom"/>
          </w:tcPr>
          <w:p>
            <w:pPr>
              <w:spacing w:after="0"/>
              <w:rPr>
                <w:sz w:val="1"/>
                <w:szCs w:val="1"/>
                <w:color w:val="auto"/>
              </w:rPr>
            </w:pPr>
          </w:p>
        </w:tc>
      </w:tr>
      <w:tr>
        <w:trPr>
          <w:trHeight w:val="274"/>
        </w:trPr>
        <w:tc>
          <w:tcPr>
            <w:tcW w:w="7220" w:type="dxa"/>
            <w:vAlign w:val="bottom"/>
          </w:tcPr>
          <w:p>
            <w:pPr>
              <w:ind w:left="140"/>
              <w:spacing w:after="0"/>
              <w:rPr>
                <w:sz w:val="20"/>
                <w:szCs w:val="20"/>
                <w:color w:val="auto"/>
              </w:rPr>
            </w:pPr>
            <w:r>
              <w:rPr>
                <w:rFonts w:ascii="Arial" w:cs="Arial" w:eastAsia="Arial" w:hAnsi="Arial"/>
                <w:sz w:val="22"/>
                <w:szCs w:val="22"/>
                <w:color w:val="auto"/>
              </w:rPr>
              <w:t>Distributions declared per share</w:t>
            </w:r>
          </w:p>
        </w:tc>
        <w:tc>
          <w:tcPr>
            <w:tcW w:w="304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0.285</w:t>
            </w:r>
          </w:p>
        </w:tc>
        <w:tc>
          <w:tcPr>
            <w:tcW w:w="0" w:type="dxa"/>
            <w:vAlign w:val="bottom"/>
          </w:tcPr>
          <w:p>
            <w:pPr>
              <w:spacing w:after="0"/>
              <w:rPr>
                <w:sz w:val="1"/>
                <w:szCs w:val="1"/>
                <w:color w:val="auto"/>
              </w:rPr>
            </w:pPr>
          </w:p>
        </w:tc>
      </w:tr>
      <w:tr>
        <w:trPr>
          <w:trHeight w:val="536"/>
        </w:trPr>
        <w:tc>
          <w:tcPr>
            <w:tcW w:w="7220" w:type="dxa"/>
            <w:vAlign w:val="bottom"/>
          </w:tcPr>
          <w:p>
            <w:pPr>
              <w:ind w:left="20"/>
              <w:spacing w:after="0"/>
              <w:rPr>
                <w:sz w:val="20"/>
                <w:szCs w:val="20"/>
                <w:color w:val="auto"/>
              </w:rPr>
            </w:pPr>
            <w:r>
              <w:rPr>
                <w:rFonts w:ascii="Arial" w:cs="Arial" w:eastAsia="Arial" w:hAnsi="Arial"/>
                <w:sz w:val="22"/>
                <w:szCs w:val="22"/>
                <w:color w:val="auto"/>
              </w:rPr>
              <w:t>PFLT Portfolio Activity:</w:t>
            </w:r>
          </w:p>
        </w:tc>
        <w:tc>
          <w:tcPr>
            <w:tcW w:w="3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20" w:type="dxa"/>
            <w:vAlign w:val="bottom"/>
          </w:tcPr>
          <w:p>
            <w:pPr>
              <w:ind w:left="140"/>
              <w:spacing w:after="0"/>
              <w:rPr>
                <w:sz w:val="20"/>
                <w:szCs w:val="20"/>
                <w:color w:val="auto"/>
              </w:rPr>
            </w:pPr>
            <w:r>
              <w:rPr>
                <w:rFonts w:ascii="Arial" w:cs="Arial" w:eastAsia="Arial" w:hAnsi="Arial"/>
                <w:sz w:val="22"/>
                <w:szCs w:val="22"/>
                <w:color w:val="auto"/>
              </w:rPr>
              <w:t>Purchases of investments</w:t>
            </w:r>
          </w:p>
        </w:tc>
        <w:tc>
          <w:tcPr>
            <w:tcW w:w="304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335.1</w:t>
            </w:r>
          </w:p>
        </w:tc>
        <w:tc>
          <w:tcPr>
            <w:tcW w:w="0" w:type="dxa"/>
            <w:vAlign w:val="bottom"/>
          </w:tcPr>
          <w:p>
            <w:pPr>
              <w:spacing w:after="0"/>
              <w:rPr>
                <w:sz w:val="1"/>
                <w:szCs w:val="1"/>
                <w:color w:val="auto"/>
              </w:rPr>
            </w:pPr>
          </w:p>
        </w:tc>
      </w:tr>
      <w:tr>
        <w:trPr>
          <w:trHeight w:val="274"/>
        </w:trPr>
        <w:tc>
          <w:tcPr>
            <w:tcW w:w="7220" w:type="dxa"/>
            <w:vAlign w:val="bottom"/>
          </w:tcPr>
          <w:p>
            <w:pPr>
              <w:ind w:left="140"/>
              <w:spacing w:after="0"/>
              <w:rPr>
                <w:sz w:val="20"/>
                <w:szCs w:val="20"/>
                <w:color w:val="auto"/>
              </w:rPr>
            </w:pPr>
            <w:r>
              <w:rPr>
                <w:rFonts w:ascii="Arial" w:cs="Arial" w:eastAsia="Arial" w:hAnsi="Arial"/>
                <w:sz w:val="22"/>
                <w:szCs w:val="22"/>
                <w:color w:val="auto"/>
              </w:rPr>
              <w:t>Sales and repayments of investments</w:t>
            </w:r>
          </w:p>
        </w:tc>
        <w:tc>
          <w:tcPr>
            <w:tcW w:w="304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238.4</w:t>
            </w:r>
          </w:p>
        </w:tc>
        <w:tc>
          <w:tcPr>
            <w:tcW w:w="0" w:type="dxa"/>
            <w:vAlign w:val="bottom"/>
          </w:tcPr>
          <w:p>
            <w:pPr>
              <w:spacing w:after="0"/>
              <w:rPr>
                <w:sz w:val="1"/>
                <w:szCs w:val="1"/>
                <w:color w:val="auto"/>
              </w:rPr>
            </w:pPr>
          </w:p>
        </w:tc>
      </w:tr>
      <w:tr>
        <w:trPr>
          <w:trHeight w:val="536"/>
        </w:trPr>
        <w:tc>
          <w:tcPr>
            <w:tcW w:w="7220" w:type="dxa"/>
            <w:vAlign w:val="bottom"/>
          </w:tcPr>
          <w:p>
            <w:pPr>
              <w:ind w:left="140"/>
              <w:spacing w:after="0"/>
              <w:rPr>
                <w:sz w:val="20"/>
                <w:szCs w:val="20"/>
                <w:color w:val="auto"/>
              </w:rPr>
            </w:pPr>
            <w:r>
              <w:rPr>
                <w:rFonts w:ascii="Arial" w:cs="Arial" w:eastAsia="Arial" w:hAnsi="Arial"/>
                <w:sz w:val="22"/>
                <w:szCs w:val="22"/>
                <w:color w:val="auto"/>
              </w:rPr>
              <w:t>Number of new portfolio companies invested</w:t>
            </w:r>
          </w:p>
        </w:tc>
        <w:tc>
          <w:tcPr>
            <w:tcW w:w="30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70"/>
        </w:trPr>
        <w:tc>
          <w:tcPr>
            <w:tcW w:w="7220" w:type="dxa"/>
            <w:vAlign w:val="bottom"/>
          </w:tcPr>
          <w:p>
            <w:pPr>
              <w:ind w:left="140"/>
              <w:spacing w:after="0"/>
              <w:rPr>
                <w:sz w:val="20"/>
                <w:szCs w:val="20"/>
                <w:color w:val="auto"/>
              </w:rPr>
            </w:pPr>
            <w:r>
              <w:rPr>
                <w:rFonts w:ascii="Arial" w:cs="Arial" w:eastAsia="Arial" w:hAnsi="Arial"/>
                <w:sz w:val="22"/>
                <w:szCs w:val="22"/>
                <w:color w:val="auto"/>
              </w:rPr>
              <w:t>Number of existing portfolio companies invested</w:t>
            </w:r>
          </w:p>
        </w:tc>
        <w:tc>
          <w:tcPr>
            <w:tcW w:w="30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36</w:t>
            </w:r>
          </w:p>
        </w:tc>
        <w:tc>
          <w:tcPr>
            <w:tcW w:w="0" w:type="dxa"/>
            <w:vAlign w:val="bottom"/>
          </w:tcPr>
          <w:p>
            <w:pPr>
              <w:spacing w:after="0"/>
              <w:rPr>
                <w:sz w:val="1"/>
                <w:szCs w:val="1"/>
                <w:color w:val="auto"/>
              </w:rPr>
            </w:pPr>
          </w:p>
        </w:tc>
      </w:tr>
      <w:tr>
        <w:trPr>
          <w:trHeight w:val="274"/>
        </w:trPr>
        <w:tc>
          <w:tcPr>
            <w:tcW w:w="7220" w:type="dxa"/>
            <w:vAlign w:val="bottom"/>
          </w:tcPr>
          <w:p>
            <w:pPr>
              <w:ind w:left="140"/>
              <w:spacing w:after="0"/>
              <w:rPr>
                <w:sz w:val="20"/>
                <w:szCs w:val="20"/>
                <w:color w:val="auto"/>
              </w:rPr>
            </w:pPr>
            <w:r>
              <w:rPr>
                <w:rFonts w:ascii="Arial" w:cs="Arial" w:eastAsia="Arial" w:hAnsi="Arial"/>
                <w:sz w:val="22"/>
                <w:szCs w:val="22"/>
                <w:color w:val="auto"/>
              </w:rPr>
              <w:t>Number of ending portfolio companies</w:t>
            </w:r>
          </w:p>
        </w:tc>
        <w:tc>
          <w:tcPr>
            <w:tcW w:w="30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115</w:t>
            </w:r>
          </w:p>
        </w:tc>
        <w:tc>
          <w:tcPr>
            <w:tcW w:w="0" w:type="dxa"/>
            <w:vAlign w:val="bottom"/>
          </w:tcPr>
          <w:p>
            <w:pPr>
              <w:spacing w:after="0"/>
              <w:rPr>
                <w:sz w:val="1"/>
                <w:szCs w:val="1"/>
                <w:color w:val="auto"/>
              </w:rPr>
            </w:pPr>
          </w:p>
        </w:tc>
      </w:tr>
      <w:tr>
        <w:trPr>
          <w:trHeight w:val="536"/>
        </w:trPr>
        <w:tc>
          <w:tcPr>
            <w:tcW w:w="7220" w:type="dxa"/>
            <w:vAlign w:val="bottom"/>
          </w:tcPr>
          <w:p>
            <w:pPr>
              <w:ind w:left="20"/>
              <w:spacing w:after="0"/>
              <w:rPr>
                <w:sz w:val="20"/>
                <w:szCs w:val="20"/>
                <w:color w:val="auto"/>
              </w:rPr>
            </w:pPr>
            <w:r>
              <w:rPr>
                <w:rFonts w:ascii="Arial" w:cs="Arial" w:eastAsia="Arial" w:hAnsi="Arial"/>
                <w:sz w:val="22"/>
                <w:szCs w:val="22"/>
                <w:color w:val="auto"/>
              </w:rPr>
              <w:t>PSSL Portfolio Activity:</w:t>
            </w:r>
          </w:p>
        </w:tc>
        <w:tc>
          <w:tcPr>
            <w:tcW w:w="3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20" w:type="dxa"/>
            <w:vAlign w:val="bottom"/>
          </w:tcPr>
          <w:p>
            <w:pPr>
              <w:ind w:left="140"/>
              <w:spacing w:after="0"/>
              <w:rPr>
                <w:sz w:val="20"/>
                <w:szCs w:val="20"/>
                <w:color w:val="auto"/>
              </w:rPr>
            </w:pPr>
            <w:r>
              <w:rPr>
                <w:rFonts w:ascii="Arial" w:cs="Arial" w:eastAsia="Arial" w:hAnsi="Arial"/>
                <w:sz w:val="22"/>
                <w:szCs w:val="22"/>
                <w:color w:val="auto"/>
              </w:rPr>
              <w:t>Purchases of investments</w:t>
            </w:r>
          </w:p>
        </w:tc>
        <w:tc>
          <w:tcPr>
            <w:tcW w:w="304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129.6</w:t>
            </w:r>
          </w:p>
        </w:tc>
        <w:tc>
          <w:tcPr>
            <w:tcW w:w="0" w:type="dxa"/>
            <w:vAlign w:val="bottom"/>
          </w:tcPr>
          <w:p>
            <w:pPr>
              <w:spacing w:after="0"/>
              <w:rPr>
                <w:sz w:val="1"/>
                <w:szCs w:val="1"/>
                <w:color w:val="auto"/>
              </w:rPr>
            </w:pPr>
          </w:p>
        </w:tc>
      </w:tr>
      <w:tr>
        <w:trPr>
          <w:trHeight w:val="274"/>
        </w:trPr>
        <w:tc>
          <w:tcPr>
            <w:tcW w:w="7220" w:type="dxa"/>
            <w:vAlign w:val="bottom"/>
          </w:tcPr>
          <w:p>
            <w:pPr>
              <w:ind w:left="140"/>
              <w:spacing w:after="0"/>
              <w:rPr>
                <w:sz w:val="20"/>
                <w:szCs w:val="20"/>
                <w:color w:val="auto"/>
              </w:rPr>
            </w:pPr>
            <w:r>
              <w:rPr>
                <w:rFonts w:ascii="Arial" w:cs="Arial" w:eastAsia="Arial" w:hAnsi="Arial"/>
                <w:sz w:val="22"/>
                <w:szCs w:val="22"/>
                <w:color w:val="auto"/>
              </w:rPr>
              <w:t>Sales and repayments of investments</w:t>
            </w:r>
          </w:p>
        </w:tc>
        <w:tc>
          <w:tcPr>
            <w:tcW w:w="304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50.4</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firstLine="8"/>
        <w:spacing w:after="0" w:line="215" w:lineRule="auto"/>
        <w:tabs>
          <w:tab w:leader="none" w:pos="268" w:val="left"/>
        </w:tabs>
        <w:numPr>
          <w:ilvl w:val="0"/>
          <w:numId w:val="3"/>
        </w:numPr>
        <w:rPr>
          <w:rFonts w:ascii="Arial" w:cs="Arial" w:eastAsia="Arial" w:hAnsi="Arial"/>
          <w:sz w:val="31"/>
          <w:szCs w:val="31"/>
          <w:color w:val="auto"/>
          <w:vertAlign w:val="superscript"/>
        </w:rPr>
      </w:pPr>
      <w:r>
        <w:rPr>
          <w:rFonts w:ascii="Arial" w:cs="Arial" w:eastAsia="Arial" w:hAnsi="Arial"/>
          <w:sz w:val="19"/>
          <w:szCs w:val="19"/>
          <w:color w:val="auto"/>
        </w:rPr>
        <w:t>Includes investments in PennantPark Senior Secured Loan Fund I LLC, or PSSL, an unconsolidated joint venture, totaling $201.3 million, at fair value.</w:t>
      </w:r>
    </w:p>
    <w:p>
      <w:pPr>
        <w:spacing w:after="0" w:line="24" w:lineRule="exact"/>
        <w:rPr>
          <w:rFonts w:ascii="Arial" w:cs="Arial" w:eastAsia="Arial" w:hAnsi="Arial"/>
          <w:sz w:val="31"/>
          <w:szCs w:val="31"/>
          <w:color w:val="auto"/>
          <w:vertAlign w:val="superscript"/>
        </w:rPr>
      </w:pPr>
    </w:p>
    <w:p>
      <w:pPr>
        <w:jc w:val="both"/>
        <w:ind w:firstLine="8"/>
        <w:spacing w:after="0" w:line="304" w:lineRule="auto"/>
        <w:tabs>
          <w:tab w:leader="none" w:pos="255"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This is a non-GAAP financial measure. The Company believes that this number provides useful information to investors and management because it reflects the Company’s financial performance excluding the impact of the $10.8 million unrealized loss on our multi-currency senior secured revolving credit facility, as amended and restated, with Truist Bank (formerly SunTrust Bank) and other lenders, or the Credit Facility, and our 4.3% Series A notes due 2023, or the 2023 Notes. The presentation of this additional information is not meant to be considered in isolation or as a substitute for financial results prepared in accordance with GAAP.</w:t>
      </w:r>
    </w:p>
    <w:p>
      <w:pPr>
        <w:spacing w:after="0" w:line="26" w:lineRule="exact"/>
        <w:rPr>
          <w:rFonts w:ascii="Arial" w:cs="Arial" w:eastAsia="Arial" w:hAnsi="Arial"/>
          <w:sz w:val="30"/>
          <w:szCs w:val="30"/>
          <w:color w:val="auto"/>
          <w:vertAlign w:val="superscript"/>
        </w:rPr>
      </w:pPr>
    </w:p>
    <w:p>
      <w:pPr>
        <w:jc w:val="both"/>
        <w:ind w:firstLine="8"/>
        <w:spacing w:after="0"/>
        <w:tabs>
          <w:tab w:leader="none" w:pos="255"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This is a non-GAAP financial measure. The Company believes that this number provides useful information to investors and management because it reflects the Company’s financial performance net of $61.3 million of cash and cash equivalents. The presentation of this additional information is not meant to be considered in isolation or as a substitute for financial results</w:t>
      </w:r>
    </w:p>
    <w:p>
      <w:pPr>
        <w:sectPr>
          <w:pgSz w:w="11900" w:h="16838" w:orient="portrait"/>
          <w:cols w:equalWidth="0" w:num="1">
            <w:col w:w="11240"/>
          </w:cols>
          <w:pgMar w:left="320" w:top="112" w:right="33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prepared in accordance with GAAP.</w:t>
      </w:r>
    </w:p>
    <w:p>
      <w:pPr>
        <w:spacing w:after="0" w:line="45" w:lineRule="exact"/>
        <w:rPr>
          <w:sz w:val="20"/>
          <w:szCs w:val="20"/>
          <w:color w:val="auto"/>
        </w:rPr>
      </w:pPr>
    </w:p>
    <w:p>
      <w:pPr>
        <w:jc w:val="both"/>
        <w:ind w:firstLine="8"/>
        <w:spacing w:after="0" w:line="251" w:lineRule="auto"/>
        <w:tabs>
          <w:tab w:leader="none" w:pos="255"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This is a non-GAAP financial measure. The Company believes that this number provides useful information to investors and management because it reflects the Company’s financial performance including the impact of the $10.8 million unrealized loss on the Credit Facility and the 2023 Notes net of $61.3 million of cash and cash equivalents. The presentation of this additional information is not meant to be considered in isolation or as a substitute for financial results prepared in accordance with GAAP.</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9:00 A.M. ET ON FEBRUARY 10, 2022</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PennantPark Floating Rate Capital Ltd. (“we,” “our,” “us” or the “Company”) will also host a conference call at 9:00 a.m. (Eastern Time) on Thursday February 10, 2022 to discuss its financial results. All interested parties are welcome to participate. You can access the conference call by dialing toll-free (800) 263-0877 approximately 5-10 minutes prior to the call. International callers should dial (646) 828-8143. All callers should reference conference ID #9578243 or PennantPark Floating Rate Capital Ltd. An archived replay of the call will be available through February 24, 2022, by calling toll-free (888) 203-1112. International callers please dial (719) 457-0820. For all phone replays, please reference conference ID #9578243.</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are pleased that we have grown Net Investment Income through growing assets on balance sheet at PFLT as well as that of our PSSL JV,” said Arthur Penn, Chairman and CEO. “Going forward we remain focused on a two part plan to continue to grow Net Investment Income including continued growth of the PSSL JV as well as additional rotation of equity positions into debt instruments.”</w:t>
      </w:r>
    </w:p>
    <w:p>
      <w:pPr>
        <w:spacing w:after="0" w:line="18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of December 31, 2021, our portfolio totaled $1,179.8 million, and consisted of $1,024.8 million of first lien secured debt (including $153.1 million in PSSL), $4.4 million of second lien secured debt and $150.5 million of preferred and common equity (including $48.1 million in PSSL). Our debt portfolio consisted of 99.9% variable-rate investments. As of December 31, 2021, we had three portfolio companies on non-accrual, representing 2.9% and 2.5% of our overall portfolio on a cost and fair value basis, respectively. Overall, the portfolio had net unrealized appreciation of $7.9 million. Our overall portfolio consisted of 115 companies with an average investment size of $10.3 million, had a weighted average yield on debt investments of 7.5%, and was invested 87% in first lien secured debt (including 13% in PSSL), less than 1% in second lien secured debt and 13% in preferred and common equity (including 4% in PSSL). As of December 31, 2021, 99.5% of the investments held by PSSL were first lien secured debt.</w:t>
      </w:r>
    </w:p>
    <w:p>
      <w:pPr>
        <w:spacing w:after="0" w:line="184" w:lineRule="exact"/>
        <w:rPr>
          <w:sz w:val="20"/>
          <w:szCs w:val="20"/>
          <w:color w:val="auto"/>
        </w:rPr>
      </w:pPr>
    </w:p>
    <w:p>
      <w:pPr>
        <w:ind w:right="40"/>
        <w:spacing w:after="0" w:line="233" w:lineRule="auto"/>
        <w:rPr>
          <w:sz w:val="20"/>
          <w:szCs w:val="20"/>
          <w:color w:val="auto"/>
        </w:rPr>
      </w:pPr>
      <w:r>
        <w:rPr>
          <w:rFonts w:ascii="Arial" w:cs="Arial" w:eastAsia="Arial" w:hAnsi="Arial"/>
          <w:sz w:val="22"/>
          <w:szCs w:val="22"/>
          <w:color w:val="auto"/>
        </w:rPr>
        <w:t>As of September 30, 2021, our portfolio totaled $1,081.6 million, and consisted of $934.4 million of first lien secured debt (including $140.9 million in PSSL), $8.9 million of second lien secured debt and $138.3 million of preferred and common equity (including $44.9 million in PSSL). Our debt portfolio consisted of 99% variable-rate investments. As of September 30, 2021, we had two portfolio companies on non-accrual, representing 2.7% and 2.6% of our overall portfolio on a cost and fair value basis, respectively. Overall, the portfolio had net unrealized depreciation of $11.0 million. Our overall portfolio consisted of 110 companies with an average investment size of $9.8 million, had a weighted average yield on debt investments of 7.4%, and was invested 86% in first lien secured debt (including 13% in PSSL), 1% in second lien secured debt and 13% in preferred and common equity (including 4% in PSSL). As of September 30, 2021, 99% of the investments held by PSSL were first lien secured debt.</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December 31, 2021, we invested $335.1 million in 16 new and 36 existing portfolio companies with a weighted average yield on debt investments of 7.8%. Sales and repayments of investments for the three months ended December 31, 2021 totaled $238.4 million.</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December 31, 2020, we invested $67.0 million in five new and 17 existing portfolio companies with a weighted average yield on debt investments of 7.6%. Sales and repayments of investments for the three months ended December 31, 2020 totaled $109.6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Secured Loan Fund I LLC</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December 31, 2021, PSSL’s portfolio totaled $641.7 million and consisted of 80 companies with an average investment size of $8.0 million and had a weighted average yield on debt investments of 7.3 %. As of September 30, 2021, PSSL’s portfolio totaled $564.8 million and consisted of 74 companies with an average investment size of $7.6 million and had a weighted average yield on debt investments of 7.1%.</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For the three months ended December 31, 2021, PSSL invested $129.6 million (including $122.7 million purchased from the Company) in 12 new and six existing portfolio companies with a weighted average yield on debt investments of 8.0 %. Sales and repayments of investments for the three months ended December 31, 2021 totaled $50.4 million.</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For the three months ended December 31, 2020, PSSL invested $15.4 million (none of which was purchased from the Company) in zero new and five existing portfolio companies with a weighted average yield on debt investments of 7.8%. PSSL’s sales and repayments of investments for the three months ended December 31, 2020 totaled $30.6 million.</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months ended December 31, 2021 and 2020.</w:t>
      </w:r>
    </w:p>
    <w:p>
      <w:pPr>
        <w:sectPr>
          <w:pgSz w:w="11900" w:h="16838" w:orient="portrait"/>
          <w:cols w:equalWidth="0" w:num="1">
            <w:col w:w="11240"/>
          </w:cols>
          <w:pgMar w:left="320" w:top="118" w:right="339" w:bottom="0" w:gutter="0" w:footer="0" w:header="0"/>
        </w:sectPr>
      </w:pPr>
    </w:p>
    <w:bookmarkStart w:id="5" w:name="page6"/>
    <w:bookmarkEnd w:id="5"/>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Investment income for the three months ended December 31, 2021 was $26.3 million, which was attributable to $23.0 million from first lien secured debt and $3.3 million from other investments, respectively. This compares to investment income for the three months ended December 31, 2020 of $20.7 million, which was attributable to $18.7 million from first lien secured debt and $2.0 million from other investments, respectively. The increase in investment income compared to the same period in the prior year was primarily due to an increase in the size of our portfolio.</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Expenses for the three months ended December 31, 2021 totaled $13.6 million. Base management fee for the same period totaled $2.9 million, incentive fee totaled $3.2 million, debt-related interest and expenses totaled $6.6 million and general and administrative expenses totaled $0.9 million. This compares to expenses for the three months ended December 31, 2020 which totaled $10.6 million. Base management fee for the same period totaled $2.7 million, incentive fee totaled $1.8 million, debt-related interest and expenses totaled $5.3 million and general and administrative expenses totaled $0.8 million. The increase in expenses for the three months ended December 31, 2021 compared to the same period in the prior year was primarily due to an increase in performance-based incentive fees and debt-related interest and expenses.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Net investment income totaled $12.7 million or $0.33 per share, for the three months ended December 31, 2021. Net investment income totaled $10.1 million or $0.26 per share, for the three months ended December 31, 2020.</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Sales and repayments of investments for the three months ended December 31, 2021 totaled $238.4 million, and net realized gains totaled $3.1 million. Sales and repayments of investments for the three months ended December 31, 2020 totaled $109.6 million and net realized losses totaled $2.8 million. The change in realized gains/losses was primarily due to changes in the market conditions of our investments and the values at which they were realized.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the Credit Facility and the 2023 Notes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For the three months ended December 31, 2021, we reported net change in unrealized depreciation on investments of $3.5 million. For the three months ended December 31, 2020, we reported net change in unrealized appreciation on investments of $22.8 million. As of December 31, 2021and September 30, 2021, our net unrealized appreciation on investments totaled $7.9 million and $11.0 million, respectively. The net change in unrealized appreciation on our investments compared to the same period in the prior year was primarily due to unrealized gains in our equity co-investment program.</w:t>
      </w:r>
    </w:p>
    <w:p>
      <w:pPr>
        <w:spacing w:after="0" w:line="14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For the December 31, 2021, the Credit Facility and the 2023 Notes had a net change in unrealized depreciation of $3.6 million. For the three months ended December 31, 2020, the Credit Facility and the 2023 Notes had a net change in unrealized (appreciation) of $(4.0) million. As of December 31, 2021 and September 30, 2021, the net unrealized depreciation on the Credit Facility and the 2023 Notes totaled $10.8 million and $7.2 million, respectively. The net change in net unrealized depreciation compared to the same period in the prior year was primarily due to changes in the capital markets.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Net increase in net assets resulting from operations totaled $14.4 million or $0.37 per share for the three months ended December 31, 2021. This compares to a net change in net assets resulting from operations of $26.1 million or $0.67 for the three months ended December 31, 2020. The increase in the net change in net assets from operations for the three months ended December 31, 2021 compared to the same period in the prior year was due to our positive net investment income and net realized gains from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For more information on how the COVID-19 pandemic may impact our ability to comply with the covenants of the Credit Facility, see our Quarterly Report on Form 10-Q for the quarter ended December 31, 2021, including “Item 2. Management's Discussion and Analysis of Financial Condition and Results of Operations – COVID-19 Developments”.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annualized weighted average cost of debt for the three months ended December 31, 2021 and 2020, inclusive of the fee on the undrawn commitment on the Credit Facility, amendment costs and debt issuance costs, was 3.6% and 3.3%. As of December 31, 2021 and September 30, 2021, we had $43.3 million and $80.6 million of unused borrowing capacity under the Credit Facility or our Prior Credit Facility, as applicable, respectively, subject to leverage and borrowing base restrictions.</w:t>
      </w:r>
    </w:p>
    <w:p>
      <w:pPr>
        <w:spacing w:after="0" w:line="14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As of December 31, 2021 and September 30, 2021, our wholly owned subsidiary, PennantPark Floating Rate Funding I, LLC, borrowed $256.7 million and $219.4 million under the Credit Facility, respectively. The Credit Facility had a weighted average</w:t>
      </w:r>
    </w:p>
    <w:p>
      <w:pPr>
        <w:sectPr>
          <w:pgSz w:w="11900" w:h="17008" w:orient="portrait"/>
          <w:cols w:equalWidth="0" w:num="1">
            <w:col w:w="11240"/>
          </w:cols>
          <w:pgMar w:left="320" w:top="111" w:right="339" w:bottom="0" w:gutter="0" w:footer="0" w:header="0"/>
        </w:sectPr>
      </w:pPr>
    </w:p>
    <w:bookmarkStart w:id="6" w:name="page7"/>
    <w:bookmarkEnd w:id="6"/>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interest rate of 2.4% and 2.3%, exclusive of the fee on undrawn commitments as of December 31, 2021 and September 30, 2021, respectively.</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December 31, 2021 and September 30, 2021, we had cash equivalents of $61.3 million and $49.8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Our operating activities used cash of $82.4 million for the three months ended December 31, 2021, and our financing activities provided cash of $93.2 million for the same period. Our operating activities used cash primarily for our investment activities and our financing activities provided cash primarily due to the issuance of $85 million of our 2026 Add-on Notes and borrowings under our Credit Facility.</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Our operating activities provided cash of $55.5 million for the three months ended December 31, 2020, and our financing activities used cash of $83.5 million for the same period. Our operating activities provided cash primarily from our investment activities and our financing activities used cash primarily to pay down our Credit Facility and the 2023 Notes.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During the three months ended December 31, 2021 and 2020, we declared distributions of $0.285 per share for total distributions of $11.1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 xml:space="preserve">The Company makes available on its website its Quarterly Report on Form 10-Q filed with the SEC, and stockholders may find such report on its website at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AND SUBSIDIARIES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080" w:type="dxa"/>
            <w:vAlign w:val="bottom"/>
          </w:tcPr>
          <w:p>
            <w:pPr>
              <w:spacing w:after="0"/>
              <w:rPr>
                <w:sz w:val="21"/>
                <w:szCs w:val="21"/>
                <w:color w:val="auto"/>
              </w:rPr>
            </w:pPr>
          </w:p>
        </w:tc>
        <w:tc>
          <w:tcPr>
            <w:tcW w:w="1620" w:type="dxa"/>
            <w:vAlign w:val="bottom"/>
            <w:gridSpan w:val="2"/>
          </w:tcPr>
          <w:p>
            <w:pPr>
              <w:ind w:left="80"/>
              <w:spacing w:after="0"/>
              <w:rPr>
                <w:sz w:val="20"/>
                <w:szCs w:val="20"/>
                <w:color w:val="auto"/>
              </w:rPr>
            </w:pPr>
            <w:r>
              <w:rPr>
                <w:rFonts w:ascii="Arial" w:cs="Arial" w:eastAsia="Arial" w:hAnsi="Arial"/>
                <w:sz w:val="22"/>
                <w:szCs w:val="22"/>
                <w:b w:val="1"/>
                <w:bCs w:val="1"/>
                <w:color w:val="auto"/>
              </w:rPr>
              <w:t>December 31,</w:t>
            </w:r>
          </w:p>
        </w:tc>
        <w:tc>
          <w:tcPr>
            <w:tcW w:w="1420" w:type="dxa"/>
            <w:vAlign w:val="bottom"/>
          </w:tcPr>
          <w:p>
            <w:pPr>
              <w:jc w:val="right"/>
              <w:spacing w:after="0"/>
              <w:rPr>
                <w:sz w:val="20"/>
                <w:szCs w:val="20"/>
                <w:color w:val="auto"/>
              </w:rPr>
            </w:pPr>
            <w:r>
              <w:rPr>
                <w:rFonts w:ascii="Arial" w:cs="Arial" w:eastAsia="Arial" w:hAnsi="Arial"/>
                <w:sz w:val="22"/>
                <w:szCs w:val="22"/>
                <w:b w:val="1"/>
                <w:bCs w:val="1"/>
                <w:color w:val="auto"/>
                <w:w w:val="89"/>
              </w:rPr>
              <w:t>September 30,</w:t>
            </w:r>
          </w:p>
        </w:tc>
        <w:tc>
          <w:tcPr>
            <w:tcW w:w="0" w:type="dxa"/>
            <w:vAlign w:val="bottom"/>
          </w:tcPr>
          <w:p>
            <w:pPr>
              <w:spacing w:after="0"/>
              <w:rPr>
                <w:sz w:val="1"/>
                <w:szCs w:val="1"/>
                <w:color w:val="auto"/>
              </w:rPr>
            </w:pPr>
          </w:p>
        </w:tc>
      </w:tr>
      <w:tr>
        <w:trPr>
          <w:trHeight w:val="280"/>
        </w:trPr>
        <w:tc>
          <w:tcPr>
            <w:tcW w:w="8080" w:type="dxa"/>
            <w:vAlign w:val="bottom"/>
          </w:tcPr>
          <w:p>
            <w:pPr>
              <w:spacing w:after="0"/>
              <w:rPr>
                <w:sz w:val="24"/>
                <w:szCs w:val="24"/>
                <w:color w:val="auto"/>
              </w:rPr>
            </w:pPr>
          </w:p>
        </w:tc>
        <w:tc>
          <w:tcPr>
            <w:tcW w:w="142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2021</w:t>
            </w:r>
          </w:p>
        </w:tc>
        <w:tc>
          <w:tcPr>
            <w:tcW w:w="200" w:type="dxa"/>
            <w:vAlign w:val="bottom"/>
          </w:tcPr>
          <w:p>
            <w:pPr>
              <w:spacing w:after="0"/>
              <w:rPr>
                <w:sz w:val="24"/>
                <w:szCs w:val="24"/>
                <w:color w:val="auto"/>
              </w:rPr>
            </w:pPr>
          </w:p>
        </w:tc>
        <w:tc>
          <w:tcPr>
            <w:tcW w:w="142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2021</w:t>
            </w:r>
          </w:p>
        </w:tc>
        <w:tc>
          <w:tcPr>
            <w:tcW w:w="0" w:type="dxa"/>
            <w:vAlign w:val="bottom"/>
          </w:tcPr>
          <w:p>
            <w:pPr>
              <w:spacing w:after="0"/>
              <w:rPr>
                <w:sz w:val="1"/>
                <w:szCs w:val="1"/>
                <w:color w:val="auto"/>
              </w:rPr>
            </w:pPr>
          </w:p>
        </w:tc>
      </w:tr>
      <w:tr>
        <w:trPr>
          <w:trHeight w:val="267"/>
        </w:trPr>
        <w:tc>
          <w:tcPr>
            <w:tcW w:w="8080" w:type="dxa"/>
            <w:vAlign w:val="bottom"/>
            <w:vMerge w:val="restart"/>
          </w:tcPr>
          <w:p>
            <w:pPr>
              <w:spacing w:after="0"/>
              <w:rPr>
                <w:sz w:val="20"/>
                <w:szCs w:val="20"/>
                <w:color w:val="auto"/>
              </w:rPr>
            </w:pPr>
            <w:r>
              <w:rPr>
                <w:rFonts w:ascii="Arial" w:cs="Arial" w:eastAsia="Arial" w:hAnsi="Arial"/>
                <w:sz w:val="22"/>
                <w:szCs w:val="22"/>
                <w:b w:val="1"/>
                <w:bCs w:val="1"/>
                <w:color w:val="auto"/>
              </w:rPr>
              <w:t>Assets</w:t>
            </w:r>
          </w:p>
        </w:tc>
        <w:tc>
          <w:tcPr>
            <w:tcW w:w="142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8080" w:type="dxa"/>
            <w:vAlign w:val="bottom"/>
            <w:vMerge w:val="continue"/>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808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80" w:type="dxa"/>
            <w:vAlign w:val="bottom"/>
          </w:tcPr>
          <w:p>
            <w:pPr>
              <w:spacing w:after="0" w:line="243" w:lineRule="exact"/>
              <w:rPr>
                <w:sz w:val="20"/>
                <w:szCs w:val="20"/>
                <w:color w:val="auto"/>
              </w:rPr>
            </w:pPr>
            <w:r>
              <w:rPr>
                <w:rFonts w:ascii="Arial" w:cs="Arial" w:eastAsia="Arial" w:hAnsi="Arial"/>
                <w:sz w:val="22"/>
                <w:szCs w:val="22"/>
                <w:color w:val="auto"/>
                <w:w w:val="99"/>
              </w:rPr>
              <w:t>Non-controlled, non-affiliated investments (cost— $908,298,246 and $824,541,549,</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respectively</w:t>
            </w:r>
          </w:p>
        </w:tc>
        <w:tc>
          <w:tcPr>
            <w:tcW w:w="1420" w:type="dxa"/>
            <w:vAlign w:val="bottom"/>
          </w:tcPr>
          <w:p>
            <w:pPr>
              <w:jc w:val="right"/>
              <w:spacing w:after="0"/>
              <w:rPr>
                <w:sz w:val="20"/>
                <w:szCs w:val="20"/>
                <w:color w:val="auto"/>
              </w:rPr>
            </w:pPr>
            <w:r>
              <w:rPr>
                <w:rFonts w:ascii="Arial" w:cs="Arial" w:eastAsia="Arial" w:hAnsi="Arial"/>
                <w:sz w:val="22"/>
                <w:szCs w:val="22"/>
                <w:color w:val="auto"/>
                <w:w w:val="93"/>
              </w:rPr>
              <w:t>$  945,338,180</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w w:val="93"/>
              </w:rPr>
              <w:t>$  856,806,437</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w w:val="93"/>
              </w:rPr>
              <w:t>Non-controlled, affiliated investments (cost— $22,380,092 and $22,380,092, respectively</w:t>
            </w:r>
          </w:p>
        </w:tc>
        <w:tc>
          <w:tcPr>
            <w:tcW w:w="1420" w:type="dxa"/>
            <w:vAlign w:val="bottom"/>
          </w:tcPr>
          <w:p>
            <w:pPr>
              <w:jc w:val="right"/>
              <w:spacing w:after="0"/>
              <w:rPr>
                <w:sz w:val="20"/>
                <w:szCs w:val="20"/>
                <w:color w:val="auto"/>
              </w:rPr>
            </w:pPr>
            <w:r>
              <w:rPr>
                <w:rFonts w:ascii="Arial" w:cs="Arial" w:eastAsia="Arial" w:hAnsi="Arial"/>
                <w:sz w:val="22"/>
                <w:szCs w:val="22"/>
                <w:color w:val="auto"/>
              </w:rPr>
              <w:t>640,457</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7,432,896</w:t>
            </w:r>
          </w:p>
        </w:tc>
        <w:tc>
          <w:tcPr>
            <w:tcW w:w="0" w:type="dxa"/>
            <w:vAlign w:val="bottom"/>
          </w:tcPr>
          <w:p>
            <w:pPr>
              <w:spacing w:after="0"/>
              <w:rPr>
                <w:sz w:val="1"/>
                <w:szCs w:val="1"/>
                <w:color w:val="auto"/>
              </w:rPr>
            </w:pPr>
          </w:p>
        </w:tc>
      </w:tr>
      <w:tr>
        <w:trPr>
          <w:trHeight w:val="274"/>
        </w:trPr>
        <w:tc>
          <w:tcPr>
            <w:tcW w:w="8080" w:type="dxa"/>
            <w:vAlign w:val="bottom"/>
          </w:tcPr>
          <w:p>
            <w:pPr>
              <w:spacing w:after="0"/>
              <w:rPr>
                <w:sz w:val="20"/>
                <w:szCs w:val="20"/>
                <w:color w:val="auto"/>
              </w:rPr>
            </w:pPr>
            <w:r>
              <w:rPr>
                <w:rFonts w:ascii="Arial" w:cs="Arial" w:eastAsia="Arial" w:hAnsi="Arial"/>
                <w:sz w:val="22"/>
                <w:szCs w:val="22"/>
                <w:color w:val="auto"/>
                <w:w w:val="95"/>
              </w:rPr>
              <w:t>Controlled, affiliated investments (cost— $241,268,951 and $223,714,366, respectively</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233,842,905</w:t>
            </w:r>
          </w:p>
        </w:tc>
        <w:tc>
          <w:tcPr>
            <w:tcW w:w="200" w:type="dxa"/>
            <w:vAlign w:val="bottom"/>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217,380,079</w:t>
            </w:r>
          </w:p>
        </w:tc>
        <w:tc>
          <w:tcPr>
            <w:tcW w:w="0" w:type="dxa"/>
            <w:vAlign w:val="bottom"/>
          </w:tcPr>
          <w:p>
            <w:pPr>
              <w:spacing w:after="0"/>
              <w:rPr>
                <w:sz w:val="1"/>
                <w:szCs w:val="1"/>
                <w:color w:val="auto"/>
              </w:rPr>
            </w:pPr>
          </w:p>
        </w:tc>
      </w:tr>
      <w:tr>
        <w:trPr>
          <w:trHeight w:val="259"/>
        </w:trPr>
        <w:tc>
          <w:tcPr>
            <w:tcW w:w="8080" w:type="dxa"/>
            <w:vAlign w:val="bottom"/>
          </w:tcPr>
          <w:p>
            <w:pPr>
              <w:spacing w:after="0"/>
              <w:rPr>
                <w:sz w:val="20"/>
                <w:szCs w:val="20"/>
                <w:color w:val="auto"/>
              </w:rPr>
            </w:pPr>
            <w:r>
              <w:rPr>
                <w:rFonts w:ascii="Arial" w:cs="Arial" w:eastAsia="Arial" w:hAnsi="Arial"/>
                <w:sz w:val="22"/>
                <w:szCs w:val="22"/>
                <w:color w:val="auto"/>
              </w:rPr>
              <w:t>Total investments (cost— $1,171,947,289 and $1,070,636,007, respectively</w:t>
            </w:r>
          </w:p>
        </w:tc>
        <w:tc>
          <w:tcPr>
            <w:tcW w:w="1420" w:type="dxa"/>
            <w:vAlign w:val="bottom"/>
          </w:tcPr>
          <w:p>
            <w:pPr>
              <w:jc w:val="right"/>
              <w:spacing w:after="0"/>
              <w:rPr>
                <w:sz w:val="20"/>
                <w:szCs w:val="20"/>
                <w:color w:val="auto"/>
              </w:rPr>
            </w:pPr>
            <w:r>
              <w:rPr>
                <w:rFonts w:ascii="Arial" w:cs="Arial" w:eastAsia="Arial" w:hAnsi="Arial"/>
                <w:sz w:val="22"/>
                <w:szCs w:val="22"/>
                <w:color w:val="auto"/>
                <w:w w:val="98"/>
              </w:rPr>
              <w:t>1,179,821,542</w:t>
            </w: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w w:val="98"/>
              </w:rPr>
              <w:t>1,081,619,412</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Cash and cash equivalents (cost—$61,266,283 and $49,825,527, respectively)</w:t>
            </w:r>
          </w:p>
        </w:tc>
        <w:tc>
          <w:tcPr>
            <w:tcW w:w="1420" w:type="dxa"/>
            <w:vAlign w:val="bottom"/>
          </w:tcPr>
          <w:p>
            <w:pPr>
              <w:jc w:val="right"/>
              <w:spacing w:after="0"/>
              <w:rPr>
                <w:sz w:val="20"/>
                <w:szCs w:val="20"/>
                <w:color w:val="auto"/>
              </w:rPr>
            </w:pPr>
            <w:r>
              <w:rPr>
                <w:rFonts w:ascii="Arial" w:cs="Arial" w:eastAsia="Arial" w:hAnsi="Arial"/>
                <w:sz w:val="22"/>
                <w:szCs w:val="22"/>
                <w:color w:val="auto"/>
              </w:rPr>
              <w:t>61,266,942</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49,825,527</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Interest receivable</w:t>
            </w:r>
          </w:p>
        </w:tc>
        <w:tc>
          <w:tcPr>
            <w:tcW w:w="1420" w:type="dxa"/>
            <w:vAlign w:val="bottom"/>
          </w:tcPr>
          <w:p>
            <w:pPr>
              <w:jc w:val="right"/>
              <w:spacing w:after="0"/>
              <w:rPr>
                <w:sz w:val="20"/>
                <w:szCs w:val="20"/>
                <w:color w:val="auto"/>
              </w:rPr>
            </w:pPr>
            <w:r>
              <w:rPr>
                <w:rFonts w:ascii="Arial" w:cs="Arial" w:eastAsia="Arial" w:hAnsi="Arial"/>
                <w:sz w:val="22"/>
                <w:szCs w:val="22"/>
                <w:color w:val="auto"/>
              </w:rPr>
              <w:t>5,737,043</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5,445,726</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1420" w:type="dxa"/>
            <w:vAlign w:val="bottom"/>
          </w:tcPr>
          <w:p>
            <w:pPr>
              <w:jc w:val="right"/>
              <w:spacing w:after="0"/>
              <w:rPr>
                <w:sz w:val="20"/>
                <w:szCs w:val="20"/>
                <w:color w:val="auto"/>
              </w:rPr>
            </w:pPr>
            <w:r>
              <w:rPr>
                <w:rFonts w:ascii="Arial" w:cs="Arial" w:eastAsia="Arial" w:hAnsi="Arial"/>
                <w:sz w:val="22"/>
                <w:szCs w:val="22"/>
                <w:color w:val="auto"/>
              </w:rPr>
              <w:t>18,429,923</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33,965,807</w:t>
            </w:r>
          </w:p>
        </w:tc>
        <w:tc>
          <w:tcPr>
            <w:tcW w:w="0" w:type="dxa"/>
            <w:vAlign w:val="bottom"/>
          </w:tcPr>
          <w:p>
            <w:pPr>
              <w:spacing w:after="0"/>
              <w:rPr>
                <w:sz w:val="1"/>
                <w:szCs w:val="1"/>
                <w:color w:val="auto"/>
              </w:rPr>
            </w:pPr>
          </w:p>
        </w:tc>
      </w:tr>
      <w:tr>
        <w:trPr>
          <w:trHeight w:val="274"/>
        </w:trPr>
        <w:tc>
          <w:tcPr>
            <w:tcW w:w="808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96,209</w:t>
            </w:r>
          </w:p>
        </w:tc>
        <w:tc>
          <w:tcPr>
            <w:tcW w:w="200" w:type="dxa"/>
            <w:vAlign w:val="bottom"/>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7"/>
        </w:trPr>
        <w:tc>
          <w:tcPr>
            <w:tcW w:w="8080" w:type="dxa"/>
            <w:vAlign w:val="bottom"/>
          </w:tcPr>
          <w:p>
            <w:pPr>
              <w:spacing w:after="0"/>
              <w:rPr>
                <w:sz w:val="20"/>
                <w:szCs w:val="20"/>
                <w:color w:val="auto"/>
              </w:rPr>
            </w:pPr>
            <w:r>
              <w:rPr>
                <w:rFonts w:ascii="Arial" w:cs="Arial" w:eastAsia="Arial" w:hAnsi="Arial"/>
                <w:sz w:val="22"/>
                <w:szCs w:val="22"/>
                <w:b w:val="1"/>
                <w:bCs w:val="1"/>
                <w:color w:val="auto"/>
              </w:rPr>
              <w:t>Total assets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1,265,351,659</w:t>
            </w:r>
          </w:p>
        </w:tc>
        <w:tc>
          <w:tcPr>
            <w:tcW w:w="200" w:type="dxa"/>
            <w:vAlign w:val="bottom"/>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1,170,856,472</w:t>
            </w:r>
          </w:p>
        </w:tc>
        <w:tc>
          <w:tcPr>
            <w:tcW w:w="0" w:type="dxa"/>
            <w:vAlign w:val="bottom"/>
          </w:tcPr>
          <w:p>
            <w:pPr>
              <w:spacing w:after="0"/>
              <w:rPr>
                <w:sz w:val="1"/>
                <w:szCs w:val="1"/>
                <w:color w:val="auto"/>
              </w:rPr>
            </w:pPr>
          </w:p>
        </w:tc>
      </w:tr>
      <w:tr>
        <w:trPr>
          <w:trHeight w:val="256"/>
        </w:trPr>
        <w:tc>
          <w:tcPr>
            <w:tcW w:w="808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Distributions payable</w:t>
            </w:r>
          </w:p>
        </w:tc>
        <w:tc>
          <w:tcPr>
            <w:tcW w:w="1420" w:type="dxa"/>
            <w:vAlign w:val="bottom"/>
          </w:tcPr>
          <w:p>
            <w:pPr>
              <w:jc w:val="right"/>
              <w:spacing w:after="0"/>
              <w:rPr>
                <w:sz w:val="20"/>
                <w:szCs w:val="20"/>
                <w:color w:val="auto"/>
              </w:rPr>
            </w:pPr>
            <w:r>
              <w:rPr>
                <w:rFonts w:ascii="Arial" w:cs="Arial" w:eastAsia="Arial" w:hAnsi="Arial"/>
                <w:sz w:val="22"/>
                <w:szCs w:val="22"/>
                <w:color w:val="auto"/>
              </w:rPr>
              <w:t>3,718,603</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3,690,320</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420" w:type="dxa"/>
            <w:vAlign w:val="bottom"/>
          </w:tcPr>
          <w:p>
            <w:pPr>
              <w:jc w:val="right"/>
              <w:spacing w:after="0"/>
              <w:rPr>
                <w:sz w:val="20"/>
                <w:szCs w:val="20"/>
                <w:color w:val="auto"/>
              </w:rPr>
            </w:pPr>
            <w:r>
              <w:rPr>
                <w:rFonts w:ascii="Arial" w:cs="Arial" w:eastAsia="Arial" w:hAnsi="Arial"/>
                <w:sz w:val="22"/>
                <w:szCs w:val="22"/>
                <w:color w:val="auto"/>
              </w:rPr>
              <w:t>1,058,400</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13,545,522</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w w:val="92"/>
              </w:rPr>
              <w:t>Credit Facility payable, at fair value (cost—$256,653,500 and $219,400,000, respectively)</w:t>
            </w:r>
          </w:p>
        </w:tc>
        <w:tc>
          <w:tcPr>
            <w:tcW w:w="1420" w:type="dxa"/>
            <w:vAlign w:val="bottom"/>
          </w:tcPr>
          <w:p>
            <w:pPr>
              <w:jc w:val="right"/>
              <w:spacing w:after="0"/>
              <w:rPr>
                <w:sz w:val="20"/>
                <w:szCs w:val="20"/>
                <w:color w:val="auto"/>
              </w:rPr>
            </w:pPr>
            <w:r>
              <w:rPr>
                <w:rFonts w:ascii="Arial" w:cs="Arial" w:eastAsia="Arial" w:hAnsi="Arial"/>
                <w:sz w:val="22"/>
                <w:szCs w:val="22"/>
                <w:color w:val="auto"/>
              </w:rPr>
              <w:t>256,670,500</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218,851,500</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w w:val="97"/>
              </w:rPr>
              <w:t>2023 Notes payable, at fair value (par—$97,005,901 and $117,792,879, respectively)</w:t>
            </w:r>
          </w:p>
        </w:tc>
        <w:tc>
          <w:tcPr>
            <w:tcW w:w="1420" w:type="dxa"/>
            <w:vAlign w:val="bottom"/>
          </w:tcPr>
          <w:p>
            <w:pPr>
              <w:jc w:val="right"/>
              <w:spacing w:after="0"/>
              <w:rPr>
                <w:sz w:val="20"/>
                <w:szCs w:val="20"/>
                <w:color w:val="auto"/>
              </w:rPr>
            </w:pPr>
            <w:r>
              <w:rPr>
                <w:rFonts w:ascii="Arial" w:cs="Arial" w:eastAsia="Arial" w:hAnsi="Arial"/>
                <w:sz w:val="22"/>
                <w:szCs w:val="22"/>
                <w:color w:val="auto"/>
              </w:rPr>
              <w:t>86,150,940</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111,114,023</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2026 Notes payable, net (par—$185,000,000 and $100,000,000, respectively)</w:t>
            </w:r>
          </w:p>
        </w:tc>
        <w:tc>
          <w:tcPr>
            <w:tcW w:w="1420" w:type="dxa"/>
            <w:vAlign w:val="bottom"/>
          </w:tcPr>
          <w:p>
            <w:pPr>
              <w:jc w:val="right"/>
              <w:spacing w:after="0"/>
              <w:rPr>
                <w:sz w:val="20"/>
                <w:szCs w:val="20"/>
                <w:color w:val="auto"/>
              </w:rPr>
            </w:pPr>
            <w:r>
              <w:rPr>
                <w:rFonts w:ascii="Arial" w:cs="Arial" w:eastAsia="Arial" w:hAnsi="Arial"/>
                <w:sz w:val="22"/>
                <w:szCs w:val="22"/>
                <w:color w:val="auto"/>
              </w:rPr>
              <w:t>181,693,294</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97,170,665</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2031 Asset-Backed Debt, net (par—$228,000,000)</w:t>
            </w:r>
          </w:p>
        </w:tc>
        <w:tc>
          <w:tcPr>
            <w:tcW w:w="1420" w:type="dxa"/>
            <w:vAlign w:val="bottom"/>
          </w:tcPr>
          <w:p>
            <w:pPr>
              <w:jc w:val="right"/>
              <w:spacing w:after="0"/>
              <w:rPr>
                <w:sz w:val="20"/>
                <w:szCs w:val="20"/>
                <w:color w:val="auto"/>
              </w:rPr>
            </w:pPr>
            <w:r>
              <w:rPr>
                <w:rFonts w:ascii="Arial" w:cs="Arial" w:eastAsia="Arial" w:hAnsi="Arial"/>
                <w:sz w:val="22"/>
                <w:szCs w:val="22"/>
                <w:color w:val="auto"/>
              </w:rPr>
              <w:t>225,654,887</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225,497,177</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420" w:type="dxa"/>
            <w:vAlign w:val="bottom"/>
          </w:tcPr>
          <w:p>
            <w:pPr>
              <w:jc w:val="right"/>
              <w:spacing w:after="0"/>
              <w:rPr>
                <w:sz w:val="20"/>
                <w:szCs w:val="20"/>
                <w:color w:val="auto"/>
              </w:rPr>
            </w:pPr>
            <w:r>
              <w:rPr>
                <w:rFonts w:ascii="Arial" w:cs="Arial" w:eastAsia="Arial" w:hAnsi="Arial"/>
                <w:sz w:val="22"/>
                <w:szCs w:val="22"/>
                <w:color w:val="auto"/>
              </w:rPr>
              <w:t>4,014,294</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5,454,784</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Base-management fee payable</w:t>
            </w:r>
          </w:p>
        </w:tc>
        <w:tc>
          <w:tcPr>
            <w:tcW w:w="1420" w:type="dxa"/>
            <w:vAlign w:val="bottom"/>
          </w:tcPr>
          <w:p>
            <w:pPr>
              <w:jc w:val="right"/>
              <w:spacing w:after="0"/>
              <w:rPr>
                <w:sz w:val="20"/>
                <w:szCs w:val="20"/>
                <w:color w:val="auto"/>
              </w:rPr>
            </w:pPr>
            <w:r>
              <w:rPr>
                <w:rFonts w:ascii="Arial" w:cs="Arial" w:eastAsia="Arial" w:hAnsi="Arial"/>
                <w:sz w:val="22"/>
                <w:szCs w:val="22"/>
                <w:color w:val="auto"/>
              </w:rPr>
              <w:t>2,896,251</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2,706,828</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Performance-based incentive fee payable</w:t>
            </w:r>
          </w:p>
        </w:tc>
        <w:tc>
          <w:tcPr>
            <w:tcW w:w="1420" w:type="dxa"/>
            <w:vAlign w:val="bottom"/>
          </w:tcPr>
          <w:p>
            <w:pPr>
              <w:jc w:val="right"/>
              <w:spacing w:after="0"/>
              <w:rPr>
                <w:sz w:val="20"/>
                <w:szCs w:val="20"/>
                <w:color w:val="auto"/>
              </w:rPr>
            </w:pPr>
            <w:r>
              <w:rPr>
                <w:rFonts w:ascii="Arial" w:cs="Arial" w:eastAsia="Arial" w:hAnsi="Arial"/>
                <w:sz w:val="22"/>
                <w:szCs w:val="22"/>
                <w:color w:val="auto"/>
              </w:rPr>
              <w:t>3,180,464</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623,718</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Deferred tax liability</w:t>
            </w:r>
          </w:p>
        </w:tc>
        <w:tc>
          <w:tcPr>
            <w:tcW w:w="1420" w:type="dxa"/>
            <w:vAlign w:val="bottom"/>
          </w:tcPr>
          <w:p>
            <w:pPr>
              <w:jc w:val="right"/>
              <w:spacing w:after="0"/>
              <w:rPr>
                <w:sz w:val="20"/>
                <w:szCs w:val="20"/>
                <w:color w:val="auto"/>
              </w:rPr>
            </w:pPr>
            <w:r>
              <w:rPr>
                <w:rFonts w:ascii="Arial" w:cs="Arial" w:eastAsia="Arial" w:hAnsi="Arial"/>
                <w:sz w:val="22"/>
                <w:szCs w:val="22"/>
                <w:color w:val="auto"/>
              </w:rPr>
              <w:t>1,539,871</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808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1,368,663</w:t>
            </w:r>
          </w:p>
        </w:tc>
        <w:tc>
          <w:tcPr>
            <w:tcW w:w="200" w:type="dxa"/>
            <w:vAlign w:val="bottom"/>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1,590,679</w:t>
            </w:r>
          </w:p>
        </w:tc>
        <w:tc>
          <w:tcPr>
            <w:tcW w:w="0" w:type="dxa"/>
            <w:vAlign w:val="bottom"/>
          </w:tcPr>
          <w:p>
            <w:pPr>
              <w:spacing w:after="0"/>
              <w:rPr>
                <w:sz w:val="1"/>
                <w:szCs w:val="1"/>
                <w:color w:val="auto"/>
              </w:rPr>
            </w:pPr>
          </w:p>
        </w:tc>
      </w:tr>
      <w:tr>
        <w:trPr>
          <w:trHeight w:val="267"/>
        </w:trPr>
        <w:tc>
          <w:tcPr>
            <w:tcW w:w="8080" w:type="dxa"/>
            <w:vAlign w:val="bottom"/>
          </w:tcPr>
          <w:p>
            <w:pPr>
              <w:spacing w:after="0"/>
              <w:rPr>
                <w:sz w:val="20"/>
                <w:szCs w:val="20"/>
                <w:color w:val="auto"/>
              </w:rPr>
            </w:pPr>
            <w:r>
              <w:rPr>
                <w:rFonts w:ascii="Arial" w:cs="Arial" w:eastAsia="Arial" w:hAnsi="Arial"/>
                <w:sz w:val="22"/>
                <w:szCs w:val="22"/>
                <w:b w:val="1"/>
                <w:bCs w:val="1"/>
                <w:color w:val="auto"/>
              </w:rPr>
              <w:t>Total liabilities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767,946,168</w:t>
            </w:r>
          </w:p>
        </w:tc>
        <w:tc>
          <w:tcPr>
            <w:tcW w:w="200" w:type="dxa"/>
            <w:vAlign w:val="bottom"/>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680,245,216</w:t>
            </w:r>
          </w:p>
        </w:tc>
        <w:tc>
          <w:tcPr>
            <w:tcW w:w="0" w:type="dxa"/>
            <w:vAlign w:val="bottom"/>
          </w:tcPr>
          <w:p>
            <w:pPr>
              <w:spacing w:after="0"/>
              <w:rPr>
                <w:sz w:val="1"/>
                <w:szCs w:val="1"/>
                <w:color w:val="auto"/>
              </w:rPr>
            </w:pPr>
          </w:p>
        </w:tc>
      </w:tr>
      <w:tr>
        <w:trPr>
          <w:trHeight w:val="254"/>
        </w:trPr>
        <w:tc>
          <w:tcPr>
            <w:tcW w:w="8080" w:type="dxa"/>
            <w:vAlign w:val="bottom"/>
          </w:tcPr>
          <w:p>
            <w:pPr>
              <w:spacing w:after="0"/>
              <w:rPr>
                <w:sz w:val="20"/>
                <w:szCs w:val="20"/>
                <w:color w:val="auto"/>
              </w:rPr>
            </w:pPr>
            <w:r>
              <w:rPr>
                <w:rFonts w:ascii="Arial" w:cs="Arial" w:eastAsia="Arial" w:hAnsi="Arial"/>
                <w:sz w:val="22"/>
                <w:szCs w:val="22"/>
                <w:color w:val="auto"/>
              </w:rPr>
              <w:t>Commitments and contingencies</w:t>
            </w:r>
          </w:p>
        </w:tc>
        <w:tc>
          <w:tcPr>
            <w:tcW w:w="1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22"/>
          <w:szCs w:val="22"/>
          <w:b w:val="1"/>
          <w:bCs w:val="1"/>
          <w:color w:val="auto"/>
        </w:rPr>
        <w:t>Net assets</w:t>
      </w:r>
    </w:p>
    <w:p>
      <w:pPr>
        <w:sectPr>
          <w:pgSz w:w="11900" w:h="16905" w:orient="portrait"/>
          <w:cols w:equalWidth="0" w:num="1">
            <w:col w:w="11240"/>
          </w:cols>
          <w:pgMar w:left="320" w:top="118" w:right="339" w:bottom="0" w:gutter="0" w:footer="0" w:header="0"/>
        </w:sectPr>
      </w:pPr>
    </w:p>
    <w:bookmarkStart w:id="7" w:name="page8"/>
    <w:bookmarkEnd w:id="7"/>
    <w:tbl>
      <w:tblPr>
        <w:tblLayout w:type="fixed"/>
        <w:tblInd w:w="20" w:type="dxa"/>
        <w:tblCellMar>
          <w:top w:w="0" w:type="dxa"/>
          <w:left w:w="0" w:type="dxa"/>
          <w:bottom w:w="0" w:type="dxa"/>
          <w:right w:w="0" w:type="dxa"/>
        </w:tblCellMar>
      </w:tblPr>
      <w:tr>
        <w:trPr>
          <w:trHeight w:val="253"/>
        </w:trPr>
        <w:tc>
          <w:tcPr>
            <w:tcW w:w="8080" w:type="dxa"/>
            <w:vAlign w:val="bottom"/>
          </w:tcPr>
          <w:p>
            <w:pPr>
              <w:spacing w:after="0"/>
              <w:rPr>
                <w:sz w:val="20"/>
                <w:szCs w:val="20"/>
                <w:color w:val="auto"/>
              </w:rPr>
            </w:pPr>
            <w:r>
              <w:rPr>
                <w:rFonts w:ascii="Arial" w:cs="Arial" w:eastAsia="Arial" w:hAnsi="Arial"/>
                <w:sz w:val="22"/>
                <w:szCs w:val="22"/>
                <w:color w:val="auto"/>
                <w:w w:val="93"/>
              </w:rPr>
              <w:t>Common stock, 39,150,794 and 38,880,728 shares issued and outstanding, respectively</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Par value $0.001 per share and 100,000,000 shares authorized</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39,151</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38,881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w w:val="91"/>
              </w:rPr>
              <w:t>542,281,346</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w w:val="93"/>
              </w:rPr>
              <w:t>538,814,549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8080" w:type="dxa"/>
            <w:vAlign w:val="bottom"/>
          </w:tcPr>
          <w:p>
            <w:pPr>
              <w:spacing w:after="0"/>
              <w:rPr>
                <w:sz w:val="20"/>
                <w:szCs w:val="20"/>
                <w:color w:val="auto"/>
              </w:rPr>
            </w:pPr>
            <w:r>
              <w:rPr>
                <w:rFonts w:ascii="Arial" w:cs="Arial" w:eastAsia="Arial" w:hAnsi="Arial"/>
                <w:sz w:val="22"/>
                <w:szCs w:val="22"/>
                <w:color w:val="auto"/>
              </w:rPr>
              <w:t>Distributable income</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22"/>
                <w:szCs w:val="22"/>
                <w:color w:val="auto"/>
                <w:w w:val="97"/>
              </w:rPr>
              <w:t>(44,915,009)</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w w:val="99"/>
              </w:rPr>
              <w:t>(48,242,174)</w:t>
            </w:r>
          </w:p>
        </w:tc>
        <w:tc>
          <w:tcPr>
            <w:tcW w:w="0" w:type="dxa"/>
            <w:vAlign w:val="bottom"/>
          </w:tcPr>
          <w:p>
            <w:pPr>
              <w:spacing w:after="0"/>
              <w:rPr>
                <w:sz w:val="1"/>
                <w:szCs w:val="1"/>
                <w:color w:val="auto"/>
              </w:rPr>
            </w:pPr>
          </w:p>
        </w:tc>
      </w:tr>
      <w:tr>
        <w:trPr>
          <w:trHeight w:val="267"/>
        </w:trPr>
        <w:tc>
          <w:tcPr>
            <w:tcW w:w="8080" w:type="dxa"/>
            <w:vAlign w:val="bottom"/>
          </w:tcPr>
          <w:p>
            <w:pPr>
              <w:spacing w:after="0"/>
              <w:rPr>
                <w:sz w:val="20"/>
                <w:szCs w:val="20"/>
                <w:color w:val="auto"/>
              </w:rPr>
            </w:pPr>
            <w:r>
              <w:rPr>
                <w:rFonts w:ascii="Arial" w:cs="Arial" w:eastAsia="Arial" w:hAnsi="Arial"/>
                <w:sz w:val="22"/>
                <w:szCs w:val="22"/>
                <w:b w:val="1"/>
                <w:bCs w:val="1"/>
                <w:color w:val="auto"/>
              </w:rPr>
              <w:t>Total net assets</w:t>
            </w:r>
          </w:p>
        </w:tc>
        <w:tc>
          <w:tcPr>
            <w:tcW w:w="260" w:type="dxa"/>
            <w:vAlign w:val="bottom"/>
            <w:tcBorders>
              <w:top w:val="single" w:sz="8" w:color="auto"/>
              <w:bottom w:val="single" w:sz="8" w:color="auto"/>
            </w:tcBorders>
            <w:gridSpan w:val="2"/>
          </w:tcPr>
          <w:p>
            <w:pPr>
              <w:jc w:val="right"/>
              <w:ind w:right="32"/>
              <w:spacing w:after="0"/>
              <w:rPr>
                <w:sz w:val="20"/>
                <w:szCs w:val="20"/>
                <w:color w:val="auto"/>
              </w:rPr>
            </w:pPr>
            <w:r>
              <w:rPr>
                <w:rFonts w:ascii="Arial" w:cs="Arial" w:eastAsia="Arial" w:hAnsi="Arial"/>
                <w:sz w:val="22"/>
                <w:szCs w:val="22"/>
                <w:color w:val="auto"/>
                <w:w w:val="8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1"/>
              </w:rPr>
              <w:t>497,405,488</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Borders>
              <w:top w:val="single" w:sz="8" w:color="auto"/>
              <w:bottom w:val="single" w:sz="8" w:color="auto"/>
            </w:tcBorders>
            <w:gridSpan w:val="2"/>
          </w:tcPr>
          <w:p>
            <w:pPr>
              <w:jc w:val="right"/>
              <w:ind w:right="12"/>
              <w:spacing w:after="0"/>
              <w:rPr>
                <w:sz w:val="20"/>
                <w:szCs w:val="20"/>
                <w:color w:val="auto"/>
              </w:rPr>
            </w:pPr>
            <w:r>
              <w:rPr>
                <w:rFonts w:ascii="Arial" w:cs="Arial" w:eastAsia="Arial" w:hAnsi="Arial"/>
                <w:sz w:val="22"/>
                <w:szCs w:val="22"/>
                <w:color w:val="auto"/>
                <w:w w:val="8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3"/>
              </w:rPr>
              <w:t>490,611,256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080" w:type="dxa"/>
            <w:vAlign w:val="bottom"/>
          </w:tcPr>
          <w:p>
            <w:pPr>
              <w:spacing w:after="0"/>
              <w:rPr>
                <w:sz w:val="20"/>
                <w:szCs w:val="20"/>
                <w:color w:val="auto"/>
              </w:rPr>
            </w:pPr>
            <w:r>
              <w:rPr>
                <w:rFonts w:ascii="Arial" w:cs="Arial" w:eastAsia="Arial" w:hAnsi="Arial"/>
                <w:sz w:val="22"/>
                <w:szCs w:val="22"/>
                <w:b w:val="1"/>
                <w:bCs w:val="1"/>
                <w:color w:val="auto"/>
              </w:rPr>
              <w:t>Total liabilities and net assets</w:t>
            </w: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 xml:space="preserve"> 1,265,351,656</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 xml:space="preserve"> 1,170,856,472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22"/>
                <w:szCs w:val="22"/>
                <w:b w:val="1"/>
                <w:bCs w:val="1"/>
                <w:color w:val="auto"/>
              </w:rPr>
              <w:t>Net asset value per share</w:t>
            </w: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080" w:type="dxa"/>
            <w:vAlign w:val="bottom"/>
            <w:vMerge w:val="continue"/>
          </w:tcPr>
          <w:p>
            <w:pPr>
              <w:spacing w:after="0"/>
              <w:rPr>
                <w:sz w:val="22"/>
                <w:szCs w:val="22"/>
                <w:color w:val="auto"/>
              </w:rPr>
            </w:pPr>
          </w:p>
        </w:tc>
        <w:tc>
          <w:tcPr>
            <w:tcW w:w="2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12.70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22"/>
                <w:szCs w:val="22"/>
                <w:color w:val="auto"/>
                <w:w w:val="8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12.62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5"/>
        </w:trPr>
        <w:tc>
          <w:tcPr>
            <w:tcW w:w="9700" w:type="dxa"/>
            <w:vAlign w:val="bottom"/>
            <w:gridSpan w:val="6"/>
          </w:tcPr>
          <w:p>
            <w:pPr>
              <w:jc w:val="center"/>
              <w:ind w:left="1392"/>
              <w:spacing w:after="0"/>
              <w:rPr>
                <w:sz w:val="20"/>
                <w:szCs w:val="20"/>
                <w:color w:val="auto"/>
              </w:rPr>
            </w:pPr>
            <w:r>
              <w:rPr>
                <w:rFonts w:ascii="Arial" w:cs="Arial" w:eastAsia="Arial" w:hAnsi="Arial"/>
                <w:sz w:val="22"/>
                <w:szCs w:val="22"/>
                <w:b w:val="1"/>
                <w:bCs w:val="1"/>
                <w:color w:val="auto"/>
                <w:w w:val="98"/>
              </w:rPr>
              <w:t>PENNANTPARK FLOATING RATE CAPITAL LTD. AND SUBSIDIARIES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jc w:val="center"/>
              <w:ind w:left="2772"/>
              <w:spacing w:after="0" w:line="243" w:lineRule="exact"/>
              <w:rPr>
                <w:sz w:val="20"/>
                <w:szCs w:val="20"/>
                <w:color w:val="auto"/>
              </w:rPr>
            </w:pPr>
            <w:r>
              <w:rPr>
                <w:rFonts w:ascii="Arial" w:cs="Arial" w:eastAsia="Arial" w:hAnsi="Arial"/>
                <w:sz w:val="22"/>
                <w:szCs w:val="22"/>
                <w:b w:val="1"/>
                <w:bCs w:val="1"/>
                <w:color w:val="auto"/>
                <w:w w:val="97"/>
              </w:rPr>
              <w:t>CONSOLIDATED STATEMENTS OF OPERATIONS</w:t>
            </w: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8080" w:type="dxa"/>
            <w:vAlign w:val="bottom"/>
          </w:tcPr>
          <w:p>
            <w:pPr>
              <w:jc w:val="center"/>
              <w:ind w:left="3012"/>
              <w:spacing w:after="0"/>
              <w:rPr>
                <w:sz w:val="20"/>
                <w:szCs w:val="20"/>
                <w:color w:val="auto"/>
              </w:rPr>
            </w:pPr>
            <w:r>
              <w:rPr>
                <w:rFonts w:ascii="Arial" w:cs="Arial" w:eastAsia="Arial" w:hAnsi="Arial"/>
                <w:sz w:val="22"/>
                <w:szCs w:val="22"/>
                <w:b w:val="1"/>
                <w:bCs w:val="1"/>
                <w:color w:val="auto"/>
                <w:w w:val="91"/>
              </w:rPr>
              <w:t>(Unaudited)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7"/>
          </w:tcPr>
          <w:p>
            <w:pPr>
              <w:jc w:val="right"/>
              <w:ind w:right="580"/>
              <w:spacing w:after="0"/>
              <w:rPr>
                <w:sz w:val="20"/>
                <w:szCs w:val="20"/>
                <w:color w:val="auto"/>
              </w:rPr>
            </w:pPr>
            <w:r>
              <w:rPr>
                <w:rFonts w:ascii="Arial" w:cs="Arial" w:eastAsia="Arial" w:hAnsi="Arial"/>
                <w:sz w:val="22"/>
                <w:szCs w:val="22"/>
                <w:b w:val="1"/>
                <w:bCs w:val="1"/>
                <w:color w:val="auto"/>
              </w:rPr>
              <w:t>Three Months Ended</w:t>
            </w:r>
          </w:p>
        </w:tc>
        <w:tc>
          <w:tcPr>
            <w:tcW w:w="0" w:type="dxa"/>
            <w:vAlign w:val="bottom"/>
          </w:tcPr>
          <w:p>
            <w:pPr>
              <w:spacing w:after="0"/>
              <w:rPr>
                <w:sz w:val="1"/>
                <w:szCs w:val="1"/>
                <w:color w:val="auto"/>
              </w:rPr>
            </w:pPr>
          </w:p>
        </w:tc>
      </w:tr>
      <w:tr>
        <w:trPr>
          <w:trHeight w:val="282"/>
        </w:trPr>
        <w:tc>
          <w:tcPr>
            <w:tcW w:w="8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7"/>
          </w:tcPr>
          <w:p>
            <w:pPr>
              <w:jc w:val="right"/>
              <w:ind w:right="920"/>
              <w:spacing w:after="0"/>
              <w:rPr>
                <w:sz w:val="20"/>
                <w:szCs w:val="20"/>
                <w:color w:val="auto"/>
              </w:rPr>
            </w:pPr>
            <w:r>
              <w:rPr>
                <w:rFonts w:ascii="Arial" w:cs="Arial" w:eastAsia="Arial" w:hAnsi="Arial"/>
                <w:sz w:val="22"/>
                <w:szCs w:val="22"/>
                <w:b w:val="1"/>
                <w:bCs w:val="1"/>
                <w:color w:val="auto"/>
              </w:rPr>
              <w:t>December 31,</w:t>
            </w:r>
          </w:p>
        </w:tc>
        <w:tc>
          <w:tcPr>
            <w:tcW w:w="0" w:type="dxa"/>
            <w:vAlign w:val="bottom"/>
          </w:tcPr>
          <w:p>
            <w:pPr>
              <w:spacing w:after="0"/>
              <w:rPr>
                <w:sz w:val="1"/>
                <w:szCs w:val="1"/>
                <w:color w:val="auto"/>
              </w:rPr>
            </w:pPr>
          </w:p>
        </w:tc>
      </w:tr>
      <w:tr>
        <w:trPr>
          <w:trHeight w:val="265"/>
        </w:trPr>
        <w:tc>
          <w:tcPr>
            <w:tcW w:w="8080" w:type="dxa"/>
            <w:vAlign w:val="bottom"/>
            <w:vMerge w:val="restart"/>
          </w:tcPr>
          <w:p>
            <w:pPr>
              <w:spacing w:after="0"/>
              <w:rPr>
                <w:sz w:val="20"/>
                <w:szCs w:val="20"/>
                <w:color w:val="auto"/>
              </w:rPr>
            </w:pPr>
            <w:r>
              <w:rPr>
                <w:rFonts w:ascii="Arial" w:cs="Arial" w:eastAsia="Arial" w:hAnsi="Arial"/>
                <w:sz w:val="22"/>
                <w:szCs w:val="22"/>
                <w:b w:val="1"/>
                <w:bCs w:val="1"/>
                <w:color w:val="auto"/>
              </w:rPr>
              <w:t>Investment income:</w:t>
            </w:r>
          </w:p>
        </w:tc>
        <w:tc>
          <w:tcPr>
            <w:tcW w:w="8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2021</w:t>
            </w:r>
          </w:p>
        </w:tc>
        <w:tc>
          <w:tcPr>
            <w:tcW w:w="40" w:type="dxa"/>
            <w:vAlign w:val="bottom"/>
            <w:tcBorders>
              <w:top w:val="single" w:sz="8" w:color="auto"/>
              <w:bottom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1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2020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80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808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200"/>
              <w:spacing w:after="0"/>
              <w:rPr>
                <w:sz w:val="20"/>
                <w:szCs w:val="20"/>
                <w:color w:val="auto"/>
              </w:rPr>
            </w:pPr>
            <w:r>
              <w:rPr>
                <w:rFonts w:ascii="Arial" w:cs="Arial" w:eastAsia="Arial" w:hAnsi="Arial"/>
                <w:sz w:val="22"/>
                <w:szCs w:val="22"/>
                <w:color w:val="auto"/>
              </w:rPr>
              <w:t>Interest</w:t>
            </w:r>
          </w:p>
        </w:tc>
        <w:tc>
          <w:tcPr>
            <w:tcW w:w="2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16,857,701</w:t>
            </w:r>
          </w:p>
        </w:tc>
        <w:tc>
          <w:tcPr>
            <w:tcW w:w="16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15,301,431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200"/>
              <w:spacing w:after="0"/>
              <w:rPr>
                <w:sz w:val="20"/>
                <w:szCs w:val="20"/>
                <w:color w:val="auto"/>
              </w:rPr>
            </w:pPr>
            <w:r>
              <w:rPr>
                <w:rFonts w:ascii="Arial" w:cs="Arial" w:eastAsia="Arial" w:hAnsi="Arial"/>
                <w:sz w:val="22"/>
                <w:szCs w:val="22"/>
                <w:color w:val="auto"/>
              </w:rPr>
              <w:t>Dividend</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576,923</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8080" w:type="dxa"/>
            <w:vAlign w:val="bottom"/>
          </w:tcPr>
          <w:p>
            <w:pPr>
              <w:ind w:left="200"/>
              <w:spacing w:after="0"/>
              <w:rPr>
                <w:sz w:val="20"/>
                <w:szCs w:val="20"/>
                <w:color w:val="auto"/>
              </w:rPr>
            </w:pPr>
            <w:r>
              <w:rPr>
                <w:rFonts w:ascii="Arial" w:cs="Arial" w:eastAsia="Arial" w:hAnsi="Arial"/>
                <w:sz w:val="22"/>
                <w:szCs w:val="22"/>
                <w:color w:val="auto"/>
              </w:rPr>
              <w:t>Other income</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2,823,467</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881,785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200"/>
              <w:spacing w:after="0"/>
              <w:rPr>
                <w:sz w:val="20"/>
                <w:szCs w:val="20"/>
                <w:color w:val="auto"/>
              </w:rPr>
            </w:pPr>
            <w:r>
              <w:rPr>
                <w:rFonts w:ascii="Arial" w:cs="Arial" w:eastAsia="Arial" w:hAnsi="Arial"/>
                <w:sz w:val="22"/>
                <w:szCs w:val="22"/>
                <w:color w:val="auto"/>
              </w:rPr>
              <w:t>Interest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112,082</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96,462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200"/>
              <w:spacing w:after="0"/>
              <w:rPr>
                <w:sz w:val="20"/>
                <w:szCs w:val="20"/>
                <w:color w:val="auto"/>
              </w:rPr>
            </w:pPr>
            <w:r>
              <w:rPr>
                <w:rFonts w:ascii="Arial" w:cs="Arial" w:eastAsia="Arial" w:hAnsi="Arial"/>
                <w:sz w:val="22"/>
                <w:szCs w:val="22"/>
                <w:color w:val="auto"/>
              </w:rPr>
              <w:t>Other income</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22"/>
                <w:szCs w:val="22"/>
                <w:color w:val="auto"/>
              </w:rPr>
              <w:t>—</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20,307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200"/>
              <w:spacing w:after="0"/>
              <w:rPr>
                <w:sz w:val="20"/>
                <w:szCs w:val="20"/>
                <w:color w:val="auto"/>
              </w:rPr>
            </w:pPr>
            <w:r>
              <w:rPr>
                <w:rFonts w:ascii="Arial" w:cs="Arial" w:eastAsia="Arial" w:hAnsi="Arial"/>
                <w:sz w:val="22"/>
                <w:szCs w:val="22"/>
                <w:color w:val="auto"/>
              </w:rPr>
              <w:t>Interest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3,165,289</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2,662,876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200"/>
              <w:spacing w:after="0"/>
              <w:rPr>
                <w:sz w:val="20"/>
                <w:szCs w:val="20"/>
                <w:color w:val="auto"/>
              </w:rPr>
            </w:pPr>
            <w:r>
              <w:rPr>
                <w:rFonts w:ascii="Arial" w:cs="Arial" w:eastAsia="Arial" w:hAnsi="Arial"/>
                <w:sz w:val="22"/>
                <w:szCs w:val="22"/>
                <w:color w:val="auto"/>
              </w:rPr>
              <w:t>Dividend</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2,800,000</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1,575,000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8080" w:type="dxa"/>
            <w:vAlign w:val="bottom"/>
          </w:tcPr>
          <w:p>
            <w:pPr>
              <w:ind w:left="200"/>
              <w:spacing w:after="0"/>
              <w:rPr>
                <w:sz w:val="20"/>
                <w:szCs w:val="20"/>
                <w:color w:val="auto"/>
              </w:rPr>
            </w:pPr>
            <w:r>
              <w:rPr>
                <w:rFonts w:ascii="Arial" w:cs="Arial" w:eastAsia="Arial" w:hAnsi="Arial"/>
                <w:sz w:val="22"/>
                <w:szCs w:val="22"/>
                <w:color w:val="auto"/>
              </w:rPr>
              <w:t>Other Income</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22"/>
                <w:szCs w:val="22"/>
                <w:color w:val="auto"/>
              </w:rPr>
              <w:t>—</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195,630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8080" w:type="dxa"/>
            <w:vAlign w:val="bottom"/>
          </w:tcPr>
          <w:p>
            <w:pPr>
              <w:ind w:left="200"/>
              <w:spacing w:after="0"/>
              <w:rPr>
                <w:sz w:val="20"/>
                <w:szCs w:val="20"/>
                <w:color w:val="auto"/>
              </w:rPr>
            </w:pPr>
            <w:r>
              <w:rPr>
                <w:rFonts w:ascii="Arial" w:cs="Arial" w:eastAsia="Arial" w:hAnsi="Arial"/>
                <w:sz w:val="22"/>
                <w:szCs w:val="22"/>
                <w:b w:val="1"/>
                <w:bCs w:val="1"/>
                <w:color w:val="auto"/>
              </w:rPr>
              <w:t>Total investment income</w:t>
            </w:r>
          </w:p>
        </w:tc>
        <w:tc>
          <w:tcPr>
            <w:tcW w:w="8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26,335,462</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20,733,491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808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200"/>
              <w:spacing w:after="0"/>
              <w:rPr>
                <w:sz w:val="20"/>
                <w:szCs w:val="20"/>
                <w:color w:val="auto"/>
              </w:rPr>
            </w:pPr>
            <w:r>
              <w:rPr>
                <w:rFonts w:ascii="Arial" w:cs="Arial" w:eastAsia="Arial" w:hAnsi="Arial"/>
                <w:sz w:val="22"/>
                <w:szCs w:val="22"/>
                <w:color w:val="auto"/>
              </w:rPr>
              <w:t>Base-management fee</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2,896,252</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2,716,172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200"/>
              <w:spacing w:after="0"/>
              <w:rPr>
                <w:sz w:val="20"/>
                <w:szCs w:val="20"/>
                <w:color w:val="auto"/>
              </w:rPr>
            </w:pPr>
            <w:r>
              <w:rPr>
                <w:rFonts w:ascii="Arial" w:cs="Arial" w:eastAsia="Arial" w:hAnsi="Arial"/>
                <w:sz w:val="22"/>
                <w:szCs w:val="22"/>
                <w:color w:val="auto"/>
              </w:rPr>
              <w:t>Performance-based incentive fee</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3,180,464</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1,761,874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200"/>
              <w:spacing w:after="0"/>
              <w:rPr>
                <w:sz w:val="20"/>
                <w:szCs w:val="20"/>
                <w:color w:val="auto"/>
              </w:rPr>
            </w:pPr>
            <w:r>
              <w:rPr>
                <w:rFonts w:ascii="Arial" w:cs="Arial" w:eastAsia="Arial" w:hAnsi="Arial"/>
                <w:sz w:val="22"/>
                <w:szCs w:val="22"/>
                <w:color w:val="auto"/>
              </w:rPr>
              <w:t>Interest and expenses on debt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6,638,782</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5,341,340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200"/>
              <w:spacing w:after="0"/>
              <w:rPr>
                <w:sz w:val="20"/>
                <w:szCs w:val="20"/>
                <w:color w:val="auto"/>
              </w:rPr>
            </w:pPr>
            <w:r>
              <w:rPr>
                <w:rFonts w:ascii="Arial" w:cs="Arial" w:eastAsia="Arial" w:hAnsi="Arial"/>
                <w:sz w:val="22"/>
                <w:szCs w:val="22"/>
                <w:color w:val="auto"/>
              </w:rPr>
              <w:t>Administrative services expenses</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143,750</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300,000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8080" w:type="dxa"/>
            <w:vAlign w:val="bottom"/>
          </w:tcPr>
          <w:p>
            <w:pPr>
              <w:ind w:left="200"/>
              <w:spacing w:after="0"/>
              <w:rPr>
                <w:sz w:val="20"/>
                <w:szCs w:val="20"/>
                <w:color w:val="auto"/>
              </w:rPr>
            </w:pPr>
            <w:r>
              <w:rPr>
                <w:rFonts w:ascii="Arial" w:cs="Arial" w:eastAsia="Arial" w:hAnsi="Arial"/>
                <w:sz w:val="22"/>
                <w:szCs w:val="22"/>
                <w:color w:val="auto"/>
              </w:rPr>
              <w:t>Other general and administrative expenses</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654,600</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8080" w:type="dxa"/>
            <w:vAlign w:val="bottom"/>
          </w:tcPr>
          <w:p>
            <w:pPr>
              <w:ind w:left="200"/>
              <w:spacing w:after="0"/>
              <w:rPr>
                <w:sz w:val="20"/>
                <w:szCs w:val="20"/>
                <w:color w:val="auto"/>
              </w:rPr>
            </w:pPr>
            <w:r>
              <w:rPr>
                <w:rFonts w:ascii="Arial" w:cs="Arial" w:eastAsia="Arial" w:hAnsi="Arial"/>
                <w:sz w:val="22"/>
                <w:szCs w:val="22"/>
                <w:b w:val="1"/>
                <w:bCs w:val="1"/>
                <w:color w:val="auto"/>
              </w:rPr>
              <w:t>Expenses provision for taxes</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13,513,848</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10,519,386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8080" w:type="dxa"/>
            <w:vAlign w:val="bottom"/>
          </w:tcPr>
          <w:p>
            <w:pPr>
              <w:ind w:left="200"/>
              <w:spacing w:after="0"/>
              <w:rPr>
                <w:sz w:val="20"/>
                <w:szCs w:val="20"/>
                <w:color w:val="auto"/>
              </w:rPr>
            </w:pPr>
            <w:r>
              <w:rPr>
                <w:rFonts w:ascii="Arial" w:cs="Arial" w:eastAsia="Arial" w:hAnsi="Arial"/>
                <w:sz w:val="22"/>
                <w:szCs w:val="22"/>
                <w:color w:val="auto"/>
              </w:rPr>
              <w:t>Provision for taxes</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100,000</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8080" w:type="dxa"/>
            <w:vAlign w:val="bottom"/>
          </w:tcPr>
          <w:p>
            <w:pPr>
              <w:ind w:left="200"/>
              <w:spacing w:after="0"/>
              <w:rPr>
                <w:sz w:val="20"/>
                <w:szCs w:val="20"/>
                <w:color w:val="auto"/>
              </w:rPr>
            </w:pPr>
            <w:r>
              <w:rPr>
                <w:rFonts w:ascii="Arial" w:cs="Arial" w:eastAsia="Arial" w:hAnsi="Arial"/>
                <w:sz w:val="22"/>
                <w:szCs w:val="22"/>
                <w:b w:val="1"/>
                <w:bCs w:val="1"/>
                <w:color w:val="auto"/>
              </w:rPr>
              <w:t>Total expenses</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13,613,848</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10,619,386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080" w:type="dxa"/>
            <w:vAlign w:val="bottom"/>
          </w:tcPr>
          <w:p>
            <w:pPr>
              <w:ind w:left="200"/>
              <w:spacing w:after="0"/>
              <w:rPr>
                <w:sz w:val="20"/>
                <w:szCs w:val="20"/>
                <w:color w:val="auto"/>
              </w:rPr>
            </w:pPr>
            <w:r>
              <w:rPr>
                <w:rFonts w:ascii="Arial" w:cs="Arial" w:eastAsia="Arial" w:hAnsi="Arial"/>
                <w:sz w:val="22"/>
                <w:szCs w:val="22"/>
                <w:b w:val="1"/>
                <w:bCs w:val="1"/>
                <w:color w:val="auto"/>
              </w:rPr>
              <w:t>Net investment income</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12,721,614</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10,114,105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080" w:type="dxa"/>
            <w:vAlign w:val="bottom"/>
          </w:tcPr>
          <w:p>
            <w:pPr>
              <w:spacing w:after="0"/>
              <w:rPr>
                <w:sz w:val="20"/>
                <w:szCs w:val="20"/>
                <w:color w:val="auto"/>
              </w:rPr>
            </w:pPr>
            <w:r>
              <w:rPr>
                <w:rFonts w:ascii="Arial" w:cs="Arial" w:eastAsia="Arial" w:hAnsi="Arial"/>
                <w:sz w:val="22"/>
                <w:szCs w:val="22"/>
                <w:b w:val="1"/>
                <w:bCs w:val="1"/>
                <w:color w:val="auto"/>
              </w:rPr>
              <w:t>Realized and unrealized gain (loss) gain on investments and debt: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Net realized loss on:</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200"/>
              <w:spacing w:after="0"/>
              <w:rPr>
                <w:sz w:val="20"/>
                <w:szCs w:val="20"/>
                <w:color w:val="auto"/>
              </w:rPr>
            </w:pPr>
            <w:r>
              <w:rPr>
                <w:rFonts w:ascii="Arial" w:cs="Arial" w:eastAsia="Arial" w:hAnsi="Arial"/>
                <w:sz w:val="22"/>
                <w:szCs w:val="22"/>
                <w:color w:val="auto"/>
              </w:rPr>
              <w:t>Non-controlled, non-affiliated investments</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3,072,810</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rPr>
              <w:t>(1,707,698)</w:t>
            </w:r>
          </w:p>
        </w:tc>
        <w:tc>
          <w:tcPr>
            <w:tcW w:w="0" w:type="dxa"/>
            <w:vAlign w:val="bottom"/>
          </w:tcPr>
          <w:p>
            <w:pPr>
              <w:spacing w:after="0"/>
              <w:rPr>
                <w:sz w:val="1"/>
                <w:szCs w:val="1"/>
                <w:color w:val="auto"/>
              </w:rPr>
            </w:pPr>
          </w:p>
        </w:tc>
      </w:tr>
      <w:tr>
        <w:trPr>
          <w:trHeight w:val="274"/>
        </w:trPr>
        <w:tc>
          <w:tcPr>
            <w:tcW w:w="8080" w:type="dxa"/>
            <w:vAlign w:val="bottom"/>
          </w:tcPr>
          <w:p>
            <w:pPr>
              <w:ind w:left="200"/>
              <w:spacing w:after="0"/>
              <w:rPr>
                <w:sz w:val="20"/>
                <w:szCs w:val="20"/>
                <w:color w:val="auto"/>
              </w:rPr>
            </w:pPr>
            <w:r>
              <w:rPr>
                <w:rFonts w:ascii="Arial" w:cs="Arial" w:eastAsia="Arial" w:hAnsi="Arial"/>
                <w:sz w:val="22"/>
                <w:szCs w:val="22"/>
                <w:color w:val="auto"/>
              </w:rPr>
              <w:t>Non-controlled and controlled, affiliated investments</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65,244</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rPr>
              <w:t>(1,052,048)</w:t>
            </w:r>
          </w:p>
        </w:tc>
        <w:tc>
          <w:tcPr>
            <w:tcW w:w="0" w:type="dxa"/>
            <w:vAlign w:val="bottom"/>
          </w:tcPr>
          <w:p>
            <w:pPr>
              <w:spacing w:after="0"/>
              <w:rPr>
                <w:sz w:val="1"/>
                <w:szCs w:val="1"/>
                <w:color w:val="auto"/>
              </w:rPr>
            </w:pPr>
          </w:p>
        </w:tc>
      </w:tr>
      <w:tr>
        <w:trPr>
          <w:trHeight w:val="259"/>
        </w:trPr>
        <w:tc>
          <w:tcPr>
            <w:tcW w:w="8080" w:type="dxa"/>
            <w:vAlign w:val="bottom"/>
          </w:tcPr>
          <w:p>
            <w:pPr>
              <w:ind w:left="200"/>
              <w:spacing w:after="0"/>
              <w:rPr>
                <w:sz w:val="20"/>
                <w:szCs w:val="20"/>
                <w:color w:val="auto"/>
              </w:rPr>
            </w:pPr>
            <w:r>
              <w:rPr>
                <w:rFonts w:ascii="Arial" w:cs="Arial" w:eastAsia="Arial" w:hAnsi="Arial"/>
                <w:sz w:val="22"/>
                <w:szCs w:val="22"/>
                <w:b w:val="1"/>
                <w:bCs w:val="1"/>
                <w:color w:val="auto"/>
              </w:rPr>
              <w:t>Net realized loss on investments</w:t>
            </w: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3,138,054</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(2,759,746)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Net change in unrealized (depreciation) appreciation on:</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200"/>
              <w:spacing w:after="0"/>
              <w:rPr>
                <w:sz w:val="20"/>
                <w:szCs w:val="20"/>
                <w:color w:val="auto"/>
              </w:rPr>
            </w:pPr>
            <w:r>
              <w:rPr>
                <w:rFonts w:ascii="Arial" w:cs="Arial" w:eastAsia="Arial" w:hAnsi="Arial"/>
                <w:sz w:val="22"/>
                <w:szCs w:val="22"/>
                <w:color w:val="auto"/>
              </w:rPr>
              <w:t>Non-controlled, non-affiliated investments</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4,386,904</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22,537,278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200"/>
              <w:spacing w:after="0"/>
              <w:rPr>
                <w:sz w:val="20"/>
                <w:szCs w:val="20"/>
                <w:color w:val="auto"/>
              </w:rPr>
            </w:pPr>
            <w:r>
              <w:rPr>
                <w:rFonts w:ascii="Arial" w:cs="Arial" w:eastAsia="Arial" w:hAnsi="Arial"/>
                <w:sz w:val="22"/>
                <w:szCs w:val="22"/>
                <w:color w:val="auto"/>
              </w:rPr>
              <w:t>Controlled and non-controlled, affiliated investments</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22"/>
                <w:szCs w:val="22"/>
                <w:color w:val="auto"/>
              </w:rPr>
              <w:t>(7,884,198)</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252,766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200"/>
              <w:spacing w:after="0"/>
              <w:rPr>
                <w:sz w:val="20"/>
                <w:szCs w:val="20"/>
                <w:color w:val="auto"/>
              </w:rPr>
            </w:pPr>
            <w:r>
              <w:rPr>
                <w:rFonts w:ascii="Arial" w:cs="Arial" w:eastAsia="Arial" w:hAnsi="Arial"/>
                <w:sz w:val="22"/>
                <w:szCs w:val="22"/>
                <w:color w:val="auto"/>
              </w:rPr>
              <w:t>Provision for taxes on unrealized appreciation on investments</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22"/>
                <w:szCs w:val="22"/>
                <w:color w:val="auto"/>
              </w:rPr>
              <w:t>(1,539,871)</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8080" w:type="dxa"/>
            <w:vAlign w:val="bottom"/>
          </w:tcPr>
          <w:p>
            <w:pPr>
              <w:ind w:left="200"/>
              <w:spacing w:after="0"/>
              <w:rPr>
                <w:sz w:val="20"/>
                <w:szCs w:val="20"/>
                <w:color w:val="auto"/>
              </w:rPr>
            </w:pPr>
            <w:r>
              <w:rPr>
                <w:rFonts w:ascii="Arial" w:cs="Arial" w:eastAsia="Arial" w:hAnsi="Arial"/>
                <w:sz w:val="22"/>
                <w:szCs w:val="22"/>
                <w:color w:val="auto"/>
              </w:rPr>
              <w:t>Debt depreciation (appreciation)</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3,610,604</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rPr>
              <w:t>(4,013,815)</w:t>
            </w:r>
          </w:p>
        </w:tc>
        <w:tc>
          <w:tcPr>
            <w:tcW w:w="0" w:type="dxa"/>
            <w:vAlign w:val="bottom"/>
          </w:tcPr>
          <w:p>
            <w:pPr>
              <w:spacing w:after="0"/>
              <w:rPr>
                <w:sz w:val="1"/>
                <w:szCs w:val="1"/>
                <w:color w:val="auto"/>
              </w:rPr>
            </w:pPr>
          </w:p>
        </w:tc>
      </w:tr>
      <w:tr>
        <w:trPr>
          <w:trHeight w:val="267"/>
        </w:trPr>
        <w:tc>
          <w:tcPr>
            <w:tcW w:w="8080" w:type="dxa"/>
            <w:vAlign w:val="bottom"/>
          </w:tcPr>
          <w:p>
            <w:pPr>
              <w:ind w:left="200"/>
              <w:spacing w:after="0"/>
              <w:rPr>
                <w:sz w:val="20"/>
                <w:szCs w:val="20"/>
                <w:color w:val="auto"/>
              </w:rPr>
            </w:pPr>
            <w:r>
              <w:rPr>
                <w:rFonts w:ascii="Arial" w:cs="Arial" w:eastAsia="Arial" w:hAnsi="Arial"/>
                <w:sz w:val="22"/>
                <w:szCs w:val="22"/>
                <w:b w:val="1"/>
                <w:bCs w:val="1"/>
                <w:color w:val="auto"/>
                <w:w w:val="96"/>
              </w:rPr>
              <w:t>Net change in unrealized (depreciation) appreciation on investments and debt</w:t>
            </w:r>
          </w:p>
        </w:tc>
        <w:tc>
          <w:tcPr>
            <w:tcW w:w="8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rPr>
              <w:t>(1,426,561)</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18,776,229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080" w:type="dxa"/>
            <w:vAlign w:val="bottom"/>
          </w:tcPr>
          <w:p>
            <w:pPr>
              <w:spacing w:after="0"/>
              <w:rPr>
                <w:sz w:val="20"/>
                <w:szCs w:val="20"/>
                <w:color w:val="auto"/>
              </w:rPr>
            </w:pPr>
            <w:r>
              <w:rPr>
                <w:rFonts w:ascii="Arial" w:cs="Arial" w:eastAsia="Arial" w:hAnsi="Arial"/>
                <w:sz w:val="22"/>
                <w:szCs w:val="22"/>
                <w:b w:val="1"/>
                <w:bCs w:val="1"/>
                <w:color w:val="auto"/>
              </w:rPr>
              <w:t>Net realized and unrealized (loss) gain from investments and debt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1,711,493</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16,016,483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080" w:type="dxa"/>
            <w:vAlign w:val="bottom"/>
          </w:tcPr>
          <w:p>
            <w:pPr>
              <w:spacing w:after="0"/>
              <w:rPr>
                <w:sz w:val="20"/>
                <w:szCs w:val="20"/>
                <w:color w:val="auto"/>
              </w:rPr>
            </w:pPr>
            <w:r>
              <w:rPr>
                <w:rFonts w:ascii="Arial" w:cs="Arial" w:eastAsia="Arial" w:hAnsi="Arial"/>
                <w:sz w:val="22"/>
                <w:szCs w:val="22"/>
                <w:b w:val="1"/>
                <w:bCs w:val="1"/>
                <w:color w:val="auto"/>
              </w:rPr>
              <w:t>Net increase in net assets resulting from operations</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14,433,107</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26,130,588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080" w:type="dxa"/>
            <w:vAlign w:val="bottom"/>
            <w:vMerge w:val="restart"/>
          </w:tcPr>
          <w:p>
            <w:pPr>
              <w:spacing w:after="0"/>
              <w:rPr>
                <w:sz w:val="20"/>
                <w:szCs w:val="20"/>
                <w:color w:val="auto"/>
              </w:rPr>
            </w:pPr>
            <w:r>
              <w:rPr>
                <w:rFonts w:ascii="Arial" w:cs="Arial" w:eastAsia="Arial" w:hAnsi="Arial"/>
                <w:sz w:val="22"/>
                <w:szCs w:val="22"/>
                <w:color w:val="auto"/>
              </w:rPr>
              <w:t>Net increase in net assets resulting from operations per common share</w:t>
            </w:r>
          </w:p>
        </w:tc>
        <w:tc>
          <w:tcPr>
            <w:tcW w:w="2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0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0.37</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0.67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080" w:type="dxa"/>
            <w:vAlign w:val="bottom"/>
            <w:vMerge w:val="restart"/>
          </w:tcPr>
          <w:p>
            <w:pPr>
              <w:spacing w:after="0"/>
              <w:rPr>
                <w:sz w:val="20"/>
                <w:szCs w:val="20"/>
                <w:color w:val="auto"/>
              </w:rPr>
            </w:pPr>
            <w:r>
              <w:rPr>
                <w:rFonts w:ascii="Arial" w:cs="Arial" w:eastAsia="Arial" w:hAnsi="Arial"/>
                <w:sz w:val="22"/>
                <w:szCs w:val="22"/>
                <w:color w:val="auto"/>
              </w:rPr>
              <w:t>Net investment income per common share</w:t>
            </w:r>
          </w:p>
        </w:tc>
        <w:tc>
          <w:tcPr>
            <w:tcW w:w="2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0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0.33</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0.26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PennantPark Floating Rate Capital Ltd. is a business development company which primarily invests in U.S. middle-market companies in the form of floating rate senior secured loans, including first lien secured debt, second lien secured debt and</w:t>
      </w:r>
    </w:p>
    <w:p>
      <w:pPr>
        <w:sectPr>
          <w:pgSz w:w="11900" w:h="16838" w:orient="portrait"/>
          <w:cols w:equalWidth="0" w:num="1">
            <w:col w:w="11240"/>
          </w:cols>
          <w:pgMar w:left="320" w:top="135" w:right="339" w:bottom="0" w:gutter="0" w:footer="0" w:header="0"/>
        </w:sectPr>
      </w:pPr>
    </w:p>
    <w:bookmarkStart w:id="8" w:name="page9"/>
    <w:bookmarkEnd w:id="8"/>
    <w:p>
      <w:pPr>
        <w:jc w:val="both"/>
        <w:ind w:right="20"/>
        <w:spacing w:after="0" w:line="251" w:lineRule="auto"/>
        <w:rPr>
          <w:sz w:val="20"/>
          <w:szCs w:val="20"/>
          <w:color w:val="auto"/>
        </w:rPr>
      </w:pPr>
      <w:r>
        <w:rPr>
          <w:rFonts w:ascii="Arial" w:cs="Arial" w:eastAsia="Arial" w:hAnsi="Arial"/>
          <w:sz w:val="22"/>
          <w:szCs w:val="22"/>
          <w:color w:val="auto"/>
        </w:rPr>
        <w:t>subordinated debt. From time to time, the Company may also invest in equity investments. PennantPark Floating Rate Capital Ltd. is managed by PennantPark Investment Advisers, LLC.</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middle-market credit platform, managing $5.7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Cheung</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5"/>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2022-02-09T15:28:58Z</dcterms:created>
  <dcterms:modified xsi:type="dcterms:W3CDTF">2022-02-09T15:28:58Z</dcterms:modified>
</cp:coreProperties>
</file>