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-113030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4"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14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4"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c>
          <w:tcPr>
            <w:tcW w:w="540" w:type="dxa"/>
            <w:vAlign w:val="bottom"/>
            <w:tcBorders>
              <w:bottom w:val="single" w:sz="8" w:color="auto"/>
            </w:tcBorders>
          </w:tcPr>
          <w:p>
            <w:pPr>
              <w:spacing w:after="0"/>
              <w:rPr>
                <w:sz w:val="17"/>
                <w:szCs w:val="17"/>
                <w:color w:val="auto"/>
              </w:rPr>
            </w:pPr>
          </w:p>
        </w:tc>
      </w:tr>
      <w:tr>
        <w:trPr>
          <w:trHeight w:val="385"/>
        </w:trPr>
        <w:tc>
          <w:tcPr>
            <w:tcW w:w="3920" w:type="dxa"/>
            <w:vAlign w:val="bottom"/>
            <w:gridSpan w:val="2"/>
          </w:tcPr>
          <w:p>
            <w:pPr>
              <w:ind w:left="420"/>
              <w:spacing w:after="0"/>
              <w:rPr>
                <w:sz w:val="20"/>
                <w:szCs w:val="20"/>
                <w:color w:val="auto"/>
              </w:rPr>
            </w:pPr>
            <w:r>
              <w:rPr>
                <w:rFonts w:ascii="Arial" w:cs="Arial" w:eastAsia="Arial" w:hAnsi="Arial"/>
                <w:sz w:val="18"/>
                <w:szCs w:val="18"/>
                <w:b w:val="1"/>
                <w:bCs w:val="1"/>
                <w:color w:val="auto"/>
              </w:rPr>
              <w:t>COMMISSION FILE NUMBER: 814-00891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1320" w:type="dxa"/>
        <w:tblCellMar>
          <w:top w:w="0" w:type="dxa"/>
          <w:left w:w="0" w:type="dxa"/>
          <w:bottom w:w="0" w:type="dxa"/>
          <w:right w:w="0" w:type="dxa"/>
        </w:tblCellMar>
      </w:tblPr>
      <w:tr>
        <w:trPr>
          <w:trHeight w:val="18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rPr>
              <w:t>MARYLAND</w:t>
            </w:r>
          </w:p>
        </w:tc>
        <w:tc>
          <w:tcPr>
            <w:tcW w:w="2120" w:type="dxa"/>
            <w:vAlign w:val="bottom"/>
          </w:tcPr>
          <w:p>
            <w:pPr>
              <w:jc w:val="right"/>
              <w:ind w:right="475"/>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68"/>
        </w:trPr>
        <w:tc>
          <w:tcPr>
            <w:tcW w:w="6000" w:type="dxa"/>
            <w:vAlign w:val="bottom"/>
          </w:tcPr>
          <w:p>
            <w:pPr>
              <w:jc w:val="center"/>
              <w:ind w:right="291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120" w:type="dxa"/>
            <w:vAlign w:val="bottom"/>
          </w:tcPr>
          <w:p>
            <w:pPr>
              <w:jc w:val="center"/>
              <w:ind w:left="27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w w:val="97"/>
              </w:rPr>
              <w:t>New York, N.Y.</w:t>
            </w:r>
          </w:p>
        </w:tc>
        <w:tc>
          <w:tcPr>
            <w:tcW w:w="212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60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6000" w:type="dxa"/>
            <w:vAlign w:val="bottom"/>
          </w:tcPr>
          <w:p>
            <w:pPr>
              <w:jc w:val="center"/>
              <w:ind w:right="293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120" w:type="dxa"/>
            <w:vAlign w:val="bottom"/>
          </w:tcPr>
          <w:p>
            <w:pPr>
              <w:jc w:val="center"/>
              <w:ind w:left="27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95"/>
        </w:trPr>
        <w:tc>
          <w:tcPr>
            <w:tcW w:w="600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000" w:type="dxa"/>
            <w:vAlign w:val="bottom"/>
          </w:tcPr>
          <w:p>
            <w:pPr>
              <w:jc w:val="center"/>
              <w:ind w:left="253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9"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firstLine="467"/>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ind w:right="60" w:firstLine="46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64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5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040" w:type="dxa"/>
            <w:vAlign w:val="bottom"/>
          </w:tcPr>
          <w:p>
            <w:pPr>
              <w:ind w:left="120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4520" w:type="dxa"/>
            <w:vAlign w:val="bottom"/>
          </w:tcPr>
          <w:p>
            <w:pPr>
              <w:ind w:left="4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040" w:type="dxa"/>
            <w:vAlign w:val="bottom"/>
          </w:tcPr>
          <w:p>
            <w:pPr>
              <w:ind w:left="120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9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5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26" w:lineRule="exact"/>
        <w:rPr>
          <w:sz w:val="24"/>
          <w:szCs w:val="24"/>
          <w:color w:val="auto"/>
        </w:rPr>
      </w:pPr>
    </w:p>
    <w:p>
      <w:pPr>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left="48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ind w:left="480"/>
        <w:spacing w:after="0"/>
        <w:rPr>
          <w:sz w:val="20"/>
          <w:szCs w:val="20"/>
          <w:color w:val="auto"/>
        </w:rPr>
      </w:pPr>
      <w:r>
        <w:rPr>
          <w:rFonts w:ascii="Arial" w:cs="Arial" w:eastAsia="Arial" w:hAnsi="Arial"/>
          <w:sz w:val="14"/>
          <w:szCs w:val="14"/>
          <w:color w:val="auto"/>
        </w:rPr>
        <w:t>The number of shares of the registrant’s common stock, $0.001 par value per share, outstanding as of February 8, 2018 was 38,772,074.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475615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jc w:val="center"/>
        <w:spacing w:after="0" w:line="226" w:lineRule="auto"/>
        <w:rPr>
          <w:sz w:val="20"/>
          <w:szCs w:val="20"/>
          <w:color w:val="auto"/>
        </w:rPr>
      </w:pPr>
      <w:r>
        <w:rPr>
          <w:rFonts w:ascii="Arial" w:cs="Arial" w:eastAsia="Arial" w:hAnsi="Arial"/>
          <w:sz w:val="14"/>
          <w:szCs w:val="14"/>
          <w:b w:val="1"/>
          <w:bCs w:val="1"/>
          <w:color w:val="auto"/>
        </w:rPr>
        <w:t>FORM 10-Q FOR THE QUARTER ENDED DECEMBER 31, 2017</w:t>
      </w: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tcPr>
          <w:p>
            <w:pPr>
              <w:ind w:left="36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40" w:type="dxa"/>
            <w:vAlign w:val="bottom"/>
          </w:tcPr>
          <w:p>
            <w:pPr>
              <w:spacing w:after="0"/>
              <w:rPr>
                <w:sz w:val="16"/>
                <w:szCs w:val="16"/>
                <w:color w:val="auto"/>
              </w:rPr>
            </w:pPr>
          </w:p>
        </w:tc>
      </w:tr>
      <w:tr>
        <w:trPr>
          <w:trHeight w:val="297"/>
        </w:trPr>
        <w:tc>
          <w:tcPr>
            <w:tcW w:w="92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40" w:type="dxa"/>
            <w:vAlign w:val="bottom"/>
          </w:tcPr>
          <w:p>
            <w:pPr>
              <w:spacing w:after="0"/>
              <w:rPr>
                <w:sz w:val="24"/>
                <w:szCs w:val="24"/>
                <w:color w:val="auto"/>
              </w:rPr>
            </w:pP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December 31, 2017 (unaudited) and September 30, 2017</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months ended December 31, 2017 and 2016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months ended December 31, 2017 and 2016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three months ended December 31, 2017 and 2016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December 31, 2017 (unaudited) and September 30, 2017</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Report of Independent Registered Public Accounting Firm</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0">
              <w:r>
                <w:rPr>
                  <w:rFonts w:ascii="Arial" w:cs="Arial" w:eastAsia="Arial" w:hAnsi="Arial"/>
                  <w:sz w:val="14"/>
                  <w:szCs w:val="14"/>
                  <w:b w:val="1"/>
                  <w:bCs w:val="1"/>
                  <w:u w:val="single" w:color="auto"/>
                  <w:color w:val="0000EE"/>
                </w:rPr>
                <w:t>Item 3. Quantitative and Qualitative Disclosures About Market Risk</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0">
              <w:r>
                <w:rPr>
                  <w:rFonts w:ascii="Arial" w:cs="Arial" w:eastAsia="Arial" w:hAnsi="Arial"/>
                  <w:sz w:val="14"/>
                  <w:szCs w:val="14"/>
                  <w:b w:val="1"/>
                  <w:bCs w:val="1"/>
                  <w:u w:val="single" w:color="auto"/>
                  <w:color w:val="0000EE"/>
                </w:rPr>
                <w:t>Item 4. Controls and Procedures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97"/>
        </w:trPr>
        <w:tc>
          <w:tcPr>
            <w:tcW w:w="9200" w:type="dxa"/>
            <w:vAlign w:val="bottom"/>
          </w:tcPr>
          <w:p>
            <w:pPr>
              <w:ind w:left="43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PART II. OTHER INFORMATION</w:t>
              </w:r>
            </w:hyperlink>
          </w:p>
        </w:tc>
        <w:tc>
          <w:tcPr>
            <w:tcW w:w="2040" w:type="dxa"/>
            <w:vAlign w:val="bottom"/>
          </w:tcPr>
          <w:p>
            <w:pPr>
              <w:spacing w:after="0"/>
              <w:rPr>
                <w:sz w:val="24"/>
                <w:szCs w:val="24"/>
                <w:color w:val="auto"/>
              </w:rPr>
            </w:pP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1. Legal Proceedings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1A. Risk Factors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2. Unregistered Sales of Equity Securities and Use of Proceeds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3. Defaults Upon Senior Securities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4. Mine Safety Disclosures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5. Other Information</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2">
              <w:r>
                <w:rPr>
                  <w:rFonts w:ascii="Arial" w:cs="Arial" w:eastAsia="Arial" w:hAnsi="Arial"/>
                  <w:sz w:val="14"/>
                  <w:szCs w:val="14"/>
                  <w:b w:val="1"/>
                  <w:bCs w:val="1"/>
                  <w:u w:val="single" w:color="auto"/>
                  <w:color w:val="0000EE"/>
                </w:rPr>
                <w:t>Item 6. Exhibits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3">
              <w:r>
                <w:rPr>
                  <w:rFonts w:ascii="Arial" w:cs="Arial" w:eastAsia="Arial" w:hAnsi="Arial"/>
                  <w:sz w:val="14"/>
                  <w:szCs w:val="14"/>
                  <w:b w:val="1"/>
                  <w:bCs w:val="1"/>
                  <w:u w:val="single" w:color="auto"/>
                  <w:color w:val="0000EE"/>
                </w:rPr>
                <w:t>SIGNATURES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75"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We are filing this Quarterly Report on Form 10-Q, or the Report, in compliance with Rule 13a-13 promulgated by the Securities and Exchange Commission, or the SEC. In this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“Credit Facility” refers to our multi-currency, senior secured revolving credit facility, as amended and restated; “2023 Notes” refers to our 3.83% Series A notes due 2023;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46" w:right="47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2017</w:t>
            </w:r>
          </w:p>
        </w:tc>
        <w:tc>
          <w:tcPr>
            <w:tcW w:w="12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2017</w:t>
            </w:r>
          </w:p>
        </w:tc>
      </w:t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(cost—$672,975,750 and $665,514,821,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677,586,189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666,973,639</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Controlled, affiliated investments (cost—$61,000,000 and $43,000,000, respectively)</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61,843,585</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43,525,143</w:t>
            </w:r>
          </w:p>
        </w:tc>
        <w:tc>
          <w:tcPr>
            <w:tcW w:w="120" w:type="dxa"/>
            <w:vAlign w:val="bottom"/>
            <w:tcBorders>
              <w:bottom w:val="single" w:sz="8" w:color="CCECFF"/>
            </w:tcBorders>
          </w:tcPr>
          <w:p>
            <w:pPr>
              <w:spacing w:after="0"/>
              <w:rPr>
                <w:sz w:val="14"/>
                <w:szCs w:val="14"/>
                <w:color w:val="auto"/>
              </w:rPr>
            </w:pPr>
          </w:p>
        </w:tc>
      </w:tr>
      <w:tr>
        <w:trPr>
          <w:trHeight w:val="155"/>
        </w:trPr>
        <w:tc>
          <w:tcPr>
            <w:tcW w:w="77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of investments (cost—$733,975,750 and $708,514,821, respectively)</w:t>
            </w:r>
          </w:p>
        </w:tc>
        <w:tc>
          <w:tcPr>
            <w:tcW w:w="140" w:type="dxa"/>
            <w:vAlign w:val="bottom"/>
            <w:shd w:val="clear" w:color="auto" w:fill="CCECFF"/>
          </w:tcPr>
          <w:p>
            <w:pPr>
              <w:spacing w:after="0"/>
              <w:rPr>
                <w:sz w:val="13"/>
                <w:szCs w:val="13"/>
                <w:color w:val="auto"/>
              </w:rPr>
            </w:pPr>
          </w:p>
        </w:tc>
        <w:tc>
          <w:tcPr>
            <w:tcW w:w="14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739,429,774</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710,498,782</w:t>
            </w: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Cash and cash equivalents (cost—$127,718,637 and $18,847,673,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127,785,338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18,910,756</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2,632,994</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2,520,506</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Receivable for investments sold</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11,190,048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14,185,850</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806,566</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1,229,505</w:t>
            </w:r>
          </w:p>
        </w:tc>
        <w:tc>
          <w:tcPr>
            <w:tcW w:w="120" w:type="dxa"/>
            <w:vAlign w:val="bottom"/>
            <w:shd w:val="clear" w:color="auto" w:fill="CCECFF"/>
          </w:tcPr>
          <w:p>
            <w:pPr>
              <w:spacing w:after="0"/>
              <w:rPr>
                <w:sz w:val="14"/>
                <w:szCs w:val="14"/>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881,844,720</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747,345,399</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Distributions payable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3,683,347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3,085,607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5,599,239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21,730,512</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Credit Facility payable (cost—$190,368,311 and $253,783,301, respectively) (See Notes 5 and 10)</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192,809,299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256,858,457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2023 Notes payable (cost—$138,579,858 and zero, respectively) (See Notes 5 and 10)</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136,085,421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payable on debt</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1,189,268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693,787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Base management fee payable (See Note 3)</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1,822,063</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1,784,806</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Performance-based incentive fee payable (See Note 3)</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2,572,461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5,061,217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663,371</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224,739</w:t>
            </w:r>
          </w:p>
        </w:tc>
        <w:tc>
          <w:tcPr>
            <w:tcW w:w="120" w:type="dxa"/>
            <w:vAlign w:val="bottom"/>
            <w:shd w:val="clear" w:color="auto" w:fill="CCECFF"/>
          </w:tcPr>
          <w:p>
            <w:pPr>
              <w:spacing w:after="0"/>
              <w:rPr>
                <w:sz w:val="14"/>
                <w:szCs w:val="14"/>
                <w:color w:val="auto"/>
              </w:rPr>
            </w:pPr>
          </w:p>
        </w:tc>
      </w:tr>
      <w:tr>
        <w:trPr>
          <w:trHeight w:val="15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344,424,469</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289,439,125</w:t>
            </w:r>
          </w:p>
        </w:tc>
        <w:tc>
          <w:tcPr>
            <w:tcW w:w="120" w:type="dxa"/>
            <w:vAlign w:val="bottom"/>
            <w:tcBorders>
              <w:bottom w:val="single" w:sz="8" w:color="CCECFF"/>
            </w:tcBorders>
          </w:tcPr>
          <w:p>
            <w:pPr>
              <w:spacing w:after="0"/>
              <w:rPr>
                <w:sz w:val="13"/>
                <w:szCs w:val="13"/>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14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Common stock, 38,772,074 and 32,480,074 shares issued and outstanding, respectively</w:t>
            </w:r>
          </w:p>
        </w:tc>
        <w:tc>
          <w:tcPr>
            <w:tcW w:w="140" w:type="dxa"/>
            <w:vAlign w:val="bottom"/>
            <w:shd w:val="clear" w:color="auto" w:fill="CCECFF"/>
          </w:tcPr>
          <w:p>
            <w:pPr>
              <w:spacing w:after="0"/>
              <w:rPr>
                <w:sz w:val="12"/>
                <w:szCs w:val="12"/>
                <w:color w:val="auto"/>
              </w:rPr>
            </w:pPr>
          </w:p>
        </w:tc>
        <w:tc>
          <w:tcPr>
            <w:tcW w:w="14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67"/>
        </w:trPr>
        <w:tc>
          <w:tcPr>
            <w:tcW w:w="77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38,772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32,480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Paid-in capital in excess of par value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539,462,336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451,448,872</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(Distributions in excess of ) undistributed net investment income</w:t>
            </w:r>
          </w:p>
        </w:tc>
        <w:tc>
          <w:tcPr>
            <w:tcW w:w="14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(9,200,786)</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3,163,645</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Accumulated net realized gain on investments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1,502,838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4,289,389</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Net unrealized appreciation on investments</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5,563,642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2,047,044</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unrealized depreciation (appreciation) on debt</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53,449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(3,075,156)</w:t>
            </w:r>
          </w:p>
        </w:tc>
      </w:tr>
      <w:tr>
        <w:trPr>
          <w:trHeight w:val="155"/>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net assets</w:t>
            </w: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537,420,251</w:t>
            </w: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457,906,274</w:t>
            </w:r>
          </w:p>
        </w:tc>
        <w:tc>
          <w:tcPr>
            <w:tcW w:w="120" w:type="dxa"/>
            <w:vAlign w:val="bottom"/>
            <w:tcBorders>
              <w:top w:val="single" w:sz="8" w:color="CCECFF"/>
            </w:tcBorders>
            <w:shd w:val="clear" w:color="auto" w:fill="CCECFF"/>
          </w:tcPr>
          <w:p>
            <w:pPr>
              <w:spacing w:after="0"/>
              <w:rPr>
                <w:sz w:val="13"/>
                <w:szCs w:val="13"/>
                <w:color w:val="auto"/>
              </w:rPr>
            </w:pPr>
          </w:p>
        </w:tc>
      </w:tr>
      <w:tr>
        <w:trPr>
          <w:trHeight w:val="19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881,844,720</w:t>
            </w:r>
          </w:p>
        </w:tc>
        <w:tc>
          <w:tcPr>
            <w:tcW w:w="28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747,345,399</w:t>
            </w:r>
          </w:p>
        </w:tc>
        <w:tc>
          <w:tcPr>
            <w:tcW w:w="120" w:type="dxa"/>
            <w:vAlign w:val="bottom"/>
            <w:tcBorders>
              <w:bottom w:val="single" w:sz="8" w:color="CCECFF"/>
            </w:tcBorders>
          </w:tcPr>
          <w:p>
            <w:pPr>
              <w:spacing w:after="0"/>
              <w:rPr>
                <w:sz w:val="17"/>
                <w:szCs w:val="17"/>
                <w:color w:val="auto"/>
              </w:rPr>
            </w:pPr>
          </w:p>
        </w:tc>
      </w:tr>
      <w:tr>
        <w:trPr>
          <w:trHeight w:val="143"/>
        </w:trPr>
        <w:tc>
          <w:tcPr>
            <w:tcW w:w="77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13.86</w:t>
            </w:r>
          </w:p>
        </w:tc>
        <w:tc>
          <w:tcPr>
            <w:tcW w:w="2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14.10</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56"/>
        </w:trPr>
        <w:tc>
          <w:tcPr>
            <w:tcW w:w="848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CFF"/>
            </w:tcBorders>
          </w:tcPr>
          <w:p>
            <w:pPr>
              <w:spacing w:after="0"/>
              <w:rPr>
                <w:sz w:val="13"/>
                <w:szCs w:val="13"/>
                <w:color w:val="auto"/>
              </w:rPr>
            </w:pPr>
          </w:p>
        </w:tc>
        <w:tc>
          <w:tcPr>
            <w:tcW w:w="12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6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13,867,420</w:t>
            </w:r>
          </w:p>
        </w:tc>
        <w:tc>
          <w:tcPr>
            <w:tcW w:w="160" w:type="dxa"/>
            <w:vAlign w:val="bottom"/>
            <w:shd w:val="clear" w:color="auto" w:fill="CCECFF"/>
          </w:tcPr>
          <w:p>
            <w:pPr>
              <w:spacing w:after="0"/>
              <w:rPr>
                <w:sz w:val="14"/>
                <w:szCs w:val="14"/>
                <w:color w:val="auto"/>
              </w:rPr>
            </w:pPr>
          </w:p>
        </w:tc>
        <w:tc>
          <w:tcPr>
            <w:tcW w:w="36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11,951,835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433,180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679,433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16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535,760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848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14,836,360</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12,631,268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Base management fee (See Note 3)</w:t>
            </w:r>
          </w:p>
        </w:tc>
        <w:tc>
          <w:tcPr>
            <w:tcW w:w="1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1,822,063</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1,595,727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148,010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1,469,369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1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2,618,308</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1,800,725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561,250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16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618,751</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357,500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Expenses before amendment costs, debt issuance costs and provision for taxes</w:t>
            </w:r>
          </w:p>
        </w:tc>
        <w:tc>
          <w:tcPr>
            <w:tcW w:w="16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5,707,132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5,784,571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amendment costs and debt issuance costs (See Notes 5 and 10)</w:t>
            </w:r>
          </w:p>
        </w:tc>
        <w:tc>
          <w:tcPr>
            <w:tcW w:w="1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10,869,098</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48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Provision for taxes</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6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16,776,230</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5,809,571</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(loss) income</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(1,939,870)</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6,821,697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 and debt:</w:t>
            </w:r>
          </w:p>
        </w:tc>
        <w:tc>
          <w:tcPr>
            <w:tcW w:w="16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tcPr>
          <w:p>
            <w:pPr>
              <w:spacing w:after="0"/>
              <w:rPr>
                <w:sz w:val="20"/>
                <w:szCs w:val="20"/>
                <w:color w:val="auto"/>
              </w:rPr>
            </w:pPr>
            <w:r>
              <w:rPr>
                <w:rFonts w:ascii="Arial" w:cs="Arial" w:eastAsia="Arial" w:hAnsi="Arial"/>
                <w:sz w:val="14"/>
                <w:szCs w:val="14"/>
                <w:color w:val="auto"/>
              </w:rPr>
              <w:t>Net realized (loss) gain on investments</w:t>
            </w:r>
          </w:p>
        </w:tc>
        <w:tc>
          <w:tcPr>
            <w:tcW w:w="16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(2,786,551)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549,401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appreciation on:</w:t>
            </w:r>
          </w:p>
        </w:tc>
        <w:tc>
          <w:tcPr>
            <w:tcW w:w="16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3,198,156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2,546,025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w:t>
            </w:r>
          </w:p>
        </w:tc>
        <w:tc>
          <w:tcPr>
            <w:tcW w:w="1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318,442</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480" w:type="dxa"/>
            <w:vAlign w:val="bottom"/>
          </w:tcPr>
          <w:p>
            <w:pPr>
              <w:ind w:left="260"/>
              <w:spacing w:after="0"/>
              <w:rPr>
                <w:sz w:val="20"/>
                <w:szCs w:val="20"/>
                <w:color w:val="auto"/>
              </w:rPr>
            </w:pPr>
            <w:r>
              <w:rPr>
                <w:rFonts w:ascii="Arial" w:cs="Arial" w:eastAsia="Arial" w:hAnsi="Arial"/>
                <w:sz w:val="14"/>
                <w:szCs w:val="14"/>
                <w:color w:val="auto"/>
              </w:rPr>
              <w:t>Debt depreciation (appreciation) (See Notes 5 and 10)</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3,128,605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(1,068,214)</w:t>
            </w:r>
          </w:p>
        </w:tc>
        <w:tc>
          <w:tcPr>
            <w:tcW w:w="0" w:type="dxa"/>
            <w:vAlign w:val="bottom"/>
          </w:tcPr>
          <w:p>
            <w:pPr>
              <w:spacing w:after="0"/>
              <w:rPr>
                <w:sz w:val="1"/>
                <w:szCs w:val="1"/>
                <w:color w:val="auto"/>
              </w:rPr>
            </w:pPr>
          </w:p>
        </w:tc>
      </w:tr>
      <w:tr>
        <w:trPr>
          <w:trHeight w:val="156"/>
        </w:trPr>
        <w:tc>
          <w:tcPr>
            <w:tcW w:w="848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on investments and debt</w:t>
            </w: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6,645,203</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1,477,811</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debt</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3,858,652</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2,027,212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8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1,918,782</w:t>
            </w:r>
          </w:p>
        </w:tc>
        <w:tc>
          <w:tcPr>
            <w:tcW w:w="16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8,848,909</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color w:val="auto"/>
              </w:rPr>
              <w:t>Net increase in net assets resulting from operations per common share (See Note 7)</w:t>
            </w: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tcBorders>
              <w:bottom w:val="single" w:sz="8" w:color="CCECFF"/>
            </w:tcBorders>
            <w:vMerge w:val="continue"/>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0.05</w:t>
            </w:r>
          </w:p>
        </w:tc>
        <w:tc>
          <w:tcPr>
            <w:tcW w:w="16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0.33</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4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investment (loss) income per common share</w:t>
            </w: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(0.05)</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0.26</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investment (loss) income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(1,939,870)</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6,821,697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gain on investments</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(2,786,551)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549,401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change in unrealized appreciation on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3,516,598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2,546,025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(appreciation) on debt</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3,128,605</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(1,068,214)</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1,918,782</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8,848,909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(10,424,561)</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(7,618,071)</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Public offering (See Note 1)</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89,031,800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Offering costs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(1,012,044)</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88,019,756</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79,513,977</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1,230,838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457,906,274</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375,906,828</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537,420,251</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377,137,666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(Distribution in excess of) undistributed net investment income, end of period</w:t>
            </w:r>
          </w:p>
        </w:tc>
        <w:tc>
          <w:tcPr>
            <w:tcW w:w="3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(9,200,786)</w:t>
            </w:r>
          </w:p>
        </w:tc>
        <w:tc>
          <w:tcPr>
            <w:tcW w:w="280" w:type="dxa"/>
            <w:vAlign w:val="bottom"/>
            <w:tcBorders>
              <w:bottom w:val="single" w:sz="8" w:color="CCEC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3,763,272</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Shares issued from public offering</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6,292,000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increase in net assets resulting from operations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1,918,782</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8,848,909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26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360"/>
              <w:spacing w:after="0"/>
              <w:rPr>
                <w:sz w:val="20"/>
                <w:szCs w:val="20"/>
                <w:color w:val="auto"/>
              </w:rPr>
            </w:pPr>
            <w:r>
              <w:rPr>
                <w:rFonts w:ascii="Arial" w:cs="Arial" w:eastAsia="Arial" w:hAnsi="Arial"/>
                <w:sz w:val="14"/>
                <w:szCs w:val="14"/>
                <w:color w:val="auto"/>
              </w:rPr>
              <w:t>used in operating activities: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change in unrealized appreciation on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(3,516,598)</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(2,546,025)</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appreciation on debt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(3,128,605)</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1,068,214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realized loss (gain) on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2,786,551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(549,401)</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accretion of discount and amortization of premium</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(382,250)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(425,722)</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(176,867,446)</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(124,826,238)</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Payment-in-kind interest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(160,484)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(39,085)</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dispositions of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149,082,954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70,405,217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interest receivable</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(112,488)</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(608,313)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receivable for investments sold</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2,995,802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(11,357,601)</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prepaid expenses and other assets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422,939</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52,716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 payable for investments purchased</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(16,131,273)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(3,108,608)</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interest payable on debt</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495,481</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140,699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base management fee payable</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37,257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137,101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performance-based incentive fee payable</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(2,488,756)</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(852,774)</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500"/>
              <w:spacing w:after="0"/>
              <w:rPr>
                <w:sz w:val="20"/>
                <w:szCs w:val="20"/>
                <w:color w:val="auto"/>
              </w:rPr>
            </w:pPr>
            <w:r>
              <w:rPr>
                <w:rFonts w:ascii="Arial" w:cs="Arial" w:eastAsia="Arial" w:hAnsi="Arial"/>
                <w:sz w:val="14"/>
                <w:szCs w:val="14"/>
                <w:color w:val="auto"/>
              </w:rPr>
              <w:t>Increase in accrued other expenses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438,632</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169,682</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(44,609,502)</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(63,491,229)</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Public offering</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89,031,800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Offering costs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(1,012,044)</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Distributions paid to stockholders</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(9,826,821)</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(7,618,071)</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2023 Notes issuance (See Notes 5 and 10)</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138,579,858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Borrowings under Credit Facility (See Notes 5 and 10)</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11,485,010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91,902,000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Repayments under Credit Facility (See Notes 5 and 10)</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(74,900,000)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(25,500,000)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153,357,803</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58,783,929</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cash equivalents</w:t>
            </w:r>
          </w:p>
        </w:tc>
        <w:tc>
          <w:tcPr>
            <w:tcW w:w="3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108,748,301</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(4,707,300)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126,281</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18,910,756</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28,910,973</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127,785,338</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24,203,565</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40" w:type="dxa"/>
            <w:vAlign w:val="bottom"/>
            <w:tcBorders>
              <w:bottom w:val="single" w:sz="8" w:color="auto"/>
            </w:tcBorders>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12,991,925</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1,660,026</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2,984</w:t>
            </w:r>
          </w:p>
        </w:tc>
        <w:tc>
          <w:tcPr>
            <w:tcW w:w="280" w:type="dxa"/>
            <w:vAlign w:val="bottom"/>
            <w:tcBorders>
              <w:bottom w:val="single" w:sz="8" w:color="CCEC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40" w:type="dxa"/>
            <w:vAlign w:val="bottom"/>
            <w:tcBorders>
              <w:bottom w:val="single" w:sz="8" w:color="auto"/>
            </w:tcBorders>
            <w:shd w:val="clear" w:color="auto" w:fill="CCECFF"/>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709,685</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ind w:right="102"/>
              <w:spacing w:after="0"/>
              <w:rPr>
                <w:sz w:val="20"/>
                <w:szCs w:val="20"/>
                <w:color w:val="auto"/>
              </w:rPr>
            </w:pPr>
            <w:r>
              <w:rPr>
                <w:rFonts w:ascii="Arial" w:cs="Arial" w:eastAsia="Arial" w:hAnsi="Arial"/>
                <w:sz w:val="12"/>
                <w:szCs w:val="12"/>
                <w:b w:val="1"/>
                <w:bCs w:val="1"/>
                <w:color w:val="auto"/>
                <w:w w:val="98"/>
              </w:rPr>
              <w:t>Maturity</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r>
      <w:tr>
        <w:trPr>
          <w:trHeight w:val="142"/>
        </w:trPr>
        <w:tc>
          <w:tcPr>
            <w:tcW w:w="42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Companies—126.1% </w:t>
            </w:r>
            <w:r>
              <w:rPr>
                <w:rFonts w:ascii="Arial" w:cs="Arial" w:eastAsia="Arial" w:hAnsi="Arial"/>
                <w:sz w:val="9"/>
                <w:szCs w:val="9"/>
                <w:b w:val="1"/>
                <w:bCs w:val="1"/>
                <w:color w:val="auto"/>
                <w:w w:val="90"/>
              </w:rPr>
              <w:t>(3), (4)</w:t>
            </w:r>
          </w:p>
        </w:tc>
        <w:tc>
          <w:tcPr>
            <w:tcW w:w="24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b w:val="1"/>
                <w:bCs w:val="1"/>
                <w:color w:val="auto"/>
              </w:rPr>
              <w:t>First Lien Secured Debt—115.3%</w:t>
            </w:r>
          </w:p>
        </w:tc>
        <w:tc>
          <w:tcPr>
            <w:tcW w:w="1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Advanced Cable Communications,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08/09/2021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7.44%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15,988,750</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15,806,841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ind w:lef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15,988,750</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Alera Group Intermediate Holdings,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7"/>
              </w:rPr>
              <w:t>Banking, Finance, Insurance and Real Estate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6.86%</w:t>
            </w:r>
          </w:p>
        </w:tc>
        <w:tc>
          <w:tcPr>
            <w:tcW w:w="740" w:type="dxa"/>
            <w:vAlign w:val="bottom"/>
          </w:tcPr>
          <w:p>
            <w:pPr>
              <w:jc w:val="right"/>
              <w:spacing w:after="0"/>
              <w:rPr>
                <w:sz w:val="20"/>
                <w:szCs w:val="20"/>
                <w:color w:val="auto"/>
              </w:rPr>
            </w:pPr>
            <w:r>
              <w:rPr>
                <w:rFonts w:ascii="Arial" w:cs="Arial" w:eastAsia="Arial" w:hAnsi="Arial"/>
                <w:sz w:val="12"/>
                <w:szCs w:val="12"/>
                <w:color w:val="auto"/>
              </w:rPr>
              <w:t>1M L+550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10,559,896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10,482,709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10,559,896</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Alera Group Intermediate Holdings, Inc. (Revolver) </w:t>
            </w:r>
            <w:r>
              <w:rPr>
                <w:rFonts w:ascii="Arial" w:cs="Arial" w:eastAsia="Arial" w:hAnsi="Arial"/>
                <w:sz w:val="9"/>
                <w:szCs w:val="9"/>
                <w:color w:val="auto"/>
              </w:rPr>
              <w:t>(8), (9)</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Banking, Finance, Insurance and Real Estate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1,771,962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Alera Group Intermediate Holdings, Inc. </w:t>
            </w:r>
            <w:r>
              <w:rPr>
                <w:rFonts w:ascii="Arial" w:cs="Arial" w:eastAsia="Arial" w:hAnsi="Arial"/>
                <w:sz w:val="9"/>
                <w:szCs w:val="9"/>
                <w:color w:val="auto"/>
              </w:rPr>
              <w:t>(8), (9)</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7"/>
              </w:rPr>
              <w:t>Banking, Finance, Insurance and Real Estate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5,895,073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(8)</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08/08/2022</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8.70%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698,246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698,246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698,246</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1180" w:type="dxa"/>
            <w:vAlign w:val="bottom"/>
          </w:tcPr>
          <w:p>
            <w:pPr>
              <w:jc w:val="center"/>
              <w:ind w:right="12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7"/>
              </w:rPr>
              <w:t>Transportation: Consumer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6.56%</w:t>
            </w:r>
          </w:p>
        </w:tc>
        <w:tc>
          <w:tcPr>
            <w:tcW w:w="740" w:type="dxa"/>
            <w:vAlign w:val="bottom"/>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5,902,594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5,831,627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5,814,056</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(8)</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12/31/2021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92"/>
              </w:rPr>
              <w:t>Metals and Mining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15.00%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128,248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124,752</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144,921</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American Scaffold</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03/31/2022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8.19%</w:t>
            </w:r>
          </w:p>
        </w:tc>
        <w:tc>
          <w:tcPr>
            <w:tcW w:w="740" w:type="dxa"/>
            <w:vAlign w:val="bottom"/>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4,687,500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4,632,649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4,640,625</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American Teleconferencing Services, Ltd.</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12/08/2021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7.90%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10,541,782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10,385,394</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10,344,124</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Anesthesia Consulting &amp; Management, LP</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7.94%</w:t>
            </w:r>
          </w:p>
        </w:tc>
        <w:tc>
          <w:tcPr>
            <w:tcW w:w="740" w:type="dxa"/>
            <w:vAlign w:val="bottom"/>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3,624,167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3,593,663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3,533,562</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04/22/2022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4,850,567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4,776,928</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4,874,820</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BEI Precision Systems &amp; Space Company,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04/28/2023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7.20%</w:t>
            </w:r>
          </w:p>
        </w:tc>
        <w:tc>
          <w:tcPr>
            <w:tcW w:w="740" w:type="dxa"/>
            <w:vAlign w:val="bottom"/>
          </w:tcPr>
          <w:p>
            <w:pPr>
              <w:jc w:val="right"/>
              <w:spacing w:after="0"/>
              <w:rPr>
                <w:sz w:val="20"/>
                <w:szCs w:val="20"/>
                <w:color w:val="auto"/>
              </w:rPr>
            </w:pPr>
            <w:r>
              <w:rPr>
                <w:rFonts w:ascii="Arial" w:cs="Arial" w:eastAsia="Arial" w:hAnsi="Arial"/>
                <w:sz w:val="12"/>
                <w:szCs w:val="12"/>
                <w:color w:val="auto"/>
              </w:rPr>
              <w:t>3M L+550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11,940,000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11,828,685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11,820,600</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8.67%</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15,563,421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15,213,871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15,563,421</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(8), (9)</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2,311,784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118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6"/>
              </w:rPr>
              <w:t>11/14/2023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7.91%</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10,892,191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10,901,407</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Camin Cargo Control,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06/30/2021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7"/>
              </w:rPr>
              <w:t>Transportation: Cargo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6.32%</w:t>
            </w:r>
          </w:p>
        </w:tc>
        <w:tc>
          <w:tcPr>
            <w:tcW w:w="740" w:type="dxa"/>
            <w:vAlign w:val="bottom"/>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2,437,500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2,422,148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2,340,000</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Canyon Valor Companies, Inc. </w:t>
            </w:r>
            <w:r>
              <w:rPr>
                <w:rFonts w:ascii="Arial" w:cs="Arial" w:eastAsia="Arial" w:hAnsi="Arial"/>
                <w:sz w:val="9"/>
                <w:szCs w:val="9"/>
                <w:color w:val="auto"/>
              </w:rPr>
              <w:t>(10)</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06/16/2023</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5.94%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6,982,500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6,966,528</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7,055,258</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tcPr>
          <w:p>
            <w:pPr>
              <w:jc w:val="center"/>
              <w:ind w:right="12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7.32%</w:t>
            </w:r>
          </w:p>
        </w:tc>
        <w:tc>
          <w:tcPr>
            <w:tcW w:w="740" w:type="dxa"/>
            <w:vAlign w:val="bottom"/>
          </w:tcPr>
          <w:p>
            <w:pPr>
              <w:jc w:val="right"/>
              <w:spacing w:after="0"/>
              <w:rPr>
                <w:sz w:val="20"/>
                <w:szCs w:val="20"/>
                <w:color w:val="auto"/>
              </w:rPr>
            </w:pPr>
            <w:r>
              <w:rPr>
                <w:rFonts w:ascii="Arial" w:cs="Arial" w:eastAsia="Arial" w:hAnsi="Arial"/>
                <w:sz w:val="12"/>
                <w:szCs w:val="12"/>
                <w:color w:val="auto"/>
              </w:rPr>
              <w:t>1M L+575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3,903,892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3,913,045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3,889,252</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CD&amp;R TZ Purchaser, Inc.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07/21/2023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7.69%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12,343,750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12,073,766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12,297,461</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Chicken Soup for the Soul Publishing, LLC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01/08/2019</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91"/>
              </w:rPr>
              <w:t>Media: Advertising, Printing and Publishing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7.61%</w:t>
            </w:r>
          </w:p>
        </w:tc>
        <w:tc>
          <w:tcPr>
            <w:tcW w:w="740" w:type="dxa"/>
            <w:vAlign w:val="bottom"/>
          </w:tcPr>
          <w:p>
            <w:pPr>
              <w:jc w:val="right"/>
              <w:spacing w:after="0"/>
              <w:rPr>
                <w:sz w:val="20"/>
                <w:szCs w:val="20"/>
                <w:color w:val="auto"/>
              </w:rPr>
            </w:pPr>
            <w:r>
              <w:rPr>
                <w:rFonts w:ascii="Arial" w:cs="Arial" w:eastAsia="Arial" w:hAnsi="Arial"/>
                <w:sz w:val="12"/>
                <w:szCs w:val="12"/>
                <w:color w:val="auto"/>
              </w:rPr>
              <w:t>1M L+625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4,589,286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4,576,386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4,245,090</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Clarus Glassboards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03/16/2023</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90"/>
              </w:rPr>
              <w:t>Construction and Building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6.82%</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4,330,000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4,290,634</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4,330,000</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Corfin Industries LLC</w:t>
            </w:r>
          </w:p>
        </w:tc>
        <w:tc>
          <w:tcPr>
            <w:tcW w:w="1180" w:type="dxa"/>
            <w:vAlign w:val="bottom"/>
          </w:tcPr>
          <w:p>
            <w:pPr>
              <w:jc w:val="center"/>
              <w:ind w:right="12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11.11%</w:t>
            </w:r>
          </w:p>
        </w:tc>
        <w:tc>
          <w:tcPr>
            <w:tcW w:w="740" w:type="dxa"/>
            <w:vAlign w:val="bottom"/>
          </w:tcPr>
          <w:p>
            <w:pPr>
              <w:jc w:val="right"/>
              <w:spacing w:after="0"/>
              <w:rPr>
                <w:sz w:val="20"/>
                <w:szCs w:val="20"/>
                <w:color w:val="auto"/>
              </w:rPr>
            </w:pPr>
            <w:r>
              <w:rPr>
                <w:rFonts w:ascii="Arial" w:cs="Arial" w:eastAsia="Arial" w:hAnsi="Arial"/>
                <w:sz w:val="12"/>
                <w:szCs w:val="12"/>
                <w:color w:val="auto"/>
              </w:rPr>
              <w:t>1M L+975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5,922,755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5,846,351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5,922,755</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 (9)</w:t>
            </w:r>
          </w:p>
        </w:tc>
        <w:tc>
          <w:tcPr>
            <w:tcW w:w="118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518,033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03/31/2023</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6.69%</w:t>
            </w:r>
          </w:p>
        </w:tc>
        <w:tc>
          <w:tcPr>
            <w:tcW w:w="740" w:type="dxa"/>
            <w:vAlign w:val="bottom"/>
          </w:tcPr>
          <w:p>
            <w:pPr>
              <w:jc w:val="right"/>
              <w:spacing w:after="0"/>
              <w:rPr>
                <w:sz w:val="20"/>
                <w:szCs w:val="20"/>
                <w:color w:val="auto"/>
              </w:rPr>
            </w:pPr>
            <w:r>
              <w:rPr>
                <w:rFonts w:ascii="Arial" w:cs="Arial" w:eastAsia="Arial" w:hAnsi="Arial"/>
                <w:sz w:val="12"/>
                <w:szCs w:val="12"/>
                <w:color w:val="auto"/>
              </w:rPr>
              <w:t>3M L+500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19,619,991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19,574,262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19,058,676</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DBI Holding,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08/02/2021</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6.82%</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9,875,100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9,796,637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9,875,100</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(8)</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10/31/2023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8.32%</w:t>
            </w:r>
          </w:p>
        </w:tc>
        <w:tc>
          <w:tcPr>
            <w:tcW w:w="74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27,500,000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26,962,074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26,950,000</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Deva Holdings, Inc. (Revolver) </w:t>
            </w:r>
            <w:r>
              <w:rPr>
                <w:rFonts w:ascii="Arial" w:cs="Arial" w:eastAsia="Arial" w:hAnsi="Arial"/>
                <w:sz w:val="9"/>
                <w:szCs w:val="9"/>
                <w:color w:val="auto"/>
              </w:rPr>
              <w:t>(8), (9)</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2,115,000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6.45%</w:t>
            </w:r>
          </w:p>
        </w:tc>
        <w:tc>
          <w:tcPr>
            <w:tcW w:w="740" w:type="dxa"/>
            <w:vAlign w:val="bottom"/>
          </w:tcPr>
          <w:p>
            <w:pPr>
              <w:jc w:val="right"/>
              <w:spacing w:after="0"/>
              <w:rPr>
                <w:sz w:val="20"/>
                <w:szCs w:val="20"/>
                <w:color w:val="auto"/>
              </w:rPr>
            </w:pPr>
            <w:r>
              <w:rPr>
                <w:rFonts w:ascii="Arial" w:cs="Arial" w:eastAsia="Arial" w:hAnsi="Arial"/>
                <w:sz w:val="12"/>
                <w:szCs w:val="12"/>
                <w:color w:val="auto"/>
              </w:rPr>
              <w:t>3M L+475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4,373,643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4,356,111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4,373,643</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6.16%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10,487,120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10,460,640</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10,487,120</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(9)</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East Valley Tourist Development Authority</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Hotel, Gaming and Leisure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9.69%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16,701,000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16,495,827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16,784,505</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Education Networks of America,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8.69%</w:t>
            </w:r>
          </w:p>
        </w:tc>
        <w:tc>
          <w:tcPr>
            <w:tcW w:w="740" w:type="dxa"/>
            <w:vAlign w:val="bottom"/>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12,353,267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12,231,129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12,291,501</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(8), (9)</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2,173,913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(10,870)</w:t>
            </w: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06/15/2022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90"/>
              </w:rPr>
              <w:t>Media: Diversified and Production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8.44%</w:t>
            </w:r>
          </w:p>
        </w:tc>
        <w:tc>
          <w:tcPr>
            <w:tcW w:w="74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9,912,089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9,834,007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9,912,089</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GCOM Software LLC </w:t>
            </w:r>
            <w:r>
              <w:rPr>
                <w:rFonts w:ascii="Arial" w:cs="Arial" w:eastAsia="Arial" w:hAnsi="Arial"/>
                <w:sz w:val="9"/>
                <w:szCs w:val="9"/>
                <w:color w:val="auto"/>
              </w:rPr>
              <w:t>(8)</w:t>
            </w:r>
          </w:p>
        </w:tc>
        <w:tc>
          <w:tcPr>
            <w:tcW w:w="118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6"/>
              </w:rPr>
              <w:t>11/14/2022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8.92%</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14,933,333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14,567,640</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14,709,333</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(8)</w:t>
            </w:r>
          </w:p>
        </w:tc>
        <w:tc>
          <w:tcPr>
            <w:tcW w:w="1180" w:type="dxa"/>
            <w:vAlign w:val="bottom"/>
          </w:tcPr>
          <w:p>
            <w:pPr>
              <w:jc w:val="center"/>
              <w:ind w:right="122"/>
              <w:spacing w:after="0"/>
              <w:rPr>
                <w:sz w:val="20"/>
                <w:szCs w:val="20"/>
                <w:color w:val="auto"/>
              </w:rPr>
            </w:pPr>
            <w:r>
              <w:rPr>
                <w:rFonts w:ascii="Arial" w:cs="Arial" w:eastAsia="Arial" w:hAnsi="Arial"/>
                <w:sz w:val="12"/>
                <w:szCs w:val="12"/>
                <w:color w:val="auto"/>
                <w:w w:val="86"/>
              </w:rPr>
              <w:t>11/14/2022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9.75%</w:t>
            </w:r>
          </w:p>
        </w:tc>
        <w:tc>
          <w:tcPr>
            <w:tcW w:w="740" w:type="dxa"/>
            <w:vAlign w:val="bottom"/>
          </w:tcPr>
          <w:p>
            <w:pPr>
              <w:jc w:val="right"/>
              <w:spacing w:after="0"/>
              <w:rPr>
                <w:sz w:val="20"/>
                <w:szCs w:val="20"/>
                <w:color w:val="auto"/>
              </w:rPr>
            </w:pPr>
            <w:r>
              <w:rPr>
                <w:rFonts w:ascii="Arial" w:cs="Arial" w:eastAsia="Arial" w:hAnsi="Arial"/>
                <w:sz w:val="12"/>
                <w:szCs w:val="12"/>
                <w:color w:val="auto"/>
              </w:rPr>
              <w:t>P+550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333,333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333,333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333,333</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(8), (9)</w:t>
            </w:r>
          </w:p>
        </w:tc>
        <w:tc>
          <w:tcPr>
            <w:tcW w:w="118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6"/>
              </w:rPr>
              <w:t>11/14/2022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2,333,333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06/09/2023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9.69%</w:t>
            </w:r>
          </w:p>
        </w:tc>
        <w:tc>
          <w:tcPr>
            <w:tcW w:w="740" w:type="dxa"/>
            <w:vAlign w:val="bottom"/>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10,975,119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10,770,519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10,755,616</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(10)</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05/01/2019</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7.57%</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6,678,438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6,652,149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6,611,654</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(6), (10), (11)</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10/12/2021</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740" w:type="dxa"/>
            <w:vAlign w:val="bottom"/>
          </w:tcPr>
          <w:p>
            <w:pPr>
              <w:jc w:val="right"/>
              <w:spacing w:after="0"/>
              <w:rPr>
                <w:sz w:val="20"/>
                <w:szCs w:val="20"/>
                <w:color w:val="auto"/>
              </w:rPr>
            </w:pPr>
            <w:r>
              <w:rPr>
                <w:rFonts w:ascii="Arial" w:cs="Arial" w:eastAsia="Arial" w:hAnsi="Arial"/>
                <w:sz w:val="12"/>
                <w:szCs w:val="12"/>
                <w:color w:val="auto"/>
              </w:rPr>
              <w:t>3M E+800</w:t>
            </w: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12,050,199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12,524,977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14,469,843</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8.33%</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6,676,852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6,676,852</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6,676,852</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Impact Sales, LLC </w:t>
            </w:r>
            <w:r>
              <w:rPr>
                <w:rFonts w:ascii="Arial" w:cs="Arial" w:eastAsia="Arial" w:hAnsi="Arial"/>
                <w:sz w:val="9"/>
                <w:szCs w:val="9"/>
                <w:color w:val="auto"/>
              </w:rPr>
              <w:t>(8), (9)</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3,234,375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(6), (10), (11)</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12/12/2023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6.48%</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3,644,625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3,773,864</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(6), (10)</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8.44%</w:t>
            </w:r>
          </w:p>
        </w:tc>
        <w:tc>
          <w:tcPr>
            <w:tcW w:w="74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3,365,125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3,321,970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3,365,125</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(6), (8), (9), (10)</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530,973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Intralinks, Inc. </w:t>
            </w:r>
            <w:r>
              <w:rPr>
                <w:rFonts w:ascii="Arial" w:cs="Arial" w:eastAsia="Arial" w:hAnsi="Arial"/>
                <w:sz w:val="9"/>
                <w:szCs w:val="9"/>
                <w:color w:val="auto"/>
              </w:rPr>
              <w:t>(8)</w:t>
            </w:r>
          </w:p>
        </w:tc>
        <w:tc>
          <w:tcPr>
            <w:tcW w:w="1180" w:type="dxa"/>
            <w:vAlign w:val="bottom"/>
          </w:tcPr>
          <w:p>
            <w:pPr>
              <w:jc w:val="center"/>
              <w:ind w:right="122"/>
              <w:spacing w:after="0"/>
              <w:rPr>
                <w:sz w:val="20"/>
                <w:szCs w:val="20"/>
                <w:color w:val="auto"/>
              </w:rPr>
            </w:pPr>
            <w:r>
              <w:rPr>
                <w:rFonts w:ascii="Arial" w:cs="Arial" w:eastAsia="Arial" w:hAnsi="Arial"/>
                <w:sz w:val="12"/>
                <w:szCs w:val="12"/>
                <w:color w:val="auto"/>
                <w:w w:val="86"/>
              </w:rPr>
              <w:t>11/14/2024</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5.70%</w:t>
            </w:r>
          </w:p>
        </w:tc>
        <w:tc>
          <w:tcPr>
            <w:tcW w:w="740" w:type="dxa"/>
            <w:vAlign w:val="bottom"/>
          </w:tcPr>
          <w:p>
            <w:pPr>
              <w:jc w:val="right"/>
              <w:spacing w:after="0"/>
              <w:rPr>
                <w:sz w:val="20"/>
                <w:szCs w:val="20"/>
                <w:color w:val="auto"/>
              </w:rPr>
            </w:pPr>
            <w:r>
              <w:rPr>
                <w:rFonts w:ascii="Arial" w:cs="Arial" w:eastAsia="Arial" w:hAnsi="Arial"/>
                <w:sz w:val="12"/>
                <w:szCs w:val="12"/>
                <w:color w:val="auto"/>
              </w:rPr>
              <w:t>3M L+400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14,925,397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14,906,250</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Inventus Power, Inc.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04/30/2020</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8.07%</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4,719,237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4,697,025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4,388,890</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Jackson Hewitt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07/30/2020</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Consumer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8.38%</w:t>
            </w:r>
          </w:p>
        </w:tc>
        <w:tc>
          <w:tcPr>
            <w:tcW w:w="740" w:type="dxa"/>
            <w:vAlign w:val="bottom"/>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4,653,450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4,600,750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4,577,831</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02/19/2021</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10.57%</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4,002,471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3,939,181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3,969,871</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KHC Holdings,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7.69%</w:t>
            </w:r>
          </w:p>
        </w:tc>
        <w:tc>
          <w:tcPr>
            <w:tcW w:w="740" w:type="dxa"/>
            <w:vAlign w:val="bottom"/>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12,132,527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11,974,864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12,132,527</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5.80%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120,968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120,968</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120,968</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(9)</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1,088,710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Lago Resort &amp; Casino,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Hotel, Gaming and Leisure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11.19%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10,174,500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10,018,876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10,085,473</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(6), (10), (11)</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09/12/2022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7.56%</w:t>
            </w:r>
          </w:p>
        </w:tc>
        <w:tc>
          <w:tcPr>
            <w:tcW w:w="740" w:type="dxa"/>
            <w:vAlign w:val="bottom"/>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rPr>
              <w:t>A $</w:t>
            </w:r>
          </w:p>
        </w:tc>
        <w:tc>
          <w:tcPr>
            <w:tcW w:w="580" w:type="dxa"/>
            <w:vAlign w:val="bottom"/>
          </w:tcPr>
          <w:p>
            <w:pPr>
              <w:jc w:val="right"/>
              <w:spacing w:after="0"/>
              <w:rPr>
                <w:sz w:val="20"/>
                <w:szCs w:val="20"/>
                <w:color w:val="auto"/>
              </w:rPr>
            </w:pPr>
            <w:r>
              <w:rPr>
                <w:rFonts w:ascii="Arial" w:cs="Arial" w:eastAsia="Arial" w:hAnsi="Arial"/>
                <w:sz w:val="12"/>
                <w:szCs w:val="12"/>
                <w:color w:val="auto"/>
              </w:rPr>
              <w:t>9,975,000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7,714,371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7,684,915</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18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6"/>
              </w:rPr>
              <w:t>11/30/2018</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6.94%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4,954,937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4,936,491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4,360,345</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Lombart Brothers, Inc.</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8.44%</w:t>
            </w:r>
          </w:p>
        </w:tc>
        <w:tc>
          <w:tcPr>
            <w:tcW w:w="74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6,228,903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6,158,126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6,228,903</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(9)</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1,238,938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Long’s Drugs Incorporated</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08/19/2021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6.73%</w:t>
            </w:r>
          </w:p>
        </w:tc>
        <w:tc>
          <w:tcPr>
            <w:tcW w:w="740" w:type="dxa"/>
            <w:vAlign w:val="bottom"/>
          </w:tcPr>
          <w:p>
            <w:pPr>
              <w:jc w:val="right"/>
              <w:spacing w:after="0"/>
              <w:rPr>
                <w:sz w:val="20"/>
                <w:szCs w:val="20"/>
                <w:color w:val="auto"/>
              </w:rPr>
            </w:pPr>
            <w:r>
              <w:rPr>
                <w:rFonts w:ascii="Arial" w:cs="Arial" w:eastAsia="Arial" w:hAnsi="Arial"/>
                <w:sz w:val="12"/>
                <w:szCs w:val="12"/>
                <w:color w:val="auto"/>
              </w:rPr>
              <w:t>2M L+525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4,238,073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4,206,526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4,195,692</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05/01/2023</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91"/>
              </w:rPr>
              <w:t>Retail</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7.36%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14,318,750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14,189,593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14,336,648</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(8)</w:t>
            </w:r>
          </w:p>
        </w:tc>
        <w:tc>
          <w:tcPr>
            <w:tcW w:w="1180" w:type="dxa"/>
            <w:vAlign w:val="bottom"/>
          </w:tcPr>
          <w:p>
            <w:pPr>
              <w:jc w:val="center"/>
              <w:ind w:right="102"/>
              <w:spacing w:after="0"/>
              <w:rPr>
                <w:sz w:val="20"/>
                <w:szCs w:val="20"/>
                <w:color w:val="auto"/>
              </w:rPr>
            </w:pPr>
            <w:r>
              <w:rPr>
                <w:rFonts w:ascii="Arial" w:cs="Arial" w:eastAsia="Arial" w:hAnsi="Arial"/>
                <w:sz w:val="12"/>
                <w:szCs w:val="12"/>
                <w:color w:val="auto"/>
                <w:w w:val="89"/>
              </w:rPr>
              <w:t>12/08/2023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7.52%</w:t>
            </w:r>
          </w:p>
        </w:tc>
        <w:tc>
          <w:tcPr>
            <w:tcW w:w="740" w:type="dxa"/>
            <w:vAlign w:val="bottom"/>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5,500,000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5,418,649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5,417,500</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(8), (9)</w:t>
            </w:r>
          </w:p>
        </w:tc>
        <w:tc>
          <w:tcPr>
            <w:tcW w:w="11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12/08/2023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382"/>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120" w:type="dxa"/>
            <w:vAlign w:val="bottom"/>
            <w:tcBorders>
              <w:bottom w:val="single" w:sz="8" w:color="CCECFF"/>
            </w:tcBorders>
          </w:tcPr>
          <w:p>
            <w:pPr>
              <w:spacing w:after="0"/>
              <w:rPr>
                <w:sz w:val="12"/>
                <w:szCs w:val="12"/>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Marketplace Events LLC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1"/>
              </w:rPr>
              <w:t>Media: Diversified and Production</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6.94</w:t>
            </w:r>
          </w:p>
        </w:tc>
        <w:tc>
          <w:tcPr>
            <w:tcW w:w="300" w:type="dxa"/>
            <w:vAlign w:val="bottom"/>
            <w:shd w:val="clear" w:color="auto" w:fill="CCECFF"/>
          </w:tcPr>
          <w:p>
            <w:pPr>
              <w:jc w:val="right"/>
              <w:ind w:right="142"/>
              <w:spacing w:after="0" w:line="136" w:lineRule="exact"/>
              <w:rPr>
                <w:sz w:val="20"/>
                <w:szCs w:val="20"/>
                <w:color w:val="auto"/>
              </w:rPr>
            </w:pPr>
            <w:r>
              <w:rPr>
                <w:rFonts w:ascii="Arial" w:cs="Arial" w:eastAsia="Arial" w:hAnsi="Arial"/>
                <w:sz w:val="12"/>
                <w:szCs w:val="12"/>
                <w:color w:val="auto"/>
                <w:w w:val="74"/>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3,368,856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3,329,662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3,368,856</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(11)</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01/27/2021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Media: Diversified and Production</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6.25%</w:t>
            </w:r>
          </w:p>
        </w:tc>
        <w:tc>
          <w:tcPr>
            <w:tcW w:w="740" w:type="dxa"/>
            <w:vAlign w:val="bottom"/>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C$  17,027,390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11,962,100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13,589,832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(9)</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1"/>
              </w:rPr>
              <w:t>Media: Diversified and Production</w:t>
            </w:r>
          </w:p>
        </w:tc>
        <w:tc>
          <w:tcPr>
            <w:tcW w:w="980" w:type="dxa"/>
            <w:vAlign w:val="bottom"/>
            <w:gridSpan w:val="2"/>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1,703,163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(9)</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09/28/2021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80" w:type="dxa"/>
            <w:vAlign w:val="bottom"/>
            <w:gridSpan w:val="2"/>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(3,747)</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Montreign Operating Company, LLC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01/24/2023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Hotel, Gaming and Leisure</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9.82%</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L+825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26,294,872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26,709,610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26,623,558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Morphe, LLC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02/10/2023</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Consumer Goods: Non-Durable</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7.69%</w:t>
            </w:r>
          </w:p>
        </w:tc>
        <w:tc>
          <w:tcPr>
            <w:tcW w:w="740" w:type="dxa"/>
            <w:vAlign w:val="bottom"/>
          </w:tcPr>
          <w:p>
            <w:pPr>
              <w:jc w:val="right"/>
              <w:spacing w:after="0"/>
              <w:rPr>
                <w:sz w:val="20"/>
                <w:szCs w:val="20"/>
                <w:color w:val="auto"/>
              </w:rPr>
            </w:pPr>
            <w:r>
              <w:rPr>
                <w:rFonts w:ascii="Arial" w:cs="Arial" w:eastAsia="Arial" w:hAnsi="Arial"/>
                <w:sz w:val="12"/>
                <w:szCs w:val="12"/>
                <w:color w:val="auto"/>
              </w:rPr>
              <w:t>3M L+600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14,437,500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14,073,831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14,293,125</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New Trident HoldCorp, Inc.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07/31/2019</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7.44%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8,692,647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8,662,801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7,736,456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One Sixty Over Ninety, LLC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03/03/2022</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Media: Advertising, Printing and Publishing</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10.84%</w:t>
            </w:r>
          </w:p>
        </w:tc>
        <w:tc>
          <w:tcPr>
            <w:tcW w:w="740" w:type="dxa"/>
            <w:vAlign w:val="bottom"/>
          </w:tcPr>
          <w:p>
            <w:pPr>
              <w:jc w:val="right"/>
              <w:spacing w:after="0"/>
              <w:rPr>
                <w:sz w:val="20"/>
                <w:szCs w:val="20"/>
                <w:color w:val="auto"/>
              </w:rPr>
            </w:pPr>
            <w:r>
              <w:rPr>
                <w:rFonts w:ascii="Arial" w:cs="Arial" w:eastAsia="Arial" w:hAnsi="Arial"/>
                <w:sz w:val="12"/>
                <w:szCs w:val="12"/>
                <w:color w:val="auto"/>
              </w:rPr>
              <w:t>3M L+915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2,750,000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2,702,076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2,750,000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Profile Products LLC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01/31/2023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Environmental Industries</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6.69%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10,068,672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9,981,061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10,068,672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(8), (9)</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01/31/2019</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Environmental Industries</w:t>
            </w:r>
          </w:p>
        </w:tc>
        <w:tc>
          <w:tcPr>
            <w:tcW w:w="980" w:type="dxa"/>
            <w:vAlign w:val="bottom"/>
            <w:gridSpan w:val="2"/>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573,770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(9)</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01/31/2022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Environmental Industries</w:t>
            </w:r>
          </w:p>
        </w:tc>
        <w:tc>
          <w:tcPr>
            <w:tcW w:w="980" w:type="dxa"/>
            <w:vAlign w:val="bottom"/>
            <w:gridSpan w:val="2"/>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Quick Weight Loss Centers, LLC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08/23/2021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6.20%</w:t>
            </w:r>
          </w:p>
        </w:tc>
        <w:tc>
          <w:tcPr>
            <w:tcW w:w="740" w:type="dxa"/>
            <w:vAlign w:val="bottom"/>
          </w:tcPr>
          <w:p>
            <w:pPr>
              <w:jc w:val="right"/>
              <w:spacing w:after="0"/>
              <w:rPr>
                <w:sz w:val="20"/>
                <w:szCs w:val="20"/>
                <w:color w:val="auto"/>
              </w:rPr>
            </w:pPr>
            <w:r>
              <w:rPr>
                <w:rFonts w:ascii="Arial" w:cs="Arial" w:eastAsia="Arial" w:hAnsi="Arial"/>
                <w:sz w:val="12"/>
                <w:szCs w:val="12"/>
                <w:color w:val="auto"/>
              </w:rPr>
              <w:t>3M 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9,392,316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9,120,000</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Research Now Group, Inc. and Survey Sampling</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12/20/2024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7.13%</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23,752,195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23,833,250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International LLC </w:t>
            </w:r>
            <w:r>
              <w:rPr>
                <w:rFonts w:ascii="Arial" w:cs="Arial" w:eastAsia="Arial" w:hAnsi="Arial"/>
                <w:sz w:val="9"/>
                <w:szCs w:val="9"/>
                <w:color w:val="auto"/>
              </w:rPr>
              <w:t>(8)</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Salient CRGT Inc.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02/28/2022</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7.32%</w:t>
            </w:r>
          </w:p>
        </w:tc>
        <w:tc>
          <w:tcPr>
            <w:tcW w:w="740" w:type="dxa"/>
            <w:vAlign w:val="bottom"/>
          </w:tcPr>
          <w:p>
            <w:pPr>
              <w:jc w:val="right"/>
              <w:spacing w:after="0"/>
              <w:rPr>
                <w:sz w:val="20"/>
                <w:szCs w:val="20"/>
                <w:color w:val="auto"/>
              </w:rPr>
            </w:pPr>
            <w:r>
              <w:rPr>
                <w:rFonts w:ascii="Arial" w:cs="Arial" w:eastAsia="Arial" w:hAnsi="Arial"/>
                <w:sz w:val="12"/>
                <w:szCs w:val="12"/>
                <w:color w:val="auto"/>
              </w:rPr>
              <w:t>1M 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19,244,048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18,908,743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19,340,268</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07/19/2021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6.36%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 (9)</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07/19/2021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80" w:type="dxa"/>
            <w:vAlign w:val="bottom"/>
            <w:gridSpan w:val="2"/>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16,667</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Softvision, LLC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05/21/2021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7.07%</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8,747,271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8,682,347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8,747,271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Sonny's Enterprises, LLC </w:t>
            </w:r>
            <w:r>
              <w:rPr>
                <w:rFonts w:ascii="Arial" w:cs="Arial" w:eastAsia="Arial" w:hAnsi="Arial"/>
                <w:sz w:val="9"/>
                <w:szCs w:val="9"/>
                <w:color w:val="auto"/>
              </w:rPr>
              <w:t>(8)</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12/01/2022</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6.44%</w:t>
            </w:r>
          </w:p>
        </w:tc>
        <w:tc>
          <w:tcPr>
            <w:tcW w:w="740" w:type="dxa"/>
            <w:vAlign w:val="bottom"/>
          </w:tcPr>
          <w:p>
            <w:pPr>
              <w:jc w:val="right"/>
              <w:spacing w:after="0"/>
              <w:rPr>
                <w:sz w:val="20"/>
                <w:szCs w:val="20"/>
                <w:color w:val="auto"/>
              </w:rPr>
            </w:pPr>
            <w:r>
              <w:rPr>
                <w:rFonts w:ascii="Arial" w:cs="Arial" w:eastAsia="Arial" w:hAnsi="Arial"/>
                <w:sz w:val="12"/>
                <w:szCs w:val="12"/>
                <w:color w:val="auto"/>
              </w:rPr>
              <w:t>3M 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5,000,000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TeleGuam Holdings, LLC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07/25/2023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6.57%</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7,980,000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7,866,186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7,980,000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Tensar Corporation</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07/09/2021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6.44%</w:t>
            </w:r>
          </w:p>
        </w:tc>
        <w:tc>
          <w:tcPr>
            <w:tcW w:w="740" w:type="dxa"/>
            <w:vAlign w:val="bottom"/>
          </w:tcPr>
          <w:p>
            <w:pPr>
              <w:jc w:val="right"/>
              <w:spacing w:after="0"/>
              <w:rPr>
                <w:sz w:val="20"/>
                <w:szCs w:val="20"/>
                <w:color w:val="auto"/>
              </w:rPr>
            </w:pPr>
            <w:r>
              <w:rPr>
                <w:rFonts w:ascii="Arial" w:cs="Arial" w:eastAsia="Arial" w:hAnsi="Arial"/>
                <w:sz w:val="12"/>
                <w:szCs w:val="12"/>
                <w:color w:val="auto"/>
              </w:rPr>
              <w:t>3M 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4,631,234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4,605,282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4,492,297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12/02/2021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6.94%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7,783,300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7,720,165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7,783,300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(10)</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Consumer Goods: Non-Durable</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7.07%</w:t>
            </w:r>
          </w:p>
        </w:tc>
        <w:tc>
          <w:tcPr>
            <w:tcW w:w="740" w:type="dxa"/>
            <w:vAlign w:val="bottom"/>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3,053,641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3,030,834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3,053,641</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(10)</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07/20/2021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Consumer Goods: Non-Durable</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6.57%</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5,911,177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5,867,229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5,911,177</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(9), (10)</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Consumer Goods: Non-Durable</w:t>
            </w:r>
          </w:p>
        </w:tc>
        <w:tc>
          <w:tcPr>
            <w:tcW w:w="980" w:type="dxa"/>
            <w:vAlign w:val="bottom"/>
            <w:gridSpan w:val="2"/>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1,418,484</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12/28/2020</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12.82%</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L+1,125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8,663,608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8,549,410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8,663,608</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3"/>
                <w:szCs w:val="13"/>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10.20%</w:t>
            </w:r>
          </w:p>
        </w:tc>
        <w:tc>
          <w:tcPr>
            <w:tcW w:w="740" w:type="dxa"/>
            <w:vAlign w:val="bottom"/>
          </w:tcPr>
          <w:p>
            <w:pPr>
              <w:jc w:val="right"/>
              <w:spacing w:after="0"/>
              <w:rPr>
                <w:sz w:val="20"/>
                <w:szCs w:val="20"/>
                <w:color w:val="auto"/>
              </w:rPr>
            </w:pPr>
            <w:r>
              <w:rPr>
                <w:rFonts w:ascii="Arial" w:cs="Arial" w:eastAsia="Arial" w:hAnsi="Arial"/>
                <w:sz w:val="12"/>
                <w:szCs w:val="12"/>
                <w:color w:val="auto"/>
              </w:rPr>
              <w:t>3M L+850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42,917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42,917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42,917</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02"/>
              <w:spacing w:after="0"/>
              <w:rPr>
                <w:sz w:val="20"/>
                <w:szCs w:val="20"/>
                <w:color w:val="auto"/>
              </w:rPr>
            </w:pPr>
            <w:r>
              <w:rPr>
                <w:rFonts w:ascii="Arial" w:cs="Arial" w:eastAsia="Arial" w:hAnsi="Arial"/>
                <w:sz w:val="12"/>
                <w:szCs w:val="12"/>
                <w:color w:val="auto"/>
              </w:rPr>
              <w:t>(PIK 1.00%)</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01/14/2019</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10.20%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599,702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581,812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611,696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UniTek Global Services, Inc. (Revolver) </w:t>
            </w:r>
            <w:r>
              <w:rPr>
                <w:rFonts w:ascii="Arial" w:cs="Arial" w:eastAsia="Arial" w:hAnsi="Arial"/>
                <w:sz w:val="9"/>
                <w:szCs w:val="9"/>
                <w:color w:val="auto"/>
              </w:rPr>
              <w:t>(8), (9)</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80" w:type="dxa"/>
            <w:vAlign w:val="bottom"/>
            <w:gridSpan w:val="2"/>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151,090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08/13/2021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10.69%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3,050,781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3,050,781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2,898,242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6.88%</w:t>
            </w:r>
          </w:p>
        </w:tc>
        <w:tc>
          <w:tcPr>
            <w:tcW w:w="740" w:type="dxa"/>
            <w:vAlign w:val="bottom"/>
          </w:tcPr>
          <w:p>
            <w:pPr>
              <w:jc w:val="right"/>
              <w:spacing w:after="0"/>
              <w:rPr>
                <w:sz w:val="20"/>
                <w:szCs w:val="20"/>
                <w:color w:val="auto"/>
              </w:rPr>
            </w:pPr>
            <w:r>
              <w:rPr>
                <w:rFonts w:ascii="Arial" w:cs="Arial" w:eastAsia="Arial" w:hAnsi="Arial"/>
                <w:sz w:val="12"/>
                <w:szCs w:val="12"/>
                <w:color w:val="auto"/>
              </w:rPr>
              <w:t>3M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12,384,470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12,293,052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12,445,427</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(8), (9)</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07/15/2021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5,210,333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25,646</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880,000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4,331</w:t>
            </w:r>
          </w:p>
        </w:tc>
        <w:tc>
          <w:tcPr>
            <w:tcW w:w="100" w:type="dxa"/>
            <w:vAlign w:val="bottom"/>
          </w:tcPr>
          <w:p>
            <w:pPr>
              <w:spacing w:after="0"/>
              <w:rPr>
                <w:sz w:val="12"/>
                <w:szCs w:val="12"/>
                <w:color w:val="auto"/>
              </w:rPr>
            </w:pPr>
          </w:p>
        </w:tc>
      </w:tr>
      <w:tr>
        <w:trPr>
          <w:trHeight w:val="141"/>
        </w:trPr>
        <w:tc>
          <w:tcPr>
            <w:tcW w:w="3000" w:type="dxa"/>
            <w:vAlign w:val="bottom"/>
          </w:tcPr>
          <w:p>
            <w:pPr>
              <w:ind w:left="10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(8), (9)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VIP Cinema Holdings, Inc.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03/01/2023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Consumer Goods: Durable</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7.70%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7,218,750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7,186,110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7,259,392</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Vistage Worldwide, Inc.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08/19/2021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7.07%</w:t>
            </w:r>
          </w:p>
        </w:tc>
        <w:tc>
          <w:tcPr>
            <w:tcW w:w="740" w:type="dxa"/>
            <w:vAlign w:val="bottom"/>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4,996,607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4,963,470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5,046,573</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Whitney, Bradley &amp; Brown, Inc. (Revolver) </w:t>
            </w:r>
            <w:r>
              <w:rPr>
                <w:rFonts w:ascii="Arial" w:cs="Arial" w:eastAsia="Arial" w:hAnsi="Arial"/>
                <w:sz w:val="9"/>
                <w:szCs w:val="9"/>
                <w:color w:val="auto"/>
              </w:rPr>
              <w:t>(8)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10/18/2022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Aerospace and Defense</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10.57%</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99,000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Whitney, Bradley &amp; Brown, Inc. (Revolver) </w:t>
            </w:r>
            <w:r>
              <w:rPr>
                <w:rFonts w:ascii="Arial" w:cs="Arial" w:eastAsia="Arial" w:hAnsi="Arial"/>
                <w:sz w:val="9"/>
                <w:szCs w:val="9"/>
                <w:color w:val="auto"/>
              </w:rPr>
              <w:t>(8), (9)</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10/18/2022</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Aerospace and Defense</w:t>
            </w:r>
          </w:p>
        </w:tc>
        <w:tc>
          <w:tcPr>
            <w:tcW w:w="980" w:type="dxa"/>
            <w:vAlign w:val="bottom"/>
            <w:gridSpan w:val="2"/>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233,333</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(2,333)</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Winchester Electronics Corporation</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06/30/2022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8.19%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10,243,355</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10,186,995</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10,294,572</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615,144,301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619,347,801</w:t>
            </w:r>
          </w:p>
        </w:tc>
        <w:tc>
          <w:tcPr>
            <w:tcW w:w="100" w:type="dxa"/>
            <w:vAlign w:val="bottom"/>
          </w:tcPr>
          <w:p>
            <w:pPr>
              <w:spacing w:after="0"/>
              <w:rPr>
                <w:sz w:val="12"/>
                <w:szCs w:val="12"/>
                <w:color w:val="auto"/>
              </w:rPr>
            </w:pPr>
          </w:p>
        </w:tc>
      </w:tr>
      <w:tr>
        <w:trPr>
          <w:trHeight w:val="142"/>
        </w:trPr>
        <w:tc>
          <w:tcPr>
            <w:tcW w:w="30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Debt—7.4%</w:t>
            </w:r>
          </w:p>
        </w:tc>
        <w:tc>
          <w:tcPr>
            <w:tcW w:w="120" w:type="dxa"/>
            <w:vAlign w:val="bottom"/>
            <w:tcBorders>
              <w:top w:val="single" w:sz="8" w:color="CCECFF"/>
            </w:tcBorders>
            <w:shd w:val="clear" w:color="auto" w:fill="CCECFF"/>
          </w:tcPr>
          <w:p>
            <w:pPr>
              <w:spacing w:after="0"/>
              <w:rPr>
                <w:sz w:val="12"/>
                <w:szCs w:val="12"/>
                <w:color w:val="auto"/>
              </w:rPr>
            </w:pPr>
          </w:p>
        </w:tc>
        <w:tc>
          <w:tcPr>
            <w:tcW w:w="6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74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Condor Borrower, LLC </w:t>
            </w:r>
            <w:r>
              <w:rPr>
                <w:rFonts w:ascii="Arial" w:cs="Arial" w:eastAsia="Arial" w:hAnsi="Arial"/>
                <w:sz w:val="9"/>
                <w:szCs w:val="9"/>
                <w:color w:val="auto"/>
              </w:rPr>
              <w:t>(8)</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04/25/2025</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10.12%</w:t>
            </w:r>
          </w:p>
        </w:tc>
        <w:tc>
          <w:tcPr>
            <w:tcW w:w="740" w:type="dxa"/>
            <w:vAlign w:val="bottom"/>
          </w:tcPr>
          <w:p>
            <w:pPr>
              <w:jc w:val="right"/>
              <w:spacing w:after="0"/>
              <w:rPr>
                <w:sz w:val="20"/>
                <w:szCs w:val="20"/>
                <w:color w:val="auto"/>
              </w:rPr>
            </w:pPr>
            <w:r>
              <w:rPr>
                <w:rFonts w:ascii="Arial" w:cs="Arial" w:eastAsia="Arial" w:hAnsi="Arial"/>
                <w:sz w:val="12"/>
                <w:szCs w:val="12"/>
                <w:color w:val="auto"/>
              </w:rPr>
              <w:t>3M L+875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1,960,371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1,970,000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03/31/2025</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9.94%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11,341,463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11,119,393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11,228,049</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12/31/2020</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12.20%</w:t>
            </w:r>
          </w:p>
        </w:tc>
        <w:tc>
          <w:tcPr>
            <w:tcW w:w="740" w:type="dxa"/>
            <w:vAlign w:val="bottom"/>
          </w:tcPr>
          <w:p>
            <w:pPr>
              <w:jc w:val="right"/>
              <w:spacing w:after="0"/>
              <w:rPr>
                <w:sz w:val="20"/>
                <w:szCs w:val="20"/>
                <w:color w:val="auto"/>
              </w:rPr>
            </w:pPr>
            <w:r>
              <w:rPr>
                <w:rFonts w:ascii="Arial" w:cs="Arial" w:eastAsia="Arial" w:hAnsi="Arial"/>
                <w:sz w:val="12"/>
                <w:szCs w:val="12"/>
                <w:color w:val="auto"/>
              </w:rPr>
              <w:t>3M 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1,978,343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2,020,000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09/30/2020</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Wholesale</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11.70%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L+1,000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11,600,000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11,241,851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11,020,000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(PIK 5.12%)</w:t>
            </w: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MailSouth, Inc.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10/22/2021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Media: Advertising, Printing and Publishing</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11.84%</w:t>
            </w:r>
          </w:p>
        </w:tc>
        <w:tc>
          <w:tcPr>
            <w:tcW w:w="740" w:type="dxa"/>
            <w:vAlign w:val="bottom"/>
          </w:tcPr>
          <w:p>
            <w:pPr>
              <w:jc w:val="right"/>
              <w:spacing w:after="0"/>
              <w:rPr>
                <w:sz w:val="20"/>
                <w:szCs w:val="20"/>
                <w:color w:val="auto"/>
              </w:rPr>
            </w:pPr>
            <w:r>
              <w:rPr>
                <w:rFonts w:ascii="Arial" w:cs="Arial" w:eastAsia="Arial" w:hAnsi="Arial"/>
                <w:sz w:val="12"/>
                <w:szCs w:val="12"/>
                <w:color w:val="auto"/>
              </w:rPr>
              <w:t>3M 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3,775,000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3,717,913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3,812,750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09/29/2025</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10.07%</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2,463,043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2,501,576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04/12/2023</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11.36%</w:t>
            </w:r>
          </w:p>
        </w:tc>
        <w:tc>
          <w:tcPr>
            <w:tcW w:w="740" w:type="dxa"/>
            <w:vAlign w:val="bottom"/>
          </w:tcPr>
          <w:p>
            <w:pPr>
              <w:jc w:val="right"/>
              <w:spacing w:after="0"/>
              <w:rPr>
                <w:sz w:val="20"/>
                <w:szCs w:val="20"/>
                <w:color w:val="auto"/>
              </w:rPr>
            </w:pPr>
            <w:r>
              <w:rPr>
                <w:rFonts w:ascii="Arial" w:cs="Arial" w:eastAsia="Arial" w:hAnsi="Arial"/>
                <w:sz w:val="12"/>
                <w:szCs w:val="12"/>
                <w:color w:val="auto"/>
              </w:rPr>
              <w:t>3M L+1,000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1,666,667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1,634,610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1,633,333</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 (9)</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04/12/2023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80" w:type="dxa"/>
            <w:vAlign w:val="bottom"/>
            <w:gridSpan w:val="2"/>
            <w:shd w:val="clear" w:color="auto" w:fill="CCECFF"/>
          </w:tcPr>
          <w:p>
            <w:pPr>
              <w:jc w:val="right"/>
              <w:ind w:right="26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333,333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(6,667)</w:t>
            </w: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Research Now Group, Inc. and Survey Sampling</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12/22/2025</w:t>
            </w:r>
          </w:p>
        </w:tc>
        <w:tc>
          <w:tcPr>
            <w:tcW w:w="120" w:type="dxa"/>
            <w:vAlign w:val="bottom"/>
          </w:tcPr>
          <w:p>
            <w:pPr>
              <w:spacing w:after="0"/>
              <w:rPr>
                <w:sz w:val="13"/>
                <w:szCs w:val="13"/>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11.28%</w:t>
            </w:r>
          </w:p>
        </w:tc>
        <w:tc>
          <w:tcPr>
            <w:tcW w:w="740" w:type="dxa"/>
            <w:vAlign w:val="bottom"/>
          </w:tcPr>
          <w:p>
            <w:pPr>
              <w:jc w:val="right"/>
              <w:spacing w:after="0"/>
              <w:rPr>
                <w:sz w:val="20"/>
                <w:szCs w:val="20"/>
                <w:color w:val="auto"/>
              </w:rPr>
            </w:pPr>
            <w:r>
              <w:rPr>
                <w:rFonts w:ascii="Arial" w:cs="Arial" w:eastAsia="Arial" w:hAnsi="Arial"/>
                <w:sz w:val="12"/>
                <w:szCs w:val="12"/>
                <w:color w:val="auto"/>
              </w:rPr>
              <w:t>3M L+950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1,860,193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1,870,000</w:t>
            </w:r>
          </w:p>
        </w:tc>
        <w:tc>
          <w:tcPr>
            <w:tcW w:w="100" w:type="dxa"/>
            <w:vAlign w:val="bottom"/>
          </w:tcPr>
          <w:p>
            <w:pPr>
              <w:spacing w:after="0"/>
              <w:rPr>
                <w:sz w:val="13"/>
                <w:szCs w:val="13"/>
                <w:color w:val="auto"/>
              </w:rPr>
            </w:pPr>
          </w:p>
        </w:tc>
      </w:tr>
      <w:tr>
        <w:trPr>
          <w:trHeight w:val="142"/>
        </w:trPr>
        <w:tc>
          <w:tcPr>
            <w:tcW w:w="3000" w:type="dxa"/>
            <w:vAlign w:val="bottom"/>
          </w:tcPr>
          <w:p>
            <w:pPr>
              <w:ind w:left="140"/>
              <w:spacing w:after="0"/>
              <w:rPr>
                <w:sz w:val="20"/>
                <w:szCs w:val="20"/>
                <w:color w:val="auto"/>
              </w:rPr>
            </w:pPr>
            <w:r>
              <w:rPr>
                <w:rFonts w:ascii="Arial" w:cs="Arial" w:eastAsia="Arial" w:hAnsi="Arial"/>
                <w:sz w:val="12"/>
                <w:szCs w:val="12"/>
                <w:color w:val="auto"/>
              </w:rPr>
              <w:t xml:space="preserve">International LLC </w:t>
            </w:r>
            <w:r>
              <w:rPr>
                <w:rFonts w:ascii="Arial" w:cs="Arial" w:eastAsia="Arial" w:hAnsi="Arial"/>
                <w:sz w:val="9"/>
                <w:szCs w:val="9"/>
                <w:color w:val="auto"/>
              </w:rPr>
              <w:t>(8)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(10)</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08/01/2018</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Energy: Oil and Gas</w:t>
            </w:r>
          </w:p>
        </w:tc>
        <w:tc>
          <w:tcPr>
            <w:tcW w:w="98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2,792,500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2,720,508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1,144,925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Veritext Corp.</w:t>
            </w:r>
          </w:p>
        </w:tc>
        <w:tc>
          <w:tcPr>
            <w:tcW w:w="740" w:type="dxa"/>
            <w:vAlign w:val="bottom"/>
            <w:tcBorders>
              <w:bottom w:val="single" w:sz="8" w:color="CCECFF"/>
            </w:tcBorders>
            <w:gridSpan w:val="2"/>
          </w:tcPr>
          <w:p>
            <w:pPr>
              <w:jc w:val="center"/>
              <w:ind w:left="42"/>
              <w:spacing w:after="0"/>
              <w:rPr>
                <w:sz w:val="20"/>
                <w:szCs w:val="20"/>
                <w:color w:val="auto"/>
              </w:rPr>
            </w:pPr>
            <w:r>
              <w:rPr>
                <w:rFonts w:ascii="Arial" w:cs="Arial" w:eastAsia="Arial" w:hAnsi="Arial"/>
                <w:sz w:val="12"/>
                <w:szCs w:val="12"/>
                <w:color w:val="auto"/>
                <w:w w:val="86"/>
              </w:rPr>
              <w:t>01/30/2023</w:t>
            </w:r>
          </w:p>
        </w:tc>
        <w:tc>
          <w:tcPr>
            <w:tcW w:w="120" w:type="dxa"/>
            <w:vAlign w:val="bottom"/>
            <w:tcBorders>
              <w:bottom w:val="single" w:sz="8" w:color="CCECFF"/>
            </w:tcBorders>
          </w:tcPr>
          <w:p>
            <w:pPr>
              <w:spacing w:after="0"/>
              <w:rPr>
                <w:sz w:val="12"/>
                <w:szCs w:val="12"/>
                <w:color w:val="auto"/>
              </w:rPr>
            </w:pPr>
          </w:p>
        </w:tc>
        <w:tc>
          <w:tcPr>
            <w:tcW w:w="276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80" w:type="dxa"/>
            <w:vAlign w:val="bottom"/>
            <w:tcBorders>
              <w:bottom w:val="single" w:sz="8" w:color="CCECFF"/>
            </w:tcBorders>
            <w:gridSpan w:val="2"/>
          </w:tcPr>
          <w:p>
            <w:pPr>
              <w:jc w:val="right"/>
              <w:ind w:right="142"/>
              <w:spacing w:after="0"/>
              <w:rPr>
                <w:sz w:val="20"/>
                <w:szCs w:val="20"/>
                <w:color w:val="auto"/>
              </w:rPr>
            </w:pPr>
            <w:r>
              <w:rPr>
                <w:rFonts w:ascii="Arial" w:cs="Arial" w:eastAsia="Arial" w:hAnsi="Arial"/>
                <w:sz w:val="12"/>
                <w:szCs w:val="12"/>
                <w:color w:val="auto"/>
              </w:rPr>
              <w:t>10.69%</w:t>
            </w:r>
          </w:p>
        </w:tc>
        <w:tc>
          <w:tcPr>
            <w:tcW w:w="74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3M L+900</w:t>
            </w:r>
          </w:p>
        </w:tc>
        <w:tc>
          <w:tcPr>
            <w:tcW w:w="90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2,690,625</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2,626,095</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2,690,625</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41,322,320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39,884,591</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 xml:space="preserve">Subordinated Debt/Corporate Notes—0.5% </w:t>
            </w:r>
            <w:r>
              <w:rPr>
                <w:rFonts w:ascii="Arial" w:cs="Arial" w:eastAsia="Arial" w:hAnsi="Arial"/>
                <w:sz w:val="9"/>
                <w:szCs w:val="9"/>
                <w:b w:val="1"/>
                <w:bCs w:val="1"/>
                <w:color w:val="auto"/>
              </w:rPr>
              <w:t>(8)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12/31/2021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Metals and Mining</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17.00%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382,989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382,989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425,118</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(PIK 10.37%)</w:t>
            </w: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Credit Infonet, Inc.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10/26/2020</w:t>
            </w:r>
          </w:p>
        </w:tc>
        <w:tc>
          <w:tcPr>
            <w:tcW w:w="12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80" w:type="dxa"/>
            <w:vAlign w:val="bottom"/>
            <w:gridSpan w:val="2"/>
          </w:tcPr>
          <w:p>
            <w:pPr>
              <w:jc w:val="right"/>
              <w:ind w:right="142"/>
              <w:spacing w:after="0"/>
              <w:rPr>
                <w:sz w:val="20"/>
                <w:szCs w:val="20"/>
                <w:color w:val="auto"/>
              </w:rPr>
            </w:pPr>
            <w:r>
              <w:rPr>
                <w:rFonts w:ascii="Arial" w:cs="Arial" w:eastAsia="Arial" w:hAnsi="Arial"/>
                <w:sz w:val="12"/>
                <w:szCs w:val="12"/>
                <w:color w:val="auto"/>
              </w:rPr>
              <w:t>13.00%</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2,094,892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2,055,142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2,094,892</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02"/>
              <w:spacing w:after="0"/>
              <w:rPr>
                <w:sz w:val="20"/>
                <w:szCs w:val="20"/>
                <w:color w:val="auto"/>
              </w:rPr>
            </w:pPr>
            <w:r>
              <w:rPr>
                <w:rFonts w:ascii="Arial" w:cs="Arial" w:eastAsia="Arial" w:hAnsi="Arial"/>
                <w:sz w:val="12"/>
                <w:szCs w:val="12"/>
                <w:color w:val="auto"/>
              </w:rPr>
              <w:t>(PIK 0.75%)</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07/15/2019</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8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15.00%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176,988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176,988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180,528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(PIK 15.00%)</w:t>
            </w: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2,615,119</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2,700,538</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Maturity</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(7), (8)</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266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(6), (10)</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tcPr>
          <w:p>
            <w:pPr>
              <w:spacing w:after="0"/>
              <w:rPr>
                <w:sz w:val="12"/>
                <w:szCs w:val="12"/>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10,173</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10,173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(6), (10)</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77,827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77,827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UniTek Global Services, Inc. - Senior Preferred Equity</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18.00%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495,817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1,561,511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1,207,134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2,145,328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Equity/Warrants—2.5%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99,029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3,514,572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1,929,760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1,186,649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Metals and Mining</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215,182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361,172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By Light Investco LP</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2,190,771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2,882,712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5,592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CI (Allied) Investment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(Allied America, Inc.)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13,333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(PT Network, LLC)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1,101,017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Faraday Holdings, LLC (Interior Specialists, Inc.)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58,045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220,744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637,482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040" w:type="dxa"/>
            <w:vAlign w:val="bottom"/>
            <w:shd w:val="clear" w:color="auto" w:fill="CCECFF"/>
          </w:tcPr>
          <w:p>
            <w:pPr>
              <w:ind w:left="100"/>
              <w:spacing w:after="0"/>
              <w:rPr>
                <w:sz w:val="20"/>
                <w:szCs w:val="20"/>
                <w:color w:val="auto"/>
              </w:rPr>
            </w:pPr>
            <w:r>
              <w:rPr>
                <w:rFonts w:ascii="Arial" w:cs="Arial" w:eastAsia="Arial" w:hAnsi="Arial"/>
                <w:sz w:val="12"/>
                <w:szCs w:val="12"/>
                <w:color w:val="auto"/>
              </w:rPr>
              <w:t>(The Infosoft Group, LLC)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GCOM InvestCo LP</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1,281,433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1,281,433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1,281,433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(9)</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718,567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Banking, Finance, Insurance and Real Estate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11,867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27,995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736,628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736,628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736,628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04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263,372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3040" w:type="dxa"/>
            <w:vAlign w:val="bottom"/>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(9), (12)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213,739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1,677,360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UniTek Global Services, Inc. (Warrants)</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23,889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WBB Equity, LLC (Whitney, Bradley &amp; Brown,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142,857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142,857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141,429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12,686,876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13,507,931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672,975,750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677,586,189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gridSpan w:val="4"/>
          </w:tcPr>
          <w:p>
            <w:pPr>
              <w:spacing w:after="0"/>
              <w:rPr>
                <w:sz w:val="20"/>
                <w:szCs w:val="20"/>
                <w:color w:val="auto"/>
              </w:rPr>
            </w:pPr>
            <w:r>
              <w:rPr>
                <w:rFonts w:ascii="Arial" w:cs="Arial" w:eastAsia="Arial" w:hAnsi="Arial"/>
                <w:sz w:val="12"/>
                <w:szCs w:val="12"/>
                <w:b w:val="1"/>
                <w:bCs w:val="1"/>
                <w:color w:val="auto"/>
                <w:w w:val="96"/>
              </w:rPr>
              <w:t xml:space="preserve">Investments in Controlled, Affiliated Portfolio Companies—11.5% </w:t>
            </w:r>
            <w:r>
              <w:rPr>
                <w:rFonts w:ascii="Arial" w:cs="Arial" w:eastAsia="Arial" w:hAnsi="Arial"/>
                <w:sz w:val="9"/>
                <w:szCs w:val="9"/>
                <w:b w:val="1"/>
                <w:bCs w:val="1"/>
                <w:color w:val="auto"/>
                <w:w w:val="96"/>
              </w:rPr>
              <w:t>(3), (4)</w:t>
            </w: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Notes—7.9%</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(8), (10)</w:t>
            </w:r>
          </w:p>
        </w:tc>
        <w:tc>
          <w:tcPr>
            <w:tcW w:w="66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05/06/2024</w:t>
            </w:r>
          </w:p>
        </w:tc>
        <w:tc>
          <w:tcPr>
            <w:tcW w:w="220" w:type="dxa"/>
            <w:vAlign w:val="bottom"/>
            <w:tcBorders>
              <w:bottom w:val="single" w:sz="8" w:color="CCECFF"/>
            </w:tcBorders>
          </w:tcPr>
          <w:p>
            <w:pPr>
              <w:spacing w:after="0"/>
              <w:rPr>
                <w:sz w:val="12"/>
                <w:szCs w:val="12"/>
                <w:color w:val="auto"/>
              </w:rPr>
            </w:pPr>
          </w:p>
        </w:tc>
        <w:tc>
          <w:tcPr>
            <w:tcW w:w="278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2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6.69%</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3M L+500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42,700,000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42,700,000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42,700,000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Equity Interests—3.6%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(10)</w:t>
            </w:r>
          </w:p>
        </w:tc>
        <w:tc>
          <w:tcPr>
            <w:tcW w:w="120" w:type="dxa"/>
            <w:vAlign w:val="bottom"/>
            <w:tcBorders>
              <w:bottom w:val="single" w:sz="8" w:color="CCECFF"/>
            </w:tcBorders>
          </w:tcPr>
          <w:p>
            <w:pPr>
              <w:spacing w:after="0"/>
              <w:rPr>
                <w:sz w:val="12"/>
                <w:szCs w:val="12"/>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20" w:type="dxa"/>
            <w:vAlign w:val="bottom"/>
            <w:tcBorders>
              <w:bottom w:val="single" w:sz="8" w:color="CCECFF"/>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CCECFF"/>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18,300,000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19,143,585</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61,000,000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61,843,585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Investments—137.6%</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733,975,750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739,429,774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Equivalents—23.8%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89"/>
              </w:rPr>
              <w:t>124,926,519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w w:val="95"/>
              </w:rPr>
              <w:t>124,926,519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2,792,118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2,858,819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127,718,637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127,785,338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Equivalents—161.4%</w:t>
            </w: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6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861,694,387</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867,215,112</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Assets—(61.4)%</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(329,794,861)</w:t>
            </w:r>
          </w:p>
        </w:tc>
        <w:tc>
          <w:tcPr>
            <w:tcW w:w="0" w:type="dxa"/>
            <w:vAlign w:val="bottom"/>
          </w:tcPr>
          <w:p>
            <w:pPr>
              <w:spacing w:after="0"/>
              <w:rPr>
                <w:sz w:val="1"/>
                <w:szCs w:val="1"/>
                <w:color w:val="auto"/>
              </w:rPr>
            </w:pPr>
          </w:p>
        </w:tc>
      </w:tr>
      <w:tr>
        <w:trPr>
          <w:trHeight w:val="149"/>
        </w:trPr>
        <w:tc>
          <w:tcPr>
            <w:tcW w:w="30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6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537,420,251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3" w:lineRule="exact"/>
        <w:rPr>
          <w:sz w:val="20"/>
          <w:szCs w:val="20"/>
          <w:color w:val="auto"/>
        </w:rPr>
      </w:pPr>
    </w:p>
    <w:p>
      <w:pPr>
        <w:ind w:left="380" w:right="120" w:hanging="372"/>
        <w:spacing w:after="0" w:line="269"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spacing w:after="0" w:line="13" w:lineRule="exact"/>
        <w:rPr>
          <w:rFonts w:ascii="Arial" w:cs="Arial" w:eastAsia="Arial" w:hAnsi="Arial"/>
          <w:sz w:val="11"/>
          <w:szCs w:val="11"/>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right="36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2017, qualifying assets represent 87% of our total assets and non-qualifying assets represent 13%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Canadian Dollars (C$) or in Euros (€)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40" w:hanging="320"/>
        <w:spacing w:after="0"/>
        <w:tabs>
          <w:tab w:leader="none" w:pos="340" w:val="left"/>
        </w:tabs>
        <w:numPr>
          <w:ilvl w:val="1"/>
          <w:numId w:val="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60" w:type="dxa"/>
            <w:vAlign w:val="bottom"/>
          </w:tcPr>
          <w:p>
            <w:pPr>
              <w:jc w:val="center"/>
              <w:ind w:right="202"/>
              <w:spacing w:after="0"/>
              <w:rPr>
                <w:sz w:val="20"/>
                <w:szCs w:val="20"/>
                <w:color w:val="auto"/>
              </w:rPr>
            </w:pPr>
            <w:r>
              <w:rPr>
                <w:rFonts w:ascii="Arial" w:cs="Arial" w:eastAsia="Arial" w:hAnsi="Arial"/>
                <w:sz w:val="12"/>
                <w:szCs w:val="12"/>
                <w:b w:val="1"/>
                <w:bCs w:val="1"/>
                <w:color w:val="auto"/>
                <w:w w:val="98"/>
              </w:rPr>
              <w:t>Maturity</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r>
      <w:tr>
        <w:trPr>
          <w:trHeight w:val="142"/>
        </w:trPr>
        <w:tc>
          <w:tcPr>
            <w:tcW w:w="42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Companies—145.7% </w:t>
            </w:r>
            <w:r>
              <w:rPr>
                <w:rFonts w:ascii="Arial" w:cs="Arial" w:eastAsia="Arial" w:hAnsi="Arial"/>
                <w:sz w:val="9"/>
                <w:szCs w:val="9"/>
                <w:b w:val="1"/>
                <w:bCs w:val="1"/>
                <w:color w:val="auto"/>
                <w:w w:val="90"/>
              </w:rPr>
              <w:t>(3), (4)</w:t>
            </w:r>
          </w:p>
        </w:tc>
        <w:tc>
          <w:tcPr>
            <w:tcW w:w="240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b w:val="1"/>
                <w:bCs w:val="1"/>
                <w:color w:val="auto"/>
              </w:rPr>
              <w:t>First Lien Secured Debt—133.1%</w:t>
            </w: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Advanced Cable Communications,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08/09/2021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16,225,000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16,029,514</w:t>
            </w:r>
          </w:p>
        </w:tc>
        <w:tc>
          <w:tcPr>
            <w:tcW w:w="3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16,225,000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Alera Group Holdings,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9,177,637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9,098,312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9,177,637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Alera Group Holdings,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1,771,962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Alera Group Holdings, Inc.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2,983,500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Transportation: Consumer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10,945,000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10,805,812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10,780,825</w:t>
            </w:r>
          </w:p>
        </w:tc>
        <w:tc>
          <w:tcPr>
            <w:tcW w:w="12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12/31/2021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2"/>
              </w:rPr>
              <w:t>Metals and Mining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128,248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124,746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141,073</w:t>
            </w:r>
          </w:p>
        </w:tc>
        <w:tc>
          <w:tcPr>
            <w:tcW w:w="120" w:type="dxa"/>
            <w:vAlign w:val="bottom"/>
          </w:tcPr>
          <w:p>
            <w:pPr>
              <w:spacing w:after="0"/>
              <w:rPr>
                <w:sz w:val="13"/>
                <w:szCs w:val="13"/>
                <w:color w:val="auto"/>
              </w:rPr>
            </w:pPr>
          </w:p>
        </w:tc>
      </w:tr>
      <w:tr>
        <w:trPr>
          <w:trHeight w:val="141"/>
        </w:trPr>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5.00%)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American Scaffold</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4,691,657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4,702,500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American Teleconferencing Services, Ltd.</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12/08/2021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7.78%</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10,741,453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10,574,347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10,338,648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Anesthesia Consulting &amp; Management, LP</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3,970,000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3,935,087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3,890,600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Anesthesia Consulting &amp; Management, LP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(20,000)</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04/22/2022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4,881,581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4,803,856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4,832,765</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BEI Precision Systems &amp; Space Company,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04/28/2023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11,970,000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11,854,093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11,850,300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A</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06/03/2021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2,239,494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2,207,741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2,239,494</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Broder Bros., Co., Tranche B</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06/03/2021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13.58%</w:t>
            </w:r>
          </w:p>
        </w:tc>
        <w:tc>
          <w:tcPr>
            <w:tcW w:w="680" w:type="dxa"/>
            <w:vAlign w:val="bottom"/>
          </w:tcPr>
          <w:p>
            <w:pPr>
              <w:jc w:val="right"/>
              <w:spacing w:after="0"/>
              <w:rPr>
                <w:sz w:val="20"/>
                <w:szCs w:val="20"/>
                <w:color w:val="auto"/>
              </w:rPr>
            </w:pPr>
            <w:r>
              <w:rPr>
                <w:rFonts w:ascii="Arial" w:cs="Arial" w:eastAsia="Arial" w:hAnsi="Arial"/>
                <w:sz w:val="12"/>
                <w:szCs w:val="12"/>
                <w:color w:val="auto"/>
              </w:rPr>
              <w:t>L+1,225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2,326,329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2,291,698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2,326,329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8.57%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15,630,360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15,263,130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15,630,360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2,311,784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Camin Cargo Control,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Transportation: Cargo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2,443,750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2,427,358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2,346,000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Canyon Valor Companies, Inc. </w:t>
            </w:r>
            <w:r>
              <w:rPr>
                <w:rFonts w:ascii="Arial" w:cs="Arial" w:eastAsia="Arial" w:hAnsi="Arial"/>
                <w:sz w:val="9"/>
                <w:szCs w:val="9"/>
                <w:color w:val="auto"/>
              </w:rPr>
              <w:t>(10)</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06/16/2023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Media: Broadcasting and Subscription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5.58%</w:t>
            </w:r>
          </w:p>
        </w:tc>
        <w:tc>
          <w:tcPr>
            <w:tcW w:w="680" w:type="dxa"/>
            <w:vAlign w:val="bottom"/>
          </w:tcPr>
          <w:p>
            <w:pPr>
              <w:jc w:val="right"/>
              <w:spacing w:after="0"/>
              <w:rPr>
                <w:sz w:val="20"/>
                <w:szCs w:val="20"/>
                <w:color w:val="auto"/>
              </w:rPr>
            </w:pPr>
            <w:r>
              <w:rPr>
                <w:rFonts w:ascii="Arial" w:cs="Arial" w:eastAsia="Arial" w:hAnsi="Arial"/>
                <w:sz w:val="12"/>
                <w:szCs w:val="12"/>
                <w:color w:val="auto"/>
              </w:rPr>
              <w:t>L+425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6,982,500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7,084,560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3,913,750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3,923,223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3,874,613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CD&amp;R TZ Purchaser,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07/21/2023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7.33%</w:t>
            </w:r>
          </w:p>
        </w:tc>
        <w:tc>
          <w:tcPr>
            <w:tcW w:w="680" w:type="dxa"/>
            <w:vAlign w:val="bottom"/>
          </w:tcPr>
          <w:p>
            <w:pPr>
              <w:jc w:val="right"/>
              <w:spacing w:after="0"/>
              <w:rPr>
                <w:sz w:val="20"/>
                <w:szCs w:val="20"/>
                <w:color w:val="auto"/>
              </w:rPr>
            </w:pPr>
            <w:r>
              <w:rPr>
                <w:rFonts w:ascii="Arial" w:cs="Arial" w:eastAsia="Arial" w:hAnsi="Arial"/>
                <w:sz w:val="12"/>
                <w:szCs w:val="12"/>
                <w:color w:val="auto"/>
              </w:rPr>
              <w:t>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12,375,000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12,094,894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12,359,531</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Charming Charlie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12/24/2019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3,961,544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3,935,418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3,367,313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3.00%)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Chicken Soup for the Soul Publishing,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01/08/2019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4,589,286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4,573,873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4,313,929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Clarus Glassboards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03/16/2023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4,845,000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4,799,506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4,820,775</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Corfin Industries LLC</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10.99%</w:t>
            </w:r>
          </w:p>
        </w:tc>
        <w:tc>
          <w:tcPr>
            <w:tcW w:w="680" w:type="dxa"/>
            <w:vAlign w:val="bottom"/>
          </w:tcPr>
          <w:p>
            <w:pPr>
              <w:jc w:val="right"/>
              <w:spacing w:after="0"/>
              <w:rPr>
                <w:sz w:val="20"/>
                <w:szCs w:val="20"/>
                <w:color w:val="auto"/>
              </w:rPr>
            </w:pPr>
            <w:r>
              <w:rPr>
                <w:rFonts w:ascii="Arial" w:cs="Arial" w:eastAsia="Arial" w:hAnsi="Arial"/>
                <w:sz w:val="12"/>
                <w:szCs w:val="12"/>
                <w:color w:val="auto"/>
              </w:rPr>
              <w:t>L+975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6,024,894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5,941,505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5,994,770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 (9)</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518,033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03/31/2023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19,874,245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19,826,088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19,598,775</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DBI Holding,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08/02/2021</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9,817,138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9,900,075</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Digital Room LLC</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11/21/2022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7.24%</w:t>
            </w:r>
          </w:p>
        </w:tc>
        <w:tc>
          <w:tcPr>
            <w:tcW w:w="680" w:type="dxa"/>
            <w:vAlign w:val="bottom"/>
          </w:tcPr>
          <w:p>
            <w:pPr>
              <w:jc w:val="right"/>
              <w:spacing w:after="0"/>
              <w:rPr>
                <w:sz w:val="20"/>
                <w:szCs w:val="20"/>
                <w:color w:val="auto"/>
              </w:rPr>
            </w:pPr>
            <w:r>
              <w:rPr>
                <w:rFonts w:ascii="Arial" w:cs="Arial" w:eastAsia="Arial" w:hAnsi="Arial"/>
                <w:sz w:val="12"/>
                <w:szCs w:val="12"/>
                <w:color w:val="auto"/>
              </w:rPr>
              <w:t>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6,737,500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6,618,201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6,670,125</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4,373,643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4,353,783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4,373,643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6.01%</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10,621,111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10,592,972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10,621,111</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9.33%</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16,743,500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16,527,764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16,827,218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7,657,615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7,627,450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7,581,039</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1,304,348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06/15/2022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10,265,559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10,180,889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10,265,559</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06/09/2023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9.30%</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12,468,750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12,228,162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12,344,063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08/05/2019</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5,862,500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5,846,053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5,386,172</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(10)</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11/04/2020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7.56%</w:t>
            </w:r>
          </w:p>
        </w:tc>
        <w:tc>
          <w:tcPr>
            <w:tcW w:w="680" w:type="dxa"/>
            <w:vAlign w:val="bottom"/>
          </w:tcPr>
          <w:p>
            <w:pPr>
              <w:jc w:val="right"/>
              <w:spacing w:after="0"/>
              <w:rPr>
                <w:sz w:val="20"/>
                <w:szCs w:val="20"/>
                <w:color w:val="auto"/>
              </w:rPr>
            </w:pPr>
            <w:r>
              <w:rPr>
                <w:rFonts w:ascii="Arial" w:cs="Arial" w:eastAsia="Arial" w:hAnsi="Arial"/>
                <w:sz w:val="12"/>
                <w:szCs w:val="12"/>
                <w:color w:val="auto"/>
              </w:rPr>
              <w:t>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5,918,532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5,850,581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5,740,976</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(10)</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05/01/2019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7,032,993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6,999,227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6,962,663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(6), (10), (11)</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10/12/2021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tcPr>
          <w:p>
            <w:pPr>
              <w:jc w:val="right"/>
              <w:spacing w:after="0"/>
              <w:rPr>
                <w:sz w:val="20"/>
                <w:szCs w:val="20"/>
                <w:color w:val="auto"/>
              </w:rPr>
            </w:pPr>
            <w:r>
              <w:rPr>
                <w:rFonts w:ascii="Arial" w:cs="Arial" w:eastAsia="Arial" w:hAnsi="Arial"/>
                <w:sz w:val="12"/>
                <w:szCs w:val="12"/>
                <w:color w:val="auto"/>
              </w:rPr>
              <w:t>E+800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12,127,444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12,605,265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14,337,076</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6,693,709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6,693,709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6,693,710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Impact Sales, LLC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3,234,375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(6), (10)</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3,373,623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3,328,240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3,373,623</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(6), (8), (9), (10)</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530,973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Instant Web, LLC, Term Loan A</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03/28/2019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5.80%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7,600,388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7,465,921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7,600,388</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Instant Web, LLC, Term Loan B</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03/28/2019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12.30%</w:t>
            </w:r>
          </w:p>
        </w:tc>
        <w:tc>
          <w:tcPr>
            <w:tcW w:w="680" w:type="dxa"/>
            <w:vAlign w:val="bottom"/>
          </w:tcPr>
          <w:p>
            <w:pPr>
              <w:jc w:val="right"/>
              <w:spacing w:after="0"/>
              <w:rPr>
                <w:sz w:val="20"/>
                <w:szCs w:val="20"/>
                <w:color w:val="auto"/>
              </w:rPr>
            </w:pPr>
            <w:r>
              <w:rPr>
                <w:rFonts w:ascii="Arial" w:cs="Arial" w:eastAsia="Arial" w:hAnsi="Arial"/>
                <w:sz w:val="12"/>
                <w:szCs w:val="12"/>
                <w:color w:val="auto"/>
              </w:rPr>
              <w:t>L+1,100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4,475,493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4,500,000</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Interior Specialists,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6,525,437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6,486,278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6,525,437</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Inventus Power,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7.74%</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4,726,503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4,701,985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4,442,913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Jackson Hewitt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07/30/2020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4,653,450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4,596,122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4,467,312</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02/19/2021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10.24%</w:t>
            </w: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4,002,471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3,936,841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3,889,079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KHC Holdings,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12,140,282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11,975,690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12,140,282</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6.16%</w:t>
            </w:r>
          </w:p>
        </w:tc>
        <w:tc>
          <w:tcPr>
            <w:tcW w:w="680" w:type="dxa"/>
            <w:vAlign w:val="bottom"/>
          </w:tcPr>
          <w:p>
            <w:pPr>
              <w:jc w:val="right"/>
              <w:spacing w:after="0"/>
              <w:rPr>
                <w:sz w:val="20"/>
                <w:szCs w:val="20"/>
                <w:color w:val="auto"/>
              </w:rPr>
            </w:pPr>
            <w:r>
              <w:rPr>
                <w:rFonts w:ascii="Arial" w:cs="Arial" w:eastAsia="Arial" w:hAnsi="Arial"/>
                <w:sz w:val="12"/>
                <w:szCs w:val="12"/>
                <w:color w:val="auto"/>
              </w:rPr>
              <w:t>L+425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241,935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241,935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241,935</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967,742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Lago Resort &amp; Casino,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10.83%</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10,200,000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10,036,631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10,098,000</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(6), (10), (11)</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09/12/2022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7.54%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7,728,822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7,728,822</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11/30/2018</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4,954,937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4,935,975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3,740,977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Lombart Brothers,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6,244,708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6,170,275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6,244,708</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9.75%</w:t>
            </w:r>
          </w:p>
        </w:tc>
        <w:tc>
          <w:tcPr>
            <w:tcW w:w="680" w:type="dxa"/>
            <w:vAlign w:val="bottom"/>
          </w:tcPr>
          <w:p>
            <w:pPr>
              <w:jc w:val="right"/>
              <w:spacing w:after="0"/>
              <w:rPr>
                <w:sz w:val="20"/>
                <w:szCs w:val="20"/>
                <w:color w:val="auto"/>
              </w:rPr>
            </w:pPr>
            <w:r>
              <w:rPr>
                <w:rFonts w:ascii="Arial" w:cs="Arial" w:eastAsia="Arial" w:hAnsi="Arial"/>
                <w:sz w:val="12"/>
                <w:szCs w:val="12"/>
                <w:color w:val="auto"/>
              </w:rPr>
              <w:t>P+550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778,761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778,761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778,761</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460,177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Long’s Drugs Incorporated</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08/19/2021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4,238,073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4,204,738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4,195,692</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05/01/2023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14,409,375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14,275,705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14,439,347</w:t>
            </w:r>
          </w:p>
        </w:tc>
        <w:tc>
          <w:tcPr>
            <w:tcW w:w="120" w:type="dxa"/>
            <w:vAlign w:val="bottom"/>
            <w:shd w:val="clear" w:color="auto" w:fill="CCECFF"/>
          </w:tcPr>
          <w:p>
            <w:pPr>
              <w:spacing w:after="0"/>
              <w:rPr>
                <w:sz w:val="12"/>
                <w:szCs w:val="12"/>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Marketplace Events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01/27/2021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3,377,372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3,335,177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3,377,372</w:t>
            </w:r>
          </w:p>
        </w:tc>
        <w:tc>
          <w:tcPr>
            <w:tcW w:w="120" w:type="dxa"/>
            <w:vAlign w:val="bottom"/>
          </w:tcPr>
          <w:p>
            <w:pPr>
              <w:spacing w:after="0"/>
              <w:rPr>
                <w:sz w:val="13"/>
                <w:szCs w:val="13"/>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382"/>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120" w:type="dxa"/>
            <w:vAlign w:val="bottom"/>
            <w:tcBorders>
              <w:bottom w:val="single" w:sz="8" w:color="CCECFF"/>
            </w:tcBorders>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30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(11)</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6.25</w:t>
            </w:r>
          </w:p>
        </w:tc>
        <w:tc>
          <w:tcPr>
            <w:tcW w:w="300" w:type="dxa"/>
            <w:vAlign w:val="bottom"/>
            <w:shd w:val="clear" w:color="auto" w:fill="CCECFF"/>
          </w:tcPr>
          <w:p>
            <w:pPr>
              <w:jc w:val="right"/>
              <w:ind w:right="142"/>
              <w:spacing w:after="0" w:line="136" w:lineRule="exact"/>
              <w:rPr>
                <w:sz w:val="20"/>
                <w:szCs w:val="20"/>
                <w:color w:val="auto"/>
              </w:rPr>
            </w:pPr>
            <w:r>
              <w:rPr>
                <w:rFonts w:ascii="Arial" w:cs="Arial" w:eastAsia="Arial" w:hAnsi="Arial"/>
                <w:sz w:val="12"/>
                <w:szCs w:val="12"/>
                <w:color w:val="auto"/>
                <w:w w:val="74"/>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220" w:type="dxa"/>
            <w:vAlign w:val="bottom"/>
            <w:shd w:val="clear" w:color="auto" w:fill="CCECFF"/>
          </w:tcPr>
          <w:p>
            <w:pPr>
              <w:ind w:left="140"/>
              <w:spacing w:after="0"/>
              <w:rPr>
                <w:sz w:val="20"/>
                <w:szCs w:val="20"/>
                <w:color w:val="auto"/>
              </w:rPr>
            </w:pPr>
            <w:r>
              <w:rPr>
                <w:rFonts w:ascii="Arial" w:cs="Arial" w:eastAsia="Arial" w:hAnsi="Arial"/>
                <w:sz w:val="11"/>
                <w:szCs w:val="11"/>
                <w:color w:val="auto"/>
                <w:w w:val="74"/>
              </w:rPr>
              <w:t>C</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7"/>
              </w:rPr>
              <w:t>$  17,070,749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11,982,846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13,581,250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7.00%</w:t>
            </w:r>
          </w:p>
        </w:tc>
        <w:tc>
          <w:tcPr>
            <w:tcW w:w="680" w:type="dxa"/>
            <w:vAlign w:val="bottom"/>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1,243,309</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09/30/2024</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5.50%</w:t>
            </w:r>
          </w:p>
        </w:tc>
        <w:tc>
          <w:tcPr>
            <w:tcW w:w="680" w:type="dxa"/>
            <w:vAlign w:val="bottom"/>
          </w:tcPr>
          <w:p>
            <w:pPr>
              <w:jc w:val="right"/>
              <w:spacing w:after="0"/>
              <w:rPr>
                <w:sz w:val="20"/>
                <w:szCs w:val="20"/>
                <w:color w:val="auto"/>
              </w:rPr>
            </w:pPr>
            <w:r>
              <w:rPr>
                <w:rFonts w:ascii="Arial" w:cs="Arial" w:eastAsia="Arial" w:hAnsi="Arial"/>
                <w:sz w:val="12"/>
                <w:szCs w:val="12"/>
                <w:color w:val="auto"/>
              </w:rPr>
              <w:t>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7,425,000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7,533,750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09/28/2021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(3,592)</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Montreign Operating Company,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01/24/2023</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9.49%</w:t>
            </w:r>
          </w:p>
        </w:tc>
        <w:tc>
          <w:tcPr>
            <w:tcW w:w="680" w:type="dxa"/>
            <w:vAlign w:val="bottom"/>
          </w:tcPr>
          <w:p>
            <w:pPr>
              <w:jc w:val="right"/>
              <w:spacing w:after="0"/>
              <w:rPr>
                <w:sz w:val="20"/>
                <w:szCs w:val="20"/>
                <w:color w:val="auto"/>
              </w:rPr>
            </w:pPr>
            <w:r>
              <w:rPr>
                <w:rFonts w:ascii="Arial" w:cs="Arial" w:eastAsia="Arial" w:hAnsi="Arial"/>
                <w:sz w:val="12"/>
                <w:szCs w:val="12"/>
                <w:color w:val="auto"/>
              </w:rPr>
              <w:t>L+825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26,294,872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26,729,488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26,513,908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Morphe,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02/10/2023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14,625,000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14,241,842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14,405,625</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New Trident HoldCorp,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07/31/2019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7.08%</w:t>
            </w:r>
          </w:p>
        </w:tc>
        <w:tc>
          <w:tcPr>
            <w:tcW w:w="680" w:type="dxa"/>
            <w:vAlign w:val="bottom"/>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8,717,647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8,682,164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7,845,882</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03/03/2022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10.52%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L+918</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2,699,796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08/19/2022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19,927,985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19,874,203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19,927,985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Profile Products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01/31/2023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10,135,136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10,045,209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10,135,136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01/31/2019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573,770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01/31/2022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PT Network,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11/30/2021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7.82%</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8,450,400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8,383,771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8,450,400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11/30/2021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2,291,100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Quick Weight Loss Centers,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08/23/2021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6.02%</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9,625,000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9,509,035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9,288,125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Salient CRGT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02/28/2022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6.99%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19,654,762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19,296,231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19,753,036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83,333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Softvision,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05/21/2021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8,747,271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8,678,587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8,747,271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Sundial Group Holdings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08/15/2024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5.99%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9,851,797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Survey Sampling International,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12/16/2020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6.27%</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5,394,946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5,366,833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5,287,047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TeleGuam Holdings,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07/25/2023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7,882,265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Tensar Corporation</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07/09/2021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6.08%</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4,631,234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4,603,617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4,295,470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12/02/2021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8,210,074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8,139,730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8,210,074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6.81%</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3,061,372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3,037,176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3,061,372</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(10)</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5,926,142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5,879,466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5,926,142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(9),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1,418,484</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12/28/2020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12.49%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8,856,365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8,730,717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8,812,084</w:t>
            </w:r>
          </w:p>
        </w:tc>
        <w:tc>
          <w:tcPr>
            <w:tcW w:w="100" w:type="dxa"/>
            <w:vAlign w:val="bottom"/>
            <w:shd w:val="clear" w:color="auto" w:fill="CCECFF"/>
          </w:tcPr>
          <w:p>
            <w:pPr>
              <w:spacing w:after="0"/>
              <w:rPr>
                <w:sz w:val="12"/>
                <w:szCs w:val="12"/>
                <w:color w:val="auto"/>
              </w:rPr>
            </w:pP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3"/>
                <w:szCs w:val="13"/>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9.84%</w:t>
            </w:r>
          </w:p>
        </w:tc>
        <w:tc>
          <w:tcPr>
            <w:tcW w:w="680" w:type="dxa"/>
            <w:vAlign w:val="bottom"/>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10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2"/>
                <w:szCs w:val="12"/>
                <w:color w:val="auto"/>
              </w:rPr>
              <w:t>(PIK 1.00%)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9.84%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599,702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577,759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611,696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151,090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08/13/2021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3,058,594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3,058,594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2,905,664</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6.56%</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11,374,590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11,277,723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11,362,740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2,660,000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(2,771)</w:t>
            </w: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3"/>
                <w:szCs w:val="13"/>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880,000</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(917)</w:t>
            </w:r>
          </w:p>
        </w:tc>
      </w:tr>
      <w:tr>
        <w:trPr>
          <w:trHeight w:val="141"/>
        </w:trPr>
        <w:tc>
          <w:tcPr>
            <w:tcW w:w="3020" w:type="dxa"/>
            <w:vAlign w:val="bottom"/>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(8), (9)</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VIP Cinema Holdings,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03/01/2023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7,312,500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7,278,094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7,358,203</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Vistage Worldwide,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5,029,514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4,994,127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5,042,087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Winchester Electronics Corporation</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06/30/2022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7,695,662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7,636,513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7,734,140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(8), (9)</w:t>
            </w:r>
          </w:p>
        </w:tc>
        <w:tc>
          <w:tcPr>
            <w:tcW w:w="760" w:type="dxa"/>
            <w:vAlign w:val="bottom"/>
            <w:tcBorders>
              <w:bottom w:val="single" w:sz="8" w:color="CCECFF"/>
            </w:tcBorders>
            <w:gridSpan w:val="2"/>
          </w:tcPr>
          <w:p>
            <w:pPr>
              <w:jc w:val="center"/>
              <w:ind w:left="62"/>
              <w:spacing w:after="0"/>
              <w:rPr>
                <w:sz w:val="20"/>
                <w:szCs w:val="20"/>
                <w:color w:val="auto"/>
              </w:rPr>
            </w:pPr>
            <w:r>
              <w:rPr>
                <w:rFonts w:ascii="Arial" w:cs="Arial" w:eastAsia="Arial" w:hAnsi="Arial"/>
                <w:sz w:val="12"/>
                <w:szCs w:val="12"/>
                <w:color w:val="auto"/>
                <w:w w:val="86"/>
              </w:rPr>
              <w:t>06/30/2022</w:t>
            </w:r>
          </w:p>
        </w:tc>
        <w:tc>
          <w:tcPr>
            <w:tcW w:w="120" w:type="dxa"/>
            <w:vAlign w:val="bottom"/>
            <w:tcBorders>
              <w:bottom w:val="single" w:sz="8" w:color="CCECFF"/>
            </w:tcBorders>
          </w:tcPr>
          <w:p>
            <w:pPr>
              <w:spacing w:after="0"/>
              <w:rPr>
                <w:sz w:val="12"/>
                <w:szCs w:val="12"/>
                <w:color w:val="auto"/>
              </w:rPr>
            </w:pPr>
          </w:p>
        </w:tc>
        <w:tc>
          <w:tcPr>
            <w:tcW w:w="28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tcBorders>
              <w:bottom w:val="single" w:sz="8" w:color="CCECFF"/>
            </w:tcBorders>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708,333</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607,582,054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609,668,554</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Second Lien Secured Debt—8.3%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03/31/2025</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14,700,169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14,700,000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12/31/2020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11.84%</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1,976,823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2,020,000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09/30/2020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11.34%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11,450,000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11,064,344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10,992,000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(PIK 5.18%)</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MailSouth,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10/22/2021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11.80%</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3,775,000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3,714,927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3,812,750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09/29/2025</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2,462,500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08/01/2018</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Energy: Oil and Gas</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2,792,500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2,720,508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1,144,925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Veritext Corp.</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01/30/2023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2,690,625</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2,623,765</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2,663,719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39,263,036</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37,833,394</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r>
      <w:tr>
        <w:trPr>
          <w:trHeight w:val="142"/>
        </w:trPr>
        <w:tc>
          <w:tcPr>
            <w:tcW w:w="30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rPr>
              <w:t xml:space="preserve">Subordinated Debt/Corporate Notes—1.6% </w:t>
            </w:r>
            <w:r>
              <w:rPr>
                <w:rFonts w:ascii="Arial" w:cs="Arial" w:eastAsia="Arial" w:hAnsi="Arial"/>
                <w:sz w:val="9"/>
                <w:szCs w:val="9"/>
                <w:b w:val="1"/>
                <w:bCs w:val="1"/>
                <w:color w:val="auto"/>
              </w:rPr>
              <w:t>(8)</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12/31/2021</w:t>
            </w:r>
          </w:p>
        </w:tc>
        <w:tc>
          <w:tcPr>
            <w:tcW w:w="24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382,989</w:t>
            </w:r>
          </w:p>
        </w:tc>
        <w:tc>
          <w:tcPr>
            <w:tcW w:w="240" w:type="dxa"/>
            <w:vAlign w:val="bottom"/>
          </w:tcPr>
          <w:p>
            <w:pPr>
              <w:spacing w:after="0"/>
              <w:rPr>
                <w:sz w:val="13"/>
                <w:szCs w:val="13"/>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382,989</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417,458</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Arial" w:cs="Arial" w:eastAsia="Arial" w:hAnsi="Arial"/>
                <w:sz w:val="12"/>
                <w:szCs w:val="12"/>
                <w:color w:val="auto"/>
              </w:rPr>
              <w:t>(PIK 17.00%)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Credit Infonet,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10/26/2020</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2,090,982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2,051,232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2,090,982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0.75%)</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Sonny's Enterprises,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06/01/2023</w:t>
            </w:r>
          </w:p>
        </w:tc>
        <w:tc>
          <w:tcPr>
            <w:tcW w:w="24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11.00%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4,662,663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4,750,000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07/15/2019</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170,523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170,523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173,933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15.00%)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7,267,407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7,432,373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Equity—0.5%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 - Senior Preferred Equity</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472,846</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1,509,417</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1,119,134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1,982,263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Equity/Warrants—2.2%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99,029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3,514,572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2,263,885</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1,186,649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6,398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215,182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339,402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By Light Investco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2,190,771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2,601,944</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5,592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429,091</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Faraday Holdings, LLC (Interior Specialists, Inc.)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58,044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204,710</w:t>
            </w:r>
          </w:p>
        </w:tc>
        <w:tc>
          <w:tcPr>
            <w:tcW w:w="100" w:type="dxa"/>
            <w:vAlign w:val="bottom"/>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Media: Broadcasting and Subscription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631,240</w:t>
            </w:r>
          </w:p>
        </w:tc>
        <w:tc>
          <w:tcPr>
            <w:tcW w:w="100" w:type="dxa"/>
            <w:vAlign w:val="bottom"/>
            <w:shd w:val="clear" w:color="auto" w:fill="CCECFF"/>
          </w:tcPr>
          <w:p>
            <w:pPr>
              <w:spacing w:after="0"/>
              <w:rPr>
                <w:sz w:val="12"/>
                <w:szCs w:val="12"/>
                <w:color w:val="auto"/>
              </w:rPr>
            </w:pPr>
          </w:p>
        </w:tc>
      </w:tr>
      <w:tr>
        <w:trPr>
          <w:trHeight w:val="141"/>
        </w:trPr>
        <w:tc>
          <w:tcPr>
            <w:tcW w:w="3000" w:type="dxa"/>
            <w:vAlign w:val="bottom"/>
            <w:shd w:val="clear" w:color="auto" w:fill="CCECFF"/>
          </w:tcPr>
          <w:p>
            <w:pPr>
              <w:ind w:left="100"/>
              <w:spacing w:after="0"/>
              <w:rPr>
                <w:sz w:val="20"/>
                <w:szCs w:val="20"/>
                <w:color w:val="auto"/>
              </w:rPr>
            </w:pPr>
            <w:r>
              <w:rPr>
                <w:rFonts w:ascii="Arial" w:cs="Arial" w:eastAsia="Arial" w:hAnsi="Arial"/>
                <w:sz w:val="12"/>
                <w:szCs w:val="12"/>
                <w:color w:val="auto"/>
              </w:rPr>
              <w:t>(The Infosoft Group, LLC)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11,867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27,995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16,020</w:t>
            </w:r>
          </w:p>
        </w:tc>
        <w:tc>
          <w:tcPr>
            <w:tcW w:w="100" w:type="dxa"/>
            <w:vAlign w:val="bottom"/>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100" w:type="dxa"/>
            <w:vAlign w:val="bottom"/>
            <w:shd w:val="clear" w:color="auto" w:fill="CCECFF"/>
          </w:tcPr>
          <w:p>
            <w:pPr>
              <w:spacing w:after="0"/>
              <w:rPr>
                <w:sz w:val="12"/>
                <w:szCs w:val="12"/>
                <w:color w:val="auto"/>
              </w:rPr>
            </w:pPr>
          </w:p>
        </w:tc>
      </w:tr>
      <w:tr>
        <w:trPr>
          <w:trHeight w:val="141"/>
        </w:trPr>
        <w:tc>
          <w:tcPr>
            <w:tcW w:w="300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342,767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1"/>
        </w:trPr>
        <w:tc>
          <w:tcPr>
            <w:tcW w:w="3000" w:type="dxa"/>
            <w:vAlign w:val="bottom"/>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(9), (12)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213,739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1,274,388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 (Warrants)</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23,889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10,283,190</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10,057,055</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665,514,821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666,973,639</w:t>
            </w:r>
          </w:p>
        </w:tc>
        <w:tc>
          <w:tcPr>
            <w:tcW w:w="100" w:type="dxa"/>
            <w:vAlign w:val="bottom"/>
            <w:tcBorders>
              <w:bottom w:val="single" w:sz="8" w:color="CCECFF"/>
            </w:tcBorders>
          </w:tcPr>
          <w:p>
            <w:pPr>
              <w:spacing w:after="0"/>
              <w:rPr>
                <w:sz w:val="12"/>
                <w:szCs w:val="12"/>
                <w:color w:val="auto"/>
              </w:rPr>
            </w:pPr>
          </w:p>
        </w:tc>
      </w:tr>
      <w:tr>
        <w:trPr>
          <w:trHeight w:val="142"/>
        </w:trPr>
        <w:tc>
          <w:tcPr>
            <w:tcW w:w="39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w w:val="98"/>
              </w:rPr>
              <w:t xml:space="preserve">Investments in Controlled, Affiliated Portfolio Companies—9.5% </w:t>
            </w:r>
            <w:r>
              <w:rPr>
                <w:rFonts w:ascii="Arial" w:cs="Arial" w:eastAsia="Arial" w:hAnsi="Arial"/>
                <w:sz w:val="9"/>
                <w:szCs w:val="9"/>
                <w:b w:val="1"/>
                <w:bCs w:val="1"/>
                <w:color w:val="auto"/>
                <w:w w:val="98"/>
              </w:rPr>
              <w:t>(3), (4)</w:t>
            </w: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b w:val="1"/>
                <w:bCs w:val="1"/>
                <w:color w:val="auto"/>
              </w:rPr>
              <w:t>Subordinated Debt/Corporate Notes—6.6%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(8),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05/06/2024</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6.34%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30,100,000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30,100,000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30,100,000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 xml:space="preserve">Equity Interests—2.9% </w:t>
            </w:r>
            <w:r>
              <w:rPr>
                <w:rFonts w:ascii="Arial" w:cs="Arial" w:eastAsia="Arial" w:hAnsi="Arial"/>
                <w:sz w:val="9"/>
                <w:szCs w:val="9"/>
                <w:b w:val="1"/>
                <w:bCs w:val="1"/>
                <w:color w:val="auto"/>
              </w:rPr>
              <w:t>(7), (8)</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(10)</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12,900,000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13,425,143</w:t>
            </w:r>
          </w:p>
        </w:tc>
        <w:tc>
          <w:tcPr>
            <w:tcW w:w="100" w:type="dxa"/>
            <w:vAlign w:val="bottom"/>
            <w:shd w:val="clear" w:color="auto" w:fill="CCECFF"/>
          </w:tcPr>
          <w:p>
            <w:pPr>
              <w:spacing w:after="0"/>
              <w:rPr>
                <w:sz w:val="12"/>
                <w:szCs w:val="12"/>
                <w:color w:val="auto"/>
              </w:rPr>
            </w:pPr>
          </w:p>
        </w:tc>
      </w:tr>
      <w:tr>
        <w:trPr>
          <w:trHeight w:val="142"/>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43,000,000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43,525,143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Total Investments—155.2%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708,514,821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710,498,782</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Cash and Cash Equivalents—4.1%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16,818,166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16,818,166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BNY Mellon Cash</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2,029,507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2,092,590</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18,847,673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18,910,756</w:t>
            </w:r>
          </w:p>
        </w:tc>
        <w:tc>
          <w:tcPr>
            <w:tcW w:w="100" w:type="dxa"/>
            <w:vAlign w:val="bottom"/>
            <w:shd w:val="clear" w:color="auto" w:fill="CCECFF"/>
          </w:tcPr>
          <w:p>
            <w:pPr>
              <w:spacing w:after="0"/>
              <w:rPr>
                <w:sz w:val="12"/>
                <w:szCs w:val="12"/>
                <w:color w:val="auto"/>
              </w:rPr>
            </w:pPr>
          </w:p>
        </w:tc>
      </w:tr>
      <w:tr>
        <w:trPr>
          <w:trHeight w:val="18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 and Cash Equivalents—159.3%</w:t>
            </w:r>
          </w:p>
        </w:tc>
        <w:tc>
          <w:tcPr>
            <w:tcW w:w="120" w:type="dxa"/>
            <w:vAlign w:val="bottom"/>
            <w:tcBorders>
              <w:bottom w:val="single" w:sz="8" w:color="CCECFF"/>
            </w:tcBorders>
          </w:tcPr>
          <w:p>
            <w:pPr>
              <w:spacing w:after="0"/>
              <w:rPr>
                <w:sz w:val="15"/>
                <w:szCs w:val="15"/>
                <w:color w:val="auto"/>
              </w:rPr>
            </w:pPr>
          </w:p>
        </w:tc>
        <w:tc>
          <w:tcPr>
            <w:tcW w:w="54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264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8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727,362,494</w:t>
            </w: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729,409,538</w:t>
            </w:r>
          </w:p>
        </w:tc>
        <w:tc>
          <w:tcPr>
            <w:tcW w:w="100" w:type="dxa"/>
            <w:vAlign w:val="bottom"/>
            <w:tcBorders>
              <w:bottom w:val="single" w:sz="8" w:color="CCECFF"/>
            </w:tcBorders>
          </w:tcPr>
          <w:p>
            <w:pPr>
              <w:spacing w:after="0"/>
              <w:rPr>
                <w:sz w:val="15"/>
                <w:szCs w:val="15"/>
                <w:color w:val="auto"/>
              </w:rPr>
            </w:pPr>
          </w:p>
        </w:tc>
      </w:tr>
      <w:tr>
        <w:trPr>
          <w:trHeight w:val="129"/>
        </w:trPr>
        <w:tc>
          <w:tcPr>
            <w:tcW w:w="300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Assets—(59.3)%</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60"/>
              <w:spacing w:after="0" w:line="129" w:lineRule="exact"/>
              <w:rPr>
                <w:sz w:val="20"/>
                <w:szCs w:val="20"/>
                <w:color w:val="auto"/>
              </w:rPr>
            </w:pPr>
            <w:r>
              <w:rPr>
                <w:rFonts w:ascii="Arial" w:cs="Arial" w:eastAsia="Arial" w:hAnsi="Arial"/>
                <w:sz w:val="12"/>
                <w:szCs w:val="12"/>
                <w:color w:val="auto"/>
                <w:w w:val="93"/>
              </w:rPr>
              <w:t>(271,503,264)</w:t>
            </w:r>
          </w:p>
        </w:tc>
      </w:tr>
      <w:tr>
        <w:trPr>
          <w:trHeight w:val="149"/>
        </w:trPr>
        <w:tc>
          <w:tcPr>
            <w:tcW w:w="3000" w:type="dxa"/>
            <w:vAlign w:val="bottom"/>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457,906,274</w:t>
            </w:r>
          </w:p>
        </w:tc>
        <w:tc>
          <w:tcPr>
            <w:tcW w:w="10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3" w:lineRule="exact"/>
        <w:rPr>
          <w:sz w:val="20"/>
          <w:szCs w:val="20"/>
          <w:color w:val="auto"/>
        </w:rPr>
      </w:pPr>
    </w:p>
    <w:p>
      <w:pPr>
        <w:ind w:left="380" w:right="200" w:hanging="372"/>
        <w:spacing w:after="0" w:line="294"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All securities are subject to a LIBOR or Prime rate floor where a spread is provided, unless noted. The spread provided includes PIK interest and other fee rates, if any.</w:t>
      </w: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87% of our total assets and non-qualifying assets represent 13%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Canadian Dollars (C$) or in Euros (€)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40" w:hanging="320"/>
        <w:spacing w:after="0"/>
        <w:tabs>
          <w:tab w:leader="none" w:pos="340" w:val="left"/>
        </w:tabs>
        <w:numPr>
          <w:ilvl w:val="1"/>
          <w:numId w:val="4"/>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Our investment objectives are to generate both current income and capital appreciation while seeking to preserve capital. We seek to achieve our investment objective by investing primarily in loans bearing a variable-rate of interest, or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7"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84"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$405 million as of December 31, 2017 at LIBOR plus 200 basis points during the revolving period. The Credit Facility is secured by all of the assets held by Funding I. See Note 10.</w:t>
      </w:r>
    </w:p>
    <w:p>
      <w:pPr>
        <w:spacing w:after="0" w:line="107"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May 2017, we and Trinity Universal Insurance Company, or Trinity, a subsidiary of Kemper Corporation (NYSE: KMPR), or Kemper, formed PSSL, an unconsolidated joint venture.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PSSL invests primarily in middle-market and other corporate debt securities consistent with our strategy. PSSL was formed as a Delaware limited liability company. See Note 4.</w:t>
      </w:r>
    </w:p>
    <w:p>
      <w:pPr>
        <w:spacing w:after="0" w:line="124"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In October and November 2017, we completed a follow-on public offering of 6,292,000 shares of common stock at a public offering price of $14.15 per share resulting in net proceeds of approximately $88.0 million. The Investment Adviser paid approximately $2.1 million of the sales load payable to the underwriters. We are not obligated to repay the sales load paid by our Investment Adviser.</w:t>
      </w:r>
    </w:p>
    <w:p>
      <w:pPr>
        <w:spacing w:after="0" w:line="115"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the TASE. In connection with this offering, we have dual listed our common stock on the TASE.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34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00" w:right="260" w:hanging="447"/>
        <w:spacing w:after="0" w:line="25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900" w:right="60" w:hanging="447"/>
        <w:spacing w:after="0" w:line="264" w:lineRule="auto"/>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00" w:right="300" w:hanging="447"/>
        <w:spacing w:after="0" w:line="238"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00" w:right="60" w:hanging="447"/>
        <w:spacing w:after="0" w:line="25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2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ind w:right="60" w:firstLine="438"/>
        <w:spacing w:after="0" w:line="227"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18" w:lineRule="exact"/>
        <w:rPr>
          <w:sz w:val="20"/>
          <w:szCs w:val="20"/>
          <w:color w:val="auto"/>
        </w:rPr>
      </w:pPr>
    </w:p>
    <w:p>
      <w:pPr>
        <w:ind w:right="30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right="100" w:firstLine="434"/>
        <w:spacing w:after="0" w:line="248" w:lineRule="auto"/>
        <w:rPr>
          <w:sz w:val="20"/>
          <w:szCs w:val="20"/>
          <w:color w:val="auto"/>
        </w:rPr>
      </w:pPr>
      <w:r>
        <w:rPr>
          <w:rFonts w:ascii="Arial" w:cs="Arial" w:eastAsia="Arial" w:hAnsi="Arial"/>
          <w:sz w:val="13"/>
          <w:szCs w:val="13"/>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generally do not incur federal income taxes as a RIC, we may elect to retain a portion of our calendar year income, which may result in the imposition of an excise tax, or we may incur taxes through our Taxable Subsidiaries. For the three months ended December 31, 2017 and 2016, we recorded a provision for taxes of $0.2 million and less than $0.1 million, respectively, pertaining to U.S. federal excise tax.</w:t>
      </w:r>
    </w:p>
    <w:p>
      <w:pPr>
        <w:spacing w:after="0" w:line="113"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December 31, 2017, there were no uncertain tax positions and no amounts accrued for interest or penalties.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8"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15"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which was terminated on November 22, 2017,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460" w:hanging="204"/>
        <w:spacing w:after="0"/>
        <w:tabs>
          <w:tab w:leader="none" w:pos="46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1180" w:hanging="362"/>
        <w:spacing w:after="0"/>
        <w:tabs>
          <w:tab w:leader="none" w:pos="1180" w:val="left"/>
        </w:tabs>
        <w:numPr>
          <w:ilvl w:val="1"/>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1"/>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ind w:right="40" w:firstLine="438"/>
        <w:spacing w:after="0" w:line="264" w:lineRule="auto"/>
        <w:rPr>
          <w:sz w:val="20"/>
          <w:szCs w:val="20"/>
          <w:color w:val="auto"/>
        </w:rPr>
      </w:pPr>
      <w:r>
        <w:rPr>
          <w:rFonts w:ascii="Arial" w:cs="Arial" w:eastAsia="Arial" w:hAnsi="Arial"/>
          <w:sz w:val="13"/>
          <w:szCs w:val="13"/>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taxable subsidiaries in our Consolidated Financial Statements. We do not consolidate our non-controlling interest in PSSL. See further description of our investment in PSSL in Note 4.</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jc w:val="both"/>
        <w:ind w:right="200" w:firstLine="438"/>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Statements of Assets and Liabilities as investments. The creditors of Funding I have received a security interest in all of its assets and such assets are not intended to be available to the creditors of PennantPark Floating Rate Capital Ltd. or any of its affiliates.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(h) Recent Accounting Pronouncements</w:t>
      </w:r>
    </w:p>
    <w:p>
      <w:pPr>
        <w:spacing w:after="0" w:line="123"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2018.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9"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2017 and 2016, the Investment Adviser earned a base management fee of $1.8 million and $1.6 million, respectively, from us.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100"/>
        <w:spacing w:after="0" w:line="223" w:lineRule="auto"/>
        <w:rPr>
          <w:sz w:val="20"/>
          <w:szCs w:val="20"/>
          <w:color w:val="auto"/>
        </w:rPr>
      </w:pPr>
      <w:r>
        <w:rPr>
          <w:rFonts w:ascii="Arial" w:cs="Arial" w:eastAsia="Arial" w:hAnsi="Arial"/>
          <w:sz w:val="14"/>
          <w:szCs w:val="14"/>
          <w:color w:val="auto"/>
        </w:rPr>
        <w:t>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w:t>
      </w:r>
    </w:p>
    <w:p>
      <w:pPr>
        <w:spacing w:after="0" w:line="3"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months ended December 31, 2017 and 2016, the Investment Adviser earned zero and $0.9 million, respectively, in incentive fees on net investment income from us.</w:t>
      </w:r>
    </w:p>
    <w:p>
      <w:pPr>
        <w:spacing w:after="0" w:line="116"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2017 and 2016, the Investment Adviser reversed a prior accrual of $(0.1) million and accrued an incentive fee on capital gains of zero, respectively, as calculated under the Investment Management Agreement (as described above).</w:t>
      </w:r>
    </w:p>
    <w:p>
      <w:pPr>
        <w:spacing w:after="0" w:line="116" w:lineRule="exact"/>
        <w:rPr>
          <w:sz w:val="20"/>
          <w:szCs w:val="20"/>
          <w:color w:val="auto"/>
        </w:rPr>
      </w:pPr>
    </w:p>
    <w:p>
      <w:pPr>
        <w:ind w:right="100" w:firstLine="438"/>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three months ended December 31, 2017 and 2016 was $0.2 million and $0.6 million, respectively.</w:t>
      </w:r>
    </w:p>
    <w:p>
      <w:pPr>
        <w:spacing w:after="0" w:line="118"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2018.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each of the three months ended December 31, 2017 and 2016, we reimbursed the Investment Adviser approximately $0.3 million, including expenses the Investment Adviser incurred on behalf of the Administrator, for services described above.</w:t>
      </w:r>
    </w:p>
    <w:p>
      <w:pPr>
        <w:spacing w:after="0" w:line="111" w:lineRule="exact"/>
        <w:rPr>
          <w:sz w:val="20"/>
          <w:szCs w:val="20"/>
          <w:color w:val="auto"/>
        </w:rPr>
      </w:pPr>
    </w:p>
    <w:p>
      <w:pPr>
        <w:ind w:right="360" w:firstLine="438"/>
        <w:spacing w:after="0" w:line="290" w:lineRule="auto"/>
        <w:rPr>
          <w:sz w:val="20"/>
          <w:szCs w:val="20"/>
          <w:color w:val="auto"/>
        </w:rPr>
      </w:pPr>
      <w:r>
        <w:rPr>
          <w:rFonts w:ascii="Arial" w:cs="Arial" w:eastAsia="Arial" w:hAnsi="Arial"/>
          <w:sz w:val="13"/>
          <w:szCs w:val="13"/>
          <w:color w:val="auto"/>
        </w:rPr>
        <w:t>For the three months ended December 31, 2017 and 2016, the Company sold zero and $5.0 million, respectively, in total investments to an affiliated fund managed by our Investment Adviser in accordance with, and pursuant to procedures adopted under, Rule 17a-7 of the 1940 Act. Realized gain on that transaction amounted to less than $0.1 million.</w:t>
      </w:r>
    </w:p>
    <w:p>
      <w:pPr>
        <w:spacing w:after="0" w:line="84"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For the three months ended December 31, 2017, we sold $27.3 million in investments to PSSL at fair value and recognized less than $0.1 million of net realized gains. There were no transactions with PSSL during the three months ended December 31, 2016.</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Purchases of investments, including PIK interest, for the three months ended December 31, 2017 and 2016 totaled $177.0 million and $124.9 million, respectively. Sales and repayments of investments for the same periods totaled $149.1 million and $70.4 million, respectively.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cash and cash equivalents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14"/>
                <w:szCs w:val="14"/>
                <w:color w:val="auto"/>
              </w:rPr>
            </w:pPr>
          </w:p>
        </w:tc>
        <w:tc>
          <w:tcPr>
            <w:tcW w:w="3120" w:type="dxa"/>
            <w:vAlign w:val="bottom"/>
            <w:gridSpan w:val="5"/>
          </w:tcPr>
          <w:p>
            <w:pPr>
              <w:ind w:left="680"/>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Pr>
          <w:p>
            <w:pPr>
              <w:spacing w:after="0"/>
              <w:rPr>
                <w:sz w:val="14"/>
                <w:szCs w:val="14"/>
                <w:color w:val="auto"/>
              </w:rPr>
            </w:pPr>
          </w:p>
        </w:tc>
        <w:tc>
          <w:tcPr>
            <w:tcW w:w="294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Cost</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615,144,301</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619,347,801</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607,582,054</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41,322,320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39,884,591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39,263,036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37,833,394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2,615,119</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2,700,538</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7,267,407</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7,432,373</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Subordinated debt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42,700,000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42,700,000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30,100,000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30,100,000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13,894,010</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15,653,259</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11,402,324</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12,039,318</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 interests in PSSL</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18,300,000</w:t>
            </w:r>
          </w:p>
        </w:tc>
        <w:tc>
          <w:tcPr>
            <w:tcW w:w="28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19,143,585</w:t>
            </w:r>
          </w:p>
        </w:tc>
        <w:tc>
          <w:tcPr>
            <w:tcW w:w="280" w:type="dxa"/>
            <w:vAlign w:val="bottom"/>
            <w:tcBorders>
              <w:bottom w:val="single" w:sz="8" w:color="CCEC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12,900,000</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13,425,143</w:t>
            </w:r>
          </w:p>
        </w:tc>
        <w:tc>
          <w:tcPr>
            <w:tcW w:w="10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733,975,750</w:t>
            </w:r>
          </w:p>
        </w:tc>
        <w:tc>
          <w:tcPr>
            <w:tcW w:w="28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739,429,774</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708,514,821</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710,498,782</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127,718,637</w:t>
            </w:r>
          </w:p>
        </w:tc>
        <w:tc>
          <w:tcPr>
            <w:tcW w:w="2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127,785,338</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18,847,673</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18,910,756</w:t>
            </w:r>
          </w:p>
        </w:tc>
        <w:tc>
          <w:tcPr>
            <w:tcW w:w="10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tcBorders>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320" w:type="dxa"/>
            <w:vAlign w:val="bottom"/>
            <w:tcBorders>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861,694,387</w:t>
            </w:r>
          </w:p>
        </w:tc>
        <w:tc>
          <w:tcPr>
            <w:tcW w:w="28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867,215,112</w:t>
            </w:r>
          </w:p>
        </w:tc>
        <w:tc>
          <w:tcPr>
            <w:tcW w:w="280" w:type="dxa"/>
            <w:vAlign w:val="bottom"/>
            <w:tcBorders>
              <w:bottom w:val="single" w:sz="8" w:color="CCECFF"/>
            </w:tcBorders>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727,362,494</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729,409,538</w:t>
            </w:r>
          </w:p>
        </w:tc>
        <w:tc>
          <w:tcPr>
            <w:tcW w:w="10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xml:space="preserve">December 31, 2017 </w:t>
            </w:r>
            <w:r>
              <w:rPr>
                <w:rFonts w:ascii="Arial" w:cs="Arial" w:eastAsia="Arial" w:hAnsi="Arial"/>
                <w:sz w:val="12"/>
                <w:szCs w:val="12"/>
                <w:b w:val="1"/>
                <w:bCs w:val="1"/>
                <w:color w:val="auto"/>
              </w:rPr>
              <w:t>(1)</w:t>
            </w:r>
          </w:p>
        </w:tc>
        <w:tc>
          <w:tcPr>
            <w:tcW w:w="34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xml:space="preserve">September 30, 2017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High Tech Industries</w:t>
            </w:r>
          </w:p>
        </w:tc>
        <w:tc>
          <w:tcPr>
            <w:tcW w:w="200" w:type="dxa"/>
            <w:vAlign w:val="bottom"/>
            <w:shd w:val="clear" w:color="auto" w:fill="CCECFF"/>
          </w:tcPr>
          <w:p>
            <w:pPr>
              <w:spacing w:after="0"/>
              <w:rPr>
                <w:sz w:val="13"/>
                <w:szCs w:val="13"/>
                <w:color w:val="auto"/>
              </w:rPr>
            </w:pPr>
          </w:p>
        </w:tc>
        <w:tc>
          <w:tcPr>
            <w:tcW w:w="274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11%</w:t>
            </w:r>
          </w:p>
        </w:tc>
        <w:tc>
          <w:tcPr>
            <w:tcW w:w="25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Consumer Goods: Non-Durable</w:t>
            </w:r>
          </w:p>
        </w:tc>
        <w:tc>
          <w:tcPr>
            <w:tcW w:w="2400" w:type="dxa"/>
            <w:vAlign w:val="bottom"/>
          </w:tcPr>
          <w:p>
            <w:pPr>
              <w:jc w:val="right"/>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Hotel, Gaming and Leisure</w:t>
            </w:r>
          </w:p>
        </w:tc>
        <w:tc>
          <w:tcPr>
            <w:tcW w:w="2400" w:type="dxa"/>
            <w:vAlign w:val="bottom"/>
          </w:tcPr>
          <w:p>
            <w:pPr>
              <w:jc w:val="right"/>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Beverage, Food and Tobacco</w:t>
            </w:r>
          </w:p>
        </w:tc>
        <w:tc>
          <w:tcPr>
            <w:tcW w:w="240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Aerospace and Defense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Capital Equipment</w:t>
            </w: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Consumer Goods: Durable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Healthcare and Pharmaceuticals</w:t>
            </w: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Wholesale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Chemicals, Plastics and Rubber</w:t>
            </w: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Diversified and Production</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Media: Broadcasting and Subscription</w:t>
            </w: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Banking, Finance, Insurance and Real Estate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Media: Advertising, Printing and Publishing</w:t>
            </w:r>
          </w:p>
        </w:tc>
        <w:tc>
          <w:tcPr>
            <w:tcW w:w="240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shd w:val="clear" w:color="auto" w:fill="CCECFF"/>
          </w:tcPr>
          <w:p>
            <w:pPr>
              <w:spacing w:after="0"/>
              <w:rPr>
                <w:sz w:val="20"/>
                <w:szCs w:val="20"/>
                <w:color w:val="auto"/>
              </w:rPr>
            </w:pPr>
            <w:r>
              <w:rPr>
                <w:rFonts w:ascii="Arial" w:cs="Arial" w:eastAsia="Arial" w:hAnsi="Arial"/>
                <w:sz w:val="14"/>
                <w:szCs w:val="14"/>
                <w:color w:val="auto"/>
                <w:w w:val="94"/>
              </w:rPr>
              <w:t>Retail</w:t>
            </w:r>
          </w:p>
        </w:tc>
        <w:tc>
          <w:tcPr>
            <w:tcW w:w="2580" w:type="dxa"/>
            <w:vAlign w:val="bottom"/>
            <w:shd w:val="clear" w:color="auto" w:fill="CCECFF"/>
          </w:tcPr>
          <w:p>
            <w:pPr>
              <w:spacing w:after="0"/>
              <w:rPr>
                <w:sz w:val="14"/>
                <w:szCs w:val="14"/>
                <w:color w:val="auto"/>
              </w:rPr>
            </w:pPr>
          </w:p>
        </w:tc>
        <w:tc>
          <w:tcPr>
            <w:tcW w:w="28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Construction and Building</w:t>
            </w:r>
          </w:p>
        </w:tc>
        <w:tc>
          <w:tcPr>
            <w:tcW w:w="240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All Other</w:t>
            </w:r>
          </w:p>
        </w:tc>
        <w:tc>
          <w:tcPr>
            <w:tcW w:w="2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2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25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100%</w:t>
            </w:r>
          </w:p>
        </w:tc>
        <w:tc>
          <w:tcPr>
            <w:tcW w:w="2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3020" w:type="dxa"/>
            <w:vAlign w:val="bottom"/>
            <w:gridSpan w:val="2"/>
            <w:vMerge w:val="restart"/>
          </w:tcPr>
          <w:p>
            <w:pPr>
              <w:spacing w:after="0"/>
              <w:rPr>
                <w:sz w:val="12"/>
                <w:szCs w:val="12"/>
                <w:color w:val="auto"/>
              </w:rPr>
            </w:pPr>
          </w:p>
        </w:tc>
        <w:tc>
          <w:tcPr>
            <w:tcW w:w="2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20"/>
                <w:szCs w:val="20"/>
                <w:color w:val="auto"/>
              </w:rPr>
            </w:pPr>
            <w:r>
              <w:rPr>
                <w:rFonts w:ascii="Arial" w:cs="Arial" w:eastAsia="Arial" w:hAnsi="Arial"/>
                <w:sz w:val="12"/>
                <w:szCs w:val="12"/>
                <w:color w:val="auto"/>
              </w:rPr>
              <w:t>(1)</w:t>
            </w:r>
          </w:p>
        </w:tc>
        <w:tc>
          <w:tcPr>
            <w:tcW w:w="2580" w:type="dxa"/>
            <w:vAlign w:val="bottom"/>
          </w:tcPr>
          <w:p>
            <w:pPr>
              <w:ind w:left="20"/>
              <w:spacing w:after="0"/>
              <w:rPr>
                <w:sz w:val="20"/>
                <w:szCs w:val="20"/>
                <w:color w:val="auto"/>
              </w:rPr>
            </w:pPr>
            <w:r>
              <w:rPr>
                <w:rFonts w:ascii="Arial" w:cs="Arial" w:eastAsia="Arial" w:hAnsi="Arial"/>
                <w:sz w:val="14"/>
                <w:szCs w:val="14"/>
                <w:color w:val="auto"/>
              </w:rPr>
              <w:t>Excludes investments in PSSL.</w:t>
            </w:r>
          </w:p>
        </w:tc>
        <w:tc>
          <w:tcPr>
            <w:tcW w:w="3020" w:type="dxa"/>
            <w:vAlign w:val="bottom"/>
            <w:gridSpan w:val="2"/>
            <w:vMerge w:val="continue"/>
          </w:tcPr>
          <w:p>
            <w:pPr>
              <w:spacing w:after="0"/>
              <w:rPr>
                <w:sz w:val="15"/>
                <w:szCs w:val="15"/>
                <w:color w:val="auto"/>
              </w:rPr>
            </w:pPr>
          </w:p>
        </w:tc>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20" w:firstLine="438"/>
        <w:spacing w:after="0" w:line="264"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December 31, 2017, PSSL had total assets of $167.6 million. As of the same date, we and Kemper had remaining commitments to fund subordinated notes and equity interests in PSSL in an aggregate of $30.3 million. PSSL invests in portfolio companies in the same industries in which we may directly invest.</w:t>
      </w:r>
    </w:p>
    <w:p>
      <w:pPr>
        <w:spacing w:after="0" w:line="101"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provide capital to PSSL in the form of subordinated notes and equity interests. The subordinated notes are junior in right of payment to the repayment of temporary contributions made by us to fund investments of PSSL. As of December 31, 2017, we and Kemper owned 87.5% and 12.5%, respectively, of each of the outstanding subordinated notes and equity interests. As of the same date, our investment in PSSL consisted of equity interests of $18.3 million and subordinated notes of $42.7 million as of December 31, 2017. As of the same date, we had commitments to fund subordinated notes to PSSL of $61.3 million, of which $18.6 million was unfunded. As of December 31, 2017, we had commitments to fund equity interests in PSSL of $26.2 million, of which $7.9 million was unfunded.</w:t>
      </w:r>
    </w:p>
    <w:p>
      <w:pPr>
        <w:spacing w:after="0" w:line="116"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Additionally, PSSL has entered into a senior secured revolving credit facility, or the PSSL Credit Facility, with Capital One, N.A. through its wholly-owned subsidiary PennantPark Senior Secured Loan Facility LLC, or PSSL Subsidiary, which as of December 31, 2017 allowed PSSL Subsidiary to borrow up to $210.0 million at any one time outstanding, subject to leverage and borrowing base restrictions.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Pr>
          <w:p>
            <w:pPr>
              <w:spacing w:after="0"/>
              <w:rPr>
                <w:sz w:val="14"/>
                <w:szCs w:val="14"/>
                <w:color w:val="auto"/>
              </w:rPr>
            </w:pPr>
          </w:p>
        </w:tc>
      </w:tr>
      <w:tr>
        <w:trPr>
          <w:trHeight w:val="155"/>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428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147,506,492</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7.4%</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42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458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4580" w:type="dxa"/>
            <w:vAlign w:val="bottom"/>
            <w:gridSpan w:val="2"/>
            <w:shd w:val="clear" w:color="auto" w:fill="CCECFF"/>
          </w:tcPr>
          <w:p>
            <w:pPr>
              <w:jc w:val="right"/>
              <w:ind w:right="189"/>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40,549,271</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825"/>
        </w:trPr>
        <w:tc>
          <w:tcPr>
            <w:tcW w:w="4580" w:type="dxa"/>
            <w:vAlign w:val="bottom"/>
          </w:tcPr>
          <w:p>
            <w:pPr>
              <w:spacing w:after="0"/>
              <w:rPr>
                <w:sz w:val="24"/>
                <w:szCs w:val="24"/>
                <w:color w:val="auto"/>
              </w:rPr>
            </w:pPr>
          </w:p>
        </w:tc>
        <w:tc>
          <w:tcPr>
            <w:tcW w:w="4280" w:type="dxa"/>
            <w:vAlign w:val="bottom"/>
          </w:tcPr>
          <w:p>
            <w:pPr>
              <w:jc w:val="right"/>
              <w:ind w:right="3088"/>
              <w:spacing w:after="0"/>
              <w:rPr>
                <w:sz w:val="20"/>
                <w:szCs w:val="20"/>
                <w:color w:val="auto"/>
              </w:rPr>
            </w:pPr>
            <w:r>
              <w:rPr>
                <w:rFonts w:ascii="Arial" w:cs="Arial" w:eastAsia="Arial" w:hAnsi="Arial"/>
                <w:sz w:val="14"/>
                <w:szCs w:val="14"/>
                <w:color w:val="auto"/>
              </w:rPr>
              <w:t>18</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80" w:type="dxa"/>
            <w:vAlign w:val="bottom"/>
            <w:tcBorders>
              <w:bottom w:val="single" w:sz="8" w:color="9A9A9A"/>
            </w:tcBorders>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December 31, 2017:</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Maturity</w:t>
            </w:r>
          </w:p>
        </w:tc>
        <w:tc>
          <w:tcPr>
            <w:tcW w:w="2700" w:type="dxa"/>
            <w:vAlign w:val="bottom"/>
            <w:tcBorders>
              <w:bottom w:val="single" w:sz="8" w:color="auto"/>
            </w:tcBorders>
          </w:tcPr>
          <w:p>
            <w:pPr>
              <w:ind w:left="1160"/>
              <w:spacing w:after="0"/>
              <w:rPr>
                <w:sz w:val="20"/>
                <w:szCs w:val="20"/>
                <w:color w:val="auto"/>
              </w:rPr>
            </w:pPr>
            <w:r>
              <w:rPr>
                <w:rFonts w:ascii="Arial" w:cs="Arial" w:eastAsia="Arial" w:hAnsi="Arial"/>
                <w:sz w:val="12"/>
                <w:szCs w:val="12"/>
                <w:b w:val="1"/>
                <w:bCs w:val="1"/>
                <w:color w:val="auto"/>
              </w:rPr>
              <w:t>Industry</w:t>
            </w: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Par</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100" w:type="dxa"/>
            <w:vAlign w:val="bottom"/>
            <w:tcBorders>
              <w:bottom w:val="single" w:sz="8" w:color="CCECFF"/>
            </w:tcBorders>
          </w:tcPr>
          <w:p>
            <w:pPr>
              <w:spacing w:after="0"/>
              <w:rPr>
                <w:sz w:val="12"/>
                <w:szCs w:val="12"/>
                <w:color w:val="auto"/>
              </w:rPr>
            </w:pPr>
          </w:p>
        </w:tc>
      </w:tr>
      <w:tr>
        <w:trPr>
          <w:trHeight w:val="142"/>
        </w:trPr>
        <w:tc>
          <w:tcPr>
            <w:tcW w:w="664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Investments in Non-Controlled, Non-Affiliated Portfolio Companies—674.2%</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Debt—674.2%</w:t>
            </w: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04/04/2022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6.57%</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5,604,076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5,540,035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5,552,686</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11/30/2021</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Transportation: Consumer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6.56%</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L+525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4,987,406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4,938,898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4,912,594</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08/01/2024</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Construction and Building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6.13%</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2M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4,938,491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5,012,438</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API Technologies Corp.</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04/22/2022</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8.19%</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L+650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4,924,433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4,879,654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4,949,055</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05/16/2022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8.67%</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L+725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5,936,170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5,800,590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5,936,170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Cadence Aerospace,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11/14/2023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7.91%</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L+650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6,436,294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6,441,741</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11/29/2023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7.32%</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L+575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7,481,108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7,434,854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7,453,054</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03/31/2023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6.69%</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4,812,763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4,812,763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4,675,073</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DigiCert Holdings, Inc.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10/31/2024</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6.13%</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2M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8,096,640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12/09/2020</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5.61%</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1M L+425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4,744,586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4,733,200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4,720,863</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09/30/2022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6.11%</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4,891,934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4,937,500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10/12/2021</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780" w:type="dxa"/>
            <w:vAlign w:val="bottom"/>
          </w:tcPr>
          <w:p>
            <w:pPr>
              <w:ind w:left="260"/>
              <w:spacing w:after="0"/>
              <w:rPr>
                <w:sz w:val="20"/>
                <w:szCs w:val="20"/>
                <w:color w:val="auto"/>
              </w:rPr>
            </w:pPr>
            <w:r>
              <w:rPr>
                <w:rFonts w:ascii="Arial" w:cs="Arial" w:eastAsia="Arial" w:hAnsi="Arial"/>
                <w:sz w:val="12"/>
                <w:szCs w:val="12"/>
                <w:color w:val="auto"/>
                <w:w w:val="90"/>
              </w:rPr>
              <w:t>3M E+800</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4,905,660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5,705,518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5,890,702</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12/30/2021</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8.33%</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3M L+700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4,972,406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4,958,252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4,972,406</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12/12/2023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Wholesale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6.48%</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1M L+475</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7,289,249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7,547,728</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05/01/2023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Retail</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7.36%</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7,406,250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7,470,701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7,415,508</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Manna Pro Products,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12/08/2023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7.52%</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6,896,462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6,895,000</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McAfee,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09/30/2024</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6.07%</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7,481,250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7,409,635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7,451,849</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Mission Critical Electronics, Inc.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09/28/2022</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6.84%</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6M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4,065,150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4,041,668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4,047,908</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Morphe,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02/10/2023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7.69%</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3M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4,812,500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4,751,312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4,764,375</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One Sixty Over Ninety,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03/03/2022</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Media: Advertising, Printing and Publishing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10.84%</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L+915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6,000,000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5,890,544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6,000,000</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Snak Club,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07/19/2021</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6.36%</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4,812,495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4,812,495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4,812,495</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Sonny's Enterprises,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12/01/2022</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6.44%</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L+475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10,003,125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10,000,000</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12/02/2021</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6.94%</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3M L+525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5,243,486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5,243,486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5,243,486</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03/01/2023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7.70%</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4,812,500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4,876,322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4,839,594</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10/18/2022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10.57%</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L+900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4,987,500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4,891,183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4,937,627</w:t>
            </w:r>
          </w:p>
        </w:tc>
        <w:tc>
          <w:tcPr>
            <w:tcW w:w="100" w:type="dxa"/>
            <w:vAlign w:val="bottom"/>
            <w:shd w:val="clear" w:color="auto" w:fill="CCECFF"/>
          </w:tcPr>
          <w:p>
            <w:pPr>
              <w:spacing w:after="0"/>
              <w:rPr>
                <w:sz w:val="12"/>
                <w:szCs w:val="12"/>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tcBorders>
              <w:bottom w:val="single" w:sz="8" w:color="CCECFF"/>
            </w:tcBorders>
          </w:tcPr>
          <w:p>
            <w:pPr>
              <w:spacing w:after="0"/>
              <w:rPr>
                <w:sz w:val="12"/>
                <w:szCs w:val="12"/>
                <w:color w:val="auto"/>
              </w:rPr>
            </w:pPr>
          </w:p>
        </w:tc>
        <w:tc>
          <w:tcPr>
            <w:tcW w:w="27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146,606,665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147,506,492</w:t>
            </w:r>
          </w:p>
        </w:tc>
        <w:tc>
          <w:tcPr>
            <w:tcW w:w="100" w:type="dxa"/>
            <w:vAlign w:val="bottom"/>
            <w:tcBorders>
              <w:bottom w:val="single" w:sz="8" w:color="CCECFF"/>
            </w:tcBorders>
          </w:tcPr>
          <w:p>
            <w:pPr>
              <w:spacing w:after="0"/>
              <w:rPr>
                <w:sz w:val="12"/>
                <w:szCs w:val="12"/>
                <w:color w:val="auto"/>
              </w:rPr>
            </w:pPr>
          </w:p>
        </w:tc>
      </w:tr>
      <w:tr>
        <w:trPr>
          <w:trHeight w:val="142"/>
        </w:trPr>
        <w:tc>
          <w:tcPr>
            <w:tcW w:w="382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Total Investments in Non-Controlled, Non-Affiliated Portfolio Companies</w:t>
            </w:r>
          </w:p>
        </w:tc>
        <w:tc>
          <w:tcPr>
            <w:tcW w:w="2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146,606,665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147,506,492</w:t>
            </w:r>
          </w:p>
        </w:tc>
        <w:tc>
          <w:tcPr>
            <w:tcW w:w="100" w:type="dxa"/>
            <w:vAlign w:val="bottom"/>
            <w:shd w:val="clear" w:color="auto" w:fill="CCECFF"/>
          </w:tcPr>
          <w:p>
            <w:pPr>
              <w:spacing w:after="0"/>
              <w:rPr>
                <w:sz w:val="12"/>
                <w:szCs w:val="12"/>
                <w:color w:val="auto"/>
              </w:rPr>
            </w:pPr>
          </w:p>
        </w:tc>
      </w:tr>
      <w:tr>
        <w:trPr>
          <w:trHeight w:val="142"/>
        </w:trPr>
        <w:tc>
          <w:tcPr>
            <w:tcW w:w="2860" w:type="dxa"/>
            <w:vAlign w:val="bottom"/>
          </w:tcPr>
          <w:p>
            <w:pPr>
              <w:spacing w:after="0"/>
              <w:rPr>
                <w:sz w:val="20"/>
                <w:szCs w:val="20"/>
                <w:color w:val="auto"/>
              </w:rPr>
            </w:pPr>
            <w:r>
              <w:rPr>
                <w:rFonts w:ascii="Arial" w:cs="Arial" w:eastAsia="Arial" w:hAnsi="Arial"/>
                <w:sz w:val="12"/>
                <w:szCs w:val="12"/>
                <w:b w:val="1"/>
                <w:bCs w:val="1"/>
                <w:color w:val="auto"/>
              </w:rPr>
              <w:t>Cash and Cash Equivalents—79.6%</w:t>
            </w: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960" w:type="dxa"/>
            <w:vAlign w:val="bottom"/>
            <w:shd w:val="clear" w:color="auto" w:fill="CCECFF"/>
          </w:tcPr>
          <w:p>
            <w:pPr>
              <w:spacing w:after="0"/>
              <w:rPr>
                <w:sz w:val="12"/>
                <w:szCs w:val="12"/>
                <w:color w:val="auto"/>
              </w:rPr>
            </w:pPr>
          </w:p>
        </w:tc>
        <w:tc>
          <w:tcPr>
            <w:tcW w:w="2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17,192,578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17,192,578</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US Bank Cash</w:t>
            </w:r>
          </w:p>
        </w:tc>
        <w:tc>
          <w:tcPr>
            <w:tcW w:w="960" w:type="dxa"/>
            <w:vAlign w:val="bottom"/>
            <w:tcBorders>
              <w:bottom w:val="single" w:sz="8" w:color="CCECFF"/>
            </w:tcBorders>
          </w:tcPr>
          <w:p>
            <w:pPr>
              <w:spacing w:after="0"/>
              <w:rPr>
                <w:sz w:val="12"/>
                <w:szCs w:val="12"/>
                <w:color w:val="auto"/>
              </w:rPr>
            </w:pPr>
          </w:p>
        </w:tc>
        <w:tc>
          <w:tcPr>
            <w:tcW w:w="27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223,513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227,553</w:t>
            </w:r>
          </w:p>
        </w:tc>
        <w:tc>
          <w:tcPr>
            <w:tcW w:w="100" w:type="dxa"/>
            <w:vAlign w:val="bottom"/>
            <w:tcBorders>
              <w:bottom w:val="single" w:sz="8" w:color="CCECFF"/>
            </w:tcBorders>
          </w:tcPr>
          <w:p>
            <w:pPr>
              <w:spacing w:after="0"/>
              <w:rPr>
                <w:sz w:val="12"/>
                <w:szCs w:val="12"/>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60" w:type="dxa"/>
            <w:vAlign w:val="bottom"/>
            <w:shd w:val="clear" w:color="auto" w:fill="CCECFF"/>
          </w:tcPr>
          <w:p>
            <w:pPr>
              <w:spacing w:after="0"/>
              <w:rPr>
                <w:sz w:val="12"/>
                <w:szCs w:val="12"/>
                <w:color w:val="auto"/>
              </w:rPr>
            </w:pPr>
          </w:p>
        </w:tc>
        <w:tc>
          <w:tcPr>
            <w:tcW w:w="2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17,416,091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17,420,131</w:t>
            </w:r>
          </w:p>
        </w:tc>
        <w:tc>
          <w:tcPr>
            <w:tcW w:w="100" w:type="dxa"/>
            <w:vAlign w:val="bottom"/>
            <w:shd w:val="clear" w:color="auto" w:fill="CCECFF"/>
          </w:tcPr>
          <w:p>
            <w:pPr>
              <w:spacing w:after="0"/>
              <w:rPr>
                <w:sz w:val="12"/>
                <w:szCs w:val="12"/>
                <w:color w:val="auto"/>
              </w:rPr>
            </w:pPr>
          </w:p>
        </w:tc>
      </w:tr>
      <w:tr>
        <w:trPr>
          <w:trHeight w:val="18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 and Cash Equivalents—753.8%</w:t>
            </w:r>
          </w:p>
        </w:tc>
        <w:tc>
          <w:tcPr>
            <w:tcW w:w="960" w:type="dxa"/>
            <w:vAlign w:val="bottom"/>
            <w:tcBorders>
              <w:bottom w:val="single" w:sz="8" w:color="CCECFF"/>
            </w:tcBorders>
          </w:tcPr>
          <w:p>
            <w:pPr>
              <w:spacing w:after="0"/>
              <w:rPr>
                <w:sz w:val="15"/>
                <w:szCs w:val="15"/>
                <w:color w:val="auto"/>
              </w:rPr>
            </w:pPr>
          </w:p>
        </w:tc>
        <w:tc>
          <w:tcPr>
            <w:tcW w:w="270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66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78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56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164,022,756</w:t>
            </w: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164,926,623</w:t>
            </w:r>
          </w:p>
        </w:tc>
        <w:tc>
          <w:tcPr>
            <w:tcW w:w="100" w:type="dxa"/>
            <w:vAlign w:val="bottom"/>
            <w:tcBorders>
              <w:bottom w:val="single" w:sz="8" w:color="CCECFF"/>
            </w:tcBorders>
          </w:tcPr>
          <w:p>
            <w:pPr>
              <w:spacing w:after="0"/>
              <w:rPr>
                <w:sz w:val="15"/>
                <w:szCs w:val="15"/>
                <w:color w:val="auto"/>
              </w:rPr>
            </w:pPr>
          </w:p>
        </w:tc>
      </w:tr>
      <w:tr>
        <w:trPr>
          <w:trHeight w:val="129"/>
        </w:trPr>
        <w:tc>
          <w:tcPr>
            <w:tcW w:w="286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Assets—(653.8)%</w:t>
            </w:r>
          </w:p>
        </w:tc>
        <w:tc>
          <w:tcPr>
            <w:tcW w:w="960" w:type="dxa"/>
            <w:vAlign w:val="bottom"/>
            <w:shd w:val="clear" w:color="auto" w:fill="CCECFF"/>
          </w:tcPr>
          <w:p>
            <w:pPr>
              <w:spacing w:after="0"/>
              <w:rPr>
                <w:sz w:val="11"/>
                <w:szCs w:val="11"/>
                <w:color w:val="auto"/>
              </w:rPr>
            </w:pPr>
          </w:p>
        </w:tc>
        <w:tc>
          <w:tcPr>
            <w:tcW w:w="2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60"/>
              <w:spacing w:after="0" w:line="129" w:lineRule="exact"/>
              <w:rPr>
                <w:sz w:val="20"/>
                <w:szCs w:val="20"/>
                <w:color w:val="auto"/>
              </w:rPr>
            </w:pPr>
            <w:r>
              <w:rPr>
                <w:rFonts w:ascii="Arial" w:cs="Arial" w:eastAsia="Arial" w:hAnsi="Arial"/>
                <w:sz w:val="12"/>
                <w:szCs w:val="12"/>
                <w:color w:val="auto"/>
                <w:w w:val="93"/>
              </w:rPr>
              <w:t>(143,048,241)</w:t>
            </w: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Members' Equity—100.0%</w:t>
            </w: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21,878,382</w:t>
            </w:r>
          </w:p>
        </w:tc>
        <w:tc>
          <w:tcPr>
            <w:tcW w:w="100" w:type="dxa"/>
            <w:vAlign w:val="bottom"/>
          </w:tcPr>
          <w:p>
            <w:pPr>
              <w:spacing w:after="0"/>
              <w:rPr>
                <w:sz w:val="12"/>
                <w:szCs w:val="12"/>
                <w:color w:val="auto"/>
              </w:rPr>
            </w:pPr>
          </w:p>
        </w:tc>
      </w:tr>
      <w:tr>
        <w:trPr>
          <w:trHeight w:val="20"/>
        </w:trPr>
        <w:tc>
          <w:tcPr>
            <w:tcW w:w="2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68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76" w:lineRule="exact"/>
        <w:rPr>
          <w:sz w:val="20"/>
          <w:szCs w:val="20"/>
          <w:color w:val="auto"/>
        </w:rPr>
      </w:pPr>
    </w:p>
    <w:p>
      <w:pPr>
        <w:ind w:left="380" w:right="20" w:hanging="372"/>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Euros (€) as denoted.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2017:</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2017</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40" w:type="dxa"/>
            <w:vAlign w:val="bottom"/>
          </w:tcPr>
          <w:p>
            <w:pPr>
              <w:ind w:left="360"/>
              <w:spacing w:after="0"/>
              <w:rPr>
                <w:sz w:val="20"/>
                <w:szCs w:val="20"/>
                <w:color w:val="auto"/>
              </w:rPr>
            </w:pPr>
            <w:r>
              <w:rPr>
                <w:rFonts w:ascii="Arial" w:cs="Arial" w:eastAsia="Arial" w:hAnsi="Arial"/>
                <w:sz w:val="12"/>
                <w:szCs w:val="12"/>
                <w:b w:val="1"/>
                <w:bCs w:val="1"/>
                <w:color w:val="auto"/>
              </w:rPr>
              <w:t>Maturity</w:t>
            </w:r>
          </w:p>
        </w:tc>
        <w:tc>
          <w:tcPr>
            <w:tcW w:w="2760" w:type="dxa"/>
            <w:vAlign w:val="bottom"/>
            <w:gridSpan w:val="2"/>
          </w:tcPr>
          <w:p>
            <w:pPr>
              <w:ind w:left="1100"/>
              <w:spacing w:after="0"/>
              <w:rPr>
                <w:sz w:val="20"/>
                <w:szCs w:val="20"/>
                <w:color w:val="auto"/>
              </w:rPr>
            </w:pPr>
            <w:r>
              <w:rPr>
                <w:rFonts w:ascii="Arial" w:cs="Arial" w:eastAsia="Arial" w:hAnsi="Arial"/>
                <w:sz w:val="12"/>
                <w:szCs w:val="12"/>
                <w:b w:val="1"/>
                <w:bCs w:val="1"/>
                <w:color w:val="auto"/>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2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8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39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89"/>
              </w:rPr>
              <w:t>Investments in Non-Controlled, Non-Affiliated Portfolio Companies—651.7%</w:t>
            </w:r>
          </w:p>
        </w:tc>
        <w:tc>
          <w:tcPr>
            <w:tcW w:w="2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0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Debt—674.2%</w:t>
            </w: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04/04/2022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5,664,954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5,597,299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5,636,629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Anvil International, LLC</w:t>
            </w:r>
          </w:p>
        </w:tc>
        <w:tc>
          <w:tcPr>
            <w:tcW w:w="1040" w:type="dxa"/>
            <w:vAlign w:val="bottom"/>
          </w:tcPr>
          <w:p>
            <w:pPr>
              <w:ind w:left="360"/>
              <w:spacing w:after="0"/>
              <w:rPr>
                <w:sz w:val="20"/>
                <w:szCs w:val="20"/>
                <w:color w:val="auto"/>
              </w:rPr>
            </w:pPr>
            <w:r>
              <w:rPr>
                <w:rFonts w:ascii="Arial" w:cs="Arial" w:eastAsia="Arial" w:hAnsi="Arial"/>
                <w:sz w:val="12"/>
                <w:szCs w:val="12"/>
                <w:color w:val="auto"/>
              </w:rPr>
              <w:t>08/01/2024</w:t>
            </w:r>
          </w:p>
        </w:tc>
        <w:tc>
          <w:tcPr>
            <w:tcW w:w="2760" w:type="dxa"/>
            <w:vAlign w:val="bottom"/>
            <w:gridSpan w:val="2"/>
          </w:tcPr>
          <w:p>
            <w:pPr>
              <w:spacing w:after="0"/>
              <w:rPr>
                <w:sz w:val="20"/>
                <w:szCs w:val="20"/>
                <w:color w:val="auto"/>
              </w:rPr>
            </w:pPr>
            <w:r>
              <w:rPr>
                <w:rFonts w:ascii="Arial" w:cs="Arial" w:eastAsia="Arial" w:hAnsi="Arial"/>
                <w:sz w:val="12"/>
                <w:szCs w:val="12"/>
                <w:color w:val="auto"/>
              </w:rPr>
              <w:t>Construction and Building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L+450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04/22/2022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L+650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4,955,919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4,908,646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4,906,360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05/16/2022</w:t>
            </w:r>
          </w:p>
        </w:tc>
        <w:tc>
          <w:tcPr>
            <w:tcW w:w="2760" w:type="dxa"/>
            <w:vAlign w:val="bottom"/>
            <w:gridSpan w:val="2"/>
          </w:tcPr>
          <w:p>
            <w:pPr>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8.57%</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L+725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5,961,702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5,819,267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5,961,702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0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11/29/2023</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7,453,125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03/31/2023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4,875,132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4,875,132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4,807,559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DigiCert Holdings,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10/31/2024</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5.75%</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8,080,000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1040" w:type="dxa"/>
            <w:vAlign w:val="bottom"/>
          </w:tcPr>
          <w:p>
            <w:pPr>
              <w:ind w:left="360"/>
              <w:spacing w:after="0"/>
              <w:rPr>
                <w:sz w:val="20"/>
                <w:szCs w:val="20"/>
                <w:color w:val="auto"/>
              </w:rPr>
            </w:pPr>
            <w:r>
              <w:rPr>
                <w:rFonts w:ascii="Arial" w:cs="Arial" w:eastAsia="Arial" w:hAnsi="Arial"/>
                <w:sz w:val="12"/>
                <w:szCs w:val="12"/>
                <w:color w:val="auto"/>
              </w:rPr>
              <w:t>12/09/2020</w:t>
            </w:r>
          </w:p>
        </w:tc>
        <w:tc>
          <w:tcPr>
            <w:tcW w:w="2760" w:type="dxa"/>
            <w:vAlign w:val="bottom"/>
            <w:gridSpan w:val="2"/>
          </w:tcPr>
          <w:p>
            <w:pPr>
              <w:spacing w:after="0"/>
              <w:rPr>
                <w:sz w:val="20"/>
                <w:szCs w:val="20"/>
                <w:color w:val="auto"/>
              </w:rPr>
            </w:pPr>
            <w:r>
              <w:rPr>
                <w:rFonts w:ascii="Arial" w:cs="Arial" w:eastAsia="Arial" w:hAnsi="Arial"/>
                <w:sz w:val="12"/>
                <w:szCs w:val="12"/>
                <w:color w:val="auto"/>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5.55%</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4,744,586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4,732,725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4,720,863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09/30/2022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6.06%</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4,951,225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1040" w:type="dxa"/>
            <w:vAlign w:val="bottom"/>
          </w:tcPr>
          <w:p>
            <w:pPr>
              <w:ind w:left="360"/>
              <w:spacing w:after="0"/>
              <w:rPr>
                <w:sz w:val="20"/>
                <w:szCs w:val="20"/>
                <w:color w:val="auto"/>
              </w:rPr>
            </w:pPr>
            <w:r>
              <w:rPr>
                <w:rFonts w:ascii="Arial" w:cs="Arial" w:eastAsia="Arial" w:hAnsi="Arial"/>
                <w:sz w:val="12"/>
                <w:szCs w:val="12"/>
                <w:color w:val="auto"/>
              </w:rPr>
              <w:t>10/12/2021</w:t>
            </w:r>
          </w:p>
        </w:tc>
        <w:tc>
          <w:tcPr>
            <w:tcW w:w="2760" w:type="dxa"/>
            <w:vAlign w:val="bottom"/>
            <w:gridSpan w:val="2"/>
          </w:tcPr>
          <w:p>
            <w:pPr>
              <w:spacing w:after="0"/>
              <w:rPr>
                <w:sz w:val="20"/>
                <w:szCs w:val="20"/>
                <w:color w:val="auto"/>
              </w:rPr>
            </w:pPr>
            <w:r>
              <w:rPr>
                <w:rFonts w:ascii="Arial" w:cs="Arial" w:eastAsia="Arial" w:hAnsi="Arial"/>
                <w:sz w:val="12"/>
                <w:szCs w:val="12"/>
                <w:color w:val="auto"/>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E+800</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4,937,107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5,742,092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5,836,653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12/30/2021</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8.30%</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L+700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4,984,962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4,970,404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4,984,963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05/01/2023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7,453,125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7,521,186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7,468,628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09/28/2022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4,075,442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4,050,930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4,058,871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040" w:type="dxa"/>
            <w:vAlign w:val="bottom"/>
          </w:tcPr>
          <w:p>
            <w:pPr>
              <w:ind w:left="360"/>
              <w:spacing w:after="0"/>
              <w:rPr>
                <w:sz w:val="20"/>
                <w:szCs w:val="20"/>
                <w:color w:val="auto"/>
              </w:rPr>
            </w:pPr>
            <w:r>
              <w:rPr>
                <w:rFonts w:ascii="Arial" w:cs="Arial" w:eastAsia="Arial" w:hAnsi="Arial"/>
                <w:sz w:val="12"/>
                <w:szCs w:val="12"/>
                <w:color w:val="auto"/>
              </w:rPr>
              <w:t>02/10/2023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7.33%</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4,810,511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4,801,875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03/03/2022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10.52%</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L+918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5,885,356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040" w:type="dxa"/>
            <w:vAlign w:val="bottom"/>
          </w:tcPr>
          <w:p>
            <w:pPr>
              <w:ind w:left="360"/>
              <w:spacing w:after="0"/>
              <w:rPr>
                <w:sz w:val="20"/>
                <w:szCs w:val="20"/>
                <w:color w:val="auto"/>
              </w:rPr>
            </w:pPr>
            <w:r>
              <w:rPr>
                <w:rFonts w:ascii="Arial" w:cs="Arial" w:eastAsia="Arial" w:hAnsi="Arial"/>
                <w:sz w:val="12"/>
                <w:szCs w:val="12"/>
                <w:color w:val="auto"/>
              </w:rPr>
              <w:t>07/19/2021</w:t>
            </w:r>
          </w:p>
        </w:tc>
        <w:tc>
          <w:tcPr>
            <w:tcW w:w="2760" w:type="dxa"/>
            <w:vAlign w:val="bottom"/>
            <w:gridSpan w:val="2"/>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4,843,745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12/02/2021</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L+525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5,530,997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VIP Cinema Holdings, Inc.</w:t>
            </w:r>
          </w:p>
        </w:tc>
        <w:tc>
          <w:tcPr>
            <w:tcW w:w="1040" w:type="dxa"/>
            <w:vAlign w:val="bottom"/>
            <w:tcBorders>
              <w:bottom w:val="single" w:sz="8" w:color="CCECFF"/>
            </w:tcBorders>
          </w:tcPr>
          <w:p>
            <w:pPr>
              <w:ind w:left="360"/>
              <w:spacing w:after="0"/>
              <w:rPr>
                <w:sz w:val="20"/>
                <w:szCs w:val="20"/>
                <w:color w:val="auto"/>
              </w:rPr>
            </w:pPr>
            <w:r>
              <w:rPr>
                <w:rFonts w:ascii="Arial" w:cs="Arial" w:eastAsia="Arial" w:hAnsi="Arial"/>
                <w:sz w:val="12"/>
                <w:szCs w:val="12"/>
                <w:color w:val="auto"/>
              </w:rPr>
              <w:t>03/01/2023</w:t>
            </w:r>
          </w:p>
        </w:tc>
        <w:tc>
          <w:tcPr>
            <w:tcW w:w="27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Consumer Goods: Durable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7.34%</w:t>
            </w:r>
          </w:p>
        </w:tc>
        <w:tc>
          <w:tcPr>
            <w:tcW w:w="1000" w:type="dxa"/>
            <w:vAlign w:val="bottom"/>
            <w:tcBorders>
              <w:bottom w:val="single" w:sz="8" w:color="CCECFF"/>
            </w:tcBorders>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4,942,263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4,905,469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Equivalents—15.5%</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144,739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144,833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2,371,169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2,371,263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Equivalents—667.2%</w:t>
            </w:r>
          </w:p>
        </w:tc>
        <w:tc>
          <w:tcPr>
            <w:tcW w:w="10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101,916,072</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102,365,577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Assets—(567.2)%</w:t>
            </w: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6"/>
              </w:rPr>
              <w:t>(87,022,556)</w:t>
            </w:r>
          </w:p>
        </w:tc>
        <w:tc>
          <w:tcPr>
            <w:tcW w:w="0" w:type="dxa"/>
            <w:vAlign w:val="bottom"/>
          </w:tcPr>
          <w:p>
            <w:pPr>
              <w:spacing w:after="0"/>
              <w:rPr>
                <w:sz w:val="1"/>
                <w:szCs w:val="1"/>
                <w:color w:val="auto"/>
              </w:rPr>
            </w:pPr>
          </w:p>
        </w:tc>
      </w:tr>
      <w:tr>
        <w:trPr>
          <w:trHeight w:val="149"/>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0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15,343,021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688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76" w:lineRule="exact"/>
        <w:rPr>
          <w:sz w:val="20"/>
          <w:szCs w:val="20"/>
          <w:color w:val="auto"/>
        </w:rPr>
      </w:pPr>
    </w:p>
    <w:p>
      <w:pPr>
        <w:ind w:left="380" w:right="280" w:hanging="372"/>
        <w:spacing w:after="0" w:line="252"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7520" w:type="dxa"/>
            <w:vAlign w:val="bottom"/>
            <w:gridSpan w:val="2"/>
          </w:tcPr>
          <w:p>
            <w:pPr>
              <w:ind w:left="240"/>
              <w:spacing w:after="0"/>
              <w:rPr>
                <w:sz w:val="20"/>
                <w:szCs w:val="20"/>
                <w:color w:val="auto"/>
              </w:rPr>
            </w:pPr>
            <w:r>
              <w:rPr>
                <w:rFonts w:ascii="Arial" w:cs="Arial" w:eastAsia="Arial" w:hAnsi="Arial"/>
                <w:sz w:val="14"/>
                <w:szCs w:val="14"/>
                <w:color w:val="auto"/>
              </w:rPr>
              <w:t>Below is the financial information for PSSL:</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60" w:type="dxa"/>
            <w:vAlign w:val="bottom"/>
          </w:tcPr>
          <w:p>
            <w:pPr>
              <w:jc w:val="center"/>
              <w:ind w:left="36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76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Statements of Assets and Liabilities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5"/>
              </w:rPr>
              <w:t>December 31, 2017</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171"/>
        </w:trPr>
        <w:tc>
          <w:tcPr>
            <w:tcW w:w="200" w:type="dxa"/>
            <w:vAlign w:val="bottom"/>
            <w:tcBorders>
              <w:bottom w:val="single" w:sz="8" w:color="CCECFF"/>
            </w:tcBorders>
          </w:tcPr>
          <w:p>
            <w:pPr>
              <w:spacing w:after="0"/>
              <w:rPr>
                <w:sz w:val="14"/>
                <w:szCs w:val="14"/>
                <w:color w:val="auto"/>
              </w:rPr>
            </w:pPr>
          </w:p>
        </w:tc>
        <w:tc>
          <w:tcPr>
            <w:tcW w:w="2760" w:type="dxa"/>
            <w:vAlign w:val="bottom"/>
            <w:tcBorders>
              <w:bottom w:val="single" w:sz="8" w:color="CCECFF"/>
            </w:tcBorders>
          </w:tcPr>
          <w:p>
            <w:pPr>
              <w:spacing w:after="0"/>
              <w:rPr>
                <w:sz w:val="14"/>
                <w:szCs w:val="14"/>
                <w:color w:val="auto"/>
              </w:rPr>
            </w:pPr>
          </w:p>
        </w:tc>
        <w:tc>
          <w:tcPr>
            <w:tcW w:w="476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(Unaudited)</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Non-controlled, non-affiliated investments (cost—$146,606,665 and $99,544,903,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147,506,492</w:t>
            </w:r>
          </w:p>
        </w:tc>
        <w:tc>
          <w:tcPr>
            <w:tcW w:w="400" w:type="dxa"/>
            <w:vAlign w:val="bottom"/>
            <w:gridSpan w:val="2"/>
            <w:shd w:val="clear" w:color="auto" w:fill="CCECFF"/>
          </w:tcPr>
          <w:p>
            <w:pPr>
              <w:ind w:left="2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99,994,314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Cash and cash equivalents (cost—$17,416,091 and $2,371,169, respectively)</w:t>
            </w: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17,420,131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2,371,263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686,655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332,980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1,978,730</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1,131,029</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0" w:type="dxa"/>
            <w:vAlign w:val="bottom"/>
            <w:shd w:val="clear" w:color="auto" w:fill="CCECFF"/>
          </w:tcPr>
          <w:p>
            <w:pPr>
              <w:spacing w:after="0"/>
              <w:rPr>
                <w:sz w:val="13"/>
                <w:szCs w:val="13"/>
                <w:color w:val="auto"/>
              </w:rPr>
            </w:pPr>
          </w:p>
        </w:tc>
        <w:tc>
          <w:tcPr>
            <w:tcW w:w="75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167,592,008</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103,829,586</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10,003,125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27,095,850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PSSL Credit Facility payable</w:t>
            </w: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86,462,213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26,783,885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Subordinated notes payable</w:t>
            </w: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48,800,000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34,400,000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Interest payable on PSSL Credit Facility</w:t>
            </w: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286,661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97,531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payable on subordinated notes</w:t>
            </w: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27,225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12,107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134,402</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97,192</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CFF"/>
          </w:tcPr>
          <w:p>
            <w:pPr>
              <w:spacing w:after="0"/>
              <w:rPr>
                <w:sz w:val="13"/>
                <w:szCs w:val="13"/>
                <w:color w:val="auto"/>
              </w:rPr>
            </w:pPr>
          </w:p>
        </w:tc>
        <w:tc>
          <w:tcPr>
            <w:tcW w:w="75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145,713,626</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88,486,565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gridSpan w:val="3"/>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CFF"/>
          </w:tcPr>
          <w:p>
            <w:pPr>
              <w:spacing w:after="0"/>
              <w:rPr>
                <w:sz w:val="13"/>
                <w:szCs w:val="13"/>
                <w:color w:val="auto"/>
              </w:rPr>
            </w:pPr>
          </w:p>
        </w:tc>
        <w:tc>
          <w:tcPr>
            <w:tcW w:w="75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Members' equity</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21,878,382</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15,343,021</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7520" w:type="dxa"/>
            <w:vAlign w:val="bottom"/>
            <w:gridSpan w:val="2"/>
          </w:tcPr>
          <w:p>
            <w:pPr>
              <w:ind w:left="5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167,592,008</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103,829,586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4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200" w:type="dxa"/>
            <w:vAlign w:val="bottom"/>
          </w:tcPr>
          <w:p>
            <w:pPr>
              <w:spacing w:after="0"/>
              <w:rPr>
                <w:sz w:val="20"/>
                <w:szCs w:val="20"/>
                <w:color w:val="auto"/>
              </w:rPr>
            </w:pPr>
            <w:r>
              <w:rPr>
                <w:rFonts w:ascii="Arial" w:cs="Arial" w:eastAsia="Arial" w:hAnsi="Arial"/>
                <w:sz w:val="12"/>
                <w:szCs w:val="12"/>
                <w:color w:val="auto"/>
              </w:rPr>
              <w:t>(1)</w:t>
            </w:r>
          </w:p>
        </w:tc>
        <w:tc>
          <w:tcPr>
            <w:tcW w:w="7520" w:type="dxa"/>
            <w:vAlign w:val="bottom"/>
            <w:gridSpan w:val="2"/>
          </w:tcPr>
          <w:p>
            <w:pPr>
              <w:ind w:left="180"/>
              <w:spacing w:after="0"/>
              <w:rPr>
                <w:sz w:val="20"/>
                <w:szCs w:val="20"/>
                <w:color w:val="auto"/>
              </w:rPr>
            </w:pPr>
            <w:r>
              <w:rPr>
                <w:rFonts w:ascii="Arial" w:cs="Arial" w:eastAsia="Arial" w:hAnsi="Arial"/>
                <w:sz w:val="14"/>
                <w:szCs w:val="14"/>
                <w:color w:val="auto"/>
              </w:rPr>
              <w:t>PSSL had no outstanding commitments to fund investments as of December 31, 2017.</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60" w:type="dxa"/>
            <w:vAlign w:val="bottom"/>
          </w:tcPr>
          <w:p>
            <w:pPr>
              <w:jc w:val="center"/>
              <w:ind w:left="36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76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Statement of Operations</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760" w:type="dxa"/>
            <w:vAlign w:val="bottom"/>
          </w:tcPr>
          <w:p>
            <w:pPr>
              <w:jc w:val="center"/>
              <w:ind w:left="348"/>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4"/>
        </w:trPr>
        <w:tc>
          <w:tcPr>
            <w:tcW w:w="2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40" w:type="dxa"/>
            <w:vAlign w:val="bottom"/>
            <w:tcBorders>
              <w:top w:val="single" w:sz="8" w:color="CCECFF"/>
            </w:tcBorders>
            <w:shd w:val="clear" w:color="auto" w:fill="CCECFF"/>
          </w:tcPr>
          <w:p>
            <w:pPr>
              <w:spacing w:after="0"/>
              <w:rPr>
                <w:sz w:val="13"/>
                <w:szCs w:val="13"/>
                <w:color w:val="auto"/>
              </w:rPr>
            </w:pPr>
          </w:p>
        </w:tc>
        <w:tc>
          <w:tcPr>
            <w:tcW w:w="13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From non-controlled, non-affiliated investments:</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w:t>
            </w: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1,973,655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tcBorders>
              <w:bottom w:val="single" w:sz="8" w:color="CCECFF"/>
            </w:tcBorders>
          </w:tcPr>
          <w:p>
            <w:pPr>
              <w:spacing w:after="0"/>
              <w:rPr>
                <w:sz w:val="13"/>
                <w:szCs w:val="13"/>
                <w:color w:val="auto"/>
              </w:rPr>
            </w:pPr>
          </w:p>
        </w:tc>
        <w:tc>
          <w:tcPr>
            <w:tcW w:w="752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40" w:type="dxa"/>
            <w:vAlign w:val="bottom"/>
            <w:tcBorders>
              <w:bottom w:val="single" w:sz="8" w:color="CCECFF"/>
            </w:tcBorders>
          </w:tcPr>
          <w:p>
            <w:pPr>
              <w:spacing w:after="0"/>
              <w:rPr>
                <w:sz w:val="13"/>
                <w:szCs w:val="13"/>
                <w:color w:val="auto"/>
              </w:rPr>
            </w:pPr>
          </w:p>
        </w:tc>
        <w:tc>
          <w:tcPr>
            <w:tcW w:w="130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1,973,655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7520" w:type="dxa"/>
            <w:vAlign w:val="bottom"/>
            <w:gridSpan w:val="2"/>
          </w:tcPr>
          <w:p>
            <w:pPr>
              <w:ind w:left="60"/>
              <w:spacing w:after="0"/>
              <w:rPr>
                <w:sz w:val="20"/>
                <w:szCs w:val="20"/>
                <w:color w:val="auto"/>
              </w:rPr>
            </w:pPr>
            <w:r>
              <w:rPr>
                <w:rFonts w:ascii="Arial" w:cs="Arial" w:eastAsia="Arial" w:hAnsi="Arial"/>
                <w:sz w:val="14"/>
                <w:szCs w:val="14"/>
                <w:color w:val="auto"/>
              </w:rPr>
              <w:t>Interest and expenses on PSSL Credit Facility</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651,537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 expense on subordinated notes</w:t>
            </w:r>
          </w:p>
        </w:tc>
        <w:tc>
          <w:tcPr>
            <w:tcW w:w="14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612,297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7520" w:type="dxa"/>
            <w:vAlign w:val="bottom"/>
            <w:gridSpan w:val="2"/>
          </w:tcPr>
          <w:p>
            <w:pPr>
              <w:ind w:left="60"/>
              <w:spacing w:after="0"/>
              <w:rPr>
                <w:sz w:val="20"/>
                <w:szCs w:val="20"/>
                <w:color w:val="auto"/>
              </w:rPr>
            </w:pPr>
            <w:r>
              <w:rPr>
                <w:rFonts w:ascii="Arial" w:cs="Arial" w:eastAsia="Arial" w:hAnsi="Arial"/>
                <w:sz w:val="14"/>
                <w:szCs w:val="14"/>
                <w:color w:val="auto"/>
              </w:rPr>
              <w:t>Administrative services expenses</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14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351,786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tcBorders>
              <w:bottom w:val="single" w:sz="8" w:color="CCECFF"/>
            </w:tcBorders>
          </w:tcPr>
          <w:p>
            <w:pPr>
              <w:spacing w:after="0"/>
              <w:rPr>
                <w:sz w:val="13"/>
                <w:szCs w:val="13"/>
                <w:color w:val="auto"/>
              </w:rPr>
            </w:pPr>
          </w:p>
        </w:tc>
        <w:tc>
          <w:tcPr>
            <w:tcW w:w="752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Total expenses</w:t>
            </w:r>
          </w:p>
        </w:tc>
        <w:tc>
          <w:tcPr>
            <w:tcW w:w="140" w:type="dxa"/>
            <w:vAlign w:val="bottom"/>
            <w:tcBorders>
              <w:bottom w:val="single" w:sz="8" w:color="CCECFF"/>
            </w:tcBorders>
          </w:tcPr>
          <w:p>
            <w:pPr>
              <w:spacing w:after="0"/>
              <w:rPr>
                <w:sz w:val="13"/>
                <w:szCs w:val="13"/>
                <w:color w:val="auto"/>
              </w:rPr>
            </w:pPr>
          </w:p>
        </w:tc>
        <w:tc>
          <w:tcPr>
            <w:tcW w:w="130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1,690,620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CFF"/>
          </w:tcPr>
          <w:p>
            <w:pPr>
              <w:spacing w:after="0"/>
              <w:rPr>
                <w:sz w:val="13"/>
                <w:szCs w:val="13"/>
                <w:color w:val="auto"/>
              </w:rPr>
            </w:pPr>
          </w:p>
        </w:tc>
        <w:tc>
          <w:tcPr>
            <w:tcW w:w="7520" w:type="dxa"/>
            <w:vAlign w:val="bottom"/>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283,035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7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Realized and unrealized gain on investments and credit facility</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gridSpan w:val="3"/>
          </w:tcPr>
          <w:p>
            <w:pPr>
              <w:ind w:left="140"/>
              <w:spacing w:after="0"/>
              <w:rPr>
                <w:sz w:val="20"/>
                <w:szCs w:val="20"/>
                <w:color w:val="auto"/>
              </w:rPr>
            </w:pPr>
            <w:r>
              <w:rPr>
                <w:rFonts w:ascii="Arial" w:cs="Arial" w:eastAsia="Arial" w:hAnsi="Arial"/>
                <w:sz w:val="14"/>
                <w:szCs w:val="14"/>
                <w:b w:val="1"/>
                <w:bCs w:val="1"/>
                <w:color w:val="auto"/>
              </w:rPr>
              <w:t>foreign currency translations</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realized loss on investments</w:t>
            </w:r>
          </w:p>
        </w:tc>
        <w:tc>
          <w:tcPr>
            <w:tcW w:w="14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(49,176)</w:t>
            </w:r>
          </w:p>
        </w:tc>
        <w:tc>
          <w:tcPr>
            <w:tcW w:w="0" w:type="dxa"/>
            <w:vAlign w:val="bottom"/>
          </w:tcPr>
          <w:p>
            <w:pPr>
              <w:spacing w:after="0"/>
              <w:rPr>
                <w:sz w:val="1"/>
                <w:szCs w:val="1"/>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Net change in unrealized appreciation on:</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Non-controlled, non-affiliated investments</w:t>
            </w:r>
          </w:p>
        </w:tc>
        <w:tc>
          <w:tcPr>
            <w:tcW w:w="14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454,362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7520" w:type="dxa"/>
            <w:vAlign w:val="bottom"/>
            <w:gridSpan w:val="2"/>
          </w:tcPr>
          <w:p>
            <w:pPr>
              <w:ind w:left="60"/>
              <w:spacing w:after="0"/>
              <w:rPr>
                <w:sz w:val="20"/>
                <w:szCs w:val="20"/>
                <w:color w:val="auto"/>
              </w:rPr>
            </w:pPr>
            <w:r>
              <w:rPr>
                <w:rFonts w:ascii="Arial" w:cs="Arial" w:eastAsia="Arial" w:hAnsi="Arial"/>
                <w:sz w:val="14"/>
                <w:szCs w:val="14"/>
                <w:color w:val="auto"/>
              </w:rPr>
              <w:t>Credit facility foreign currency translations</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(324,288)</w:t>
            </w:r>
          </w:p>
        </w:tc>
        <w:tc>
          <w:tcPr>
            <w:tcW w:w="0" w:type="dxa"/>
            <w:vAlign w:val="bottom"/>
          </w:tcPr>
          <w:p>
            <w:pPr>
              <w:spacing w:after="0"/>
              <w:rPr>
                <w:sz w:val="1"/>
                <w:szCs w:val="1"/>
                <w:color w:val="auto"/>
              </w:rPr>
            </w:pPr>
          </w:p>
        </w:tc>
      </w:tr>
      <w:tr>
        <w:trPr>
          <w:trHeight w:val="155"/>
        </w:trPr>
        <w:tc>
          <w:tcPr>
            <w:tcW w:w="200" w:type="dxa"/>
            <w:vAlign w:val="bottom"/>
            <w:tcBorders>
              <w:top w:val="single" w:sz="8" w:color="CCECFF"/>
            </w:tcBorders>
            <w:shd w:val="clear" w:color="auto" w:fill="CCECFF"/>
          </w:tcPr>
          <w:p>
            <w:pPr>
              <w:spacing w:after="0"/>
              <w:rPr>
                <w:sz w:val="13"/>
                <w:szCs w:val="13"/>
                <w:color w:val="auto"/>
              </w:rPr>
            </w:pPr>
          </w:p>
        </w:tc>
        <w:tc>
          <w:tcPr>
            <w:tcW w:w="7520" w:type="dxa"/>
            <w:vAlign w:val="bottom"/>
            <w:tcBorders>
              <w:top w:val="single" w:sz="8" w:color="CCECFF"/>
            </w:tcBorders>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Net change in unrealized appreciation on investments and credit facility foreign currency translations</w:t>
            </w:r>
          </w:p>
        </w:tc>
        <w:tc>
          <w:tcPr>
            <w:tcW w:w="140" w:type="dxa"/>
            <w:vAlign w:val="bottom"/>
            <w:tcBorders>
              <w:top w:val="single" w:sz="8" w:color="CCECFF"/>
            </w:tcBorders>
            <w:shd w:val="clear" w:color="auto" w:fill="CCECFF"/>
          </w:tcPr>
          <w:p>
            <w:pPr>
              <w:spacing w:after="0"/>
              <w:rPr>
                <w:sz w:val="13"/>
                <w:szCs w:val="13"/>
                <w:color w:val="auto"/>
              </w:rPr>
            </w:pPr>
          </w:p>
        </w:tc>
        <w:tc>
          <w:tcPr>
            <w:tcW w:w="13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130,074</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gridSpan w:val="3"/>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credit facility foreign currency translations</w:t>
            </w:r>
          </w:p>
        </w:tc>
        <w:tc>
          <w:tcPr>
            <w:tcW w:w="140" w:type="dxa"/>
            <w:vAlign w:val="bottom"/>
            <w:tcBorders>
              <w:bottom w:val="single" w:sz="8" w:color="CCECFF"/>
            </w:tcBorders>
          </w:tcPr>
          <w:p>
            <w:pPr>
              <w:spacing w:after="0"/>
              <w:rPr>
                <w:sz w:val="13"/>
                <w:szCs w:val="13"/>
                <w:color w:val="auto"/>
              </w:rPr>
            </w:pPr>
          </w:p>
        </w:tc>
        <w:tc>
          <w:tcPr>
            <w:tcW w:w="130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80,898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140" w:type="dxa"/>
            <w:vAlign w:val="bottom"/>
            <w:tcBorders>
              <w:bottom w:val="single" w:sz="8" w:color="CCECFF"/>
            </w:tcBorders>
            <w:shd w:val="clear" w:color="auto" w:fill="CCECFF"/>
          </w:tcPr>
          <w:p>
            <w:pPr>
              <w:spacing w:after="0"/>
              <w:rPr>
                <w:sz w:val="13"/>
                <w:szCs w:val="13"/>
                <w:color w:val="auto"/>
              </w:rPr>
            </w:pPr>
          </w:p>
        </w:tc>
        <w:tc>
          <w:tcPr>
            <w:tcW w:w="13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363,933</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 of Operations.</w:t>
      </w:r>
    </w:p>
    <w:p>
      <w:pPr>
        <w:spacing w:after="0" w:line="200" w:lineRule="exact"/>
        <w:rPr>
          <w:rFonts w:ascii="Arial" w:cs="Arial" w:eastAsia="Arial" w:hAnsi="Arial"/>
          <w:sz w:val="12"/>
          <w:szCs w:val="12"/>
          <w:color w:val="auto"/>
        </w:rPr>
      </w:pPr>
    </w:p>
    <w:p>
      <w:pPr>
        <w:spacing w:after="0" w:line="381" w:lineRule="exact"/>
        <w:rPr>
          <w:rFonts w:ascii="Arial" w:cs="Arial" w:eastAsia="Arial" w:hAnsi="Arial"/>
          <w:sz w:val="12"/>
          <w:szCs w:val="12"/>
          <w:color w:val="auto"/>
        </w:rPr>
      </w:pPr>
    </w:p>
    <w:p>
      <w:pPr>
        <w:ind w:left="5560"/>
        <w:spacing w:after="0"/>
        <w:rPr>
          <w:rFonts w:ascii="Arial" w:cs="Arial" w:eastAsia="Arial" w:hAnsi="Arial"/>
          <w:sz w:val="12"/>
          <w:szCs w:val="12"/>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-569595</wp:posOffset>
            </wp:positionV>
            <wp:extent cx="18688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2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6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340" w:firstLine="425"/>
        <w:spacing w:after="0" w:line="264"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three months ended December 31, 2017 and 2016, our ability to observe valuation inputs resulted in no reclassifications.</w:t>
      </w:r>
    </w:p>
    <w:p>
      <w:pPr>
        <w:spacing w:after="0" w:line="101"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180" w:firstLine="438"/>
        <w:spacing w:after="0" w:line="248"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have adopted ASU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113"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gridSpan w:val="8"/>
          </w:tcPr>
          <w:p>
            <w:pPr>
              <w:ind w:left="440"/>
              <w:spacing w:after="0"/>
              <w:rPr>
                <w:sz w:val="20"/>
                <w:szCs w:val="20"/>
                <w:color w:val="auto"/>
              </w:rPr>
            </w:pPr>
            <w:r>
              <w:rPr>
                <w:rFonts w:ascii="Arial" w:cs="Arial" w:eastAsia="Arial" w:hAnsi="Arial"/>
                <w:sz w:val="14"/>
                <w:szCs w:val="14"/>
                <w:color w:val="auto"/>
                <w:w w:val="95"/>
              </w:rPr>
              <w:t>Our Level 3 valuation techniques, unobservable inputs and ranges were categorized as follows for ASC 820 purposes:</w:t>
            </w: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 2017</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6"/>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246,976,274</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4,371,576</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372,371,527</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5.9% – 18.1% (9.1%)</w:t>
            </w: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35,513,015</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8.6% – 15.1% (12.4%)</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45,400,538</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4"/>
              </w:rPr>
              <w:t>10.4% – 16.8% (10.6%)</w:t>
            </w:r>
          </w:p>
        </w:tc>
        <w:tc>
          <w:tcPr>
            <w:tcW w:w="0" w:type="dxa"/>
            <w:vAlign w:val="bottom"/>
          </w:tcPr>
          <w:p>
            <w:pPr>
              <w:spacing w:after="0"/>
              <w:rPr>
                <w:sz w:val="1"/>
                <w:szCs w:val="1"/>
                <w:color w:val="auto"/>
              </w:rPr>
            </w:pPr>
          </w:p>
        </w:tc>
      </w:tr>
      <w:tr>
        <w:trPr>
          <w:trHeight w:val="162"/>
        </w:trPr>
        <w:tc>
          <w:tcPr>
            <w:tcW w:w="35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15,652,820</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ind w:right="100"/>
              <w:spacing w:after="0"/>
              <w:rPr>
                <w:sz w:val="20"/>
                <w:szCs w:val="20"/>
                <w:color w:val="auto"/>
              </w:rPr>
            </w:pPr>
            <w:r>
              <w:rPr>
                <w:rFonts w:ascii="Arial" w:cs="Arial" w:eastAsia="Arial" w:hAnsi="Arial"/>
                <w:sz w:val="14"/>
                <w:szCs w:val="14"/>
                <w:color w:val="auto"/>
                <w:w w:val="94"/>
              </w:rPr>
              <w:t>6.7x – 11.2x (8.5x)</w:t>
            </w:r>
          </w:p>
        </w:tc>
        <w:tc>
          <w:tcPr>
            <w:tcW w:w="0" w:type="dxa"/>
            <w:vAlign w:val="bottom"/>
          </w:tcPr>
          <w:p>
            <w:pPr>
              <w:spacing w:after="0"/>
              <w:rPr>
                <w:sz w:val="1"/>
                <w:szCs w:val="1"/>
                <w:color w:val="auto"/>
              </w:rPr>
            </w:pPr>
          </w:p>
        </w:tc>
      </w:tr>
      <w:tr>
        <w:trPr>
          <w:trHeight w:val="155"/>
        </w:trPr>
        <w:tc>
          <w:tcPr>
            <w:tcW w:w="358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720,285,750</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93"/>
              </w:rPr>
              <w:t>4.5%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192,809,299</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September 30, 2017</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260,595,796</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2,500,000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349,072,758</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5.8% – 20.6% (8.6%)</w:t>
            </w: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35,333,394</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9.6% – 14.0% (11.7%)</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4"/>
              </w:rPr>
              <w:t>9.8% – 16.7% (10.4%)</w:t>
            </w:r>
          </w:p>
        </w:tc>
        <w:tc>
          <w:tcPr>
            <w:tcW w:w="0" w:type="dxa"/>
            <w:vAlign w:val="bottom"/>
          </w:tcPr>
          <w:p>
            <w:pPr>
              <w:spacing w:after="0"/>
              <w:rPr>
                <w:sz w:val="1"/>
                <w:szCs w:val="1"/>
                <w:color w:val="auto"/>
              </w:rPr>
            </w:pPr>
          </w:p>
        </w:tc>
      </w:tr>
      <w:tr>
        <w:trPr>
          <w:trHeight w:val="162"/>
        </w:trPr>
        <w:tc>
          <w:tcPr>
            <w:tcW w:w="35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12,023,298</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4"/>
                <w:szCs w:val="14"/>
                <w:color w:val="auto"/>
                <w:w w:val="95"/>
              </w:rPr>
              <w:t>6.5x–9.0x (7.8x)</w:t>
            </w:r>
          </w:p>
        </w:tc>
        <w:tc>
          <w:tcPr>
            <w:tcW w:w="0" w:type="dxa"/>
            <w:vAlign w:val="bottom"/>
          </w:tcPr>
          <w:p>
            <w:pPr>
              <w:spacing w:after="0"/>
              <w:rPr>
                <w:sz w:val="1"/>
                <w:szCs w:val="1"/>
                <w:color w:val="auto"/>
              </w:rPr>
            </w:pPr>
          </w:p>
        </w:tc>
      </w:tr>
      <w:tr>
        <w:trPr>
          <w:trHeight w:val="156"/>
        </w:trPr>
        <w:tc>
          <w:tcPr>
            <w:tcW w:w="358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700" w:type="dxa"/>
            <w:vAlign w:val="bottom"/>
            <w:vMerge w:val="restart"/>
          </w:tcPr>
          <w:p>
            <w:pPr>
              <w:jc w:val="right"/>
              <w:ind w:right="58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Facility and the 2023 Notes were categorized as follows in the fair value hierarchy for ASC 820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Fair Value at December 31, 2017</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6"/>
        </w:trPr>
        <w:tc>
          <w:tcPr>
            <w:tcW w:w="378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619,347,801</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619,347,801</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39,884,591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39,884,591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45,400,538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45,400,538</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1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34,796,844</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15,652,820</w:t>
            </w: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19,143,585</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739,429,774</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439</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720,285,750</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19,143,585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127,785,338</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127,785,338</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867,215,112</w:t>
            </w:r>
          </w:p>
        </w:tc>
        <w:tc>
          <w:tcPr>
            <w:tcW w:w="2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127,785,777</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720,285,750</w:t>
            </w:r>
          </w:p>
        </w:tc>
        <w:tc>
          <w:tcPr>
            <w:tcW w:w="2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19,143,585</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192,809,299</w:t>
            </w:r>
          </w:p>
        </w:tc>
        <w:tc>
          <w:tcPr>
            <w:tcW w:w="24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280" w:type="dxa"/>
            <w:vAlign w:val="bottom"/>
            <w:tcBorders>
              <w:top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192,809,299</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2023 Notes</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136,085,421</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136,085,421</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8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Total debt</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328,894,720</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136,085,421</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192,809,299</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960" w:type="dxa"/>
            <w:vAlign w:val="bottom"/>
            <w:tcBorders>
              <w:bottom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00" w:hanging="372"/>
        <w:spacing w:after="0" w:line="253" w:lineRule="auto"/>
        <w:tabs>
          <w:tab w:leader="none" w:pos="3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In accordance with ASC 820-10, certain investments that are measured using the net asset value per share (or its equivalent) as a practical expedient for fair value, have not been classified in the fair value hierarchy.</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Fair Value at September 30, 2017</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378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37,833,394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37,833,394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1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25,464,461</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16,020</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12,023,298</w:t>
            </w: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13,425,143</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710,498,782</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16,020</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13,425,143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18,910,756</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18,910,756</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729,409,538</w:t>
            </w:r>
          </w:p>
        </w:tc>
        <w:tc>
          <w:tcPr>
            <w:tcW w:w="2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18,926,776</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13,425,143</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96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00" w:hanging="372"/>
        <w:spacing w:after="0" w:line="253" w:lineRule="auto"/>
        <w:tabs>
          <w:tab w:leader="none" w:pos="380" w:val="left"/>
        </w:tabs>
        <w:numPr>
          <w:ilvl w:val="0"/>
          <w:numId w:val="11"/>
        </w:numPr>
        <w:rPr>
          <w:rFonts w:ascii="Arial" w:cs="Arial" w:eastAsia="Arial" w:hAnsi="Arial"/>
          <w:sz w:val="12"/>
          <w:szCs w:val="12"/>
          <w:color w:val="auto"/>
        </w:rPr>
      </w:pPr>
      <w:r>
        <w:rPr>
          <w:rFonts w:ascii="Arial" w:cs="Arial" w:eastAsia="Arial" w:hAnsi="Arial"/>
          <w:sz w:val="14"/>
          <w:szCs w:val="14"/>
          <w:color w:val="auto"/>
        </w:rPr>
        <w:t>In accordance with ASC 820-10, certain investments that are measured using the net asset value per share (or its equivalent) as a practical expedient for fair value, have not been classified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 w:name="page24"/>
    <w:bookmarkEnd w:id="23"/>
    <w:p>
      <w:pPr>
        <w:ind w:left="330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4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220" w:type="dxa"/>
            <w:vAlign w:val="bottom"/>
            <w:gridSpan w:val="10"/>
          </w:tcPr>
          <w:p>
            <w:pPr>
              <w:ind w:left="440"/>
              <w:spacing w:after="0"/>
              <w:rPr>
                <w:sz w:val="20"/>
                <w:szCs w:val="20"/>
                <w:color w:val="auto"/>
              </w:rPr>
            </w:pPr>
            <w:r>
              <w:rPr>
                <w:rFonts w:ascii="Arial" w:cs="Arial" w:eastAsia="Arial" w:hAnsi="Arial"/>
                <w:sz w:val="14"/>
                <w:szCs w:val="14"/>
                <w:color w:val="auto"/>
                <w:w w:val="97"/>
              </w:rPr>
              <w:t>The tables below show a reconciliation of the beginning and ending balances for fair valued investments measured using significant unobservable inputs (Level 3):</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center"/>
              <w:ind w:left="608"/>
              <w:spacing w:after="0"/>
              <w:rPr>
                <w:sz w:val="20"/>
                <w:szCs w:val="20"/>
                <w:color w:val="auto"/>
              </w:rPr>
            </w:pPr>
            <w:r>
              <w:rPr>
                <w:rFonts w:ascii="Arial" w:cs="Arial" w:eastAsia="Arial" w:hAnsi="Arial"/>
                <w:sz w:val="14"/>
                <w:szCs w:val="14"/>
                <w:b w:val="1"/>
                <w:bCs w:val="1"/>
                <w:color w:val="auto"/>
                <w:w w:val="93"/>
              </w:rPr>
              <w:t>Three Months Ended December 31, 2017</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420" w:type="dxa"/>
            <w:vAlign w:val="bottom"/>
          </w:tcPr>
          <w:p>
            <w:pPr>
              <w:spacing w:after="0"/>
              <w:rPr>
                <w:sz w:val="12"/>
                <w:szCs w:val="12"/>
                <w:color w:val="auto"/>
              </w:rPr>
            </w:pP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100,814,208</w:t>
            </w:r>
          </w:p>
        </w:tc>
        <w:tc>
          <w:tcPr>
            <w:tcW w:w="240" w:type="dxa"/>
            <w:vAlign w:val="bottom"/>
            <w:tcBorders>
              <w:top w:val="single" w:sz="8" w:color="CCECFF"/>
            </w:tcBorders>
            <w:shd w:val="clear" w:color="auto" w:fill="CCECFF"/>
          </w:tcPr>
          <w:p>
            <w:pPr>
              <w:spacing w:after="0"/>
              <w:rPr>
                <w:sz w:val="13"/>
                <w:szCs w:val="13"/>
                <w:color w:val="auto"/>
              </w:rPr>
            </w:pPr>
          </w:p>
        </w:tc>
        <w:tc>
          <w:tcPr>
            <w:tcW w:w="420" w:type="dxa"/>
            <w:vAlign w:val="bottom"/>
            <w:tcBorders>
              <w:top w:val="single" w:sz="8" w:color="auto"/>
            </w:tcBorders>
            <w:shd w:val="clear" w:color="auto" w:fill="CCEC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710,482,762</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(losses)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(2,986,899)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120,604</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(2,866,295)</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2,117,000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1,368,645</w:t>
            </w:r>
          </w:p>
        </w:tc>
        <w:tc>
          <w:tcPr>
            <w:tcW w:w="24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3,485,645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151,260,150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26,150,027</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177,410,177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(140,711,004)</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(8,371,950)</w:t>
            </w:r>
          </w:p>
        </w:tc>
        <w:tc>
          <w:tcPr>
            <w:tcW w:w="4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(149,082,954)</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619,347,801</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120,081,534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420" w:type="dxa"/>
            <w:vAlign w:val="bottom"/>
            <w:tcBorders>
              <w:top w:val="single" w:sz="8" w:color="auto"/>
              <w:bottom w:val="single" w:sz="8" w:color="auto"/>
            </w:tcBorders>
            <w:shd w:val="clear" w:color="auto" w:fill="CCEC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739,429,335</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4"/>
              </w:rPr>
              <w:t>Net change in unrealized appreciation reported within the net change in unrealized appreciation on investments</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w w:val="96"/>
              </w:rPr>
              <w:t>in our Consolidated Statements of Operations attributable to our Level 3 assets still held at the reporting date.</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1,423,429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1,455,982</w:t>
            </w:r>
          </w:p>
        </w:tc>
        <w:tc>
          <w:tcPr>
            <w:tcW w:w="240" w:type="dxa"/>
            <w:vAlign w:val="bottom"/>
          </w:tcPr>
          <w:p>
            <w:pPr>
              <w:spacing w:after="0"/>
              <w:rPr>
                <w:sz w:val="14"/>
                <w:szCs w:val="14"/>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2,879,411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center"/>
              <w:ind w:left="608"/>
              <w:spacing w:after="0"/>
              <w:rPr>
                <w:sz w:val="20"/>
                <w:szCs w:val="20"/>
                <w:color w:val="auto"/>
              </w:rPr>
            </w:pPr>
            <w:r>
              <w:rPr>
                <w:rFonts w:ascii="Arial" w:cs="Arial" w:eastAsia="Arial" w:hAnsi="Arial"/>
                <w:sz w:val="14"/>
                <w:szCs w:val="14"/>
                <w:b w:val="1"/>
                <w:bCs w:val="1"/>
                <w:color w:val="auto"/>
                <w:w w:val="93"/>
              </w:rPr>
              <w:t>Three Months Ended December 31, 2016</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420" w:type="dxa"/>
            <w:vAlign w:val="bottom"/>
          </w:tcPr>
          <w:p>
            <w:pPr>
              <w:spacing w:after="0"/>
              <w:rPr>
                <w:sz w:val="12"/>
                <w:szCs w:val="12"/>
                <w:color w:val="auto"/>
              </w:rPr>
            </w:pP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548,410,095</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47,412,741</w:t>
            </w:r>
          </w:p>
        </w:tc>
        <w:tc>
          <w:tcPr>
            <w:tcW w:w="240" w:type="dxa"/>
            <w:vAlign w:val="bottom"/>
            <w:tcBorders>
              <w:top w:val="single" w:sz="8" w:color="CCECFF"/>
            </w:tcBorders>
            <w:shd w:val="clear" w:color="auto" w:fill="CCECFF"/>
          </w:tcPr>
          <w:p>
            <w:pPr>
              <w:spacing w:after="0"/>
              <w:rPr>
                <w:sz w:val="13"/>
                <w:szCs w:val="13"/>
                <w:color w:val="auto"/>
              </w:rPr>
            </w:pPr>
          </w:p>
        </w:tc>
        <w:tc>
          <w:tcPr>
            <w:tcW w:w="420" w:type="dxa"/>
            <w:vAlign w:val="bottom"/>
            <w:tcBorders>
              <w:top w:val="single" w:sz="8" w:color="auto"/>
            </w:tcBorders>
            <w:shd w:val="clear" w:color="auto" w:fill="CCEC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595,822,836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280,208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263,993</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544,201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2,051,612</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406,754</w:t>
            </w:r>
          </w:p>
        </w:tc>
        <w:tc>
          <w:tcPr>
            <w:tcW w:w="24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2,458,366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109,256,025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16,035,021</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125,291,046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(59,945,347)</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(10,459,870)</w:t>
            </w:r>
          </w:p>
        </w:tc>
        <w:tc>
          <w:tcPr>
            <w:tcW w:w="4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(70,405,217)</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600,052,593</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53,658,639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420" w:type="dxa"/>
            <w:vAlign w:val="bottom"/>
            <w:tcBorders>
              <w:top w:val="single" w:sz="8" w:color="auto"/>
              <w:bottom w:val="single" w:sz="8" w:color="auto"/>
            </w:tcBorders>
            <w:shd w:val="clear" w:color="auto" w:fill="CCEC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653,711,232</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4"/>
              </w:rPr>
              <w:t>Net change in unrealized appreciation reported within the net change in unrealized appreciation on investments</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w w:val="96"/>
              </w:rPr>
              <w:t>in our Consolidated Statements of Operations attributable to our Level 3 assets still held at the 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1,927,211</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653,710</w:t>
            </w:r>
          </w:p>
        </w:tc>
        <w:tc>
          <w:tcPr>
            <w:tcW w:w="240" w:type="dxa"/>
            <w:vAlign w:val="bottom"/>
          </w:tcPr>
          <w:p>
            <w:pPr>
              <w:spacing w:after="0"/>
              <w:rPr>
                <w:sz w:val="14"/>
                <w:szCs w:val="14"/>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2,580,921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$253,783,301 and $232,907,500,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256,858,457</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232,389,498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(depreciation) appreciation included in earnings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(634,168)</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1,068,214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11,485,010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91,902,000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Repayments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(74,900,000)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(25,500,000)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$190,368,311 and $299,309,500, respectively)</w:t>
            </w: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192,809,299</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299,859,712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As of December 31, 2017,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Borrowed</w:t>
            </w:r>
          </w:p>
        </w:tc>
        <w:tc>
          <w:tcPr>
            <w:tcW w:w="14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26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Australian Dollar</w:t>
            </w:r>
          </w:p>
        </w:tc>
        <w:tc>
          <w:tcPr>
            <w:tcW w:w="30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rPr>
              <w:t>A</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14,900,000</w:t>
            </w:r>
          </w:p>
        </w:tc>
        <w:tc>
          <w:tcPr>
            <w:tcW w:w="2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11,485,010</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11,654,005</w:t>
            </w:r>
          </w:p>
        </w:tc>
        <w:tc>
          <w:tcPr>
            <w:tcW w:w="28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January 2, 2018</w:t>
            </w:r>
          </w:p>
        </w:tc>
        <w:tc>
          <w:tcPr>
            <w:tcW w:w="16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168,995</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Canadian Dollar</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C$</w:t>
            </w:r>
          </w:p>
        </w:tc>
        <w:tc>
          <w:tcPr>
            <w:tcW w:w="1320" w:type="dxa"/>
            <w:vAlign w:val="bottom"/>
          </w:tcPr>
          <w:p>
            <w:pPr>
              <w:jc w:val="right"/>
              <w:spacing w:after="0"/>
              <w:rPr>
                <w:sz w:val="20"/>
                <w:szCs w:val="20"/>
                <w:color w:val="auto"/>
              </w:rPr>
            </w:pPr>
            <w:r>
              <w:rPr>
                <w:rFonts w:ascii="Arial" w:cs="Arial" w:eastAsia="Arial" w:hAnsi="Arial"/>
                <w:sz w:val="14"/>
                <w:szCs w:val="14"/>
                <w:color w:val="auto"/>
              </w:rPr>
              <w:t>17,500,000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12,407,500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13,967,030</w:t>
            </w:r>
          </w:p>
        </w:tc>
        <w:tc>
          <w:tcPr>
            <w:tcW w:w="280" w:type="dxa"/>
            <w:vAlign w:val="bottom"/>
          </w:tcPr>
          <w:p>
            <w:pPr>
              <w:spacing w:after="0"/>
              <w:rPr>
                <w:sz w:val="14"/>
                <w:szCs w:val="14"/>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January 2, 2018</w:t>
            </w: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1,559,530</w:t>
            </w:r>
          </w:p>
        </w:tc>
        <w:tc>
          <w:tcPr>
            <w:tcW w:w="100" w:type="dxa"/>
            <w:vAlign w:val="bottom"/>
          </w:tcPr>
          <w:p>
            <w:pPr>
              <w:spacing w:after="0"/>
              <w:rPr>
                <w:sz w:val="14"/>
                <w:szCs w:val="14"/>
                <w:color w:val="auto"/>
              </w:rPr>
            </w:pPr>
          </w:p>
        </w:tc>
      </w:tr>
      <w:tr>
        <w:trPr>
          <w:trHeight w:val="162"/>
        </w:trPr>
        <w:tc>
          <w:tcPr>
            <w:tcW w:w="2620" w:type="dxa"/>
            <w:vAlign w:val="bottom"/>
            <w:shd w:val="clear" w:color="auto" w:fill="CCECFF"/>
          </w:tcPr>
          <w:p>
            <w:pPr>
              <w:spacing w:after="0"/>
              <w:rPr>
                <w:sz w:val="20"/>
                <w:szCs w:val="20"/>
                <w:color w:val="auto"/>
              </w:rPr>
            </w:pPr>
            <w:r>
              <w:rPr>
                <w:rFonts w:ascii="Arial" w:cs="Arial" w:eastAsia="Arial" w:hAnsi="Arial"/>
                <w:sz w:val="14"/>
                <w:szCs w:val="14"/>
                <w:color w:val="auto"/>
              </w:rPr>
              <w:t>Euro</w:t>
            </w:r>
          </w:p>
        </w:tc>
        <w:tc>
          <w:tcPr>
            <w:tcW w:w="3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12,200,000</w:t>
            </w:r>
          </w:p>
        </w:tc>
        <w:tc>
          <w:tcPr>
            <w:tcW w:w="28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12,675,800</w:t>
            </w:r>
          </w:p>
        </w:tc>
        <w:tc>
          <w:tcPr>
            <w:tcW w:w="28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14,649,723</w:t>
            </w:r>
          </w:p>
        </w:tc>
        <w:tc>
          <w:tcPr>
            <w:tcW w:w="28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1"/>
              </w:rPr>
              <w:t>January 2, 2018</w:t>
            </w:r>
          </w:p>
        </w:tc>
        <w:tc>
          <w:tcPr>
            <w:tcW w:w="46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1,973,923</w:t>
            </w:r>
          </w:p>
        </w:tc>
        <w:tc>
          <w:tcPr>
            <w:tcW w:w="100" w:type="dxa"/>
            <w:vAlign w:val="bottom"/>
            <w:shd w:val="clear" w:color="auto" w:fill="CCECFF"/>
          </w:tcPr>
          <w:p>
            <w:pPr>
              <w:spacing w:after="0"/>
              <w:rPr>
                <w:sz w:val="14"/>
                <w:szCs w:val="14"/>
                <w:color w:val="auto"/>
              </w:rPr>
            </w:pPr>
          </w:p>
        </w:tc>
      </w:tr>
      <w:tr>
        <w:trPr>
          <w:trHeight w:val="155"/>
        </w:trPr>
        <w:tc>
          <w:tcPr>
            <w:tcW w:w="2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36,568,310</w:t>
            </w:r>
          </w:p>
        </w:tc>
        <w:tc>
          <w:tcPr>
            <w:tcW w:w="2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40,270,758</w:t>
            </w: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3,702,448</w:t>
            </w:r>
          </w:p>
        </w:tc>
        <w:tc>
          <w:tcPr>
            <w:tcW w:w="10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As of September 30, 2017,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Borrowed</w:t>
            </w:r>
          </w:p>
        </w:tc>
        <w:tc>
          <w:tcPr>
            <w:tcW w:w="14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in Fair Value</w:t>
            </w:r>
          </w:p>
        </w:tc>
        <w:tc>
          <w:tcPr>
            <w:tcW w:w="20" w:type="dxa"/>
            <w:vAlign w:val="bottom"/>
          </w:tcPr>
          <w:p>
            <w:pPr>
              <w:spacing w:after="0"/>
              <w:rPr>
                <w:sz w:val="14"/>
                <w:szCs w:val="14"/>
                <w:color w:val="auto"/>
              </w:rPr>
            </w:pPr>
          </w:p>
        </w:tc>
      </w:tr>
      <w:tr>
        <w:trPr>
          <w:trHeight w:val="155"/>
        </w:trPr>
        <w:tc>
          <w:tcPr>
            <w:tcW w:w="26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30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8"/>
              </w:rPr>
              <w:t>C</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12,407,501</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13,992,720</w:t>
            </w:r>
          </w:p>
        </w:tc>
        <w:tc>
          <w:tcPr>
            <w:tcW w:w="28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October 2, 2017</w:t>
            </w:r>
          </w:p>
        </w:tc>
        <w:tc>
          <w:tcPr>
            <w:tcW w:w="16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1,585,219</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6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Euro</w:t>
            </w:r>
          </w:p>
        </w:tc>
        <w:tc>
          <w:tcPr>
            <w:tcW w:w="380" w:type="dxa"/>
            <w:vAlign w:val="bottom"/>
            <w:tcBorders>
              <w:bottom w:val="single" w:sz="8" w:color="CCECFF"/>
            </w:tcBorders>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12,200,000</w:t>
            </w:r>
          </w:p>
        </w:tc>
        <w:tc>
          <w:tcPr>
            <w:tcW w:w="28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12,675,800</w:t>
            </w:r>
          </w:p>
        </w:tc>
        <w:tc>
          <w:tcPr>
            <w:tcW w:w="28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14,422,852</w:t>
            </w:r>
          </w:p>
        </w:tc>
        <w:tc>
          <w:tcPr>
            <w:tcW w:w="280" w:type="dxa"/>
            <w:vAlign w:val="bottom"/>
            <w:tcBorders>
              <w:bottom w:val="single" w:sz="8" w:color="CCECFF"/>
            </w:tcBorders>
          </w:tcPr>
          <w:p>
            <w:pPr>
              <w:spacing w:after="0"/>
              <w:rPr>
                <w:sz w:val="14"/>
                <w:szCs w:val="14"/>
                <w:color w:val="auto"/>
              </w:rPr>
            </w:pPr>
          </w:p>
        </w:tc>
        <w:tc>
          <w:tcPr>
            <w:tcW w:w="170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1"/>
              </w:rPr>
              <w:t>October 2, 2017</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1,747,052</w:t>
            </w:r>
          </w:p>
        </w:tc>
        <w:tc>
          <w:tcPr>
            <w:tcW w:w="10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62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13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25,083,301</w:t>
            </w:r>
          </w:p>
        </w:tc>
        <w:tc>
          <w:tcPr>
            <w:tcW w:w="2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28,415,572</w:t>
            </w:r>
          </w:p>
        </w:tc>
        <w:tc>
          <w:tcPr>
            <w:tcW w:w="280" w:type="dxa"/>
            <w:vAlign w:val="bottom"/>
            <w:tcBorders>
              <w:bottom w:val="single" w:sz="8" w:color="CCECFF"/>
            </w:tcBorders>
            <w:shd w:val="clear" w:color="auto" w:fill="CCECFF"/>
          </w:tcPr>
          <w:p>
            <w:pPr>
              <w:spacing w:after="0"/>
              <w:rPr>
                <w:sz w:val="13"/>
                <w:szCs w:val="13"/>
                <w:color w:val="auto"/>
              </w:rPr>
            </w:pPr>
          </w:p>
        </w:tc>
        <w:tc>
          <w:tcPr>
            <w:tcW w:w="15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3,332,271</w:t>
            </w:r>
          </w:p>
        </w:tc>
        <w:tc>
          <w:tcPr>
            <w:tcW w:w="10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7"/>
        </w:trPr>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26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24" w:name="page25"/>
    <w:bookmarkEnd w:id="2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$10.9 million and zero, respectively, relating to amendment costs on the Credit Facility and debt issuance costs on the 2023 Notes during the three months ended December 31, 2017 and 2016.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For the three months ended December 31, 2017, our Credit Facility and the 2023 Notes had a net change in unrealized depreciation of $3.1 million. For the three months ended December 31, 2016, our Credit Facility had a net change in unrealized appreciation of $1.1 million. As of December 31, 2017 and September 30, 2017, the net unrealized depreciation (appreciation) on our Credit Facility and the 2023 Notes totaled $0.1 million and $(3.1)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2017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Fair Value at</w:t>
            </w: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Purchases of /</w:t>
            </w: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Sale of /</w:t>
            </w:r>
          </w:p>
        </w:tc>
        <w:tc>
          <w:tcPr>
            <w:tcW w:w="120" w:type="dxa"/>
            <w:vAlign w:val="bottom"/>
          </w:tcPr>
          <w:p>
            <w:pPr>
              <w:spacing w:after="0"/>
              <w:rPr>
                <w:sz w:val="14"/>
                <w:szCs w:val="14"/>
                <w:color w:val="auto"/>
              </w:rPr>
            </w:pP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Net Change 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8"/>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Advances to</w:t>
            </w: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Affiliates</w:t>
            </w: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from Affiliates</w:t>
            </w:r>
          </w:p>
        </w:tc>
        <w:tc>
          <w:tcPr>
            <w:tcW w:w="1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Accrued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Appreciation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December 31, 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155"/>
        </w:trPr>
        <w:tc>
          <w:tcPr>
            <w:tcW w:w="19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34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34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80" w:type="dxa"/>
            <w:vAlign w:val="bottom"/>
            <w:gridSpan w:val="2"/>
          </w:tcPr>
          <w:p>
            <w:pPr>
              <w:spacing w:after="0" w:line="157" w:lineRule="exact"/>
              <w:rPr>
                <w:sz w:val="20"/>
                <w:szCs w:val="20"/>
                <w:color w:val="auto"/>
              </w:rPr>
            </w:pPr>
            <w:r>
              <w:rPr>
                <w:rFonts w:ascii="Arial" w:cs="Arial" w:eastAsia="Arial" w:hAnsi="Arial"/>
                <w:sz w:val="14"/>
                <w:szCs w:val="14"/>
                <w:color w:val="auto"/>
              </w:rPr>
              <w:t>PennantPark Senior Secured</w:t>
            </w: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80" w:type="dxa"/>
            <w:vAlign w:val="bottom"/>
            <w:gridSpan w:val="2"/>
          </w:tcPr>
          <w:p>
            <w:pPr>
              <w:ind w:left="140"/>
              <w:spacing w:after="0"/>
              <w:rPr>
                <w:sz w:val="20"/>
                <w:szCs w:val="20"/>
                <w:color w:val="auto"/>
              </w:rPr>
            </w:pPr>
            <w:r>
              <w:rPr>
                <w:rFonts w:ascii="Arial" w:cs="Arial" w:eastAsia="Arial" w:hAnsi="Arial"/>
                <w:sz w:val="14"/>
                <w:szCs w:val="14"/>
                <w:color w:val="auto"/>
              </w:rPr>
              <w:t>Loan Fund I LLC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43,525,143</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18,000,000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535,760</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318,442</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61,843,585</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80" w:type="dxa"/>
            <w:vAlign w:val="bottom"/>
            <w:tcBorders>
              <w:top w:val="single" w:sz="8" w:color="CCECFF"/>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Total Controlled Affiliates</w:t>
            </w: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43,525,143</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18,000,000</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ind w:left="7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535,760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318,442</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61,843,585</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ind w:left="78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right="100" w:hanging="372"/>
        <w:spacing w:after="0" w:line="233" w:lineRule="auto"/>
        <w:tabs>
          <w:tab w:leader="none" w:pos="3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We and Kemper are the members of PSSL, a joint venture formed as a Delaware limited liability company that is not consolidated by us for financial reporting purposes. The members of PSSL make investments in the PSSL in the form of equity interests and subordinated debt, and all portfolio and other material decision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8599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1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6350</wp:posOffset>
            </wp:positionV>
            <wp:extent cx="23571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 w:lineRule="exact"/>
        <w:rPr>
          <w:sz w:val="20"/>
          <w:szCs w:val="20"/>
          <w:color w:val="auto"/>
        </w:rPr>
      </w:pPr>
    </w:p>
    <w:p>
      <w:pPr>
        <w:ind w:left="8120"/>
        <w:spacing w:after="0"/>
        <w:tabs>
          <w:tab w:leader="none" w:pos="101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960" w:type="dxa"/>
            <w:vAlign w:val="bottom"/>
            <w:shd w:val="clear" w:color="auto" w:fill="CCECFF"/>
          </w:tcPr>
          <w:p>
            <w:pPr>
              <w:spacing w:after="0" w:line="20" w:lineRule="exact"/>
              <w:rPr>
                <w:sz w:val="1"/>
                <w:szCs w:val="1"/>
                <w:color w:val="auto"/>
              </w:rPr>
            </w:pPr>
          </w:p>
        </w:tc>
        <w:tc>
          <w:tcPr>
            <w:tcW w:w="1460" w:type="dxa"/>
            <w:vAlign w:val="bottom"/>
            <w:shd w:val="clear" w:color="auto" w:fill="CCEC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35"/>
        </w:trPr>
        <w:tc>
          <w:tcPr>
            <w:tcW w:w="5960" w:type="dxa"/>
            <w:vAlign w:val="bottom"/>
            <w:shd w:val="clear" w:color="auto" w:fill="CCECFF"/>
          </w:tcPr>
          <w:p>
            <w:pPr>
              <w:spacing w:after="0" w:line="135" w:lineRule="exact"/>
              <w:rPr>
                <w:sz w:val="20"/>
                <w:szCs w:val="20"/>
                <w:color w:val="auto"/>
              </w:rPr>
            </w:pPr>
            <w:r>
              <w:rPr>
                <w:rFonts w:ascii="Arial" w:cs="Arial" w:eastAsia="Arial" w:hAnsi="Arial"/>
                <w:sz w:val="14"/>
                <w:szCs w:val="14"/>
                <w:color w:val="auto"/>
              </w:rPr>
              <w:t>Numerator for net increase in net assets resulting from operations</w:t>
            </w:r>
          </w:p>
        </w:tc>
        <w:tc>
          <w:tcPr>
            <w:tcW w:w="2020" w:type="dxa"/>
            <w:vAlign w:val="bottom"/>
            <w:gridSpan w:val="2"/>
            <w:shd w:val="clear" w:color="auto" w:fill="CCECFF"/>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1140" w:type="dxa"/>
            <w:vAlign w:val="bottom"/>
            <w:shd w:val="clear" w:color="auto" w:fill="CCECFF"/>
          </w:tcPr>
          <w:p>
            <w:pPr>
              <w:jc w:val="right"/>
              <w:spacing w:after="0" w:line="135" w:lineRule="exact"/>
              <w:rPr>
                <w:sz w:val="20"/>
                <w:szCs w:val="20"/>
                <w:color w:val="auto"/>
              </w:rPr>
            </w:pPr>
            <w:r>
              <w:rPr>
                <w:rFonts w:ascii="Arial" w:cs="Arial" w:eastAsia="Arial" w:hAnsi="Arial"/>
                <w:sz w:val="14"/>
                <w:szCs w:val="14"/>
                <w:color w:val="auto"/>
              </w:rPr>
              <w:t>1,918,782</w:t>
            </w:r>
          </w:p>
        </w:tc>
        <w:tc>
          <w:tcPr>
            <w:tcW w:w="860" w:type="dxa"/>
            <w:vAlign w:val="bottom"/>
            <w:gridSpan w:val="2"/>
            <w:shd w:val="clear" w:color="auto" w:fill="CCECFF"/>
          </w:tcPr>
          <w:p>
            <w:pPr>
              <w:jc w:val="right"/>
              <w:ind w:right="500"/>
              <w:spacing w:after="0" w:line="135" w:lineRule="exact"/>
              <w:rPr>
                <w:sz w:val="20"/>
                <w:szCs w:val="20"/>
                <w:color w:val="auto"/>
              </w:rPr>
            </w:pPr>
            <w:r>
              <w:rPr>
                <w:rFonts w:ascii="Arial" w:cs="Arial" w:eastAsia="Arial" w:hAnsi="Arial"/>
                <w:sz w:val="14"/>
                <w:szCs w:val="14"/>
                <w:color w:val="auto"/>
              </w:rPr>
              <w:t>$</w:t>
            </w:r>
          </w:p>
        </w:tc>
        <w:tc>
          <w:tcPr>
            <w:tcW w:w="1160" w:type="dxa"/>
            <w:vAlign w:val="bottom"/>
            <w:shd w:val="clear" w:color="auto" w:fill="CCECFF"/>
          </w:tcPr>
          <w:p>
            <w:pPr>
              <w:jc w:val="right"/>
              <w:spacing w:after="0" w:line="135" w:lineRule="exact"/>
              <w:rPr>
                <w:sz w:val="20"/>
                <w:szCs w:val="20"/>
                <w:color w:val="auto"/>
              </w:rPr>
            </w:pPr>
            <w:r>
              <w:rPr>
                <w:rFonts w:ascii="Arial" w:cs="Arial" w:eastAsia="Arial" w:hAnsi="Arial"/>
                <w:sz w:val="14"/>
                <w:szCs w:val="14"/>
                <w:color w:val="auto"/>
              </w:rPr>
              <w:t>8,848,909</w:t>
            </w:r>
          </w:p>
        </w:tc>
        <w:tc>
          <w:tcPr>
            <w:tcW w:w="100" w:type="dxa"/>
            <w:vAlign w:val="bottom"/>
            <w:shd w:val="clear" w:color="auto" w:fill="CCECFF"/>
          </w:tcPr>
          <w:p>
            <w:pPr>
              <w:spacing w:after="0"/>
              <w:rPr>
                <w:sz w:val="11"/>
                <w:szCs w:val="11"/>
                <w:color w:val="auto"/>
              </w:rPr>
            </w:pPr>
          </w:p>
        </w:tc>
      </w:tr>
      <w:tr>
        <w:trPr>
          <w:trHeight w:val="162"/>
        </w:trPr>
        <w:tc>
          <w:tcPr>
            <w:tcW w:w="596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36,895,509</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26,730,074</w:t>
            </w:r>
          </w:p>
        </w:tc>
        <w:tc>
          <w:tcPr>
            <w:tcW w:w="100" w:type="dxa"/>
            <w:vAlign w:val="bottom"/>
          </w:tcPr>
          <w:p>
            <w:pPr>
              <w:spacing w:after="0"/>
              <w:rPr>
                <w:sz w:val="14"/>
                <w:szCs w:val="14"/>
                <w:color w:val="auto"/>
              </w:rPr>
            </w:pPr>
          </w:p>
        </w:tc>
      </w:tr>
      <w:tr>
        <w:trPr>
          <w:trHeight w:val="162"/>
        </w:trPr>
        <w:tc>
          <w:tcPr>
            <w:tcW w:w="596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020" w:type="dxa"/>
            <w:vAlign w:val="bottom"/>
            <w:gridSpan w:val="2"/>
            <w:shd w:val="clear" w:color="auto" w:fill="CCECFF"/>
          </w:tcPr>
          <w:p>
            <w:pPr>
              <w:jc w:val="right"/>
              <w:ind w:right="4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0.05</w:t>
            </w:r>
          </w:p>
        </w:tc>
        <w:tc>
          <w:tcPr>
            <w:tcW w:w="860" w:type="dxa"/>
            <w:vAlign w:val="bottom"/>
            <w:gridSpan w:val="2"/>
            <w:shd w:val="clear" w:color="auto" w:fill="CCECFF"/>
          </w:tcPr>
          <w:p>
            <w:pPr>
              <w:jc w:val="right"/>
              <w:ind w:right="5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0.33</w:t>
            </w:r>
          </w:p>
        </w:tc>
        <w:tc>
          <w:tcPr>
            <w:tcW w:w="10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2017 and September 30, 2017, cash and cash equivalents consisted of money market funds in the amounts of $127.8 million and $18.9 million at fair value,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2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420" w:type="dxa"/>
            <w:vAlign w:val="bottom"/>
          </w:tcPr>
          <w:p>
            <w:pPr>
              <w:ind w:left="500"/>
              <w:spacing w:after="0"/>
              <w:rPr>
                <w:sz w:val="20"/>
                <w:szCs w:val="20"/>
                <w:color w:val="auto"/>
              </w:rPr>
            </w:pPr>
            <w:r>
              <w:rPr>
                <w:rFonts w:ascii="Arial" w:cs="Arial" w:eastAsia="Arial" w:hAnsi="Arial"/>
                <w:sz w:val="14"/>
                <w:szCs w:val="14"/>
                <w:color w:val="auto"/>
              </w:rPr>
              <w:t>Below are the financial highlights:</w:t>
            </w: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5420" w:type="dxa"/>
            <w:vAlign w:val="bottom"/>
            <w:tcBorders>
              <w:bottom w:val="single" w:sz="8" w:color="CCECFF"/>
            </w:tcBorders>
          </w:tcPr>
          <w:p>
            <w:pPr>
              <w:spacing w:after="0"/>
              <w:rPr>
                <w:sz w:val="13"/>
                <w:szCs w:val="13"/>
                <w:color w:val="auto"/>
              </w:rPr>
            </w:pPr>
          </w:p>
        </w:tc>
        <w:tc>
          <w:tcPr>
            <w:tcW w:w="22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222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256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14.10</w:t>
            </w:r>
          </w:p>
        </w:tc>
        <w:tc>
          <w:tcPr>
            <w:tcW w:w="28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(loss) income </w:t>
            </w:r>
            <w:r>
              <w:rPr>
                <w:rFonts w:ascii="Arial" w:cs="Arial" w:eastAsia="Arial" w:hAnsi="Arial"/>
                <w:sz w:val="12"/>
                <w:szCs w:val="12"/>
                <w:color w:val="auto"/>
              </w:rPr>
              <w:t>(1)</w:t>
            </w:r>
          </w:p>
        </w:tc>
        <w:tc>
          <w:tcPr>
            <w:tcW w:w="22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 xml:space="preserve">Net change in realized and unrealized gain </w:t>
            </w:r>
            <w:r>
              <w:rPr>
                <w:rFonts w:ascii="Arial" w:cs="Arial" w:eastAsia="Arial" w:hAnsi="Arial"/>
                <w:sz w:val="12"/>
                <w:szCs w:val="12"/>
                <w:color w:val="auto"/>
              </w:rPr>
              <w:t>(1)</w:t>
            </w:r>
          </w:p>
        </w:tc>
        <w:tc>
          <w:tcPr>
            <w:tcW w:w="222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28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222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0.05</w:t>
            </w:r>
          </w:p>
        </w:tc>
        <w:tc>
          <w:tcPr>
            <w:tcW w:w="2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0.33</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(Dilutive) effect of common stock issuance</w:t>
            </w:r>
          </w:p>
        </w:tc>
        <w:tc>
          <w:tcPr>
            <w:tcW w:w="22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2220" w:type="dxa"/>
            <w:vAlign w:val="bottom"/>
            <w:tcBorders>
              <w:bottom w:val="single" w:sz="8" w:color="CCEC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13.86</w:t>
            </w:r>
          </w:p>
        </w:tc>
        <w:tc>
          <w:tcPr>
            <w:tcW w:w="28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14.11</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4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222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13.72</w:t>
            </w:r>
          </w:p>
        </w:tc>
        <w:tc>
          <w:tcPr>
            <w:tcW w:w="28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14.11</w:t>
            </w:r>
          </w:p>
        </w:tc>
        <w:tc>
          <w:tcPr>
            <w:tcW w:w="1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(3.28)%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162"/>
        </w:trPr>
        <w:tc>
          <w:tcPr>
            <w:tcW w:w="54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period</w:t>
            </w:r>
          </w:p>
        </w:tc>
        <w:tc>
          <w:tcPr>
            <w:tcW w:w="222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38,772,074</w:t>
            </w:r>
          </w:p>
        </w:tc>
        <w:tc>
          <w:tcPr>
            <w:tcW w:w="28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26,730,074</w:t>
            </w:r>
          </w:p>
        </w:tc>
        <w:tc>
          <w:tcPr>
            <w:tcW w:w="1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Ratios** / Supplemental Data:</w:t>
            </w: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22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2"/>
                <w:szCs w:val="12"/>
                <w:color w:val="auto"/>
              </w:rPr>
              <w:t>(5)</w:t>
            </w: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222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20" w:type="dxa"/>
            <w:vAlign w:val="bottom"/>
            <w:vMerge w:val="continue"/>
            <w:shd w:val="clear" w:color="auto" w:fill="CCECFF"/>
          </w:tcPr>
          <w:p>
            <w:pPr>
              <w:spacing w:after="0"/>
              <w:rPr>
                <w:sz w:val="13"/>
                <w:szCs w:val="13"/>
                <w:color w:val="auto"/>
              </w:rPr>
            </w:pPr>
          </w:p>
        </w:tc>
        <w:tc>
          <w:tcPr>
            <w:tcW w:w="222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480" w:type="dxa"/>
            <w:vAlign w:val="bottom"/>
            <w:gridSpan w:val="2"/>
            <w:shd w:val="clear" w:color="auto" w:fill="CCECFF"/>
          </w:tcPr>
          <w:p>
            <w:pPr>
              <w:jc w:val="right"/>
              <w:ind w:right="160"/>
              <w:spacing w:after="0" w:line="155" w:lineRule="exact"/>
              <w:rPr>
                <w:sz w:val="20"/>
                <w:szCs w:val="20"/>
                <w:color w:val="auto"/>
              </w:rPr>
            </w:pPr>
            <w:r>
              <w:rPr>
                <w:rFonts w:ascii="Arial" w:cs="Arial" w:eastAsia="Arial" w:hAnsi="Arial"/>
                <w:sz w:val="14"/>
                <w:szCs w:val="14"/>
                <w:color w:val="auto"/>
              </w:rPr>
              <w:t>6.64%</w:t>
            </w: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2560" w:type="dxa"/>
            <w:vAlign w:val="bottom"/>
            <w:gridSpan w:val="2"/>
            <w:shd w:val="clear" w:color="auto" w:fill="CCECFF"/>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537,420,251</w:t>
            </w:r>
          </w:p>
        </w:tc>
        <w:tc>
          <w:tcPr>
            <w:tcW w:w="280" w:type="dxa"/>
            <w:vAlign w:val="bottom"/>
            <w:shd w:val="clear" w:color="auto" w:fill="CCECFF"/>
          </w:tcPr>
          <w:p>
            <w:pPr>
              <w:spacing w:after="0"/>
              <w:rPr>
                <w:sz w:val="14"/>
                <w:szCs w:val="14"/>
                <w:color w:val="auto"/>
              </w:rPr>
            </w:pPr>
          </w:p>
        </w:tc>
        <w:tc>
          <w:tcPr>
            <w:tcW w:w="440" w:type="dxa"/>
            <w:vAlign w:val="bottom"/>
            <w:gridSpan w:val="2"/>
            <w:shd w:val="clear" w:color="auto" w:fill="CCECFF"/>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377,137,666</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22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275,476,105</w:t>
            </w:r>
          </w:p>
        </w:tc>
        <w:tc>
          <w:tcPr>
            <w:tcW w:w="2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247,183,783</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222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7.47</w:t>
            </w:r>
          </w:p>
        </w:tc>
        <w:tc>
          <w:tcPr>
            <w:tcW w:w="2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9.25</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256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2,634</w:t>
            </w:r>
          </w:p>
        </w:tc>
        <w:tc>
          <w:tcPr>
            <w:tcW w:w="28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2,258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22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81.67%</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44.82%</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240" w:firstLine="8"/>
        <w:spacing w:after="0" w:line="248" w:lineRule="auto"/>
        <w:tabs>
          <w:tab w:leader="none" w:pos="364" w:val="left"/>
        </w:tabs>
        <w:numPr>
          <w:ilvl w:val="0"/>
          <w:numId w:val="13"/>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8599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line="221"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40" w:hanging="372"/>
        <w:spacing w:after="0" w:line="221"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60" w:right="440" w:hanging="352"/>
        <w:spacing w:after="0" w:line="221" w:lineRule="auto"/>
        <w:tabs>
          <w:tab w:leader="none" w:pos="3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 which was terminated on November 22, 2017.</w:t>
      </w:r>
    </w:p>
    <w:p>
      <w:pPr>
        <w:ind w:left="360" w:hanging="352"/>
        <w:spacing w:after="0" w:line="221" w:lineRule="auto"/>
        <w:tabs>
          <w:tab w:leader="none" w:pos="3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60" w:hanging="352"/>
        <w:spacing w:after="0" w:line="221" w:lineRule="auto"/>
        <w:tabs>
          <w:tab w:leader="none" w:pos="3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Credit Facility amendment and debt issuance costs, if any, are not annualized.</w:t>
      </w:r>
    </w:p>
    <w:p>
      <w:pPr>
        <w:ind w:left="380" w:right="80" w:hanging="372"/>
        <w:spacing w:after="0" w:line="271" w:lineRule="auto"/>
        <w:tabs>
          <w:tab w:leader="none" w:pos="380" w:val="left"/>
        </w:tabs>
        <w:numPr>
          <w:ilvl w:val="0"/>
          <w:numId w:val="14"/>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The annualized weighted average cost of debt for the three months ended December 31, 2017 and 2016, inclusive of the fee on the undrawn commitment of 0.375% on the Credit Facility, amendment costs and debt issuance costs, was 7.75% and 2.91%,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I’s multi-currency Credit Facility with affiliates of SunTrust Bank, or the Lenders, was $405 million as of December 31, 2017, subject to satisfaction of certain conditions and the regulatory restrictions that the 1940 Act imposes on us as a BDC, has an interest rate spread above LIBOR of 200 basis points, a maturity date of November 2022 and a revolving period that ends in November 2020. As of December 31, 2017 and September 30, 2017, Funding I had $190.4 million and $253.8 million of outstanding borrowings under the Credit Facility, respectively. The Credit Facility had a weighted average interest rate of 3.46% and 3.18%, exclusive of the fee on undrawn commitments as of December 31, 2017 and September 30, 2017, respectively.</w:t>
      </w:r>
    </w:p>
    <w:p>
      <w:pPr>
        <w:spacing w:after="0" w:line="107" w:lineRule="exact"/>
        <w:rPr>
          <w:sz w:val="20"/>
          <w:szCs w:val="20"/>
          <w:color w:val="auto"/>
        </w:rPr>
      </w:pPr>
    </w:p>
    <w:p>
      <w:pPr>
        <w:jc w:val="both"/>
        <w:ind w:right="5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November 2022.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December 31, 2017, we were in compliance with the covenants relating to our Credit Facility.</w:t>
      </w:r>
    </w:p>
    <w:p>
      <w:pPr>
        <w:spacing w:after="0" w:line="107"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November 2017, we issued $138.6 million of our 2023 Notes pursuant to a deed of trust between the Company and Mishmeret Trust Company, Ltd. as trustee.</w:t>
      </w:r>
    </w:p>
    <w:p>
      <w:pPr>
        <w:spacing w:after="0" w:line="136"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The 2023 Notes pay interest at a rate of 3.83%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PennantPark Floating Rate Capital Ltd.’s existing and future unsecured indebtedness and are generally redeemable at our option. The deed of trust governing the 2023 Notes includes certain customary covenants, including minimum equity requirements, and events of default. Please see the deed of trust filed as Exhibit (d)(8) to our post-effective amendment filed on December 13, 2017 for more information. The 2023 Notes are rated ilAA- by S&amp;P Global Ratings Maalot Ltd. and are listed for trading on the TASE. In connection with this offering, we have dual listed our common stock on the TASE.</w:t>
      </w:r>
    </w:p>
    <w:p>
      <w:pPr>
        <w:spacing w:after="0" w:line="117"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December 31, 2017 and September 30, 2017, we had $42.4 million and $30.6 million, respectively, in commitments to fund investments. Additionally, as described in Note 4, the Company had commitments of up to $26.5 million and $44.6 million, respectively, to PSSL as of December 31, 2017 and September 30, 2017, respectively, that may be contributed primarily for the purpose of funding new investments approved by the PSSL board of directors or investment committee.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27" w:name="page28"/>
    <w:bookmarkEnd w:id="27"/>
    <w:p>
      <w:pPr>
        <w:ind w:lef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PennantPark Floating Rate Capital Ltd. and its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Results of Review of Interim Financial Statements</w:t>
      </w:r>
    </w:p>
    <w:p>
      <w:pPr>
        <w:spacing w:after="0" w:line="136" w:lineRule="exact"/>
        <w:rPr>
          <w:sz w:val="20"/>
          <w:szCs w:val="20"/>
          <w:color w:val="auto"/>
        </w:rPr>
      </w:pPr>
    </w:p>
    <w:p>
      <w:pPr>
        <w:jc w:val="both"/>
        <w:ind w:firstLine="365"/>
        <w:spacing w:after="0" w:line="231" w:lineRule="auto"/>
        <w:rPr>
          <w:sz w:val="20"/>
          <w:szCs w:val="20"/>
          <w:color w:val="auto"/>
        </w:rPr>
      </w:pPr>
      <w:r>
        <w:rPr>
          <w:rFonts w:ascii="Arial" w:cs="Arial" w:eastAsia="Arial" w:hAnsi="Arial"/>
          <w:sz w:val="14"/>
          <w:szCs w:val="14"/>
          <w:color w:val="auto"/>
        </w:rPr>
        <w:t>We have reviewed the accompanying consolidated statements of assets and liabilities of PennantPark Floating Rate Capital Ltd. and its Subsidiaries (collectively referred to as the "Company"), including the consolidated schedule of investments as of December 31, 2017, and the related consolidated statements of operations, changes in net assets and cash flows for the three-month periods ended December 31, 2017 and 2016, and the related notes (collectively referred to as the "interim financial statements"). Based on our reviews, we are not aware of any material modifications that should be made to the interim financial statements referred to above for them to be in conformity with accounting principles generally accepted in the United States of America.</w:t>
      </w:r>
    </w:p>
    <w:p>
      <w:pPr>
        <w:spacing w:after="0" w:line="116" w:lineRule="exact"/>
        <w:rPr>
          <w:sz w:val="20"/>
          <w:szCs w:val="20"/>
          <w:color w:val="auto"/>
        </w:rPr>
      </w:pPr>
    </w:p>
    <w:p>
      <w:pPr>
        <w:jc w:val="both"/>
        <w:ind w:firstLine="365"/>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2017, and the related consolidated statements of operations, changes in net assets, and cash flows for the year then ended (not presented herein); and in our report dated November 30, 2017, we expressed an unqualified opinion on those consolidated financial statements. In our opinion, the information set forth in the accompanying consolidated statement of assets and liabilities, including the consolidated schedule of investments as of September 30, 2017, is fairly stated, in all material respects, in relation to the consolidated statement of assets and liabilities from which it has been derived.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Basis for Review Results</w:t>
      </w:r>
    </w:p>
    <w:p>
      <w:pPr>
        <w:spacing w:after="0" w:line="136"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interim financial statements taken as a whole. Accordingly, we do not express such an opinion.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8, 2018</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8" w:name="page29"/>
    <w:bookmarkEnd w:id="28"/>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jc w:val="both"/>
        <w:ind w:right="100" w:firstLine="496"/>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136"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300" w:firstLine="438"/>
        <w:spacing w:after="0" w:line="290"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84"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9" w:name="page30"/>
    <w:bookmarkEnd w:id="29"/>
    <w:p>
      <w:pPr>
        <w:ind w:right="180" w:firstLine="438"/>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07"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40" w:firstLine="438"/>
        <w:spacing w:after="0" w:line="244"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72"/>
        <w:spacing w:after="0" w:line="253" w:lineRule="auto"/>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0" w:name="page31"/>
    <w:bookmarkEnd w:id="30"/>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60" w:firstLine="438"/>
        <w:spacing w:after="0" w:line="228" w:lineRule="auto"/>
        <w:rPr>
          <w:sz w:val="20"/>
          <w:szCs w:val="20"/>
          <w:color w:val="auto"/>
        </w:rPr>
      </w:pPr>
      <w:r>
        <w:rPr>
          <w:rFonts w:ascii="Arial" w:cs="Arial" w:eastAsia="Arial" w:hAnsi="Arial"/>
          <w:sz w:val="14"/>
          <w:szCs w:val="14"/>
          <w:color w:val="auto"/>
        </w:rPr>
        <w:t>As of December 31, 2017, our portfolio totaled $739.4 million and consisted of $619.3 million of first lien secured debt, $39.9 million of second lien secured debt, $45.4 million of subordinated debt (of which $42.7 million was invested in PSSL) and $34.8 million of preferred and common equity (of which $19.1 million was invested in PSSL). Our debt portfolio consisted of 99% variable-rate investments (including 4% where LIBOR was below the floor) and 1% fixed-rate investments. As of December 31, 2017, we had one company on non-accrual, representing 0.4% and 0.2% of our overall portfolio on a cost and fair value basis, respectively. Overall, the portfolio had net unrealized appreciation of $5.6 million. Our overall portfolio consisted of 84 companies with an average investment size of $8.8 million, had a weighted average yield on debt investments of 8.3%, and was invested 84% in first lien secured debt, 5% in second lien secured debt, 6% in subordinated debt (of which 6% was invested in PSSL) and 5% in preferred and common equity (of which 3% was invested in PSSL). As of December 31, 2017, all of the investments held in PSSL were first lien secured debt.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 of September 30, 2017, our portfolio totaled $710.5 million and consisted of $609.7 million of first lien secured debt, $37.8 million of second lien secured debt,</w:t>
      </w:r>
    </w:p>
    <w:p>
      <w:pPr>
        <w:ind w:right="20"/>
        <w:spacing w:after="0" w:line="226" w:lineRule="auto"/>
        <w:rPr>
          <w:sz w:val="20"/>
          <w:szCs w:val="20"/>
          <w:color w:val="auto"/>
        </w:rPr>
      </w:pPr>
      <w:r>
        <w:rPr>
          <w:rFonts w:ascii="Arial" w:cs="Arial" w:eastAsia="Arial" w:hAnsi="Arial"/>
          <w:sz w:val="14"/>
          <w:szCs w:val="14"/>
          <w:color w:val="auto"/>
        </w:rPr>
        <w:t>$37.5 million of subordinated debt (of which $30.1 million was invested in PSSL) and $25.5 million of preferred and common equity (of which $13.4 million was invested in PSSL). Our debt portfolio consisted of 99% variable-rate investments (including 7% where LIBOR was below the floor) and 1% fixed-rate investments. As of September 30, 2017, we had one company on non-accrual, representing 0.4% and 0.2% of our overall portfolio on a cost and fair value basis, respectively. Overall, the portfolio had net unrealized appreciation of $2.0 million. Our overall portfolio consisted of 82 companies with an average investment size of $8.7 million, had a weighted average yield on debt investments of 8.0%, and was invested 86% in first lien secured debt, 5% in second lien secured debt, 5% in subordinated debt (of which 4% was invested in PSSL) and 4% in preferred and common equity (of which 2% was invested in PSSL). As of September 30, 2017, all of the investments held in PSSL were first lien secured debt.</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For the three months ended December 31, 2017, we invested $176.9 million in 11 new and 11 existing portfolio companies with a weighted average yield on debt investments of 8.0%.</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2017 totaled $149.1 million.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For the three months ended December 31, 2016, we invested $124.8 million in 12 new and 13 existing portfolio companies with a weighted average yield on debt investments of 7.6%.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2016 totaled $70.4 million.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Our portfolio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6" w:lineRule="exact"/>
        <w:rPr>
          <w:sz w:val="20"/>
          <w:szCs w:val="20"/>
          <w:color w:val="auto"/>
        </w:rPr>
      </w:pPr>
    </w:p>
    <w:p>
      <w:pPr>
        <w:ind w:left="900" w:right="300" w:hanging="447"/>
        <w:spacing w:after="0" w:line="253" w:lineRule="auto"/>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900" w:right="100" w:hanging="447"/>
        <w:spacing w:after="0" w:line="264"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00" w:right="340" w:hanging="447"/>
        <w:spacing w:after="0" w:line="238" w:lineRule="auto"/>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00" w:right="100" w:hanging="447"/>
        <w:spacing w:after="0" w:line="253" w:lineRule="auto"/>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1" w:name="page32"/>
    <w:bookmarkEnd w:id="31"/>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2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and liabilities at fair value, and made an irrevocable election to apply ASC 825-10 to our Credit Facility and the 2023 Notes. We elected to use the fair value option for our Credit Facility and the</w:t>
      </w:r>
    </w:p>
    <w:p>
      <w:pPr>
        <w:spacing w:after="0"/>
        <w:rPr>
          <w:sz w:val="20"/>
          <w:szCs w:val="20"/>
          <w:color w:val="auto"/>
        </w:rPr>
      </w:pPr>
      <w:r>
        <w:rPr>
          <w:rFonts w:ascii="Arial" w:cs="Arial" w:eastAsia="Arial" w:hAnsi="Arial"/>
          <w:sz w:val="13"/>
          <w:szCs w:val="13"/>
          <w:color w:val="auto"/>
        </w:rPr>
        <w:t>2023 Notes to align the measurement attributes of both our assets and liabilities while mitigating volatility in earnings from using different measurement attributes. Due to that election and in</w:t>
      </w:r>
    </w:p>
    <w:p>
      <w:pPr>
        <w:spacing w:after="0"/>
        <w:rPr>
          <w:sz w:val="20"/>
          <w:szCs w:val="20"/>
          <w:color w:val="auto"/>
        </w:rPr>
      </w:pPr>
      <w:r>
        <w:rPr>
          <w:rFonts w:ascii="Arial" w:cs="Arial" w:eastAsia="Arial" w:hAnsi="Arial"/>
          <w:sz w:val="13"/>
          <w:szCs w:val="13"/>
          <w:color w:val="auto"/>
        </w:rPr>
        <w:t>accordance with GAAP, we incurred expenses of $10.9 million and zero, respectively, relating to amendment costs on the Credit Facility and debt issuance costs on the 2023 Notes during the</w:t>
      </w:r>
    </w:p>
    <w:p>
      <w:pPr>
        <w:spacing w:after="0"/>
        <w:rPr>
          <w:sz w:val="20"/>
          <w:szCs w:val="20"/>
          <w:color w:val="auto"/>
        </w:rPr>
      </w:pPr>
      <w:r>
        <w:rPr>
          <w:rFonts w:ascii="Arial" w:cs="Arial" w:eastAsia="Arial" w:hAnsi="Arial"/>
          <w:sz w:val="13"/>
          <w:szCs w:val="13"/>
          <w:color w:val="auto"/>
        </w:rPr>
        <w:t>three months ended December 31, 2017 and 2016. ASC 825-10 establishes presentation and disclosure requirements designed to facilitate comparisons between companies that choose different</w:t>
      </w:r>
    </w:p>
    <w:p>
      <w:pPr>
        <w:spacing w:after="0"/>
        <w:rPr>
          <w:sz w:val="20"/>
          <w:szCs w:val="20"/>
          <w:color w:val="auto"/>
        </w:rPr>
      </w:pPr>
      <w:r>
        <w:rPr>
          <w:rFonts w:ascii="Arial" w:cs="Arial" w:eastAsia="Arial" w:hAnsi="Arial"/>
          <w:sz w:val="13"/>
          <w:szCs w:val="13"/>
          <w:color w:val="auto"/>
        </w:rPr>
        <w:t>measurement attributes for similar types of assets and liabilities and to more easily understand the effect on earnings of a company’s choice to use fair value. ASC 825-10 also requires entities to</w:t>
      </w:r>
    </w:p>
    <w:p>
      <w:pPr>
        <w:spacing w:after="0"/>
        <w:rPr>
          <w:sz w:val="20"/>
          <w:szCs w:val="20"/>
          <w:color w:val="auto"/>
        </w:rPr>
      </w:pPr>
      <w:r>
        <w:rPr>
          <w:rFonts w:ascii="Arial" w:cs="Arial" w:eastAsia="Arial" w:hAnsi="Arial"/>
          <w:sz w:val="13"/>
          <w:szCs w:val="13"/>
          <w:color w:val="auto"/>
        </w:rPr>
        <w:t>display the fair value of the selected assets and liabilities on the face of the Consolidated Statements of Assets and Liabilities and changes in fair value of the Credit Facility and the 2023 Notes</w:t>
      </w:r>
    </w:p>
    <w:p>
      <w:pPr>
        <w:spacing w:after="0"/>
        <w:rPr>
          <w:sz w:val="20"/>
          <w:szCs w:val="20"/>
          <w:color w:val="auto"/>
        </w:rPr>
      </w:pPr>
      <w:r>
        <w:rPr>
          <w:rFonts w:ascii="Arial" w:cs="Arial" w:eastAsia="Arial" w:hAnsi="Arial"/>
          <w:sz w:val="13"/>
          <w:szCs w:val="13"/>
          <w:color w:val="auto"/>
        </w:rPr>
        <w:t>are reported in our Consolidated Statements of Operations. We elected not to apply ASC 825-10 to any other financial assets or liabilities. For the three months ended December 31, 2017, our</w:t>
      </w:r>
    </w:p>
    <w:p>
      <w:pPr>
        <w:spacing w:after="0"/>
        <w:rPr>
          <w:sz w:val="20"/>
          <w:szCs w:val="20"/>
          <w:color w:val="auto"/>
        </w:rPr>
      </w:pPr>
      <w:r>
        <w:rPr>
          <w:rFonts w:ascii="Arial" w:cs="Arial" w:eastAsia="Arial" w:hAnsi="Arial"/>
          <w:sz w:val="13"/>
          <w:szCs w:val="13"/>
          <w:color w:val="auto"/>
        </w:rPr>
        <w:t>Credit Facility and the 2023 Notes had a net change in unrealized depreciation of $3.1 million. For the three months ended December 31, 2016, our Credit Facility had a net change in unrealized</w:t>
      </w:r>
    </w:p>
    <w:p>
      <w:pPr>
        <w:spacing w:after="0"/>
        <w:rPr>
          <w:sz w:val="20"/>
          <w:szCs w:val="20"/>
          <w:color w:val="auto"/>
        </w:rPr>
      </w:pPr>
      <w:r>
        <w:rPr>
          <w:rFonts w:ascii="Arial" w:cs="Arial" w:eastAsia="Arial" w:hAnsi="Arial"/>
          <w:sz w:val="13"/>
          <w:szCs w:val="13"/>
          <w:color w:val="auto"/>
        </w:rPr>
        <w:t>appreciation $1.1 million. As of December 31, 2017 and September 30, 2017, the net unrealized depreciation (appreciation) on our Credit Facility and the 2023 Notes totaled $0.1 million and</w:t>
      </w:r>
    </w:p>
    <w:p>
      <w:pPr>
        <w:spacing w:after="0"/>
        <w:rPr>
          <w:sz w:val="20"/>
          <w:szCs w:val="20"/>
          <w:color w:val="auto"/>
        </w:rPr>
      </w:pPr>
      <w:r>
        <w:rPr>
          <w:rFonts w:ascii="Arial" w:cs="Arial" w:eastAsia="Arial" w:hAnsi="Arial"/>
          <w:sz w:val="13"/>
          <w:szCs w:val="13"/>
          <w:color w:val="auto"/>
        </w:rPr>
        <w:t>$(3.1) million, respectively. We use a nationally recognized independent valuation service to measure the fair value of our Credit Facility in a manner consistent with the valuation process that the</w:t>
      </w:r>
    </w:p>
    <w:p>
      <w:pPr>
        <w:spacing w:after="0"/>
        <w:rPr>
          <w:sz w:val="20"/>
          <w:szCs w:val="20"/>
          <w:color w:val="auto"/>
        </w:rPr>
      </w:pPr>
      <w:r>
        <w:rPr>
          <w:rFonts w:ascii="Arial" w:cs="Arial" w:eastAsia="Arial" w:hAnsi="Arial"/>
          <w:sz w:val="14"/>
          <w:szCs w:val="14"/>
          <w:color w:val="auto"/>
        </w:rPr>
        <w:t>board of directors uses to value our investments. Our 2023 Notes trade on the TASE and we use the closing price on the exchange to determine the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our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1" w:lineRule="exact"/>
        <w:rPr>
          <w:sz w:val="20"/>
          <w:szCs w:val="20"/>
          <w:color w:val="auto"/>
        </w:rPr>
      </w:pPr>
    </w:p>
    <w:p>
      <w:pPr>
        <w:ind w:right="120"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jc w:val="both"/>
        <w:ind w:right="10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taxed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months ended December 31, 2017 and 2016.</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380" w:firstLine="434"/>
        <w:spacing w:after="0" w:line="296" w:lineRule="auto"/>
        <w:rPr>
          <w:sz w:val="20"/>
          <w:szCs w:val="20"/>
          <w:color w:val="auto"/>
        </w:rPr>
      </w:pPr>
      <w:r>
        <w:rPr>
          <w:rFonts w:ascii="Arial" w:cs="Arial" w:eastAsia="Arial" w:hAnsi="Arial"/>
          <w:sz w:val="12"/>
          <w:szCs w:val="12"/>
          <w:color w:val="auto"/>
        </w:rPr>
        <w:t>Investment income for the three months ended December 31, 2017 was $14.8 million and was attributable to $13.6 million from first lien secured debt and $1.2 million from second lien secured debt and subordinated debt. Investment income for the three months ended December 31, 2016 was $12.6 million and was attributable to $11.2 million from first lien senior debt and $1.4 million from second lien secured debt and subordinated debt. The increase in investment income compared to the same period in the prior year was primarily due to the growth of our portfolio.</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220" w:firstLine="434"/>
        <w:spacing w:after="0" w:line="228" w:lineRule="auto"/>
        <w:rPr>
          <w:sz w:val="20"/>
          <w:szCs w:val="20"/>
          <w:color w:val="auto"/>
        </w:rPr>
      </w:pPr>
      <w:r>
        <w:rPr>
          <w:rFonts w:ascii="Arial" w:cs="Arial" w:eastAsia="Arial" w:hAnsi="Arial"/>
          <w:sz w:val="14"/>
          <w:szCs w:val="14"/>
          <w:color w:val="auto"/>
        </w:rPr>
        <w:t>Expenses for the three months ended December 31, 2017 totaled $16.8 million. Base management fee for the same period totaled $1.8 million, incentive fee totaled $0.1 million (including $(0.1) million on realized gains and $0.2 million on unrealized gains accrued but not payable), debt related interest and expenses totaled $13.5 million (including $10.9 million in Credit Facility amendment and debt issuance costs on the 2023 Notes), general and administrative expenses totaled $1.2 million and provision for taxes totaled $0.2 million. Expenses for the three months ended December 31, 2016 totaled $5.8 million. Base management fee for the same period totaled $1.6 million, incentive fee totaled $1.5 million (including $0.6 million on unrealized gains accrued but not yet payable), Credit Facility expenses totaled $1.8 million and general and administrative expenses totaled $0.9 million. The increase in expenses compared to the same period in the prior year was primarily due to the expenses incurred in connection with the Credit Facility amendment and debt issuance costs on the 2023 Notes in the current period, which was partially offset by a reduction in incentive fee.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(Loss) Income</w:t>
      </w:r>
    </w:p>
    <w:p>
      <w:pPr>
        <w:spacing w:after="0" w:line="136" w:lineRule="exact"/>
        <w:rPr>
          <w:sz w:val="20"/>
          <w:szCs w:val="20"/>
          <w:color w:val="auto"/>
        </w:rPr>
      </w:pPr>
    </w:p>
    <w:p>
      <w:pPr>
        <w:ind w:right="440" w:firstLine="434"/>
        <w:spacing w:after="0" w:line="238" w:lineRule="auto"/>
        <w:rPr>
          <w:sz w:val="20"/>
          <w:szCs w:val="20"/>
          <w:color w:val="auto"/>
        </w:rPr>
      </w:pPr>
      <w:r>
        <w:rPr>
          <w:rFonts w:ascii="Arial" w:cs="Arial" w:eastAsia="Arial" w:hAnsi="Arial"/>
          <w:sz w:val="14"/>
          <w:szCs w:val="14"/>
          <w:color w:val="auto"/>
        </w:rPr>
        <w:t>Net investment (loss) income totaled $(1.9) million, or $(0.05) per share, for the three months ended December 31, 2017, and $6.8 million, or $0.26 per share, for the three months ended December 31, 2016. The decrease in net investment income compared to the same period in the prior year was primarily due to the expenses incurred in connection with the Credit Facility amendment and debt issuance costs on the 2023 Notes in the current period.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140" w:firstLine="434"/>
        <w:spacing w:after="0" w:line="238" w:lineRule="auto"/>
        <w:rPr>
          <w:sz w:val="20"/>
          <w:szCs w:val="20"/>
          <w:color w:val="auto"/>
        </w:rPr>
      </w:pPr>
      <w:r>
        <w:rPr>
          <w:rFonts w:ascii="Arial" w:cs="Arial" w:eastAsia="Arial" w:hAnsi="Arial"/>
          <w:sz w:val="14"/>
          <w:szCs w:val="14"/>
          <w:color w:val="auto"/>
        </w:rPr>
        <w:t>Sales and repayments of investments for the three months ended December 31, 2017 totaled $149.1 million and net realized losses totaled $2.8 million. Sales and repayments of investments totaled $70.4 million and realized gains totaled $0.5 million for the three months ended December 31, 2016. The change in realized gains was primarily due to changes in the market conditions of our investments and the values at which they were realized.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3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For the three months ended December 31, 2017 and 2016, we reported net change in unrealized appreciation on investments of $3.5 million and $2.5 million, respectively. As of December 31, 2017 and September 30, 2017, our net unrealized appreciation on investments totaled $5.6 million and $2.0 million, respectively. The net change in unrealized appreciation on our investments was driven primarily by changes in the capital market conditions, the financial performance of certain portfolio companies and the reversal of unrealized depreciation (appreciation) on investments that were realized.</w:t>
      </w:r>
    </w:p>
    <w:p>
      <w:pPr>
        <w:spacing w:after="0" w:line="117"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For the three months ended December 31, 2017, our Credit Facility and the 2023 Notes had a net change in unrealized depreciation of $3.1 million. For the three months ended December 31, 2016, our Credit Facility had a net change in unrealized appreciation of $1.1 million. As of December 31, 2017 and September 30, 2017, our net unrealized depreciation (appreciation) on the Credit Facility and the 2023 Notes totaled $0.1 million and $(3.1) million, respectively. The change in net unrealized depreciation compared to the same period in the prior year was primarily due to changes in the capital markets.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120" w:firstLine="434"/>
        <w:spacing w:after="0" w:line="253" w:lineRule="auto"/>
        <w:rPr>
          <w:sz w:val="20"/>
          <w:szCs w:val="20"/>
          <w:color w:val="auto"/>
        </w:rPr>
      </w:pPr>
      <w:r>
        <w:rPr>
          <w:rFonts w:ascii="Arial" w:cs="Arial" w:eastAsia="Arial" w:hAnsi="Arial"/>
          <w:sz w:val="14"/>
          <w:szCs w:val="14"/>
          <w:color w:val="auto"/>
        </w:rPr>
        <w:t>Net change in net assets resulting from operations totaled $1.9 million, or $0.05 per share, for the three months ended December 31, 2017. This compares to a net change in net assets resulting from operations of $8.8 million, or $0.33 per share, for the three months ended December 31, 2016. The decrease in the net change in net assets from</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3" w:name="page34"/>
    <w:bookmarkEnd w:id="33"/>
    <w:p>
      <w:pPr>
        <w:ind w:right="100"/>
        <w:spacing w:after="0" w:line="253" w:lineRule="auto"/>
        <w:rPr>
          <w:sz w:val="20"/>
          <w:szCs w:val="20"/>
          <w:color w:val="auto"/>
        </w:rPr>
      </w:pPr>
      <w:r>
        <w:rPr>
          <w:rFonts w:ascii="Arial" w:cs="Arial" w:eastAsia="Arial" w:hAnsi="Arial"/>
          <w:sz w:val="14"/>
          <w:szCs w:val="14"/>
          <w:color w:val="auto"/>
        </w:rPr>
        <w:t>operations compared to the same period in the prior year was primarily due to the expenses incurred in connection with the Credit Facility amendment and debt issuance costs on the 2023 Notes in the current period.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01" w:lineRule="exact"/>
        <w:rPr>
          <w:sz w:val="20"/>
          <w:szCs w:val="20"/>
          <w:color w:val="auto"/>
        </w:rPr>
      </w:pPr>
    </w:p>
    <w:p>
      <w:pPr>
        <w:ind w:right="300" w:firstLine="438"/>
        <w:spacing w:after="0" w:line="255" w:lineRule="auto"/>
        <w:rPr>
          <w:sz w:val="20"/>
          <w:szCs w:val="20"/>
          <w:color w:val="auto"/>
        </w:rPr>
      </w:pPr>
      <w:r>
        <w:rPr>
          <w:rFonts w:ascii="Arial" w:cs="Arial" w:eastAsia="Arial" w:hAnsi="Arial"/>
          <w:sz w:val="13"/>
          <w:szCs w:val="13"/>
          <w:color w:val="auto"/>
        </w:rPr>
        <w:t>Funding I’s multi-currency Credit Facility with the Lenders was $405 million as of December 31, 2017, subject to satisfaction of certain conditions and regulatory restrictions that the 1940 Act imposes on us as a BDC, has an interest rate spread above LIBOR of 200 basis points, a maturity date of November 2022 and a revolving period that ends in November 2020. As of December 31, 2017 and September 30, 2017, Funding I had $190.4 million and $253.8 million of outstanding borrowings under the Credit Facility, respectively. The Credit Facility had a weighted average interest rate of 3.46% and 3.18%, exclusive of the fee on undrawn commitments as of December 31, 2017 and September 30, 2017, respectively.</w:t>
      </w:r>
    </w:p>
    <w:p>
      <w:pPr>
        <w:spacing w:after="0" w:line="107"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The annualized weighted average cost of debt for the three months ended December 31, 2017 and 2016, inclusive of the fee on the undrawn commitment of 0.375% on the Credit Facility, amendment costs and debt issuance costs, was 7.75% and 2.91%, respectively (excluding amendment and debt issuance costs, amounts are 3.80% and 2.91%, respectively). As of December 31, 2017 and September 30, 2017, we had $214.6 million and $121.2 million of unused borrowing capacity under our Credit Facility, respectively, subject to the regulatory restrictions.</w:t>
      </w:r>
    </w:p>
    <w:p>
      <w:pPr>
        <w:spacing w:after="0" w:line="101" w:lineRule="exact"/>
        <w:rPr>
          <w:sz w:val="20"/>
          <w:szCs w:val="20"/>
          <w:color w:val="auto"/>
        </w:rPr>
      </w:pPr>
    </w:p>
    <w:p>
      <w:pPr>
        <w:jc w:val="both"/>
        <w:ind w:right="5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November 2022.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December 31, 2017, we were in compliance with the covenants relating to our Credit Facility.</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November 2017, we issued $138.6 million of our 2023 Notes. The 2023 Notes were issued pursuant to a deed of trust between the Company and Mishmeret Trust Company, Ltd.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trustee.</w:t>
      </w:r>
    </w:p>
    <w:p>
      <w:pPr>
        <w:spacing w:after="0" w:line="124" w:lineRule="exact"/>
        <w:rPr>
          <w:sz w:val="20"/>
          <w:szCs w:val="20"/>
          <w:color w:val="auto"/>
        </w:rPr>
      </w:pPr>
    </w:p>
    <w:p>
      <w:pPr>
        <w:jc w:val="both"/>
        <w:ind w:right="140" w:firstLine="438"/>
        <w:spacing w:after="0" w:line="264" w:lineRule="auto"/>
        <w:rPr>
          <w:sz w:val="20"/>
          <w:szCs w:val="20"/>
          <w:color w:val="auto"/>
        </w:rPr>
      </w:pPr>
      <w:r>
        <w:rPr>
          <w:rFonts w:ascii="Arial" w:cs="Arial" w:eastAsia="Arial" w:hAnsi="Arial"/>
          <w:sz w:val="13"/>
          <w:szCs w:val="13"/>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jc w:val="both"/>
        <w:ind w:right="120" w:firstLine="438"/>
        <w:spacing w:after="0" w:line="248" w:lineRule="auto"/>
        <w:rPr>
          <w:sz w:val="20"/>
          <w:szCs w:val="20"/>
          <w:color w:val="auto"/>
        </w:rPr>
      </w:pPr>
      <w:r>
        <w:rPr>
          <w:rFonts w:ascii="Arial" w:cs="Arial" w:eastAsia="Arial" w:hAnsi="Arial"/>
          <w:sz w:val="13"/>
          <w:szCs w:val="13"/>
          <w:color w:val="auto"/>
        </w:rPr>
        <w:t>The 2023 Notes are general, unsecured obligations, rank equal in right of payment with all of our existing and future unsecured indebtedness and are generally redeemable at our option. The deed of trust governing the 2023 Notes includes certain customary covenants, including minimum equity requirements, and events of default. Please see the deed of trust filed as Exhibit (d)</w:t>
      </w:r>
    </w:p>
    <w:p>
      <w:pPr>
        <w:ind w:right="480" w:firstLine="8"/>
        <w:spacing w:after="0" w:line="237" w:lineRule="auto"/>
        <w:tabs>
          <w:tab w:leader="none" w:pos="20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 our post-effective amendment filed on December 13, 2017 for more information. The 2023 Notes are rated ilAA- by S&amp;P Global Ratings Maalot Ltd. and are listed on the TASE. In connection with this offering, we have dual listed our common stock on the TASE.</w:t>
      </w:r>
    </w:p>
    <w:p>
      <w:pPr>
        <w:spacing w:after="0" w:line="116"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three months ended December 31, 2017 and 2016, we issued 6.3 million and zero shares respectively. As a result, we raised approximately $88.0 million and zero in net proceeds from our issuances of our equity capital.</w:t>
      </w:r>
    </w:p>
    <w:p>
      <w:pPr>
        <w:spacing w:after="0" w:line="116"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At December 31, 2017 and September 30, 2017, we had cash equivalents of $127.8 million and $18.9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Our operating activities used cash of $44.6 million for the three months ended December 31, 2017, and our financing activities provided cash of $153.4 million for the same period. Our operating activities used cash primarily for our investment activities and our financing activities provided cash primarily from our recent equity offering, the issuance of the 2023 Notes and net borrowings under the Credit Facility.</w:t>
      </w:r>
    </w:p>
    <w:p>
      <w:pPr>
        <w:spacing w:after="0" w:line="115"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Our operating activities used cash of $63.5 million for the three months ended December 31, 2016, and our financing activities provided cash of $58.8 million for the same period. Our operating activities used cash primarily for our investment activities and our financing activities provided cash primarily from net borrowings under the Credit Facility.</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20" w:firstLine="438"/>
        <w:spacing w:after="0" w:line="264"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December 31, 2017, PSSL had total assets of $167.6 million. As of the same date, we and Kemper had remaining commitments to fund subordinated notes and equity interests in PSSL in an aggregate of $30.3 million. PSSL invests in portfolio companies in the same industries in which we may directly invest.</w:t>
      </w:r>
    </w:p>
    <w:p>
      <w:pPr>
        <w:spacing w:after="0" w:line="101"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provide capital to PSSL in the form of subordinated notes and equity interests. The subordinated notes are junior in right of payment to the repayment of temporary contributions made by us to fund investments of PSSL. As of December 31, 2017, we and Kemper owned 87.5% and 12.5%, respectively, of each of the outstanding subordinated notes and equity interests. As of the same date, our investment in PSSL consisted of equity interests of $18.3 million and subordinated notes of $42.7 million as of December 31, 2017. As of the same date, we had commitments to fund subordinated notes to PSSL of $61.3 million, of which $18.6 million was unfunded. As of December 31, 2017, we had commitments to fund equity interests in PSSL of $26.2 million, of which $7.9 million was unfunded.</w:t>
      </w:r>
    </w:p>
    <w:p>
      <w:pPr>
        <w:spacing w:after="0" w:line="116"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Additionally, PSSL has entered into the PSSL Credit Facility with Capital One, N.A. through its wholly-owned subsidiary PSSL Subsidiary, which as of December 31, 2017 allowed PSSL Subsidiary to borrow up to $210.0 million at any one time outstanding, subject to leverage and borrowing base restrictions.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Pr>
          <w:p>
            <w:pPr>
              <w:spacing w:after="0"/>
              <w:rPr>
                <w:sz w:val="14"/>
                <w:szCs w:val="14"/>
                <w:color w:val="auto"/>
              </w:rPr>
            </w:pPr>
          </w:p>
        </w:tc>
      </w:tr>
      <w:tr>
        <w:trPr>
          <w:trHeight w:val="156"/>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428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147,506,492</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4"/>
                <w:szCs w:val="14"/>
                <w:color w:val="auto"/>
              </w:rPr>
              <w:t>7.4%</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42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458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4580" w:type="dxa"/>
            <w:vAlign w:val="bottom"/>
            <w:gridSpan w:val="2"/>
            <w:shd w:val="clear" w:color="auto" w:fill="CCECFF"/>
          </w:tcPr>
          <w:p>
            <w:pPr>
              <w:jc w:val="right"/>
              <w:ind w:right="189"/>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40,549,271</w:t>
            </w:r>
          </w:p>
        </w:tc>
        <w:tc>
          <w:tcPr>
            <w:tcW w:w="16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677"/>
        </w:trPr>
        <w:tc>
          <w:tcPr>
            <w:tcW w:w="4580" w:type="dxa"/>
            <w:vAlign w:val="bottom"/>
          </w:tcPr>
          <w:p>
            <w:pPr>
              <w:spacing w:after="0"/>
              <w:rPr>
                <w:sz w:val="24"/>
                <w:szCs w:val="24"/>
                <w:color w:val="auto"/>
              </w:rPr>
            </w:pPr>
          </w:p>
        </w:tc>
        <w:tc>
          <w:tcPr>
            <w:tcW w:w="4280" w:type="dxa"/>
            <w:vAlign w:val="bottom"/>
          </w:tcPr>
          <w:p>
            <w:pPr>
              <w:jc w:val="right"/>
              <w:ind w:right="3088"/>
              <w:spacing w:after="0"/>
              <w:rPr>
                <w:sz w:val="20"/>
                <w:szCs w:val="20"/>
                <w:color w:val="auto"/>
              </w:rPr>
            </w:pPr>
            <w:r>
              <w:rPr>
                <w:rFonts w:ascii="Arial" w:cs="Arial" w:eastAsia="Arial" w:hAnsi="Arial"/>
                <w:sz w:val="14"/>
                <w:szCs w:val="14"/>
                <w:color w:val="auto"/>
              </w:rPr>
              <w:t>35</w:t>
            </w: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80" w:type="dxa"/>
            <w:vAlign w:val="bottom"/>
            <w:tcBorders>
              <w:bottom w:val="single" w:sz="8" w:color="9A9A9A"/>
            </w:tcBorders>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35" w:name="page36"/>
    <w:bookmarkEnd w:id="35"/>
    <w:p>
      <w:pPr>
        <w:ind w:left="440"/>
        <w:spacing w:after="0"/>
        <w:rPr>
          <w:sz w:val="20"/>
          <w:szCs w:val="20"/>
          <w:color w:val="auto"/>
        </w:rPr>
      </w:pPr>
      <w:r>
        <w:rPr>
          <w:rFonts w:ascii="Arial" w:cs="Arial" w:eastAsia="Arial" w:hAnsi="Arial"/>
          <w:sz w:val="14"/>
          <w:szCs w:val="14"/>
          <w:color w:val="auto"/>
        </w:rPr>
        <w:t>Below is a listing of PSSL’s individual investments as of December 31, 2017:</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Maturity</w:t>
            </w:r>
          </w:p>
        </w:tc>
        <w:tc>
          <w:tcPr>
            <w:tcW w:w="2700" w:type="dxa"/>
            <w:vAlign w:val="bottom"/>
            <w:tcBorders>
              <w:bottom w:val="single" w:sz="8" w:color="auto"/>
            </w:tcBorders>
          </w:tcPr>
          <w:p>
            <w:pPr>
              <w:ind w:left="1160"/>
              <w:spacing w:after="0"/>
              <w:rPr>
                <w:sz w:val="20"/>
                <w:szCs w:val="20"/>
                <w:color w:val="auto"/>
              </w:rPr>
            </w:pPr>
            <w:r>
              <w:rPr>
                <w:rFonts w:ascii="Arial" w:cs="Arial" w:eastAsia="Arial" w:hAnsi="Arial"/>
                <w:sz w:val="12"/>
                <w:szCs w:val="12"/>
                <w:b w:val="1"/>
                <w:bCs w:val="1"/>
                <w:color w:val="auto"/>
              </w:rPr>
              <w:t>Industry</w:t>
            </w: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Par</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100" w:type="dxa"/>
            <w:vAlign w:val="bottom"/>
            <w:tcBorders>
              <w:bottom w:val="single" w:sz="8" w:color="CCECFF"/>
            </w:tcBorders>
          </w:tcPr>
          <w:p>
            <w:pPr>
              <w:spacing w:after="0"/>
              <w:rPr>
                <w:sz w:val="12"/>
                <w:szCs w:val="12"/>
                <w:color w:val="auto"/>
              </w:rPr>
            </w:pPr>
          </w:p>
        </w:tc>
      </w:tr>
      <w:tr>
        <w:trPr>
          <w:trHeight w:val="142"/>
        </w:trPr>
        <w:tc>
          <w:tcPr>
            <w:tcW w:w="664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Investments in Non-Controlled, Non-Affiliated Portfolio Companies—674.2%</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Debt—674.2%</w:t>
            </w: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04/04/2022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6.57%</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5,604,076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5,540,035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5,552,686</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11/30/2021</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Transportation: Consumer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6.56%</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L+525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4,987,406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4,938,898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4,912,594</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08/01/2024</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Construction and Building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6.13%</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2M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4,938,491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5,012,438</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API Technologies Corp.</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04/22/2022</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8.19%</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L+650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4,924,433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4,879,654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4,949,055</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05/16/2022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8.67%</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L+725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5,936,170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5,800,590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5,936,170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Cadence Aerospace,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11/14/2023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7.91%</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L+650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6,436,294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6,441,741</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11/29/2023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7.32%</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L+575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7,481,108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7,434,854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7,453,054</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03/31/2023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6.69%</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4,812,763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4,812,763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4,675,073</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DigiCert Holdings, Inc.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10/31/2024</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6.13%</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2M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8,096,640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12/09/2020</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5.61%</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1M L+425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4,744,586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4,733,200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4,720,863</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09/30/2022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6.11%</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4,891,934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4,937,500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10/12/2021</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780" w:type="dxa"/>
            <w:vAlign w:val="bottom"/>
          </w:tcPr>
          <w:p>
            <w:pPr>
              <w:ind w:left="260"/>
              <w:spacing w:after="0"/>
              <w:rPr>
                <w:sz w:val="20"/>
                <w:szCs w:val="20"/>
                <w:color w:val="auto"/>
              </w:rPr>
            </w:pPr>
            <w:r>
              <w:rPr>
                <w:rFonts w:ascii="Arial" w:cs="Arial" w:eastAsia="Arial" w:hAnsi="Arial"/>
                <w:sz w:val="12"/>
                <w:szCs w:val="12"/>
                <w:color w:val="auto"/>
                <w:w w:val="90"/>
              </w:rPr>
              <w:t>3M E+800</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4,905,660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5,705,518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5,890,702</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12/30/2021</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8.33%</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3M L+700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4,972,406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4,958,252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4,972,406</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12/12/2023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Wholesale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6.48%</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1M L+475</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7,289,249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7,547,728</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05/01/2023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Retail</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7.36%</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7,406,250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7,470,701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7,415,508</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Manna Pro Products,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12/08/2023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7.52%</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6,896,462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6,895,000</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McAfee,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09/30/2024</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6.07%</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7,481,250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7,409,635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7,451,849</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Mission Critical Electronics, Inc.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09/28/2022</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6.84%</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6M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4,065,150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4,041,668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4,047,908</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Morphe,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02/10/2023</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7.69%</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3M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4,812,500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4,751,312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4,764,375</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One Sixty Over Ninety,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03/03/2022</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Media: Advertising, Printing and Publishing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10.84%</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L+915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6,000,000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5,890,544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6,000,000</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Snak Club,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07/19/2021</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6.36%</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4,812,495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4,812,495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4,812,495</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Sonny's Enterprises, LLC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12/01/2022</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6.44%</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L+475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10,003,125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10,000,000</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12/02/2021</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6.94%</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3M L+525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5,243,486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5,243,486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5,243,486</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960" w:type="dxa"/>
            <w:vAlign w:val="bottom"/>
          </w:tcPr>
          <w:p>
            <w:pPr>
              <w:ind w:left="360"/>
              <w:spacing w:after="0"/>
              <w:rPr>
                <w:sz w:val="20"/>
                <w:szCs w:val="20"/>
                <w:color w:val="auto"/>
              </w:rPr>
            </w:pPr>
            <w:r>
              <w:rPr>
                <w:rFonts w:ascii="Arial" w:cs="Arial" w:eastAsia="Arial" w:hAnsi="Arial"/>
                <w:sz w:val="12"/>
                <w:szCs w:val="12"/>
                <w:color w:val="auto"/>
                <w:w w:val="96"/>
              </w:rPr>
              <w:t>03/01/2023</w:t>
            </w:r>
          </w:p>
        </w:tc>
        <w:tc>
          <w:tcPr>
            <w:tcW w:w="2820" w:type="dxa"/>
            <w:vAlign w:val="bottom"/>
            <w:gridSpan w:val="2"/>
          </w:tcPr>
          <w:p>
            <w:pPr>
              <w:ind w:left="60"/>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7.70%</w:t>
            </w:r>
          </w:p>
        </w:tc>
        <w:tc>
          <w:tcPr>
            <w:tcW w:w="780" w:type="dxa"/>
            <w:vAlign w:val="bottom"/>
          </w:tcPr>
          <w:p>
            <w:pPr>
              <w:ind w:left="260"/>
              <w:spacing w:after="0"/>
              <w:rPr>
                <w:sz w:val="20"/>
                <w:szCs w:val="20"/>
                <w:color w:val="auto"/>
              </w:rPr>
            </w:pPr>
            <w:r>
              <w:rPr>
                <w:rFonts w:ascii="Arial" w:cs="Arial" w:eastAsia="Arial" w:hAnsi="Arial"/>
                <w:sz w:val="12"/>
                <w:szCs w:val="12"/>
                <w:color w:val="auto"/>
                <w:w w:val="93"/>
              </w:rPr>
              <w:t>3M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4,812,500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4,876,322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4,839,594</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960" w:type="dxa"/>
            <w:vAlign w:val="bottom"/>
            <w:shd w:val="clear" w:color="auto" w:fill="CCECFF"/>
          </w:tcPr>
          <w:p>
            <w:pPr>
              <w:ind w:left="360"/>
              <w:spacing w:after="0"/>
              <w:rPr>
                <w:sz w:val="20"/>
                <w:szCs w:val="20"/>
                <w:color w:val="auto"/>
              </w:rPr>
            </w:pPr>
            <w:r>
              <w:rPr>
                <w:rFonts w:ascii="Arial" w:cs="Arial" w:eastAsia="Arial" w:hAnsi="Arial"/>
                <w:sz w:val="12"/>
                <w:szCs w:val="12"/>
                <w:color w:val="auto"/>
                <w:w w:val="96"/>
              </w:rPr>
              <w:t>10/18/2022</w:t>
            </w:r>
          </w:p>
        </w:tc>
        <w:tc>
          <w:tcPr>
            <w:tcW w:w="282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10.57%</w:t>
            </w:r>
          </w:p>
        </w:tc>
        <w:tc>
          <w:tcPr>
            <w:tcW w:w="780" w:type="dxa"/>
            <w:vAlign w:val="bottom"/>
            <w:shd w:val="clear" w:color="auto" w:fill="CCECFF"/>
          </w:tcPr>
          <w:p>
            <w:pPr>
              <w:ind w:left="260"/>
              <w:spacing w:after="0"/>
              <w:rPr>
                <w:sz w:val="20"/>
                <w:szCs w:val="20"/>
                <w:color w:val="auto"/>
              </w:rPr>
            </w:pPr>
            <w:r>
              <w:rPr>
                <w:rFonts w:ascii="Arial" w:cs="Arial" w:eastAsia="Arial" w:hAnsi="Arial"/>
                <w:sz w:val="12"/>
                <w:szCs w:val="12"/>
                <w:color w:val="auto"/>
                <w:w w:val="93"/>
              </w:rPr>
              <w:t>1M L+900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4,987,500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4,891,183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4,937,627</w:t>
            </w:r>
          </w:p>
        </w:tc>
        <w:tc>
          <w:tcPr>
            <w:tcW w:w="100" w:type="dxa"/>
            <w:vAlign w:val="bottom"/>
            <w:shd w:val="clear" w:color="auto" w:fill="CCECFF"/>
          </w:tcPr>
          <w:p>
            <w:pPr>
              <w:spacing w:after="0"/>
              <w:rPr>
                <w:sz w:val="12"/>
                <w:szCs w:val="12"/>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tcBorders>
              <w:bottom w:val="single" w:sz="8" w:color="CCECFF"/>
            </w:tcBorders>
          </w:tcPr>
          <w:p>
            <w:pPr>
              <w:spacing w:after="0"/>
              <w:rPr>
                <w:sz w:val="12"/>
                <w:szCs w:val="12"/>
                <w:color w:val="auto"/>
              </w:rPr>
            </w:pPr>
          </w:p>
        </w:tc>
        <w:tc>
          <w:tcPr>
            <w:tcW w:w="27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146,606,665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147,506,492</w:t>
            </w:r>
          </w:p>
        </w:tc>
        <w:tc>
          <w:tcPr>
            <w:tcW w:w="100" w:type="dxa"/>
            <w:vAlign w:val="bottom"/>
            <w:tcBorders>
              <w:bottom w:val="single" w:sz="8" w:color="CCECFF"/>
            </w:tcBorders>
          </w:tcPr>
          <w:p>
            <w:pPr>
              <w:spacing w:after="0"/>
              <w:rPr>
                <w:sz w:val="12"/>
                <w:szCs w:val="12"/>
                <w:color w:val="auto"/>
              </w:rPr>
            </w:pPr>
          </w:p>
        </w:tc>
      </w:tr>
      <w:tr>
        <w:trPr>
          <w:trHeight w:val="142"/>
        </w:trPr>
        <w:tc>
          <w:tcPr>
            <w:tcW w:w="382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Total Investments in Non-Controlled, Non-Affiliated Portfolio Companies</w:t>
            </w:r>
          </w:p>
        </w:tc>
        <w:tc>
          <w:tcPr>
            <w:tcW w:w="2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146,606,665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147,506,492</w:t>
            </w:r>
          </w:p>
        </w:tc>
        <w:tc>
          <w:tcPr>
            <w:tcW w:w="100" w:type="dxa"/>
            <w:vAlign w:val="bottom"/>
            <w:shd w:val="clear" w:color="auto" w:fill="CCECFF"/>
          </w:tcPr>
          <w:p>
            <w:pPr>
              <w:spacing w:after="0"/>
              <w:rPr>
                <w:sz w:val="12"/>
                <w:szCs w:val="12"/>
                <w:color w:val="auto"/>
              </w:rPr>
            </w:pPr>
          </w:p>
        </w:tc>
      </w:tr>
      <w:tr>
        <w:trPr>
          <w:trHeight w:val="142"/>
        </w:trPr>
        <w:tc>
          <w:tcPr>
            <w:tcW w:w="2860" w:type="dxa"/>
            <w:vAlign w:val="bottom"/>
          </w:tcPr>
          <w:p>
            <w:pPr>
              <w:spacing w:after="0"/>
              <w:rPr>
                <w:sz w:val="20"/>
                <w:szCs w:val="20"/>
                <w:color w:val="auto"/>
              </w:rPr>
            </w:pPr>
            <w:r>
              <w:rPr>
                <w:rFonts w:ascii="Arial" w:cs="Arial" w:eastAsia="Arial" w:hAnsi="Arial"/>
                <w:sz w:val="12"/>
                <w:szCs w:val="12"/>
                <w:b w:val="1"/>
                <w:bCs w:val="1"/>
                <w:color w:val="auto"/>
              </w:rPr>
              <w:t>Cash and Cash Equivalents—79.6%</w:t>
            </w: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960" w:type="dxa"/>
            <w:vAlign w:val="bottom"/>
            <w:shd w:val="clear" w:color="auto" w:fill="CCECFF"/>
          </w:tcPr>
          <w:p>
            <w:pPr>
              <w:spacing w:after="0"/>
              <w:rPr>
                <w:sz w:val="12"/>
                <w:szCs w:val="12"/>
                <w:color w:val="auto"/>
              </w:rPr>
            </w:pPr>
          </w:p>
        </w:tc>
        <w:tc>
          <w:tcPr>
            <w:tcW w:w="2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17,192,578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17,192,578</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US Bank Cash</w:t>
            </w:r>
          </w:p>
        </w:tc>
        <w:tc>
          <w:tcPr>
            <w:tcW w:w="960" w:type="dxa"/>
            <w:vAlign w:val="bottom"/>
            <w:tcBorders>
              <w:bottom w:val="single" w:sz="8" w:color="CCECFF"/>
            </w:tcBorders>
          </w:tcPr>
          <w:p>
            <w:pPr>
              <w:spacing w:after="0"/>
              <w:rPr>
                <w:sz w:val="12"/>
                <w:szCs w:val="12"/>
                <w:color w:val="auto"/>
              </w:rPr>
            </w:pPr>
          </w:p>
        </w:tc>
        <w:tc>
          <w:tcPr>
            <w:tcW w:w="27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223,513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227,553</w:t>
            </w:r>
          </w:p>
        </w:tc>
        <w:tc>
          <w:tcPr>
            <w:tcW w:w="100" w:type="dxa"/>
            <w:vAlign w:val="bottom"/>
            <w:tcBorders>
              <w:bottom w:val="single" w:sz="8" w:color="CCECFF"/>
            </w:tcBorders>
          </w:tcPr>
          <w:p>
            <w:pPr>
              <w:spacing w:after="0"/>
              <w:rPr>
                <w:sz w:val="12"/>
                <w:szCs w:val="12"/>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60" w:type="dxa"/>
            <w:vAlign w:val="bottom"/>
            <w:shd w:val="clear" w:color="auto" w:fill="CCECFF"/>
          </w:tcPr>
          <w:p>
            <w:pPr>
              <w:spacing w:after="0"/>
              <w:rPr>
                <w:sz w:val="12"/>
                <w:szCs w:val="12"/>
                <w:color w:val="auto"/>
              </w:rPr>
            </w:pPr>
          </w:p>
        </w:tc>
        <w:tc>
          <w:tcPr>
            <w:tcW w:w="2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17,416,091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17,420,131</w:t>
            </w:r>
          </w:p>
        </w:tc>
        <w:tc>
          <w:tcPr>
            <w:tcW w:w="100" w:type="dxa"/>
            <w:vAlign w:val="bottom"/>
            <w:shd w:val="clear" w:color="auto" w:fill="CCECFF"/>
          </w:tcPr>
          <w:p>
            <w:pPr>
              <w:spacing w:after="0"/>
              <w:rPr>
                <w:sz w:val="12"/>
                <w:szCs w:val="12"/>
                <w:color w:val="auto"/>
              </w:rPr>
            </w:pPr>
          </w:p>
        </w:tc>
      </w:tr>
      <w:tr>
        <w:trPr>
          <w:trHeight w:val="18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 and Cash Equivalents—753.8%</w:t>
            </w:r>
          </w:p>
        </w:tc>
        <w:tc>
          <w:tcPr>
            <w:tcW w:w="960" w:type="dxa"/>
            <w:vAlign w:val="bottom"/>
            <w:tcBorders>
              <w:bottom w:val="single" w:sz="8" w:color="CCECFF"/>
            </w:tcBorders>
          </w:tcPr>
          <w:p>
            <w:pPr>
              <w:spacing w:after="0"/>
              <w:rPr>
                <w:sz w:val="15"/>
                <w:szCs w:val="15"/>
                <w:color w:val="auto"/>
              </w:rPr>
            </w:pPr>
          </w:p>
        </w:tc>
        <w:tc>
          <w:tcPr>
            <w:tcW w:w="270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66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78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56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164,022,756</w:t>
            </w: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164,926,623</w:t>
            </w:r>
          </w:p>
        </w:tc>
        <w:tc>
          <w:tcPr>
            <w:tcW w:w="100" w:type="dxa"/>
            <w:vAlign w:val="bottom"/>
            <w:tcBorders>
              <w:bottom w:val="single" w:sz="8" w:color="CCECFF"/>
            </w:tcBorders>
          </w:tcPr>
          <w:p>
            <w:pPr>
              <w:spacing w:after="0"/>
              <w:rPr>
                <w:sz w:val="15"/>
                <w:szCs w:val="15"/>
                <w:color w:val="auto"/>
              </w:rPr>
            </w:pPr>
          </w:p>
        </w:tc>
      </w:tr>
      <w:tr>
        <w:trPr>
          <w:trHeight w:val="129"/>
        </w:trPr>
        <w:tc>
          <w:tcPr>
            <w:tcW w:w="286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Assets—(653.8)%</w:t>
            </w:r>
          </w:p>
        </w:tc>
        <w:tc>
          <w:tcPr>
            <w:tcW w:w="960" w:type="dxa"/>
            <w:vAlign w:val="bottom"/>
            <w:shd w:val="clear" w:color="auto" w:fill="CCECFF"/>
          </w:tcPr>
          <w:p>
            <w:pPr>
              <w:spacing w:after="0"/>
              <w:rPr>
                <w:sz w:val="11"/>
                <w:szCs w:val="11"/>
                <w:color w:val="auto"/>
              </w:rPr>
            </w:pPr>
          </w:p>
        </w:tc>
        <w:tc>
          <w:tcPr>
            <w:tcW w:w="2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60"/>
              <w:spacing w:after="0" w:line="129" w:lineRule="exact"/>
              <w:rPr>
                <w:sz w:val="20"/>
                <w:szCs w:val="20"/>
                <w:color w:val="auto"/>
              </w:rPr>
            </w:pPr>
            <w:r>
              <w:rPr>
                <w:rFonts w:ascii="Arial" w:cs="Arial" w:eastAsia="Arial" w:hAnsi="Arial"/>
                <w:sz w:val="12"/>
                <w:szCs w:val="12"/>
                <w:color w:val="auto"/>
                <w:w w:val="93"/>
              </w:rPr>
              <w:t>(143,048,241)</w:t>
            </w: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Members' Equity—100.0%</w:t>
            </w: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21,878,382</w:t>
            </w:r>
          </w:p>
        </w:tc>
        <w:tc>
          <w:tcPr>
            <w:tcW w:w="100" w:type="dxa"/>
            <w:vAlign w:val="bottom"/>
          </w:tcPr>
          <w:p>
            <w:pPr>
              <w:spacing w:after="0"/>
              <w:rPr>
                <w:sz w:val="12"/>
                <w:szCs w:val="12"/>
                <w:color w:val="auto"/>
              </w:rPr>
            </w:pPr>
          </w:p>
        </w:tc>
      </w:tr>
      <w:tr>
        <w:trPr>
          <w:trHeight w:val="20"/>
        </w:trPr>
        <w:tc>
          <w:tcPr>
            <w:tcW w:w="2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599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76" w:lineRule="exact"/>
        <w:rPr>
          <w:sz w:val="20"/>
          <w:szCs w:val="20"/>
          <w:color w:val="auto"/>
        </w:rPr>
      </w:pPr>
    </w:p>
    <w:p>
      <w:pPr>
        <w:ind w:left="380" w:right="20" w:hanging="3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Euros (€) as denoted.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6" w:name="page37"/>
    <w:bookmarkEnd w:id="36"/>
    <w:p>
      <w:pPr>
        <w:ind w:left="440"/>
        <w:spacing w:after="0"/>
        <w:rPr>
          <w:sz w:val="20"/>
          <w:szCs w:val="20"/>
          <w:color w:val="auto"/>
        </w:rPr>
      </w:pPr>
      <w:r>
        <w:rPr>
          <w:rFonts w:ascii="Arial" w:cs="Arial" w:eastAsia="Arial" w:hAnsi="Arial"/>
          <w:sz w:val="14"/>
          <w:szCs w:val="14"/>
          <w:color w:val="auto"/>
        </w:rPr>
        <w:t>Below is a listing of PSSL’s individual investments as of September 30, 2017:</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2017</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40" w:type="dxa"/>
            <w:vAlign w:val="bottom"/>
          </w:tcPr>
          <w:p>
            <w:pPr>
              <w:ind w:left="360"/>
              <w:spacing w:after="0"/>
              <w:rPr>
                <w:sz w:val="20"/>
                <w:szCs w:val="20"/>
                <w:color w:val="auto"/>
              </w:rPr>
            </w:pPr>
            <w:r>
              <w:rPr>
                <w:rFonts w:ascii="Arial" w:cs="Arial" w:eastAsia="Arial" w:hAnsi="Arial"/>
                <w:sz w:val="12"/>
                <w:szCs w:val="12"/>
                <w:b w:val="1"/>
                <w:bCs w:val="1"/>
                <w:color w:val="auto"/>
              </w:rPr>
              <w:t>Maturity</w:t>
            </w:r>
          </w:p>
        </w:tc>
        <w:tc>
          <w:tcPr>
            <w:tcW w:w="2760" w:type="dxa"/>
            <w:vAlign w:val="bottom"/>
            <w:gridSpan w:val="2"/>
          </w:tcPr>
          <w:p>
            <w:pPr>
              <w:ind w:left="1100"/>
              <w:spacing w:after="0"/>
              <w:rPr>
                <w:sz w:val="20"/>
                <w:szCs w:val="20"/>
                <w:color w:val="auto"/>
              </w:rPr>
            </w:pPr>
            <w:r>
              <w:rPr>
                <w:rFonts w:ascii="Arial" w:cs="Arial" w:eastAsia="Arial" w:hAnsi="Arial"/>
                <w:sz w:val="12"/>
                <w:szCs w:val="12"/>
                <w:b w:val="1"/>
                <w:bCs w:val="1"/>
                <w:color w:val="auto"/>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2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8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39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89"/>
              </w:rPr>
              <w:t>Investments in Non-Controlled, Non-Affiliated Portfolio Companies—651.7%</w:t>
            </w:r>
          </w:p>
        </w:tc>
        <w:tc>
          <w:tcPr>
            <w:tcW w:w="2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0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Debt—674.2%</w:t>
            </w: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04/04/2022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5,664,954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5,597,299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5,636,629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Anvil International, LLC</w:t>
            </w:r>
          </w:p>
        </w:tc>
        <w:tc>
          <w:tcPr>
            <w:tcW w:w="1040" w:type="dxa"/>
            <w:vAlign w:val="bottom"/>
          </w:tcPr>
          <w:p>
            <w:pPr>
              <w:ind w:left="360"/>
              <w:spacing w:after="0"/>
              <w:rPr>
                <w:sz w:val="20"/>
                <w:szCs w:val="20"/>
                <w:color w:val="auto"/>
              </w:rPr>
            </w:pPr>
            <w:r>
              <w:rPr>
                <w:rFonts w:ascii="Arial" w:cs="Arial" w:eastAsia="Arial" w:hAnsi="Arial"/>
                <w:sz w:val="12"/>
                <w:szCs w:val="12"/>
                <w:color w:val="auto"/>
              </w:rPr>
              <w:t>08/01/2024</w:t>
            </w:r>
          </w:p>
        </w:tc>
        <w:tc>
          <w:tcPr>
            <w:tcW w:w="2760" w:type="dxa"/>
            <w:vAlign w:val="bottom"/>
            <w:gridSpan w:val="2"/>
          </w:tcPr>
          <w:p>
            <w:pPr>
              <w:spacing w:after="0"/>
              <w:rPr>
                <w:sz w:val="20"/>
                <w:szCs w:val="20"/>
                <w:color w:val="auto"/>
              </w:rPr>
            </w:pPr>
            <w:r>
              <w:rPr>
                <w:rFonts w:ascii="Arial" w:cs="Arial" w:eastAsia="Arial" w:hAnsi="Arial"/>
                <w:sz w:val="12"/>
                <w:szCs w:val="12"/>
                <w:color w:val="auto"/>
              </w:rPr>
              <w:t>Construction and Building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L+450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04/22/2022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L+650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4,955,919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4,908,646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4,906,360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05/16/2022</w:t>
            </w:r>
          </w:p>
        </w:tc>
        <w:tc>
          <w:tcPr>
            <w:tcW w:w="2760" w:type="dxa"/>
            <w:vAlign w:val="bottom"/>
            <w:gridSpan w:val="2"/>
          </w:tcPr>
          <w:p>
            <w:pPr>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8.57%</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L+725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5,961,702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5,819,267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5,961,702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0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11/29/2023</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7,453,125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03/31/2023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4,875,132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4,875,132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4,807,559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DigiCert Holdings,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10/31/2024</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5.75%</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8,080,000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1040" w:type="dxa"/>
            <w:vAlign w:val="bottom"/>
          </w:tcPr>
          <w:p>
            <w:pPr>
              <w:ind w:left="360"/>
              <w:spacing w:after="0"/>
              <w:rPr>
                <w:sz w:val="20"/>
                <w:szCs w:val="20"/>
                <w:color w:val="auto"/>
              </w:rPr>
            </w:pPr>
            <w:r>
              <w:rPr>
                <w:rFonts w:ascii="Arial" w:cs="Arial" w:eastAsia="Arial" w:hAnsi="Arial"/>
                <w:sz w:val="12"/>
                <w:szCs w:val="12"/>
                <w:color w:val="auto"/>
              </w:rPr>
              <w:t>12/09/2020</w:t>
            </w:r>
          </w:p>
        </w:tc>
        <w:tc>
          <w:tcPr>
            <w:tcW w:w="2760" w:type="dxa"/>
            <w:vAlign w:val="bottom"/>
            <w:gridSpan w:val="2"/>
          </w:tcPr>
          <w:p>
            <w:pPr>
              <w:spacing w:after="0"/>
              <w:rPr>
                <w:sz w:val="20"/>
                <w:szCs w:val="20"/>
                <w:color w:val="auto"/>
              </w:rPr>
            </w:pPr>
            <w:r>
              <w:rPr>
                <w:rFonts w:ascii="Arial" w:cs="Arial" w:eastAsia="Arial" w:hAnsi="Arial"/>
                <w:sz w:val="12"/>
                <w:szCs w:val="12"/>
                <w:color w:val="auto"/>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5.55%</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4,744,586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4,732,725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4,720,863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09/30/2022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6.06%</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4,951,225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1040" w:type="dxa"/>
            <w:vAlign w:val="bottom"/>
          </w:tcPr>
          <w:p>
            <w:pPr>
              <w:ind w:left="360"/>
              <w:spacing w:after="0"/>
              <w:rPr>
                <w:sz w:val="20"/>
                <w:szCs w:val="20"/>
                <w:color w:val="auto"/>
              </w:rPr>
            </w:pPr>
            <w:r>
              <w:rPr>
                <w:rFonts w:ascii="Arial" w:cs="Arial" w:eastAsia="Arial" w:hAnsi="Arial"/>
                <w:sz w:val="12"/>
                <w:szCs w:val="12"/>
                <w:color w:val="auto"/>
              </w:rPr>
              <w:t>10/12/2021</w:t>
            </w:r>
          </w:p>
        </w:tc>
        <w:tc>
          <w:tcPr>
            <w:tcW w:w="2760" w:type="dxa"/>
            <w:vAlign w:val="bottom"/>
            <w:gridSpan w:val="2"/>
          </w:tcPr>
          <w:p>
            <w:pPr>
              <w:spacing w:after="0"/>
              <w:rPr>
                <w:sz w:val="20"/>
                <w:szCs w:val="20"/>
                <w:color w:val="auto"/>
              </w:rPr>
            </w:pPr>
            <w:r>
              <w:rPr>
                <w:rFonts w:ascii="Arial" w:cs="Arial" w:eastAsia="Arial" w:hAnsi="Arial"/>
                <w:sz w:val="12"/>
                <w:szCs w:val="12"/>
                <w:color w:val="auto"/>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E+800</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4,937,107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5,742,092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5,836,653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12/30/2021</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8.30%</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L+700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4,984,962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4,970,404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4,984,963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05/01/2023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7,453,125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7,521,186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7,468,628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09/28/2022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4,075,442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4,050,930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4,058,871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040" w:type="dxa"/>
            <w:vAlign w:val="bottom"/>
          </w:tcPr>
          <w:p>
            <w:pPr>
              <w:ind w:left="360"/>
              <w:spacing w:after="0"/>
              <w:rPr>
                <w:sz w:val="20"/>
                <w:szCs w:val="20"/>
                <w:color w:val="auto"/>
              </w:rPr>
            </w:pPr>
            <w:r>
              <w:rPr>
                <w:rFonts w:ascii="Arial" w:cs="Arial" w:eastAsia="Arial" w:hAnsi="Arial"/>
                <w:sz w:val="12"/>
                <w:szCs w:val="12"/>
                <w:color w:val="auto"/>
              </w:rPr>
              <w:t>02/10/2023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7.33%</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4,810,511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4,801,875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03/03/2022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10.52%</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L+918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5,885,356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040" w:type="dxa"/>
            <w:vAlign w:val="bottom"/>
          </w:tcPr>
          <w:p>
            <w:pPr>
              <w:ind w:left="360"/>
              <w:spacing w:after="0"/>
              <w:rPr>
                <w:sz w:val="20"/>
                <w:szCs w:val="20"/>
                <w:color w:val="auto"/>
              </w:rPr>
            </w:pPr>
            <w:r>
              <w:rPr>
                <w:rFonts w:ascii="Arial" w:cs="Arial" w:eastAsia="Arial" w:hAnsi="Arial"/>
                <w:sz w:val="12"/>
                <w:szCs w:val="12"/>
                <w:color w:val="auto"/>
              </w:rPr>
              <w:t>07/19/2021</w:t>
            </w:r>
          </w:p>
        </w:tc>
        <w:tc>
          <w:tcPr>
            <w:tcW w:w="2760" w:type="dxa"/>
            <w:vAlign w:val="bottom"/>
            <w:gridSpan w:val="2"/>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4,843,745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12/02/2021</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L+525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5,530,997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VIP Cinema Holdings, Inc.</w:t>
            </w:r>
          </w:p>
        </w:tc>
        <w:tc>
          <w:tcPr>
            <w:tcW w:w="1040" w:type="dxa"/>
            <w:vAlign w:val="bottom"/>
            <w:tcBorders>
              <w:bottom w:val="single" w:sz="8" w:color="CCECFF"/>
            </w:tcBorders>
          </w:tcPr>
          <w:p>
            <w:pPr>
              <w:ind w:left="360"/>
              <w:spacing w:after="0"/>
              <w:rPr>
                <w:sz w:val="20"/>
                <w:szCs w:val="20"/>
                <w:color w:val="auto"/>
              </w:rPr>
            </w:pPr>
            <w:r>
              <w:rPr>
                <w:rFonts w:ascii="Arial" w:cs="Arial" w:eastAsia="Arial" w:hAnsi="Arial"/>
                <w:sz w:val="12"/>
                <w:szCs w:val="12"/>
                <w:color w:val="auto"/>
              </w:rPr>
              <w:t>03/01/2023</w:t>
            </w:r>
          </w:p>
        </w:tc>
        <w:tc>
          <w:tcPr>
            <w:tcW w:w="27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Consumer Goods: Durable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7.34%</w:t>
            </w:r>
          </w:p>
        </w:tc>
        <w:tc>
          <w:tcPr>
            <w:tcW w:w="1000" w:type="dxa"/>
            <w:vAlign w:val="bottom"/>
            <w:tcBorders>
              <w:bottom w:val="single" w:sz="8" w:color="CCECFF"/>
            </w:tcBorders>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4,942,263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4,905,469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Equivalents—15.5%</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144,739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144,833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2,371,169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2,371,263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Equivalents—667.2%</w:t>
            </w:r>
          </w:p>
        </w:tc>
        <w:tc>
          <w:tcPr>
            <w:tcW w:w="10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101,916,072</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102,365,577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Assets—(567.2)%</w:t>
            </w: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6"/>
              </w:rPr>
              <w:t>(87,022,556)</w:t>
            </w: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0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15,343,021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688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76" w:lineRule="exact"/>
        <w:rPr>
          <w:sz w:val="20"/>
          <w:szCs w:val="20"/>
          <w:color w:val="auto"/>
        </w:rPr>
      </w:pPr>
    </w:p>
    <w:p>
      <w:pPr>
        <w:ind w:left="380" w:right="280" w:hanging="372"/>
        <w:spacing w:after="0" w:line="252" w:lineRule="auto"/>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7520" w:type="dxa"/>
            <w:vAlign w:val="bottom"/>
            <w:gridSpan w:val="2"/>
          </w:tcPr>
          <w:p>
            <w:pPr>
              <w:ind w:left="240"/>
              <w:spacing w:after="0"/>
              <w:rPr>
                <w:sz w:val="20"/>
                <w:szCs w:val="20"/>
                <w:color w:val="auto"/>
              </w:rPr>
            </w:pPr>
            <w:r>
              <w:rPr>
                <w:rFonts w:ascii="Arial" w:cs="Arial" w:eastAsia="Arial" w:hAnsi="Arial"/>
                <w:sz w:val="14"/>
                <w:szCs w:val="14"/>
                <w:color w:val="auto"/>
              </w:rPr>
              <w:t>Below is the financial information for PSSL:</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0" w:type="dxa"/>
            <w:vAlign w:val="bottom"/>
          </w:tcPr>
          <w:p>
            <w:pPr>
              <w:jc w:val="center"/>
              <w:ind w:left="120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600" w:type="dxa"/>
            <w:vAlign w:val="bottom"/>
          </w:tcPr>
          <w:p>
            <w:pPr>
              <w:jc w:val="center"/>
              <w:ind w:left="1188"/>
              <w:spacing w:after="0"/>
              <w:rPr>
                <w:sz w:val="20"/>
                <w:szCs w:val="20"/>
                <w:color w:val="auto"/>
              </w:rPr>
            </w:pPr>
            <w:r>
              <w:rPr>
                <w:rFonts w:ascii="Arial" w:cs="Arial" w:eastAsia="Arial" w:hAnsi="Arial"/>
                <w:sz w:val="14"/>
                <w:szCs w:val="14"/>
                <w:b w:val="1"/>
                <w:bCs w:val="1"/>
                <w:color w:val="auto"/>
                <w:w w:val="90"/>
              </w:rPr>
              <w:t>Statements of Assets and Liabilities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5"/>
              </w:rPr>
              <w:t>December 31, 2017</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171"/>
        </w:trPr>
        <w:tc>
          <w:tcPr>
            <w:tcW w:w="200" w:type="dxa"/>
            <w:vAlign w:val="bottom"/>
            <w:tcBorders>
              <w:bottom w:val="single" w:sz="8" w:color="CCECFF"/>
            </w:tcBorders>
          </w:tcPr>
          <w:p>
            <w:pPr>
              <w:spacing w:after="0"/>
              <w:rPr>
                <w:sz w:val="14"/>
                <w:szCs w:val="14"/>
                <w:color w:val="auto"/>
              </w:rPr>
            </w:pPr>
          </w:p>
        </w:tc>
        <w:tc>
          <w:tcPr>
            <w:tcW w:w="1920" w:type="dxa"/>
            <w:vAlign w:val="bottom"/>
            <w:tcBorders>
              <w:bottom w:val="single" w:sz="8" w:color="CCECFF"/>
            </w:tcBorders>
          </w:tcPr>
          <w:p>
            <w:pPr>
              <w:spacing w:after="0"/>
              <w:rPr>
                <w:sz w:val="14"/>
                <w:szCs w:val="14"/>
                <w:color w:val="auto"/>
              </w:rPr>
            </w:pPr>
          </w:p>
        </w:tc>
        <w:tc>
          <w:tcPr>
            <w:tcW w:w="56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(Unaudited)</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Non-controlled, non-affiliated investments (cost—$146,606,665 and $99,544,903,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147,506,492</w:t>
            </w:r>
          </w:p>
        </w:tc>
        <w:tc>
          <w:tcPr>
            <w:tcW w:w="400" w:type="dxa"/>
            <w:vAlign w:val="bottom"/>
            <w:gridSpan w:val="2"/>
            <w:shd w:val="clear" w:color="auto" w:fill="CCECFF"/>
          </w:tcPr>
          <w:p>
            <w:pPr>
              <w:ind w:left="2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99,994,314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Cash and cash equivalents (cost—$17,416,091 and $2,371,169, respectively)</w:t>
            </w: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17,420,131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2,371,263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686,655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332,980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1,978,730</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1,131,029</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0" w:type="dxa"/>
            <w:vAlign w:val="bottom"/>
            <w:shd w:val="clear" w:color="auto" w:fill="CCECFF"/>
          </w:tcPr>
          <w:p>
            <w:pPr>
              <w:spacing w:after="0"/>
              <w:rPr>
                <w:sz w:val="13"/>
                <w:szCs w:val="13"/>
                <w:color w:val="auto"/>
              </w:rPr>
            </w:pPr>
          </w:p>
        </w:tc>
        <w:tc>
          <w:tcPr>
            <w:tcW w:w="75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167,592,008</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103,829,586</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10,003,125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27,095,850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PSSL Credit Facility payable</w:t>
            </w: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86,462,213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26,783,885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Subordinated notes payable</w:t>
            </w: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48,800,000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34,400,000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Interest payable on PSSL Credit Facility</w:t>
            </w: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286,661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97,531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payable on subordinated notes</w:t>
            </w: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27,225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12,107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134,402</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97,192</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CFF"/>
          </w:tcPr>
          <w:p>
            <w:pPr>
              <w:spacing w:after="0"/>
              <w:rPr>
                <w:sz w:val="13"/>
                <w:szCs w:val="13"/>
                <w:color w:val="auto"/>
              </w:rPr>
            </w:pPr>
          </w:p>
        </w:tc>
        <w:tc>
          <w:tcPr>
            <w:tcW w:w="75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145,713,626</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88,486,565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gridSpan w:val="3"/>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shd w:val="clear" w:color="auto" w:fill="CCECFF"/>
          </w:tcPr>
          <w:p>
            <w:pPr>
              <w:spacing w:after="0"/>
              <w:rPr>
                <w:sz w:val="13"/>
                <w:szCs w:val="13"/>
                <w:color w:val="auto"/>
              </w:rPr>
            </w:pPr>
          </w:p>
        </w:tc>
        <w:tc>
          <w:tcPr>
            <w:tcW w:w="75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Members' equity</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21,878,382</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15,343,021</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7520" w:type="dxa"/>
            <w:vAlign w:val="bottom"/>
            <w:gridSpan w:val="2"/>
          </w:tcPr>
          <w:p>
            <w:pPr>
              <w:ind w:left="5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167,592,008</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103,829,586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5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20"/>
                <w:szCs w:val="20"/>
                <w:color w:val="auto"/>
              </w:rPr>
            </w:pPr>
            <w:r>
              <w:rPr>
                <w:rFonts w:ascii="Arial" w:cs="Arial" w:eastAsia="Arial" w:hAnsi="Arial"/>
                <w:sz w:val="12"/>
                <w:szCs w:val="12"/>
                <w:color w:val="auto"/>
              </w:rPr>
              <w:t>(1)</w:t>
            </w:r>
          </w:p>
        </w:tc>
        <w:tc>
          <w:tcPr>
            <w:tcW w:w="7520" w:type="dxa"/>
            <w:vAlign w:val="bottom"/>
            <w:gridSpan w:val="2"/>
          </w:tcPr>
          <w:p>
            <w:pPr>
              <w:ind w:left="180"/>
              <w:spacing w:after="0"/>
              <w:rPr>
                <w:sz w:val="20"/>
                <w:szCs w:val="20"/>
                <w:color w:val="auto"/>
              </w:rPr>
            </w:pPr>
            <w:r>
              <w:rPr>
                <w:rFonts w:ascii="Arial" w:cs="Arial" w:eastAsia="Arial" w:hAnsi="Arial"/>
                <w:sz w:val="14"/>
                <w:szCs w:val="14"/>
                <w:color w:val="auto"/>
              </w:rPr>
              <w:t>PSSL had no outstanding commitments to fund investments as of December 31, 2017.</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0" w:type="dxa"/>
            <w:vAlign w:val="bottom"/>
          </w:tcPr>
          <w:p>
            <w:pPr>
              <w:jc w:val="center"/>
              <w:ind w:left="120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0" w:type="dxa"/>
            <w:vAlign w:val="bottom"/>
          </w:tcPr>
          <w:p>
            <w:pPr>
              <w:jc w:val="center"/>
              <w:ind w:left="1188"/>
              <w:spacing w:after="0"/>
              <w:rPr>
                <w:sz w:val="20"/>
                <w:szCs w:val="20"/>
                <w:color w:val="auto"/>
              </w:rPr>
            </w:pPr>
            <w:r>
              <w:rPr>
                <w:rFonts w:ascii="Arial" w:cs="Arial" w:eastAsia="Arial" w:hAnsi="Arial"/>
                <w:sz w:val="14"/>
                <w:szCs w:val="14"/>
                <w:b w:val="1"/>
                <w:bCs w:val="1"/>
                <w:color w:val="auto"/>
                <w:w w:val="92"/>
              </w:rPr>
              <w:t>Statement of Operations</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600" w:type="dxa"/>
            <w:vAlign w:val="bottom"/>
          </w:tcPr>
          <w:p>
            <w:pPr>
              <w:jc w:val="center"/>
              <w:ind w:left="1188"/>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4"/>
        </w:trPr>
        <w:tc>
          <w:tcPr>
            <w:tcW w:w="2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40" w:type="dxa"/>
            <w:vAlign w:val="bottom"/>
            <w:tcBorders>
              <w:top w:val="single" w:sz="8" w:color="CCECFF"/>
            </w:tcBorders>
            <w:shd w:val="clear" w:color="auto" w:fill="CCECFF"/>
          </w:tcPr>
          <w:p>
            <w:pPr>
              <w:spacing w:after="0"/>
              <w:rPr>
                <w:sz w:val="13"/>
                <w:szCs w:val="13"/>
                <w:color w:val="auto"/>
              </w:rPr>
            </w:pPr>
          </w:p>
        </w:tc>
        <w:tc>
          <w:tcPr>
            <w:tcW w:w="13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From non-controlled, non-affiliated investments:</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w:t>
            </w: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1,973,655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tcBorders>
              <w:bottom w:val="single" w:sz="8" w:color="CCECFF"/>
            </w:tcBorders>
          </w:tcPr>
          <w:p>
            <w:pPr>
              <w:spacing w:after="0"/>
              <w:rPr>
                <w:sz w:val="13"/>
                <w:szCs w:val="13"/>
                <w:color w:val="auto"/>
              </w:rPr>
            </w:pPr>
          </w:p>
        </w:tc>
        <w:tc>
          <w:tcPr>
            <w:tcW w:w="752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40" w:type="dxa"/>
            <w:vAlign w:val="bottom"/>
            <w:tcBorders>
              <w:bottom w:val="single" w:sz="8" w:color="CCECFF"/>
            </w:tcBorders>
          </w:tcPr>
          <w:p>
            <w:pPr>
              <w:spacing w:after="0"/>
              <w:rPr>
                <w:sz w:val="13"/>
                <w:szCs w:val="13"/>
                <w:color w:val="auto"/>
              </w:rPr>
            </w:pPr>
          </w:p>
        </w:tc>
        <w:tc>
          <w:tcPr>
            <w:tcW w:w="130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1,973,655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7520" w:type="dxa"/>
            <w:vAlign w:val="bottom"/>
            <w:gridSpan w:val="2"/>
          </w:tcPr>
          <w:p>
            <w:pPr>
              <w:ind w:left="60"/>
              <w:spacing w:after="0"/>
              <w:rPr>
                <w:sz w:val="20"/>
                <w:szCs w:val="20"/>
                <w:color w:val="auto"/>
              </w:rPr>
            </w:pPr>
            <w:r>
              <w:rPr>
                <w:rFonts w:ascii="Arial" w:cs="Arial" w:eastAsia="Arial" w:hAnsi="Arial"/>
                <w:sz w:val="14"/>
                <w:szCs w:val="14"/>
                <w:color w:val="auto"/>
              </w:rPr>
              <w:t>Interest and expenses on PSSL Credit Facility</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651,537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 expense on subordinated notes</w:t>
            </w:r>
          </w:p>
        </w:tc>
        <w:tc>
          <w:tcPr>
            <w:tcW w:w="14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612,297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7520" w:type="dxa"/>
            <w:vAlign w:val="bottom"/>
            <w:gridSpan w:val="2"/>
          </w:tcPr>
          <w:p>
            <w:pPr>
              <w:ind w:left="60"/>
              <w:spacing w:after="0"/>
              <w:rPr>
                <w:sz w:val="20"/>
                <w:szCs w:val="20"/>
                <w:color w:val="auto"/>
              </w:rPr>
            </w:pPr>
            <w:r>
              <w:rPr>
                <w:rFonts w:ascii="Arial" w:cs="Arial" w:eastAsia="Arial" w:hAnsi="Arial"/>
                <w:sz w:val="14"/>
                <w:szCs w:val="14"/>
                <w:color w:val="auto"/>
              </w:rPr>
              <w:t>Administrative services expenses</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14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351,786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tcBorders>
              <w:bottom w:val="single" w:sz="8" w:color="CCECFF"/>
            </w:tcBorders>
          </w:tcPr>
          <w:p>
            <w:pPr>
              <w:spacing w:after="0"/>
              <w:rPr>
                <w:sz w:val="13"/>
                <w:szCs w:val="13"/>
                <w:color w:val="auto"/>
              </w:rPr>
            </w:pPr>
          </w:p>
        </w:tc>
        <w:tc>
          <w:tcPr>
            <w:tcW w:w="752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Total expenses</w:t>
            </w:r>
          </w:p>
        </w:tc>
        <w:tc>
          <w:tcPr>
            <w:tcW w:w="140" w:type="dxa"/>
            <w:vAlign w:val="bottom"/>
            <w:tcBorders>
              <w:bottom w:val="single" w:sz="8" w:color="CCECFF"/>
            </w:tcBorders>
          </w:tcPr>
          <w:p>
            <w:pPr>
              <w:spacing w:after="0"/>
              <w:rPr>
                <w:sz w:val="13"/>
                <w:szCs w:val="13"/>
                <w:color w:val="auto"/>
              </w:rPr>
            </w:pPr>
          </w:p>
        </w:tc>
        <w:tc>
          <w:tcPr>
            <w:tcW w:w="130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1,690,620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CFF"/>
          </w:tcPr>
          <w:p>
            <w:pPr>
              <w:spacing w:after="0"/>
              <w:rPr>
                <w:sz w:val="13"/>
                <w:szCs w:val="13"/>
                <w:color w:val="auto"/>
              </w:rPr>
            </w:pPr>
          </w:p>
        </w:tc>
        <w:tc>
          <w:tcPr>
            <w:tcW w:w="7520" w:type="dxa"/>
            <w:vAlign w:val="bottom"/>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40" w:type="dxa"/>
            <w:vAlign w:val="bottom"/>
            <w:shd w:val="clear" w:color="auto" w:fill="CCECFF"/>
          </w:tcPr>
          <w:p>
            <w:pPr>
              <w:spacing w:after="0"/>
              <w:rPr>
                <w:sz w:val="13"/>
                <w:szCs w:val="13"/>
                <w:color w:val="auto"/>
              </w:rPr>
            </w:pPr>
          </w:p>
        </w:tc>
        <w:tc>
          <w:tcPr>
            <w:tcW w:w="130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283,035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7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Realized and unrealized gain on investments and credit facility</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gridSpan w:val="3"/>
          </w:tcPr>
          <w:p>
            <w:pPr>
              <w:ind w:left="140"/>
              <w:spacing w:after="0"/>
              <w:rPr>
                <w:sz w:val="20"/>
                <w:szCs w:val="20"/>
                <w:color w:val="auto"/>
              </w:rPr>
            </w:pPr>
            <w:r>
              <w:rPr>
                <w:rFonts w:ascii="Arial" w:cs="Arial" w:eastAsia="Arial" w:hAnsi="Arial"/>
                <w:sz w:val="14"/>
                <w:szCs w:val="14"/>
                <w:b w:val="1"/>
                <w:bCs w:val="1"/>
                <w:color w:val="auto"/>
              </w:rPr>
              <w:t>foreign currency translations</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realized loss on investments</w:t>
            </w:r>
          </w:p>
        </w:tc>
        <w:tc>
          <w:tcPr>
            <w:tcW w:w="14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(49,176)</w:t>
            </w:r>
          </w:p>
        </w:tc>
        <w:tc>
          <w:tcPr>
            <w:tcW w:w="0" w:type="dxa"/>
            <w:vAlign w:val="bottom"/>
          </w:tcPr>
          <w:p>
            <w:pPr>
              <w:spacing w:after="0"/>
              <w:rPr>
                <w:sz w:val="1"/>
                <w:szCs w:val="1"/>
                <w:color w:val="auto"/>
              </w:rPr>
            </w:pPr>
          </w:p>
        </w:tc>
      </w:tr>
      <w:tr>
        <w:trPr>
          <w:trHeight w:val="162"/>
        </w:trPr>
        <w:tc>
          <w:tcPr>
            <w:tcW w:w="7720" w:type="dxa"/>
            <w:vAlign w:val="bottom"/>
            <w:gridSpan w:val="3"/>
          </w:tcPr>
          <w:p>
            <w:pPr>
              <w:spacing w:after="0"/>
              <w:rPr>
                <w:sz w:val="20"/>
                <w:szCs w:val="20"/>
                <w:color w:val="auto"/>
              </w:rPr>
            </w:pPr>
            <w:r>
              <w:rPr>
                <w:rFonts w:ascii="Arial" w:cs="Arial" w:eastAsia="Arial" w:hAnsi="Arial"/>
                <w:sz w:val="14"/>
                <w:szCs w:val="14"/>
                <w:color w:val="auto"/>
              </w:rPr>
              <w:t>Net change in unrealized appreciation on:</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Non-controlled, non-affiliated investments</w:t>
            </w:r>
          </w:p>
        </w:tc>
        <w:tc>
          <w:tcPr>
            <w:tcW w:w="14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454,362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7520" w:type="dxa"/>
            <w:vAlign w:val="bottom"/>
            <w:gridSpan w:val="2"/>
          </w:tcPr>
          <w:p>
            <w:pPr>
              <w:ind w:left="60"/>
              <w:spacing w:after="0"/>
              <w:rPr>
                <w:sz w:val="20"/>
                <w:szCs w:val="20"/>
                <w:color w:val="auto"/>
              </w:rPr>
            </w:pPr>
            <w:r>
              <w:rPr>
                <w:rFonts w:ascii="Arial" w:cs="Arial" w:eastAsia="Arial" w:hAnsi="Arial"/>
                <w:sz w:val="14"/>
                <w:szCs w:val="14"/>
                <w:color w:val="auto"/>
              </w:rPr>
              <w:t>Credit facility foreign currency translations</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(324,288)</w:t>
            </w:r>
          </w:p>
        </w:tc>
        <w:tc>
          <w:tcPr>
            <w:tcW w:w="0" w:type="dxa"/>
            <w:vAlign w:val="bottom"/>
          </w:tcPr>
          <w:p>
            <w:pPr>
              <w:spacing w:after="0"/>
              <w:rPr>
                <w:sz w:val="1"/>
                <w:szCs w:val="1"/>
                <w:color w:val="auto"/>
              </w:rPr>
            </w:pPr>
          </w:p>
        </w:tc>
      </w:tr>
      <w:tr>
        <w:trPr>
          <w:trHeight w:val="156"/>
        </w:trPr>
        <w:tc>
          <w:tcPr>
            <w:tcW w:w="200" w:type="dxa"/>
            <w:vAlign w:val="bottom"/>
            <w:tcBorders>
              <w:top w:val="single" w:sz="8" w:color="CCECFF"/>
            </w:tcBorders>
            <w:shd w:val="clear" w:color="auto" w:fill="CCECFF"/>
          </w:tcPr>
          <w:p>
            <w:pPr>
              <w:spacing w:after="0"/>
              <w:rPr>
                <w:sz w:val="13"/>
                <w:szCs w:val="13"/>
                <w:color w:val="auto"/>
              </w:rPr>
            </w:pPr>
          </w:p>
        </w:tc>
        <w:tc>
          <w:tcPr>
            <w:tcW w:w="7520" w:type="dxa"/>
            <w:vAlign w:val="bottom"/>
            <w:tcBorders>
              <w:top w:val="single" w:sz="8" w:color="CCECFF"/>
            </w:tcBorders>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Net change in unrealized appreciation on investments and credit facility foreign currency translations</w:t>
            </w:r>
          </w:p>
        </w:tc>
        <w:tc>
          <w:tcPr>
            <w:tcW w:w="140" w:type="dxa"/>
            <w:vAlign w:val="bottom"/>
            <w:tcBorders>
              <w:top w:val="single" w:sz="8" w:color="CCECFF"/>
            </w:tcBorders>
            <w:shd w:val="clear" w:color="auto" w:fill="CCECFF"/>
          </w:tcPr>
          <w:p>
            <w:pPr>
              <w:spacing w:after="0"/>
              <w:rPr>
                <w:sz w:val="13"/>
                <w:szCs w:val="13"/>
                <w:color w:val="auto"/>
              </w:rPr>
            </w:pPr>
          </w:p>
        </w:tc>
        <w:tc>
          <w:tcPr>
            <w:tcW w:w="13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130,074</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gridSpan w:val="3"/>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credit facility foreign currency translations</w:t>
            </w:r>
          </w:p>
        </w:tc>
        <w:tc>
          <w:tcPr>
            <w:tcW w:w="140" w:type="dxa"/>
            <w:vAlign w:val="bottom"/>
            <w:tcBorders>
              <w:bottom w:val="single" w:sz="8" w:color="CCECFF"/>
            </w:tcBorders>
          </w:tcPr>
          <w:p>
            <w:pPr>
              <w:spacing w:after="0"/>
              <w:rPr>
                <w:sz w:val="13"/>
                <w:szCs w:val="13"/>
                <w:color w:val="auto"/>
              </w:rPr>
            </w:pPr>
          </w:p>
        </w:tc>
        <w:tc>
          <w:tcPr>
            <w:tcW w:w="130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80,898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140" w:type="dxa"/>
            <w:vAlign w:val="bottom"/>
            <w:tcBorders>
              <w:bottom w:val="single" w:sz="8" w:color="CCECFF"/>
            </w:tcBorders>
            <w:shd w:val="clear" w:color="auto" w:fill="CCECFF"/>
          </w:tcPr>
          <w:p>
            <w:pPr>
              <w:spacing w:after="0"/>
              <w:rPr>
                <w:sz w:val="13"/>
                <w:szCs w:val="13"/>
                <w:color w:val="auto"/>
              </w:rPr>
            </w:pPr>
          </w:p>
        </w:tc>
        <w:tc>
          <w:tcPr>
            <w:tcW w:w="13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363,933</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on the Statement of Operations.</w:t>
      </w:r>
    </w:p>
    <w:p>
      <w:pPr>
        <w:spacing w:after="0" w:line="200" w:lineRule="exact"/>
        <w:rPr>
          <w:rFonts w:ascii="Arial" w:cs="Arial" w:eastAsia="Arial" w:hAnsi="Arial"/>
          <w:sz w:val="12"/>
          <w:szCs w:val="12"/>
          <w:color w:val="auto"/>
        </w:rPr>
      </w:pPr>
    </w:p>
    <w:p>
      <w:pPr>
        <w:spacing w:after="0" w:line="300" w:lineRule="exact"/>
        <w:rPr>
          <w:rFonts w:ascii="Arial" w:cs="Arial" w:eastAsia="Arial" w:hAnsi="Arial"/>
          <w:sz w:val="12"/>
          <w:szCs w:val="12"/>
          <w:color w:val="auto"/>
        </w:rPr>
      </w:pPr>
    </w:p>
    <w:p>
      <w:pPr>
        <w:ind w:left="5560"/>
        <w:spacing w:after="0"/>
        <w:rPr>
          <w:rFonts w:ascii="Arial" w:cs="Arial" w:eastAsia="Arial" w:hAnsi="Arial"/>
          <w:sz w:val="12"/>
          <w:szCs w:val="12"/>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13455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58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December 31, 2017, including borrowings under our Credit Facility, 2023 Notes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 (millions)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8"/>
              <w:spacing w:after="0" w:line="133"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190.4</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ind w:left="1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190.4</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2023 Notes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138.6</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329.0</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ind w:left="1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190.4</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138.6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Unfunded commitments to PSSL</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26.5</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42.4</w:t>
            </w: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500" w:type="dxa"/>
            <w:vAlign w:val="bottom"/>
            <w:gridSpan w:val="2"/>
            <w:shd w:val="clear" w:color="auto" w:fill="CCEC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35.4</w:t>
            </w:r>
          </w:p>
        </w:tc>
        <w:tc>
          <w:tcPr>
            <w:tcW w:w="2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397.9</w:t>
            </w:r>
          </w:p>
        </w:tc>
        <w:tc>
          <w:tcPr>
            <w:tcW w:w="24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w:t>
            </w:r>
          </w:p>
        </w:tc>
        <w:tc>
          <w:tcPr>
            <w:tcW w:w="24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225.8</w:t>
            </w: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w:t>
            </w: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right="160" w:hanging="372"/>
        <w:spacing w:after="0" w:line="221" w:lineRule="auto"/>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December 31, 2017, excluding amendment costs and debt issuance costs, was 3.61% exclusive of the fee on the undrawn commitment on the Credit Facility.</w:t>
      </w:r>
    </w:p>
    <w:p>
      <w:pPr>
        <w:ind w:left="380" w:hanging="372"/>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2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2018,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2018,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7"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During the three months ended December 31, 2017 and 2016, we declared distributions of $0.285 and $0.285 per share, respectively, for total distributions of $10.4 million and $7.6 million, respectively.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On November 22, 2017, we terminated our dividend reinvestment plan. The termination of the plan applies to the reinvestment of cash distributions paid on or after December 22, 2017.</w:t>
      </w:r>
    </w:p>
    <w:p>
      <w:pPr>
        <w:spacing w:after="0" w:line="14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9" w:name="page40"/>
    <w:bookmarkEnd w:id="39"/>
    <w:p>
      <w:pPr>
        <w:ind w:right="220"/>
        <w:spacing w:after="0" w:line="253" w:lineRule="auto"/>
        <w:rPr>
          <w:sz w:val="20"/>
          <w:szCs w:val="20"/>
          <w:color w:val="auto"/>
        </w:rPr>
      </w:pPr>
      <w:r>
        <w:rPr>
          <w:rFonts w:ascii="Arial" w:cs="Arial" w:eastAsia="Arial" w:hAnsi="Arial"/>
          <w:sz w:val="14"/>
          <w:szCs w:val="14"/>
          <w:color w:val="auto"/>
        </w:rPr>
        <w:t>not before the original effective date (i.e., interim periods within annual periods beginning after December 15, 2016). The Company has evaluated this guidance and determined it will have no material impact on its financial statements.</w:t>
      </w:r>
    </w:p>
    <w:p>
      <w:pPr>
        <w:spacing w:after="0" w:line="102"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firstLine="394"/>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December 31, 2017, our debt portfolio consisted of 99% variable-rate investments (including 4% where LIBOR was below the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560" w:firstLine="394"/>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9"/>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(5,049)</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5,049</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10,108</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15,327</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20,546</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80" w:firstLine="394"/>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200" w:firstLine="39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100" w:firstLine="394"/>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80" w:firstLine="394"/>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20" w:firstLine="394"/>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2017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PART II – OTHER INFORMATION</w:t>
      </w:r>
    </w:p>
    <w:p>
      <w:pPr>
        <w:spacing w:after="0" w:line="12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right="80" w:firstLine="394"/>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0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54" w:lineRule="exact"/>
        <w:rPr>
          <w:sz w:val="20"/>
          <w:szCs w:val="20"/>
          <w:color w:val="auto"/>
        </w:rPr>
      </w:pPr>
    </w:p>
    <w:p>
      <w:pPr>
        <w:ind w:firstLine="394"/>
        <w:spacing w:after="0" w:line="231"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2017 filed on November 30, 2017 and in “Risk Factors” in Post-Effective Amendment No. 3 to the Registration Statement on Form N-2 filed on December 13, 2017, which could materially affect our business, financial condition and/or operating results. The risks described in our Annual Report on Form 10-K and Registration Statement on Form N-2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9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Not applicable.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41" w:name="page42"/>
    <w:bookmarkEnd w:id="41"/>
    <w:p>
      <w:pPr>
        <w:spacing w:after="0"/>
        <w:tabs>
          <w:tab w:leader="none" w:pos="7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85" w:lineRule="exact"/>
        <w:rPr>
          <w:sz w:val="20"/>
          <w:szCs w:val="20"/>
          <w:color w:val="auto"/>
        </w:rPr>
      </w:pPr>
    </w:p>
    <w:p>
      <w:pPr>
        <w:ind w:left="580" w:right="60" w:hanging="579"/>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3.1</w:t>
      </w:r>
      <w:r>
        <w:rPr>
          <w:sz w:val="20"/>
          <w:szCs w:val="20"/>
          <w:color w:val="auto"/>
        </w:rPr>
        <w:tab/>
      </w:r>
      <w:hyperlink r:id="rId73">
        <w:r>
          <w:rPr>
            <w:rFonts w:ascii="Arial" w:cs="Arial" w:eastAsia="Arial" w:hAnsi="Arial"/>
            <w:sz w:val="14"/>
            <w:szCs w:val="14"/>
            <w:u w:val="single" w:color="auto"/>
            <w:color w:val="0000EE"/>
          </w:rPr>
          <w:t>Articles of Amendment and Restatement of the Registrant (Incorporated by reference to Exhibit 99(A) to the Registrant's Pre-Effective Amendment No. 3 to the Registration Statement</w:t>
        </w:r>
      </w:hyperlink>
      <w:r>
        <w:rPr>
          <w:rFonts w:ascii="Arial" w:cs="Arial" w:eastAsia="Arial" w:hAnsi="Arial"/>
          <w:sz w:val="14"/>
          <w:szCs w:val="14"/>
          <w:u w:val="single" w:color="auto"/>
          <w:color w:val="0000EE"/>
        </w:rPr>
        <w:t xml:space="preserve"> </w:t>
      </w:r>
      <w:hyperlink r:id="rId73">
        <w:r>
          <w:rPr>
            <w:rFonts w:ascii="Arial" w:cs="Arial" w:eastAsia="Arial" w:hAnsi="Arial"/>
            <w:sz w:val="14"/>
            <w:szCs w:val="14"/>
            <w:u w:val="single" w:color="auto"/>
            <w:color w:val="0000EE"/>
          </w:rPr>
          <w:t>on Form N-2 (File No. 333-170243), filed on March 29, 2011).</w:t>
        </w:r>
      </w:hyperlink>
    </w:p>
    <w:p>
      <w:pPr>
        <w:spacing w:after="0" w:line="10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w:t>
      </w:r>
      <w:r>
        <w:rPr>
          <w:sz w:val="20"/>
          <w:szCs w:val="20"/>
          <w:color w:val="auto"/>
        </w:rPr>
        <w:tab/>
      </w:r>
      <w:hyperlink r:id="rId74">
        <w:r>
          <w:rPr>
            <w:rFonts w:ascii="Arial" w:cs="Arial" w:eastAsia="Arial" w:hAnsi="Arial"/>
            <w:sz w:val="13"/>
            <w:szCs w:val="13"/>
            <w:u w:val="single" w:color="auto"/>
            <w:color w:val="0000EE"/>
          </w:rPr>
          <w:t>Amended and Restated Bylaws of the Registrant (Incorporated by reference to Exhibit 3.1 to the Registrant’s Current Report on Form 8-K (File No. 814-00891), filed on December 2,</w:t>
        </w:r>
      </w:hyperlink>
    </w:p>
    <w:p>
      <w:pPr>
        <w:ind w:left="580"/>
        <w:spacing w:after="0"/>
        <w:rPr>
          <w:rFonts w:ascii="Arial" w:cs="Arial" w:eastAsia="Arial" w:hAnsi="Arial"/>
          <w:sz w:val="14"/>
          <w:szCs w:val="14"/>
          <w:u w:val="single" w:color="auto"/>
          <w:color w:val="0000EE"/>
        </w:rPr>
      </w:pPr>
      <w:hyperlink r:id="rId74">
        <w:r>
          <w:rPr>
            <w:rFonts w:ascii="Arial" w:cs="Arial" w:eastAsia="Arial" w:hAnsi="Arial"/>
            <w:sz w:val="14"/>
            <w:szCs w:val="14"/>
            <w:u w:val="single" w:color="auto"/>
            <w:color w:val="0000EE"/>
          </w:rPr>
          <w:t>2015).</w:t>
        </w:r>
      </w:hyperlink>
    </w:p>
    <w:p>
      <w:pPr>
        <w:spacing w:after="0" w:line="124"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75">
        <w:r>
          <w:rPr>
            <w:rFonts w:ascii="Arial" w:cs="Arial" w:eastAsia="Arial" w:hAnsi="Arial"/>
            <w:sz w:val="13"/>
            <w:szCs w:val="13"/>
            <w:u w:val="single" w:color="auto"/>
            <w:color w:val="0000EE"/>
          </w:rPr>
          <w:t>Form of Share Certificate (Incorporated by reference to Exhibit 99(D) to the Registrant's Pre-Effective Amendment No. 5 to the Registration Statement on Form N-2 (File No. 333-</w:t>
        </w:r>
      </w:hyperlink>
    </w:p>
    <w:p>
      <w:pPr>
        <w:ind w:left="580"/>
        <w:spacing w:after="0"/>
        <w:rPr>
          <w:rFonts w:ascii="Arial" w:cs="Arial" w:eastAsia="Arial" w:hAnsi="Arial"/>
          <w:sz w:val="14"/>
          <w:szCs w:val="14"/>
          <w:u w:val="single" w:color="auto"/>
          <w:color w:val="0000EE"/>
        </w:rPr>
      </w:pPr>
      <w:hyperlink r:id="rId75">
        <w:r>
          <w:rPr>
            <w:rFonts w:ascii="Arial" w:cs="Arial" w:eastAsia="Arial" w:hAnsi="Arial"/>
            <w:sz w:val="14"/>
            <w:szCs w:val="14"/>
            <w:u w:val="single" w:color="auto"/>
            <w:color w:val="0000EE"/>
          </w:rPr>
          <w:t>170243), filed on April 5, 2011).</w:t>
        </w:r>
      </w:hyperlink>
    </w:p>
    <w:p>
      <w:pPr>
        <w:spacing w:after="0" w:line="124" w:lineRule="exact"/>
        <w:rPr>
          <w:sz w:val="20"/>
          <w:szCs w:val="20"/>
          <w:color w:val="auto"/>
        </w:rPr>
      </w:pPr>
    </w:p>
    <w:p>
      <w:pPr>
        <w:jc w:val="both"/>
        <w:ind w:left="580" w:right="100" w:hanging="579"/>
        <w:spacing w:after="0" w:line="23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10.1</w:t>
      </w:r>
      <w:r>
        <w:rPr>
          <w:sz w:val="20"/>
          <w:szCs w:val="20"/>
          <w:color w:val="auto"/>
        </w:rPr>
        <w:tab/>
      </w:r>
      <w:hyperlink r:id="rId76">
        <w:r>
          <w:rPr>
            <w:rFonts w:ascii="Arial" w:cs="Arial" w:eastAsia="Arial" w:hAnsi="Arial"/>
            <w:sz w:val="14"/>
            <w:szCs w:val="14"/>
            <w:u w:val="single" w:color="auto"/>
            <w:color w:val="0000EE"/>
          </w:rPr>
          <w:t>Second Amendment to Third Amended and Restated Revolving Credit and Security Agreement, dated as of November 9, 2017, among PennantPark Floating Rate Funding I, LLC, as</w:t>
        </w:r>
      </w:hyperlink>
      <w:r>
        <w:rPr>
          <w:rFonts w:ascii="Arial" w:cs="Arial" w:eastAsia="Arial" w:hAnsi="Arial"/>
          <w:sz w:val="14"/>
          <w:szCs w:val="14"/>
          <w:u w:val="single" w:color="auto"/>
          <w:color w:val="0000EE"/>
        </w:rPr>
        <w:t xml:space="preserve"> </w:t>
      </w:r>
      <w:hyperlink r:id="rId76">
        <w:r>
          <w:rPr>
            <w:rFonts w:ascii="Arial" w:cs="Arial" w:eastAsia="Arial" w:hAnsi="Arial"/>
            <w:sz w:val="14"/>
            <w:szCs w:val="14"/>
            <w:u w:val="single" w:color="auto"/>
            <w:color w:val="0000EE"/>
          </w:rPr>
          <w:t>borrower, PennantPark Investment Advisers, LLC, as collateral manager, the lenders from time to time parties thereto, SunTrust Bank, as administrative agent, and U.S. Bank National</w:t>
        </w:r>
      </w:hyperlink>
      <w:r>
        <w:rPr>
          <w:rFonts w:ascii="Arial" w:cs="Arial" w:eastAsia="Arial" w:hAnsi="Arial"/>
          <w:sz w:val="14"/>
          <w:szCs w:val="14"/>
          <w:u w:val="single" w:color="auto"/>
          <w:color w:val="0000EE"/>
        </w:rPr>
        <w:t xml:space="preserve"> </w:t>
      </w:r>
      <w:hyperlink r:id="rId76">
        <w:r>
          <w:rPr>
            <w:rFonts w:ascii="Arial" w:cs="Arial" w:eastAsia="Arial" w:hAnsi="Arial"/>
            <w:sz w:val="14"/>
            <w:szCs w:val="14"/>
            <w:u w:val="single" w:color="auto"/>
            <w:color w:val="0000EE"/>
          </w:rPr>
          <w:t>Association, as collateral agent, as custodian, as collateral administrator and as backup collateral manager (Incorporated by reference to Exhibit 10.1 to the Registrant’s Current Report</w:t>
        </w:r>
      </w:hyperlink>
      <w:r>
        <w:rPr>
          <w:rFonts w:ascii="Arial" w:cs="Arial" w:eastAsia="Arial" w:hAnsi="Arial"/>
          <w:sz w:val="14"/>
          <w:szCs w:val="14"/>
          <w:u w:val="single" w:color="auto"/>
          <w:color w:val="0000EE"/>
        </w:rPr>
        <w:t xml:space="preserve"> </w:t>
      </w:r>
      <w:hyperlink r:id="rId76">
        <w:r>
          <w:rPr>
            <w:rFonts w:ascii="Arial" w:cs="Arial" w:eastAsia="Arial" w:hAnsi="Arial"/>
            <w:sz w:val="14"/>
            <w:szCs w:val="14"/>
            <w:u w:val="single" w:color="auto"/>
            <w:color w:val="0000EE"/>
          </w:rPr>
          <w:t>on Form 8-K (File No. 814-00891), filed on November 13, 2017).</w:t>
        </w:r>
      </w:hyperlink>
    </w:p>
    <w:p>
      <w:pPr>
        <w:spacing w:after="0" w:line="117" w:lineRule="exact"/>
        <w:rPr>
          <w:rFonts w:ascii="Arial" w:cs="Arial" w:eastAsia="Arial" w:hAnsi="Arial"/>
          <w:sz w:val="14"/>
          <w:szCs w:val="14"/>
          <w:u w:val="single" w:color="auto"/>
          <w:color w:val="0000EE"/>
        </w:rPr>
      </w:pPr>
    </w:p>
    <w:p>
      <w:pPr>
        <w:ind w:left="580" w:right="440" w:hanging="579"/>
        <w:spacing w:after="0" w:line="31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10.2</w:t>
      </w:r>
      <w:r>
        <w:rPr>
          <w:sz w:val="20"/>
          <w:szCs w:val="20"/>
          <w:color w:val="auto"/>
        </w:rPr>
        <w:tab/>
      </w:r>
      <w:hyperlink r:id="rId77">
        <w:r>
          <w:rPr>
            <w:rFonts w:ascii="Arial" w:cs="Arial" w:eastAsia="Arial" w:hAnsi="Arial"/>
            <w:sz w:val="14"/>
            <w:szCs w:val="14"/>
            <w:u w:val="single" w:color="auto"/>
            <w:color w:val="0000EE"/>
          </w:rPr>
          <w:t>Deed of Trust dated November 23, 2017, between PennantPark Floating Rate Capital Ltd. and Mishmeret Trust Company, Ltd. (Incorporated by reference to Exhibit (d)(8) to the</w:t>
        </w:r>
      </w:hyperlink>
      <w:r>
        <w:rPr>
          <w:rFonts w:ascii="Arial" w:cs="Arial" w:eastAsia="Arial" w:hAnsi="Arial"/>
          <w:sz w:val="14"/>
          <w:szCs w:val="14"/>
          <w:u w:val="single" w:color="auto"/>
          <w:color w:val="0000EE"/>
        </w:rPr>
        <w:t xml:space="preserve"> </w:t>
      </w:r>
      <w:hyperlink r:id="rId77">
        <w:r>
          <w:rPr>
            <w:rFonts w:ascii="Arial" w:cs="Arial" w:eastAsia="Arial" w:hAnsi="Arial"/>
            <w:sz w:val="14"/>
            <w:szCs w:val="14"/>
            <w:u w:val="single" w:color="auto"/>
            <w:color w:val="0000EE"/>
          </w:rPr>
          <w:t>Registrant’s Post-Effective Amendment No. 3 to the Registration Statement on Form N-2 (File No. 333- 215111), filed on December 13, 2017).</w:t>
        </w:r>
      </w:hyperlink>
    </w:p>
    <w:p>
      <w:pPr>
        <w:spacing w:after="0" w:line="93" w:lineRule="exact"/>
        <w:rPr>
          <w:sz w:val="20"/>
          <w:szCs w:val="20"/>
          <w:color w:val="auto"/>
        </w:rPr>
      </w:pPr>
    </w:p>
    <w:p>
      <w:pPr>
        <w:ind w:left="580" w:hanging="579"/>
        <w:spacing w:after="0" w:line="31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10.3</w:t>
      </w:r>
      <w:r>
        <w:rPr>
          <w:sz w:val="20"/>
          <w:szCs w:val="20"/>
          <w:color w:val="auto"/>
        </w:rPr>
        <w:tab/>
      </w:r>
      <w:hyperlink r:id="rId78">
        <w:r>
          <w:rPr>
            <w:rFonts w:ascii="Arial" w:cs="Arial" w:eastAsia="Arial" w:hAnsi="Arial"/>
            <w:sz w:val="14"/>
            <w:szCs w:val="14"/>
            <w:u w:val="single" w:color="auto"/>
            <w:color w:val="0000EE"/>
          </w:rPr>
          <w:t>Supplementary Notice dated November 23, 2017 (Incorporated by reference to Exhibit (d)(9) to the Registrant’s Post-Effective Amendment No. 3 to the Registration Statement on Form</w:t>
        </w:r>
      </w:hyperlink>
      <w:r>
        <w:rPr>
          <w:rFonts w:ascii="Arial" w:cs="Arial" w:eastAsia="Arial" w:hAnsi="Arial"/>
          <w:sz w:val="14"/>
          <w:szCs w:val="14"/>
          <w:u w:val="single" w:color="auto"/>
          <w:color w:val="0000EE"/>
        </w:rPr>
        <w:t xml:space="preserve"> </w:t>
      </w:r>
      <w:hyperlink r:id="rId78">
        <w:r>
          <w:rPr>
            <w:rFonts w:ascii="Arial" w:cs="Arial" w:eastAsia="Arial" w:hAnsi="Arial"/>
            <w:sz w:val="14"/>
            <w:szCs w:val="14"/>
            <w:u w:val="single" w:color="auto"/>
            <w:color w:val="0000EE"/>
          </w:rPr>
          <w:t>N-2 (File No. 333- 215111), filed on December 13, 2017).</w:t>
        </w:r>
      </w:hyperlink>
    </w:p>
    <w:p>
      <w:pPr>
        <w:spacing w:after="0" w:line="93" w:lineRule="exact"/>
        <w:rPr>
          <w:sz w:val="20"/>
          <w:szCs w:val="20"/>
          <w:color w:val="auto"/>
        </w:rPr>
      </w:pPr>
    </w:p>
    <w:p>
      <w:pPr>
        <w:ind w:left="580" w:right="80" w:hanging="579"/>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10.4*</w:t>
      </w:r>
      <w:r>
        <w:rPr>
          <w:sz w:val="20"/>
          <w:szCs w:val="20"/>
          <w:color w:val="auto"/>
        </w:rPr>
        <w:tab/>
      </w:r>
      <w:hyperlink w:anchor="page44">
        <w:r>
          <w:rPr>
            <w:rFonts w:ascii="Arial" w:cs="Arial" w:eastAsia="Arial" w:hAnsi="Arial"/>
            <w:sz w:val="14"/>
            <w:szCs w:val="14"/>
            <w:u w:val="single" w:color="auto"/>
            <w:color w:val="0000EE"/>
          </w:rPr>
          <w:t>First Amendment to Purchase and Contribution Agreement, dated as of January 16, 2018, between PennantPark Floating Rate Capital Ltd., as the seller, and PennantPark Floating Rate</w:t>
        </w:r>
      </w:hyperlink>
      <w:r>
        <w:rPr>
          <w:rFonts w:ascii="Arial" w:cs="Arial" w:eastAsia="Arial" w:hAnsi="Arial"/>
          <w:sz w:val="14"/>
          <w:szCs w:val="14"/>
          <w:u w:val="single" w:color="auto"/>
          <w:color w:val="0000EE"/>
        </w:rPr>
        <w:t xml:space="preserve"> </w:t>
      </w:r>
      <w:hyperlink w:anchor="page44">
        <w:r>
          <w:rPr>
            <w:rFonts w:ascii="Arial" w:cs="Arial" w:eastAsia="Arial" w:hAnsi="Arial"/>
            <w:sz w:val="14"/>
            <w:szCs w:val="14"/>
            <w:u w:val="single" w:color="auto"/>
            <w:color w:val="0000EE"/>
          </w:rPr>
          <w:t>Funding I, LLC, as the buyer.</w:t>
        </w:r>
      </w:hyperlink>
    </w:p>
    <w:p>
      <w:pPr>
        <w:spacing w:after="0" w:line="106" w:lineRule="exact"/>
        <w:rPr>
          <w:sz w:val="20"/>
          <w:szCs w:val="20"/>
          <w:color w:val="auto"/>
        </w:rPr>
      </w:pPr>
    </w:p>
    <w:p>
      <w:pPr>
        <w:ind w:right="3440" w:firstLine="8"/>
        <w:spacing w:after="0" w:line="476" w:lineRule="auto"/>
        <w:tabs>
          <w:tab w:leader="none" w:pos="580" w:val="left"/>
        </w:tabs>
        <w:numPr>
          <w:ilvl w:val="0"/>
          <w:numId w:val="24"/>
        </w:numPr>
        <w:rPr>
          <w:rFonts w:ascii="Arial" w:cs="Arial" w:eastAsia="Arial" w:hAnsi="Arial"/>
          <w:sz w:val="13"/>
          <w:szCs w:val="13"/>
          <w:color w:val="000000"/>
        </w:rPr>
      </w:pPr>
      <w:hyperlink w:anchor="page25">
        <w:r>
          <w:rPr>
            <w:rFonts w:ascii="Arial" w:cs="Arial" w:eastAsia="Arial" w:hAnsi="Arial"/>
            <w:sz w:val="13"/>
            <w:szCs w:val="13"/>
            <w:u w:val="single" w:color="auto"/>
            <w:color w:val="0000EE"/>
          </w:rPr>
          <w:t>Computation of Per Share Earnings (included in the notes to the Consolidated Financial Statements contained in this Report)</w:t>
        </w:r>
        <w:r>
          <w:rPr>
            <w:rFonts w:ascii="Arial" w:cs="Arial" w:eastAsia="Arial" w:hAnsi="Arial"/>
            <w:sz w:val="13"/>
            <w:szCs w:val="13"/>
            <w:color w:val="0000EE"/>
          </w:rPr>
          <w:t>.</w:t>
        </w:r>
      </w:hyperlink>
      <w:r>
        <w:rPr>
          <w:rFonts w:ascii="Arial" w:cs="Arial" w:eastAsia="Arial" w:hAnsi="Arial"/>
          <w:sz w:val="13"/>
          <w:szCs w:val="13"/>
          <w:color w:val="0000EE"/>
        </w:rPr>
        <w:t xml:space="preserve"> </w:t>
      </w:r>
      <w:r>
        <w:rPr>
          <w:rFonts w:ascii="Arial" w:cs="Arial" w:eastAsia="Arial" w:hAnsi="Arial"/>
          <w:sz w:val="13"/>
          <w:szCs w:val="13"/>
          <w:color w:val="000000"/>
        </w:rPr>
        <w:t xml:space="preserve">31.1* </w:t>
      </w:r>
      <w:hyperlink w:anchor="page51">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 w:lineRule="exact"/>
        <w:rPr>
          <w:rFonts w:ascii="Arial" w:cs="Arial" w:eastAsia="Arial" w:hAnsi="Arial"/>
          <w:sz w:val="13"/>
          <w:szCs w:val="13"/>
          <w:color w:val="000000"/>
        </w:rPr>
      </w:pPr>
    </w:p>
    <w:p>
      <w:pPr>
        <w:spacing w:after="0"/>
        <w:rPr>
          <w:rFonts w:ascii="Arial" w:cs="Arial" w:eastAsia="Arial" w:hAnsi="Arial"/>
          <w:sz w:val="14"/>
          <w:szCs w:val="14"/>
          <w:color w:val="auto"/>
        </w:rPr>
      </w:pPr>
      <w:r>
        <w:rPr>
          <w:rFonts w:ascii="Arial" w:cs="Arial" w:eastAsia="Arial" w:hAnsi="Arial"/>
          <w:sz w:val="14"/>
          <w:szCs w:val="14"/>
          <w:color w:val="auto"/>
        </w:rPr>
        <w:t xml:space="preserve">31.2*    </w:t>
      </w:r>
      <w:hyperlink w:anchor="page52">
        <w:r>
          <w:rPr>
            <w:rFonts w:ascii="Arial" w:cs="Arial" w:eastAsia="Arial" w:hAnsi="Arial"/>
            <w:sz w:val="14"/>
            <w:szCs w:val="14"/>
            <w:u w:val="single" w:color="auto"/>
            <w:color w:val="0000EE"/>
          </w:rPr>
          <w:t>Certification of Chief Financial Officer pursuant to Rule 13a-14 of the Securities Exchange Act of 1934, as amended.</w:t>
        </w:r>
      </w:hyperlink>
    </w:p>
    <w:p>
      <w:pPr>
        <w:spacing w:after="0" w:line="13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32.1*    </w:t>
      </w:r>
      <w:hyperlink w:anchor="page53">
        <w:r>
          <w:rPr>
            <w:rFonts w:ascii="Arial" w:cs="Arial" w:eastAsia="Arial" w:hAnsi="Arial"/>
            <w:sz w:val="14"/>
            <w:szCs w:val="14"/>
            <w:u w:val="single" w:color="auto"/>
            <w:color w:val="0000EE"/>
          </w:rPr>
          <w:t>Certification of Chief Executive Officer pursuant to section 906 of The Sarbanes-Oxley Act of 2002.</w:t>
        </w:r>
      </w:hyperlink>
    </w:p>
    <w:p>
      <w:pPr>
        <w:spacing w:after="0" w:line="13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32.2*    </w:t>
      </w:r>
      <w:hyperlink w:anchor="page54">
        <w:r>
          <w:rPr>
            <w:rFonts w:ascii="Arial" w:cs="Arial" w:eastAsia="Arial" w:hAnsi="Arial"/>
            <w:sz w:val="14"/>
            <w:szCs w:val="14"/>
            <w:u w:val="single" w:color="auto"/>
            <w:color w:val="0000EE"/>
          </w:rPr>
          <w:t>Certification of Chief Financial Officer pursuant to section 906 of The Sarbanes-Oxley Act of 2002.</w:t>
        </w:r>
      </w:hyperlink>
    </w:p>
    <w:p>
      <w:pPr>
        <w:spacing w:after="0" w:line="136" w:lineRule="exact"/>
        <w:rPr>
          <w:rFonts w:ascii="Arial" w:cs="Arial" w:eastAsia="Arial" w:hAnsi="Arial"/>
          <w:sz w:val="14"/>
          <w:szCs w:val="14"/>
          <w:color w:val="auto"/>
        </w:rPr>
      </w:pPr>
    </w:p>
    <w:p>
      <w:pPr>
        <w:ind w:right="480"/>
        <w:spacing w:after="0" w:line="534" w:lineRule="auto"/>
        <w:rPr>
          <w:rFonts w:ascii="Arial" w:cs="Arial" w:eastAsia="Arial" w:hAnsi="Arial"/>
          <w:sz w:val="14"/>
          <w:szCs w:val="14"/>
          <w:color w:val="auto"/>
        </w:rPr>
      </w:pPr>
      <w:r>
        <w:rPr>
          <w:rFonts w:ascii="Arial" w:cs="Arial" w:eastAsia="Arial" w:hAnsi="Arial"/>
          <w:sz w:val="14"/>
          <w:szCs w:val="14"/>
          <w:color w:val="auto"/>
        </w:rPr>
        <w:t xml:space="preserve">99.1 </w:t>
      </w:r>
      <w:hyperlink r:id="rId79">
        <w:r>
          <w:rPr>
            <w:rFonts w:ascii="Arial" w:cs="Arial" w:eastAsia="Arial" w:hAnsi="Arial"/>
            <w:sz w:val="14"/>
            <w:szCs w:val="14"/>
            <w:u w:val="single" w:color="auto"/>
            <w:color w:val="0000EE"/>
          </w:rPr>
          <w:t>Privacy Policy of the Registrant (Incorporated by reference to Exhibit 99.1 to the Registrant’s Annual Report on Form 10-K (File No. 814-00891), filed on November 17, 2011).</w:t>
        </w:r>
      </w:hyperlink>
      <w:r>
        <w:rPr>
          <w:rFonts w:ascii="Arial" w:cs="Arial" w:eastAsia="Arial" w:hAnsi="Arial"/>
          <w:sz w:val="14"/>
          <w:szCs w:val="14"/>
          <w:color w:val="auto"/>
        </w:rPr>
        <w:t xml:space="preserve"> * Filed herewith.</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18599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0" w:lineRule="exact"/>
        <w:rPr>
          <w:rFonts w:ascii="Arial" w:cs="Arial" w:eastAsia="Arial" w:hAnsi="Arial"/>
          <w:sz w:val="14"/>
          <w:szCs w:val="14"/>
          <w:color w:val="auto"/>
        </w:rPr>
      </w:pPr>
    </w:p>
    <w:p>
      <w:pPr>
        <w:spacing w:after="0" w:line="346" w:lineRule="exact"/>
        <w:rPr>
          <w:rFonts w:ascii="Arial" w:cs="Arial" w:eastAsia="Arial" w:hAnsi="Arial"/>
          <w:sz w:val="14"/>
          <w:szCs w:val="14"/>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right="260" w:firstLine="49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5120" w:type="dxa"/>
            <w:vAlign w:val="bottom"/>
          </w:tcPr>
          <w:p>
            <w:pPr>
              <w:ind w:left="540"/>
              <w:spacing w:after="0"/>
              <w:rPr>
                <w:sz w:val="20"/>
                <w:szCs w:val="20"/>
                <w:color w:val="auto"/>
              </w:rPr>
            </w:pPr>
            <w:r>
              <w:rPr>
                <w:rFonts w:ascii="Arial" w:cs="Arial" w:eastAsia="Arial" w:hAnsi="Arial"/>
                <w:sz w:val="14"/>
                <w:szCs w:val="14"/>
                <w:color w:val="auto"/>
              </w:rPr>
              <w:t>PENNANTPARK FLOATING RATE CAPITAL LTD.</w:t>
            </w:r>
          </w:p>
        </w:tc>
        <w:tc>
          <w:tcPr>
            <w:tcW w:w="0" w:type="dxa"/>
            <w:vAlign w:val="bottom"/>
          </w:tcPr>
          <w:p>
            <w:pPr>
              <w:spacing w:after="0"/>
              <w:rPr>
                <w:sz w:val="1"/>
                <w:szCs w:val="1"/>
                <w:color w:val="auto"/>
              </w:rPr>
            </w:pPr>
          </w:p>
        </w:tc>
      </w:tr>
      <w:tr>
        <w:trPr>
          <w:trHeight w:val="324"/>
        </w:trPr>
        <w:tc>
          <w:tcPr>
            <w:tcW w:w="3300" w:type="dxa"/>
            <w:vAlign w:val="bottom"/>
          </w:tcPr>
          <w:p>
            <w:pPr>
              <w:spacing w:after="0"/>
              <w:rPr>
                <w:sz w:val="20"/>
                <w:szCs w:val="20"/>
                <w:color w:val="auto"/>
              </w:rPr>
            </w:pPr>
            <w:r>
              <w:rPr>
                <w:rFonts w:ascii="Arial" w:cs="Arial" w:eastAsia="Arial" w:hAnsi="Arial"/>
                <w:sz w:val="14"/>
                <w:szCs w:val="14"/>
                <w:color w:val="auto"/>
              </w:rPr>
              <w:t>Date: February 8, 2018</w:t>
            </w:r>
          </w:p>
        </w:tc>
        <w:tc>
          <w:tcPr>
            <w:tcW w:w="2820" w:type="dxa"/>
            <w:vAlign w:val="bottom"/>
            <w:vMerge w:val="restart"/>
          </w:tcPr>
          <w:p>
            <w:pPr>
              <w:ind w:left="1940"/>
              <w:spacing w:after="0"/>
              <w:rPr>
                <w:sz w:val="20"/>
                <w:szCs w:val="20"/>
                <w:color w:val="auto"/>
              </w:rPr>
            </w:pPr>
            <w:r>
              <w:rPr>
                <w:rFonts w:ascii="Arial" w:cs="Arial" w:eastAsia="Arial" w:hAnsi="Arial"/>
                <w:sz w:val="14"/>
                <w:szCs w:val="14"/>
                <w:color w:val="auto"/>
              </w:rPr>
              <w:t>By:</w:t>
            </w:r>
          </w:p>
        </w:tc>
        <w:tc>
          <w:tcPr>
            <w:tcW w:w="5120" w:type="dxa"/>
            <w:vAlign w:val="bottom"/>
            <w:vMerge w:val="restart"/>
          </w:tcPr>
          <w:p>
            <w:pPr>
              <w:jc w:val="center"/>
              <w:spacing w:after="0"/>
              <w:rPr>
                <w:sz w:val="20"/>
                <w:szCs w:val="20"/>
                <w:color w:val="auto"/>
              </w:rPr>
            </w:pPr>
            <w:r>
              <w:rPr>
                <w:rFonts w:ascii="Arial" w:cs="Arial" w:eastAsia="Arial" w:hAnsi="Arial"/>
                <w:sz w:val="14"/>
                <w:szCs w:val="14"/>
                <w:color w:val="auto"/>
                <w:w w:val="93"/>
              </w:rPr>
              <w:t>/s/ Arthur H. Penn</w:t>
            </w:r>
          </w:p>
        </w:tc>
        <w:tc>
          <w:tcPr>
            <w:tcW w:w="0" w:type="dxa"/>
            <w:vAlign w:val="bottom"/>
          </w:tcPr>
          <w:p>
            <w:pPr>
              <w:spacing w:after="0"/>
              <w:rPr>
                <w:sz w:val="1"/>
                <w:szCs w:val="1"/>
                <w:color w:val="auto"/>
              </w:rPr>
            </w:pPr>
          </w:p>
        </w:tc>
      </w:tr>
      <w:tr>
        <w:trPr>
          <w:trHeight w:val="58"/>
        </w:trPr>
        <w:tc>
          <w:tcPr>
            <w:tcW w:w="330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51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1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Arthur H. Penn</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 Directors</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Executive Officer)</w:t>
            </w:r>
          </w:p>
        </w:tc>
        <w:tc>
          <w:tcPr>
            <w:tcW w:w="0" w:type="dxa"/>
            <w:vAlign w:val="bottom"/>
          </w:tcPr>
          <w:p>
            <w:pPr>
              <w:spacing w:after="0"/>
              <w:rPr>
                <w:sz w:val="1"/>
                <w:szCs w:val="1"/>
                <w:color w:val="auto"/>
              </w:rPr>
            </w:pPr>
          </w:p>
        </w:tc>
      </w:tr>
      <w:tr>
        <w:trPr>
          <w:trHeight w:val="297"/>
        </w:trPr>
        <w:tc>
          <w:tcPr>
            <w:tcW w:w="3300" w:type="dxa"/>
            <w:vAlign w:val="bottom"/>
          </w:tcPr>
          <w:p>
            <w:pPr>
              <w:spacing w:after="0"/>
              <w:rPr>
                <w:sz w:val="20"/>
                <w:szCs w:val="20"/>
                <w:color w:val="auto"/>
              </w:rPr>
            </w:pPr>
            <w:r>
              <w:rPr>
                <w:rFonts w:ascii="Arial" w:cs="Arial" w:eastAsia="Arial" w:hAnsi="Arial"/>
                <w:sz w:val="14"/>
                <w:szCs w:val="14"/>
                <w:color w:val="auto"/>
              </w:rPr>
              <w:t>Date: February 8, 2018</w:t>
            </w:r>
          </w:p>
        </w:tc>
        <w:tc>
          <w:tcPr>
            <w:tcW w:w="2820" w:type="dxa"/>
            <w:vAlign w:val="bottom"/>
            <w:vMerge w:val="restart"/>
          </w:tcPr>
          <w:p>
            <w:pPr>
              <w:ind w:left="1940"/>
              <w:spacing w:after="0"/>
              <w:rPr>
                <w:sz w:val="20"/>
                <w:szCs w:val="20"/>
                <w:color w:val="auto"/>
              </w:rPr>
            </w:pPr>
            <w:r>
              <w:rPr>
                <w:rFonts w:ascii="Arial" w:cs="Arial" w:eastAsia="Arial" w:hAnsi="Arial"/>
                <w:sz w:val="14"/>
                <w:szCs w:val="14"/>
                <w:color w:val="auto"/>
              </w:rPr>
              <w:t>By:</w:t>
            </w:r>
          </w:p>
        </w:tc>
        <w:tc>
          <w:tcPr>
            <w:tcW w:w="5120" w:type="dxa"/>
            <w:vAlign w:val="bottom"/>
            <w:vMerge w:val="restart"/>
          </w:tcPr>
          <w:p>
            <w:pPr>
              <w:jc w:val="center"/>
              <w:spacing w:after="0"/>
              <w:rPr>
                <w:sz w:val="20"/>
                <w:szCs w:val="20"/>
                <w:color w:val="auto"/>
              </w:rPr>
            </w:pPr>
            <w:r>
              <w:rPr>
                <w:rFonts w:ascii="Arial" w:cs="Arial" w:eastAsia="Arial" w:hAnsi="Arial"/>
                <w:sz w:val="14"/>
                <w:szCs w:val="14"/>
                <w:color w:val="auto"/>
                <w:w w:val="96"/>
              </w:rPr>
              <w:t>/s/ Aviv Efrat</w:t>
            </w:r>
          </w:p>
        </w:tc>
        <w:tc>
          <w:tcPr>
            <w:tcW w:w="0" w:type="dxa"/>
            <w:vAlign w:val="bottom"/>
          </w:tcPr>
          <w:p>
            <w:pPr>
              <w:spacing w:after="0"/>
              <w:rPr>
                <w:sz w:val="1"/>
                <w:szCs w:val="1"/>
                <w:color w:val="auto"/>
              </w:rPr>
            </w:pPr>
          </w:p>
        </w:tc>
      </w:tr>
      <w:tr>
        <w:trPr>
          <w:trHeight w:val="58"/>
        </w:trPr>
        <w:tc>
          <w:tcPr>
            <w:tcW w:w="330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51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3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7"/>
              </w:rPr>
              <w:t>Aviv Efrat</w:t>
            </w:r>
          </w:p>
        </w:tc>
        <w:tc>
          <w:tcPr>
            <w:tcW w:w="0" w:type="dxa"/>
            <w:vAlign w:val="bottom"/>
          </w:tcPr>
          <w:p>
            <w:pPr>
              <w:spacing w:after="0"/>
              <w:rPr>
                <w:sz w:val="1"/>
                <w:szCs w:val="1"/>
                <w:color w:val="auto"/>
              </w:rPr>
            </w:pPr>
          </w:p>
        </w:tc>
      </w:tr>
      <w:tr>
        <w:trPr>
          <w:trHeight w:val="205"/>
        </w:trPr>
        <w:tc>
          <w:tcPr>
            <w:tcW w:w="33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Chief Financial Officer and Treasurer</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265" w:right="339" w:bottom="1440" w:gutter="0" w:footer="0" w:header="0"/>
        </w:sectPr>
      </w:pPr>
    </w:p>
    <w:bookmarkStart w:id="43" w:name="page44"/>
    <w:bookmarkEnd w:id="43"/>
    <w:p>
      <w:pPr>
        <w:ind w:left="10340"/>
        <w:spacing w:after="0"/>
        <w:rPr>
          <w:sz w:val="20"/>
          <w:szCs w:val="20"/>
          <w:color w:val="auto"/>
        </w:rPr>
      </w:pPr>
      <w:r>
        <w:rPr>
          <w:rFonts w:ascii="Arial" w:cs="Arial" w:eastAsia="Arial" w:hAnsi="Arial"/>
          <w:sz w:val="14"/>
          <w:szCs w:val="14"/>
          <w:b w:val="1"/>
          <w:bCs w:val="1"/>
          <w:color w:val="auto"/>
        </w:rPr>
        <w:t>EXHIBIT 10.4</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9"/>
          <w:szCs w:val="9"/>
          <w:b w:val="1"/>
          <w:bCs w:val="1"/>
          <w:color w:val="auto"/>
        </w:rPr>
        <w:t>IRST</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MENDMENT TO</w:t>
      </w:r>
      <w:r>
        <w:rPr>
          <w:rFonts w:ascii="Arial" w:cs="Arial" w:eastAsia="Arial" w:hAnsi="Arial"/>
          <w:sz w:val="14"/>
          <w:szCs w:val="14"/>
          <w:b w:val="1"/>
          <w:bCs w:val="1"/>
          <w:color w:val="auto"/>
        </w:rPr>
        <w:t xml:space="preserve"> P</w:t>
      </w:r>
      <w:r>
        <w:rPr>
          <w:rFonts w:ascii="Arial" w:cs="Arial" w:eastAsia="Arial" w:hAnsi="Arial"/>
          <w:sz w:val="9"/>
          <w:szCs w:val="9"/>
          <w:b w:val="1"/>
          <w:bCs w:val="1"/>
          <w:color w:val="auto"/>
        </w:rPr>
        <w:t>URCHASE AND</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ONTRIBUTION</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GREEMENT</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January 16, 2018</w:t>
      </w:r>
    </w:p>
    <w:p>
      <w:pPr>
        <w:spacing w:after="0" w:line="231" w:lineRule="exact"/>
        <w:rPr>
          <w:sz w:val="20"/>
          <w:szCs w:val="20"/>
          <w:color w:val="auto"/>
        </w:rPr>
      </w:pPr>
    </w:p>
    <w:p>
      <w:pPr>
        <w:jc w:val="both"/>
        <w:ind w:right="20" w:firstLine="1152"/>
        <w:spacing w:after="0" w:line="225" w:lineRule="auto"/>
        <w:rPr>
          <w:sz w:val="20"/>
          <w:szCs w:val="20"/>
          <w:color w:val="auto"/>
        </w:rPr>
      </w:pPr>
      <w:r>
        <w:rPr>
          <w:rFonts w:ascii="Arial" w:cs="Arial" w:eastAsia="Arial" w:hAnsi="Arial"/>
          <w:sz w:val="14"/>
          <w:szCs w:val="14"/>
          <w:color w:val="auto"/>
        </w:rPr>
        <w:t>Reference is hereby made to (i) that certain P</w:t>
      </w:r>
      <w:r>
        <w:rPr>
          <w:rFonts w:ascii="Arial" w:cs="Arial" w:eastAsia="Arial" w:hAnsi="Arial"/>
          <w:sz w:val="9"/>
          <w:szCs w:val="9"/>
          <w:color w:val="auto"/>
        </w:rPr>
        <w:t>URCHASE AND</w:t>
      </w:r>
      <w:r>
        <w:rPr>
          <w:rFonts w:ascii="Arial" w:cs="Arial" w:eastAsia="Arial" w:hAnsi="Arial"/>
          <w:sz w:val="14"/>
          <w:szCs w:val="14"/>
          <w:color w:val="auto"/>
        </w:rPr>
        <w:t xml:space="preserve"> C</w:t>
      </w:r>
      <w:r>
        <w:rPr>
          <w:rFonts w:ascii="Arial" w:cs="Arial" w:eastAsia="Arial" w:hAnsi="Arial"/>
          <w:sz w:val="9"/>
          <w:szCs w:val="9"/>
          <w:color w:val="auto"/>
        </w:rPr>
        <w:t>ONTRIBUTION</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 xml:space="preserve">, dated as of June 23, 2011 (as amended, restated, supplemented or otherwise modified from time to time prior to the date hereof, the </w:t>
      </w:r>
      <w:r>
        <w:rPr>
          <w:rFonts w:ascii="Arial" w:cs="Arial" w:eastAsia="Arial" w:hAnsi="Arial"/>
          <w:sz w:val="14"/>
          <w:szCs w:val="14"/>
          <w:i w:val="1"/>
          <w:iCs w:val="1"/>
          <w:color w:val="auto"/>
        </w:rPr>
        <w:t>“Purchase Agreement”</w:t>
      </w:r>
      <w:r>
        <w:rPr>
          <w:rFonts w:ascii="Arial" w:cs="Arial" w:eastAsia="Arial" w:hAnsi="Arial"/>
          <w:sz w:val="14"/>
          <w:szCs w:val="14"/>
          <w:color w:val="auto"/>
        </w:rPr>
        <w:t>), by and among P</w:t>
      </w:r>
      <w:r>
        <w:rPr>
          <w:rFonts w:ascii="Arial" w:cs="Arial" w:eastAsia="Arial" w:hAnsi="Arial"/>
          <w:sz w:val="9"/>
          <w:szCs w:val="9"/>
          <w:color w:val="auto"/>
        </w:rPr>
        <w:t>ENNANT</w:t>
      </w:r>
      <w:r>
        <w:rPr>
          <w:rFonts w:ascii="Arial" w:cs="Arial" w:eastAsia="Arial" w:hAnsi="Arial"/>
          <w:sz w:val="14"/>
          <w:szCs w:val="14"/>
          <w:color w:val="auto"/>
        </w:rPr>
        <w:t>P</w:t>
      </w:r>
      <w:r>
        <w:rPr>
          <w:rFonts w:ascii="Arial" w:cs="Arial" w:eastAsia="Arial" w:hAnsi="Arial"/>
          <w:sz w:val="9"/>
          <w:szCs w:val="9"/>
          <w:color w:val="auto"/>
        </w:rPr>
        <w:t>ARK</w:t>
      </w:r>
      <w:r>
        <w:rPr>
          <w:rFonts w:ascii="Arial" w:cs="Arial" w:eastAsia="Arial" w:hAnsi="Arial"/>
          <w:sz w:val="14"/>
          <w:szCs w:val="14"/>
          <w:color w:val="auto"/>
        </w:rPr>
        <w:t xml:space="preserve"> F</w:t>
      </w:r>
      <w:r>
        <w:rPr>
          <w:rFonts w:ascii="Arial" w:cs="Arial" w:eastAsia="Arial" w:hAnsi="Arial"/>
          <w:sz w:val="9"/>
          <w:szCs w:val="9"/>
          <w:color w:val="auto"/>
        </w:rPr>
        <w:t>LOATING</w:t>
      </w:r>
      <w:r>
        <w:rPr>
          <w:rFonts w:ascii="Arial" w:cs="Arial" w:eastAsia="Arial" w:hAnsi="Arial"/>
          <w:sz w:val="14"/>
          <w:szCs w:val="14"/>
          <w:color w:val="auto"/>
        </w:rPr>
        <w:t xml:space="preserve"> R</w:t>
      </w:r>
      <w:r>
        <w:rPr>
          <w:rFonts w:ascii="Arial" w:cs="Arial" w:eastAsia="Arial" w:hAnsi="Arial"/>
          <w:sz w:val="9"/>
          <w:szCs w:val="9"/>
          <w:color w:val="auto"/>
        </w:rPr>
        <w:t>ATE</w:t>
      </w:r>
      <w:r>
        <w:rPr>
          <w:rFonts w:ascii="Arial" w:cs="Arial" w:eastAsia="Arial" w:hAnsi="Arial"/>
          <w:sz w:val="14"/>
          <w:szCs w:val="14"/>
          <w:color w:val="auto"/>
        </w:rPr>
        <w:t xml:space="preserve"> F</w:t>
      </w:r>
      <w:r>
        <w:rPr>
          <w:rFonts w:ascii="Arial" w:cs="Arial" w:eastAsia="Arial" w:hAnsi="Arial"/>
          <w:sz w:val="9"/>
          <w:szCs w:val="9"/>
          <w:color w:val="auto"/>
        </w:rPr>
        <w:t>UNDING</w:t>
      </w:r>
      <w:r>
        <w:rPr>
          <w:rFonts w:ascii="Arial" w:cs="Arial" w:eastAsia="Arial" w:hAnsi="Arial"/>
          <w:sz w:val="14"/>
          <w:szCs w:val="14"/>
          <w:color w:val="auto"/>
        </w:rPr>
        <w:t xml:space="preserve"> I, LLC, a Delaware limited liability company, as buyer (in such capacity, together with its permitted successors and assigns, the </w:t>
      </w:r>
      <w:r>
        <w:rPr>
          <w:rFonts w:ascii="Arial" w:cs="Arial" w:eastAsia="Arial" w:hAnsi="Arial"/>
          <w:sz w:val="14"/>
          <w:szCs w:val="14"/>
          <w:i w:val="1"/>
          <w:iCs w:val="1"/>
          <w:color w:val="auto"/>
        </w:rPr>
        <w:t>“Buyer”</w:t>
      </w:r>
      <w:r>
        <w:rPr>
          <w:rFonts w:ascii="Arial" w:cs="Arial" w:eastAsia="Arial" w:hAnsi="Arial"/>
          <w:sz w:val="14"/>
          <w:szCs w:val="14"/>
          <w:color w:val="auto"/>
        </w:rPr>
        <w:t>), and P</w:t>
      </w:r>
      <w:r>
        <w:rPr>
          <w:rFonts w:ascii="Arial" w:cs="Arial" w:eastAsia="Arial" w:hAnsi="Arial"/>
          <w:sz w:val="9"/>
          <w:szCs w:val="9"/>
          <w:color w:val="auto"/>
        </w:rPr>
        <w:t>ENNANT</w:t>
      </w:r>
      <w:r>
        <w:rPr>
          <w:rFonts w:ascii="Arial" w:cs="Arial" w:eastAsia="Arial" w:hAnsi="Arial"/>
          <w:sz w:val="14"/>
          <w:szCs w:val="14"/>
          <w:color w:val="auto"/>
        </w:rPr>
        <w:t>P</w:t>
      </w:r>
      <w:r>
        <w:rPr>
          <w:rFonts w:ascii="Arial" w:cs="Arial" w:eastAsia="Arial" w:hAnsi="Arial"/>
          <w:sz w:val="9"/>
          <w:szCs w:val="9"/>
          <w:color w:val="auto"/>
        </w:rPr>
        <w:t>ARK</w:t>
      </w:r>
      <w:r>
        <w:rPr>
          <w:rFonts w:ascii="Arial" w:cs="Arial" w:eastAsia="Arial" w:hAnsi="Arial"/>
          <w:sz w:val="14"/>
          <w:szCs w:val="14"/>
          <w:color w:val="auto"/>
        </w:rPr>
        <w:t xml:space="preserve"> F</w:t>
      </w:r>
      <w:r>
        <w:rPr>
          <w:rFonts w:ascii="Arial" w:cs="Arial" w:eastAsia="Arial" w:hAnsi="Arial"/>
          <w:sz w:val="9"/>
          <w:szCs w:val="9"/>
          <w:color w:val="auto"/>
        </w:rPr>
        <w:t>LOATING</w:t>
      </w:r>
      <w:r>
        <w:rPr>
          <w:rFonts w:ascii="Arial" w:cs="Arial" w:eastAsia="Arial" w:hAnsi="Arial"/>
          <w:sz w:val="14"/>
          <w:szCs w:val="14"/>
          <w:color w:val="auto"/>
        </w:rPr>
        <w:t xml:space="preserve"> R</w:t>
      </w:r>
      <w:r>
        <w:rPr>
          <w:rFonts w:ascii="Arial" w:cs="Arial" w:eastAsia="Arial" w:hAnsi="Arial"/>
          <w:sz w:val="9"/>
          <w:szCs w:val="9"/>
          <w:color w:val="auto"/>
        </w:rPr>
        <w:t>ATE</w:t>
      </w:r>
      <w:r>
        <w:rPr>
          <w:rFonts w:ascii="Arial" w:cs="Arial" w:eastAsia="Arial" w:hAnsi="Arial"/>
          <w:sz w:val="14"/>
          <w:szCs w:val="14"/>
          <w:color w:val="auto"/>
        </w:rPr>
        <w:t xml:space="preserve"> C</w:t>
      </w:r>
      <w:r>
        <w:rPr>
          <w:rFonts w:ascii="Arial" w:cs="Arial" w:eastAsia="Arial" w:hAnsi="Arial"/>
          <w:sz w:val="9"/>
          <w:szCs w:val="9"/>
          <w:color w:val="auto"/>
        </w:rPr>
        <w:t>APITAL</w:t>
      </w:r>
      <w:r>
        <w:rPr>
          <w:rFonts w:ascii="Arial" w:cs="Arial" w:eastAsia="Arial" w:hAnsi="Arial"/>
          <w:sz w:val="14"/>
          <w:szCs w:val="14"/>
          <w:color w:val="auto"/>
        </w:rPr>
        <w:t xml:space="preserve"> L</w:t>
      </w:r>
      <w:r>
        <w:rPr>
          <w:rFonts w:ascii="Arial" w:cs="Arial" w:eastAsia="Arial" w:hAnsi="Arial"/>
          <w:sz w:val="9"/>
          <w:szCs w:val="9"/>
          <w:color w:val="auto"/>
        </w:rPr>
        <w:t>TD</w:t>
      </w:r>
      <w:r>
        <w:rPr>
          <w:rFonts w:ascii="Arial" w:cs="Arial" w:eastAsia="Arial" w:hAnsi="Arial"/>
          <w:sz w:val="14"/>
          <w:szCs w:val="14"/>
          <w:color w:val="auto"/>
        </w:rPr>
        <w:t xml:space="preserve">., a Maryland corporation, as the seller (together with its permitted successors and assigns, the </w:t>
      </w:r>
      <w:r>
        <w:rPr>
          <w:rFonts w:ascii="Arial" w:cs="Arial" w:eastAsia="Arial" w:hAnsi="Arial"/>
          <w:sz w:val="14"/>
          <w:szCs w:val="14"/>
          <w:i w:val="1"/>
          <w:iCs w:val="1"/>
          <w:color w:val="auto"/>
        </w:rPr>
        <w:t>“Seller”</w:t>
      </w:r>
      <w:r>
        <w:rPr>
          <w:rFonts w:ascii="Arial" w:cs="Arial" w:eastAsia="Arial" w:hAnsi="Arial"/>
          <w:sz w:val="14"/>
          <w:szCs w:val="14"/>
          <w:color w:val="auto"/>
        </w:rPr>
        <w:t>), and (ii) that certain T</w:t>
      </w:r>
      <w:r>
        <w:rPr>
          <w:rFonts w:ascii="Arial" w:cs="Arial" w:eastAsia="Arial" w:hAnsi="Arial"/>
          <w:sz w:val="9"/>
          <w:szCs w:val="9"/>
          <w:color w:val="auto"/>
        </w:rPr>
        <w:t>HIRD</w:t>
      </w:r>
      <w:r>
        <w:rPr>
          <w:rFonts w:ascii="Arial" w:cs="Arial" w:eastAsia="Arial" w:hAnsi="Arial"/>
          <w:sz w:val="14"/>
          <w:szCs w:val="14"/>
          <w:color w:val="auto"/>
        </w:rPr>
        <w:t xml:space="preserve"> A</w:t>
      </w:r>
      <w:r>
        <w:rPr>
          <w:rFonts w:ascii="Arial" w:cs="Arial" w:eastAsia="Arial" w:hAnsi="Arial"/>
          <w:sz w:val="9"/>
          <w:szCs w:val="9"/>
          <w:color w:val="auto"/>
        </w:rPr>
        <w:t>MENDED AND</w:t>
      </w:r>
      <w:r>
        <w:rPr>
          <w:rFonts w:ascii="Arial" w:cs="Arial" w:eastAsia="Arial" w:hAnsi="Arial"/>
          <w:sz w:val="14"/>
          <w:szCs w:val="14"/>
          <w:color w:val="auto"/>
        </w:rPr>
        <w:t xml:space="preserve"> R</w:t>
      </w:r>
      <w:r>
        <w:rPr>
          <w:rFonts w:ascii="Arial" w:cs="Arial" w:eastAsia="Arial" w:hAnsi="Arial"/>
          <w:sz w:val="9"/>
          <w:szCs w:val="9"/>
          <w:color w:val="auto"/>
        </w:rPr>
        <w:t>ESTATED</w:t>
      </w:r>
      <w:r>
        <w:rPr>
          <w:rFonts w:ascii="Arial" w:cs="Arial" w:eastAsia="Arial" w:hAnsi="Arial"/>
          <w:sz w:val="14"/>
          <w:szCs w:val="14"/>
          <w:color w:val="auto"/>
        </w:rPr>
        <w:t xml:space="preserve"> R</w:t>
      </w:r>
      <w:r>
        <w:rPr>
          <w:rFonts w:ascii="Arial" w:cs="Arial" w:eastAsia="Arial" w:hAnsi="Arial"/>
          <w:sz w:val="9"/>
          <w:szCs w:val="9"/>
          <w:color w:val="auto"/>
        </w:rPr>
        <w:t>EVOLVING</w:t>
      </w:r>
      <w:r>
        <w:rPr>
          <w:rFonts w:ascii="Arial" w:cs="Arial" w:eastAsia="Arial" w:hAnsi="Arial"/>
          <w:sz w:val="14"/>
          <w:szCs w:val="14"/>
          <w:color w:val="auto"/>
        </w:rPr>
        <w:t xml:space="preserve"> C</w:t>
      </w:r>
      <w:r>
        <w:rPr>
          <w:rFonts w:ascii="Arial" w:cs="Arial" w:eastAsia="Arial" w:hAnsi="Arial"/>
          <w:sz w:val="9"/>
          <w:szCs w:val="9"/>
          <w:color w:val="auto"/>
        </w:rPr>
        <w:t>REDIT AND</w:t>
      </w:r>
      <w:r>
        <w:rPr>
          <w:rFonts w:ascii="Arial" w:cs="Arial" w:eastAsia="Arial" w:hAnsi="Arial"/>
          <w:sz w:val="14"/>
          <w:szCs w:val="14"/>
          <w:color w:val="auto"/>
        </w:rPr>
        <w:t xml:space="preserve"> S</w:t>
      </w:r>
      <w:r>
        <w:rPr>
          <w:rFonts w:ascii="Arial" w:cs="Arial" w:eastAsia="Arial" w:hAnsi="Arial"/>
          <w:sz w:val="9"/>
          <w:szCs w:val="9"/>
          <w:color w:val="auto"/>
        </w:rPr>
        <w:t>ECURITY</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 xml:space="preserve">, dated as of May 22, 2015 (as amended, restated, supplemented or otherwise modified from time to time, the </w:t>
      </w:r>
      <w:r>
        <w:rPr>
          <w:rFonts w:ascii="Arial" w:cs="Arial" w:eastAsia="Arial" w:hAnsi="Arial"/>
          <w:sz w:val="14"/>
          <w:szCs w:val="14"/>
          <w:i w:val="1"/>
          <w:iCs w:val="1"/>
          <w:color w:val="auto"/>
        </w:rPr>
        <w:t>“Loan Agreement”</w:t>
      </w:r>
      <w:r>
        <w:rPr>
          <w:rFonts w:ascii="Arial" w:cs="Arial" w:eastAsia="Arial" w:hAnsi="Arial"/>
          <w:sz w:val="14"/>
          <w:szCs w:val="14"/>
          <w:color w:val="auto"/>
        </w:rPr>
        <w:t>), by and among P</w:t>
      </w:r>
      <w:r>
        <w:rPr>
          <w:rFonts w:ascii="Arial" w:cs="Arial" w:eastAsia="Arial" w:hAnsi="Arial"/>
          <w:sz w:val="9"/>
          <w:szCs w:val="9"/>
          <w:color w:val="auto"/>
        </w:rPr>
        <w:t>ENNANT</w:t>
      </w:r>
      <w:r>
        <w:rPr>
          <w:rFonts w:ascii="Arial" w:cs="Arial" w:eastAsia="Arial" w:hAnsi="Arial"/>
          <w:sz w:val="14"/>
          <w:szCs w:val="14"/>
          <w:color w:val="auto"/>
        </w:rPr>
        <w:t>P</w:t>
      </w:r>
      <w:r>
        <w:rPr>
          <w:rFonts w:ascii="Arial" w:cs="Arial" w:eastAsia="Arial" w:hAnsi="Arial"/>
          <w:sz w:val="9"/>
          <w:szCs w:val="9"/>
          <w:color w:val="auto"/>
        </w:rPr>
        <w:t>ARK</w:t>
      </w:r>
      <w:r>
        <w:rPr>
          <w:rFonts w:ascii="Arial" w:cs="Arial" w:eastAsia="Arial" w:hAnsi="Arial"/>
          <w:sz w:val="14"/>
          <w:szCs w:val="14"/>
          <w:color w:val="auto"/>
        </w:rPr>
        <w:t xml:space="preserve"> F</w:t>
      </w:r>
      <w:r>
        <w:rPr>
          <w:rFonts w:ascii="Arial" w:cs="Arial" w:eastAsia="Arial" w:hAnsi="Arial"/>
          <w:sz w:val="9"/>
          <w:szCs w:val="9"/>
          <w:color w:val="auto"/>
        </w:rPr>
        <w:t>LOATING</w:t>
      </w:r>
      <w:r>
        <w:rPr>
          <w:rFonts w:ascii="Arial" w:cs="Arial" w:eastAsia="Arial" w:hAnsi="Arial"/>
          <w:sz w:val="14"/>
          <w:szCs w:val="14"/>
          <w:color w:val="auto"/>
        </w:rPr>
        <w:t xml:space="preserve"> R</w:t>
      </w:r>
      <w:r>
        <w:rPr>
          <w:rFonts w:ascii="Arial" w:cs="Arial" w:eastAsia="Arial" w:hAnsi="Arial"/>
          <w:sz w:val="9"/>
          <w:szCs w:val="9"/>
          <w:color w:val="auto"/>
        </w:rPr>
        <w:t>ATE</w:t>
      </w:r>
      <w:r>
        <w:rPr>
          <w:rFonts w:ascii="Arial" w:cs="Arial" w:eastAsia="Arial" w:hAnsi="Arial"/>
          <w:sz w:val="14"/>
          <w:szCs w:val="14"/>
          <w:color w:val="auto"/>
        </w:rPr>
        <w:t xml:space="preserve"> F</w:t>
      </w:r>
      <w:r>
        <w:rPr>
          <w:rFonts w:ascii="Arial" w:cs="Arial" w:eastAsia="Arial" w:hAnsi="Arial"/>
          <w:sz w:val="9"/>
          <w:szCs w:val="9"/>
          <w:color w:val="auto"/>
        </w:rPr>
        <w:t>UNDING</w:t>
      </w:r>
      <w:r>
        <w:rPr>
          <w:rFonts w:ascii="Arial" w:cs="Arial" w:eastAsia="Arial" w:hAnsi="Arial"/>
          <w:sz w:val="14"/>
          <w:szCs w:val="14"/>
          <w:color w:val="auto"/>
        </w:rPr>
        <w:t xml:space="preserve"> I, LLC, a Delaware limited liability company, as borrower (in such capacity, together with its permitted successors and assigns, the </w:t>
      </w:r>
      <w:r>
        <w:rPr>
          <w:rFonts w:ascii="Arial" w:cs="Arial" w:eastAsia="Arial" w:hAnsi="Arial"/>
          <w:sz w:val="14"/>
          <w:szCs w:val="14"/>
          <w:i w:val="1"/>
          <w:iCs w:val="1"/>
          <w:color w:val="auto"/>
        </w:rPr>
        <w:t>“Borrower”</w:t>
      </w:r>
      <w:r>
        <w:rPr>
          <w:rFonts w:ascii="Arial" w:cs="Arial" w:eastAsia="Arial" w:hAnsi="Arial"/>
          <w:sz w:val="14"/>
          <w:szCs w:val="14"/>
          <w:color w:val="auto"/>
        </w:rPr>
        <w:t>); P</w:t>
      </w:r>
      <w:r>
        <w:rPr>
          <w:rFonts w:ascii="Arial" w:cs="Arial" w:eastAsia="Arial" w:hAnsi="Arial"/>
          <w:sz w:val="9"/>
          <w:szCs w:val="9"/>
          <w:color w:val="auto"/>
        </w:rPr>
        <w:t>ENNANT</w:t>
      </w:r>
      <w:r>
        <w:rPr>
          <w:rFonts w:ascii="Arial" w:cs="Arial" w:eastAsia="Arial" w:hAnsi="Arial"/>
          <w:sz w:val="14"/>
          <w:szCs w:val="14"/>
          <w:color w:val="auto"/>
        </w:rPr>
        <w:t>P</w:t>
      </w:r>
      <w:r>
        <w:rPr>
          <w:rFonts w:ascii="Arial" w:cs="Arial" w:eastAsia="Arial" w:hAnsi="Arial"/>
          <w:sz w:val="9"/>
          <w:szCs w:val="9"/>
          <w:color w:val="auto"/>
        </w:rPr>
        <w:t>ARK</w:t>
      </w:r>
      <w:r>
        <w:rPr>
          <w:rFonts w:ascii="Arial" w:cs="Arial" w:eastAsia="Arial" w:hAnsi="Arial"/>
          <w:sz w:val="14"/>
          <w:szCs w:val="14"/>
          <w:color w:val="auto"/>
        </w:rPr>
        <w:t xml:space="preserve"> I</w:t>
      </w:r>
      <w:r>
        <w:rPr>
          <w:rFonts w:ascii="Arial" w:cs="Arial" w:eastAsia="Arial" w:hAnsi="Arial"/>
          <w:sz w:val="9"/>
          <w:szCs w:val="9"/>
          <w:color w:val="auto"/>
        </w:rPr>
        <w:t>NVESTMENT</w:t>
      </w:r>
      <w:r>
        <w:rPr>
          <w:rFonts w:ascii="Arial" w:cs="Arial" w:eastAsia="Arial" w:hAnsi="Arial"/>
          <w:sz w:val="14"/>
          <w:szCs w:val="14"/>
          <w:color w:val="auto"/>
        </w:rPr>
        <w:t xml:space="preserve"> A</w:t>
      </w:r>
      <w:r>
        <w:rPr>
          <w:rFonts w:ascii="Arial" w:cs="Arial" w:eastAsia="Arial" w:hAnsi="Arial"/>
          <w:sz w:val="9"/>
          <w:szCs w:val="9"/>
          <w:color w:val="auto"/>
        </w:rPr>
        <w:t>DVISERS</w:t>
      </w:r>
      <w:r>
        <w:rPr>
          <w:rFonts w:ascii="Arial" w:cs="Arial" w:eastAsia="Arial" w:hAnsi="Arial"/>
          <w:sz w:val="14"/>
          <w:szCs w:val="14"/>
          <w:color w:val="auto"/>
        </w:rPr>
        <w:t xml:space="preserve">, LLC, a Delaware limited liability company, as the collateral manager (together with its permitted successors and assigns, the </w:t>
      </w:r>
      <w:r>
        <w:rPr>
          <w:rFonts w:ascii="Arial" w:cs="Arial" w:eastAsia="Arial" w:hAnsi="Arial"/>
          <w:sz w:val="14"/>
          <w:szCs w:val="14"/>
          <w:i w:val="1"/>
          <w:iCs w:val="1"/>
          <w:color w:val="auto"/>
        </w:rPr>
        <w:t>“Collateral Manager”</w:t>
      </w:r>
      <w:r>
        <w:rPr>
          <w:rFonts w:ascii="Arial" w:cs="Arial" w:eastAsia="Arial" w:hAnsi="Arial"/>
          <w:sz w:val="14"/>
          <w:szCs w:val="14"/>
          <w:color w:val="auto"/>
        </w:rPr>
        <w:t>), the L</w:t>
      </w:r>
      <w:r>
        <w:rPr>
          <w:rFonts w:ascii="Arial" w:cs="Arial" w:eastAsia="Arial" w:hAnsi="Arial"/>
          <w:sz w:val="9"/>
          <w:szCs w:val="9"/>
          <w:color w:val="auto"/>
        </w:rPr>
        <w:t>ENDERS</w:t>
      </w:r>
      <w:r>
        <w:rPr>
          <w:rFonts w:ascii="Arial" w:cs="Arial" w:eastAsia="Arial" w:hAnsi="Arial"/>
          <w:sz w:val="14"/>
          <w:szCs w:val="14"/>
          <w:color w:val="auto"/>
        </w:rPr>
        <w:t xml:space="preserve"> from time to time party thereto (the “</w:t>
      </w:r>
      <w:r>
        <w:rPr>
          <w:rFonts w:ascii="Arial" w:cs="Arial" w:eastAsia="Arial" w:hAnsi="Arial"/>
          <w:sz w:val="14"/>
          <w:szCs w:val="14"/>
          <w:i w:val="1"/>
          <w:iCs w:val="1"/>
          <w:color w:val="auto"/>
        </w:rPr>
        <w:t>Lenders</w:t>
      </w:r>
      <w:r>
        <w:rPr>
          <w:rFonts w:ascii="Arial" w:cs="Arial" w:eastAsia="Arial" w:hAnsi="Arial"/>
          <w:sz w:val="14"/>
          <w:szCs w:val="14"/>
          <w:color w:val="auto"/>
        </w:rPr>
        <w:t>”); S</w:t>
      </w:r>
      <w:r>
        <w:rPr>
          <w:rFonts w:ascii="Arial" w:cs="Arial" w:eastAsia="Arial" w:hAnsi="Arial"/>
          <w:sz w:val="9"/>
          <w:szCs w:val="9"/>
          <w:color w:val="auto"/>
        </w:rPr>
        <w:t>UN</w:t>
      </w:r>
      <w:r>
        <w:rPr>
          <w:rFonts w:ascii="Arial" w:cs="Arial" w:eastAsia="Arial" w:hAnsi="Arial"/>
          <w:sz w:val="14"/>
          <w:szCs w:val="14"/>
          <w:color w:val="auto"/>
        </w:rPr>
        <w:t>T</w:t>
      </w:r>
      <w:r>
        <w:rPr>
          <w:rFonts w:ascii="Arial" w:cs="Arial" w:eastAsia="Arial" w:hAnsi="Arial"/>
          <w:sz w:val="9"/>
          <w:szCs w:val="9"/>
          <w:color w:val="auto"/>
        </w:rPr>
        <w:t>RUST</w:t>
      </w:r>
      <w:r>
        <w:rPr>
          <w:rFonts w:ascii="Arial" w:cs="Arial" w:eastAsia="Arial" w:hAnsi="Arial"/>
          <w:sz w:val="14"/>
          <w:szCs w:val="14"/>
          <w:color w:val="auto"/>
        </w:rPr>
        <w:t xml:space="preserve"> B</w:t>
      </w:r>
      <w:r>
        <w:rPr>
          <w:rFonts w:ascii="Arial" w:cs="Arial" w:eastAsia="Arial" w:hAnsi="Arial"/>
          <w:sz w:val="9"/>
          <w:szCs w:val="9"/>
          <w:color w:val="auto"/>
        </w:rPr>
        <w:t>ANK</w:t>
      </w:r>
      <w:r>
        <w:rPr>
          <w:rFonts w:ascii="Arial" w:cs="Arial" w:eastAsia="Arial" w:hAnsi="Arial"/>
          <w:sz w:val="14"/>
          <w:szCs w:val="14"/>
          <w:color w:val="auto"/>
        </w:rPr>
        <w:t xml:space="preserve">, as administrative agent for the Secured Parties (as defined in the Agreement) (in such capacity, together with its successors and assigns, the </w:t>
      </w:r>
      <w:r>
        <w:rPr>
          <w:rFonts w:ascii="Arial" w:cs="Arial" w:eastAsia="Arial" w:hAnsi="Arial"/>
          <w:sz w:val="14"/>
          <w:szCs w:val="14"/>
          <w:i w:val="1"/>
          <w:iCs w:val="1"/>
          <w:color w:val="auto"/>
        </w:rPr>
        <w:t>“Administrative Agent”</w:t>
      </w:r>
      <w:r>
        <w:rPr>
          <w:rFonts w:ascii="Arial" w:cs="Arial" w:eastAsia="Arial" w:hAnsi="Arial"/>
          <w:sz w:val="14"/>
          <w:szCs w:val="14"/>
          <w:color w:val="auto"/>
        </w:rPr>
        <w:t>), S</w:t>
      </w:r>
      <w:r>
        <w:rPr>
          <w:rFonts w:ascii="Arial" w:cs="Arial" w:eastAsia="Arial" w:hAnsi="Arial"/>
          <w:sz w:val="9"/>
          <w:szCs w:val="9"/>
          <w:color w:val="auto"/>
        </w:rPr>
        <w:t>UN</w:t>
      </w:r>
      <w:r>
        <w:rPr>
          <w:rFonts w:ascii="Arial" w:cs="Arial" w:eastAsia="Arial" w:hAnsi="Arial"/>
          <w:sz w:val="14"/>
          <w:szCs w:val="14"/>
          <w:color w:val="auto"/>
        </w:rPr>
        <w:t>T</w:t>
      </w:r>
      <w:r>
        <w:rPr>
          <w:rFonts w:ascii="Arial" w:cs="Arial" w:eastAsia="Arial" w:hAnsi="Arial"/>
          <w:sz w:val="9"/>
          <w:szCs w:val="9"/>
          <w:color w:val="auto"/>
        </w:rPr>
        <w:t>RUST</w:t>
      </w:r>
      <w:r>
        <w:rPr>
          <w:rFonts w:ascii="Arial" w:cs="Arial" w:eastAsia="Arial" w:hAnsi="Arial"/>
          <w:sz w:val="14"/>
          <w:szCs w:val="14"/>
          <w:color w:val="auto"/>
        </w:rPr>
        <w:t xml:space="preserve"> B</w:t>
      </w:r>
      <w:r>
        <w:rPr>
          <w:rFonts w:ascii="Arial" w:cs="Arial" w:eastAsia="Arial" w:hAnsi="Arial"/>
          <w:sz w:val="9"/>
          <w:szCs w:val="9"/>
          <w:color w:val="auto"/>
        </w:rPr>
        <w:t>ANK</w:t>
      </w:r>
      <w:r>
        <w:rPr>
          <w:rFonts w:ascii="Arial" w:cs="Arial" w:eastAsia="Arial" w:hAnsi="Arial"/>
          <w:sz w:val="14"/>
          <w:szCs w:val="14"/>
          <w:color w:val="auto"/>
        </w:rPr>
        <w:t>, as the swingline lender (the “</w:t>
      </w:r>
      <w:r>
        <w:rPr>
          <w:rFonts w:ascii="Arial" w:cs="Arial" w:eastAsia="Arial" w:hAnsi="Arial"/>
          <w:sz w:val="14"/>
          <w:szCs w:val="14"/>
          <w:i w:val="1"/>
          <w:iCs w:val="1"/>
          <w:color w:val="auto"/>
        </w:rPr>
        <w:t>Swingline Lender</w:t>
      </w:r>
      <w:r>
        <w:rPr>
          <w:rFonts w:ascii="Arial" w:cs="Arial" w:eastAsia="Arial" w:hAnsi="Arial"/>
          <w:sz w:val="14"/>
          <w:szCs w:val="14"/>
          <w:color w:val="auto"/>
        </w:rPr>
        <w:t>”), U.S. B</w:t>
      </w:r>
      <w:r>
        <w:rPr>
          <w:rFonts w:ascii="Arial" w:cs="Arial" w:eastAsia="Arial" w:hAnsi="Arial"/>
          <w:sz w:val="9"/>
          <w:szCs w:val="9"/>
          <w:color w:val="auto"/>
        </w:rPr>
        <w:t>ANK</w:t>
      </w:r>
      <w:r>
        <w:rPr>
          <w:rFonts w:ascii="Arial" w:cs="Arial" w:eastAsia="Arial" w:hAnsi="Arial"/>
          <w:sz w:val="14"/>
          <w:szCs w:val="14"/>
          <w:color w:val="auto"/>
        </w:rPr>
        <w:t xml:space="preserve"> N</w:t>
      </w:r>
      <w:r>
        <w:rPr>
          <w:rFonts w:ascii="Arial" w:cs="Arial" w:eastAsia="Arial" w:hAnsi="Arial"/>
          <w:sz w:val="9"/>
          <w:szCs w:val="9"/>
          <w:color w:val="auto"/>
        </w:rPr>
        <w:t>ATIONAL</w:t>
      </w:r>
      <w:r>
        <w:rPr>
          <w:rFonts w:ascii="Arial" w:cs="Arial" w:eastAsia="Arial" w:hAnsi="Arial"/>
          <w:sz w:val="14"/>
          <w:szCs w:val="14"/>
          <w:color w:val="auto"/>
        </w:rPr>
        <w:t xml:space="preserve"> A</w:t>
      </w:r>
      <w:r>
        <w:rPr>
          <w:rFonts w:ascii="Arial" w:cs="Arial" w:eastAsia="Arial" w:hAnsi="Arial"/>
          <w:sz w:val="9"/>
          <w:szCs w:val="9"/>
          <w:color w:val="auto"/>
        </w:rPr>
        <w:t>SSOCIATION</w:t>
      </w:r>
      <w:r>
        <w:rPr>
          <w:rFonts w:ascii="Arial" w:cs="Arial" w:eastAsia="Arial" w:hAnsi="Arial"/>
          <w:sz w:val="14"/>
          <w:szCs w:val="14"/>
          <w:color w:val="auto"/>
        </w:rPr>
        <w:t xml:space="preserve">, as collateral agent for the Secured Parties (as defined in the Agreement) (in such capacity, together with its successors and assigns, the </w:t>
      </w:r>
      <w:r>
        <w:rPr>
          <w:rFonts w:ascii="Arial" w:cs="Arial" w:eastAsia="Arial" w:hAnsi="Arial"/>
          <w:sz w:val="14"/>
          <w:szCs w:val="14"/>
          <w:i w:val="1"/>
          <w:iCs w:val="1"/>
          <w:color w:val="auto"/>
        </w:rPr>
        <w:t>“Collateral Agent”</w:t>
      </w:r>
      <w:r>
        <w:rPr>
          <w:rFonts w:ascii="Arial" w:cs="Arial" w:eastAsia="Arial" w:hAnsi="Arial"/>
          <w:sz w:val="14"/>
          <w:szCs w:val="14"/>
          <w:color w:val="auto"/>
        </w:rPr>
        <w:t>); U.S. B</w:t>
      </w:r>
      <w:r>
        <w:rPr>
          <w:rFonts w:ascii="Arial" w:cs="Arial" w:eastAsia="Arial" w:hAnsi="Arial"/>
          <w:sz w:val="9"/>
          <w:szCs w:val="9"/>
          <w:color w:val="auto"/>
        </w:rPr>
        <w:t>ANK</w:t>
      </w:r>
      <w:r>
        <w:rPr>
          <w:rFonts w:ascii="Arial" w:cs="Arial" w:eastAsia="Arial" w:hAnsi="Arial"/>
          <w:sz w:val="14"/>
          <w:szCs w:val="14"/>
          <w:color w:val="auto"/>
        </w:rPr>
        <w:t xml:space="preserve"> N</w:t>
      </w:r>
      <w:r>
        <w:rPr>
          <w:rFonts w:ascii="Arial" w:cs="Arial" w:eastAsia="Arial" w:hAnsi="Arial"/>
          <w:sz w:val="9"/>
          <w:szCs w:val="9"/>
          <w:color w:val="auto"/>
        </w:rPr>
        <w:t>ATIONAL</w:t>
      </w:r>
      <w:r>
        <w:rPr>
          <w:rFonts w:ascii="Arial" w:cs="Arial" w:eastAsia="Arial" w:hAnsi="Arial"/>
          <w:sz w:val="14"/>
          <w:szCs w:val="14"/>
          <w:color w:val="auto"/>
        </w:rPr>
        <w:t xml:space="preserve"> A</w:t>
      </w:r>
      <w:r>
        <w:rPr>
          <w:rFonts w:ascii="Arial" w:cs="Arial" w:eastAsia="Arial" w:hAnsi="Arial"/>
          <w:sz w:val="9"/>
          <w:szCs w:val="9"/>
          <w:color w:val="auto"/>
        </w:rPr>
        <w:t>SSOCIATION</w:t>
      </w:r>
      <w:r>
        <w:rPr>
          <w:rFonts w:ascii="Arial" w:cs="Arial" w:eastAsia="Arial" w:hAnsi="Arial"/>
          <w:sz w:val="14"/>
          <w:szCs w:val="14"/>
          <w:color w:val="auto"/>
        </w:rPr>
        <w:t xml:space="preserve">, as custodian (in such capacity, together with its successors and assigns, the </w:t>
      </w:r>
      <w:r>
        <w:rPr>
          <w:rFonts w:ascii="Arial" w:cs="Arial" w:eastAsia="Arial" w:hAnsi="Arial"/>
          <w:sz w:val="14"/>
          <w:szCs w:val="14"/>
          <w:i w:val="1"/>
          <w:iCs w:val="1"/>
          <w:color w:val="auto"/>
        </w:rPr>
        <w:t>“Custodian”</w:t>
      </w:r>
      <w:r>
        <w:rPr>
          <w:rFonts w:ascii="Arial" w:cs="Arial" w:eastAsia="Arial" w:hAnsi="Arial"/>
          <w:sz w:val="14"/>
          <w:szCs w:val="14"/>
          <w:color w:val="auto"/>
        </w:rPr>
        <w:t>); U.S. B</w:t>
      </w:r>
      <w:r>
        <w:rPr>
          <w:rFonts w:ascii="Arial" w:cs="Arial" w:eastAsia="Arial" w:hAnsi="Arial"/>
          <w:sz w:val="9"/>
          <w:szCs w:val="9"/>
          <w:color w:val="auto"/>
        </w:rPr>
        <w:t>ANK</w:t>
      </w:r>
      <w:r>
        <w:rPr>
          <w:rFonts w:ascii="Arial" w:cs="Arial" w:eastAsia="Arial" w:hAnsi="Arial"/>
          <w:sz w:val="14"/>
          <w:szCs w:val="14"/>
          <w:color w:val="auto"/>
        </w:rPr>
        <w:t xml:space="preserve"> N</w:t>
      </w:r>
      <w:r>
        <w:rPr>
          <w:rFonts w:ascii="Arial" w:cs="Arial" w:eastAsia="Arial" w:hAnsi="Arial"/>
          <w:sz w:val="9"/>
          <w:szCs w:val="9"/>
          <w:color w:val="auto"/>
        </w:rPr>
        <w:t>ATIONAL</w:t>
      </w:r>
      <w:r>
        <w:rPr>
          <w:rFonts w:ascii="Arial" w:cs="Arial" w:eastAsia="Arial" w:hAnsi="Arial"/>
          <w:sz w:val="14"/>
          <w:szCs w:val="14"/>
          <w:color w:val="auto"/>
        </w:rPr>
        <w:t xml:space="preserve"> A</w:t>
      </w:r>
      <w:r>
        <w:rPr>
          <w:rFonts w:ascii="Arial" w:cs="Arial" w:eastAsia="Arial" w:hAnsi="Arial"/>
          <w:sz w:val="9"/>
          <w:szCs w:val="9"/>
          <w:color w:val="auto"/>
        </w:rPr>
        <w:t>SSOCIATION</w:t>
      </w:r>
      <w:r>
        <w:rPr>
          <w:rFonts w:ascii="Arial" w:cs="Arial" w:eastAsia="Arial" w:hAnsi="Arial"/>
          <w:sz w:val="14"/>
          <w:szCs w:val="14"/>
          <w:color w:val="auto"/>
        </w:rPr>
        <w:t xml:space="preserve">, as collateral administrator (in such capacity, together with its successors and assigns, the </w:t>
      </w:r>
      <w:r>
        <w:rPr>
          <w:rFonts w:ascii="Arial" w:cs="Arial" w:eastAsia="Arial" w:hAnsi="Arial"/>
          <w:sz w:val="14"/>
          <w:szCs w:val="14"/>
          <w:i w:val="1"/>
          <w:iCs w:val="1"/>
          <w:color w:val="auto"/>
        </w:rPr>
        <w:t>“Collateral Administrator”</w:t>
      </w:r>
      <w:r>
        <w:rPr>
          <w:rFonts w:ascii="Arial" w:cs="Arial" w:eastAsia="Arial" w:hAnsi="Arial"/>
          <w:sz w:val="14"/>
          <w:szCs w:val="14"/>
          <w:color w:val="auto"/>
        </w:rPr>
        <w:t>); and U.S. B</w:t>
      </w:r>
      <w:r>
        <w:rPr>
          <w:rFonts w:ascii="Arial" w:cs="Arial" w:eastAsia="Arial" w:hAnsi="Arial"/>
          <w:sz w:val="9"/>
          <w:szCs w:val="9"/>
          <w:color w:val="auto"/>
        </w:rPr>
        <w:t>ANK</w:t>
      </w:r>
      <w:r>
        <w:rPr>
          <w:rFonts w:ascii="Arial" w:cs="Arial" w:eastAsia="Arial" w:hAnsi="Arial"/>
          <w:sz w:val="14"/>
          <w:szCs w:val="14"/>
          <w:color w:val="auto"/>
        </w:rPr>
        <w:t xml:space="preserve"> N</w:t>
      </w:r>
      <w:r>
        <w:rPr>
          <w:rFonts w:ascii="Arial" w:cs="Arial" w:eastAsia="Arial" w:hAnsi="Arial"/>
          <w:sz w:val="9"/>
          <w:szCs w:val="9"/>
          <w:color w:val="auto"/>
        </w:rPr>
        <w:t>ATIONAL</w:t>
      </w:r>
      <w:r>
        <w:rPr>
          <w:rFonts w:ascii="Arial" w:cs="Arial" w:eastAsia="Arial" w:hAnsi="Arial"/>
          <w:sz w:val="14"/>
          <w:szCs w:val="14"/>
          <w:color w:val="auto"/>
        </w:rPr>
        <w:t xml:space="preserve"> A</w:t>
      </w:r>
      <w:r>
        <w:rPr>
          <w:rFonts w:ascii="Arial" w:cs="Arial" w:eastAsia="Arial" w:hAnsi="Arial"/>
          <w:sz w:val="9"/>
          <w:szCs w:val="9"/>
          <w:color w:val="auto"/>
        </w:rPr>
        <w:t>SSOCIATION</w:t>
      </w:r>
      <w:r>
        <w:rPr>
          <w:rFonts w:ascii="Arial" w:cs="Arial" w:eastAsia="Arial" w:hAnsi="Arial"/>
          <w:sz w:val="14"/>
          <w:szCs w:val="14"/>
          <w:color w:val="auto"/>
        </w:rPr>
        <w:t xml:space="preserve">, as backup collateral manager (in such capacity, together with its successors and assigns, the </w:t>
      </w:r>
      <w:r>
        <w:rPr>
          <w:rFonts w:ascii="Arial" w:cs="Arial" w:eastAsia="Arial" w:hAnsi="Arial"/>
          <w:sz w:val="14"/>
          <w:szCs w:val="14"/>
          <w:i w:val="1"/>
          <w:iCs w:val="1"/>
          <w:color w:val="auto"/>
        </w:rPr>
        <w:t>“Backup Collateral Manager”</w:t>
      </w:r>
      <w:r>
        <w:rPr>
          <w:rFonts w:ascii="Arial" w:cs="Arial" w:eastAsia="Arial" w:hAnsi="Arial"/>
          <w:sz w:val="14"/>
          <w:szCs w:val="14"/>
          <w:color w:val="auto"/>
        </w:rPr>
        <w:t>). Certain capitalized terms used and not otherwise defined herein, and certain rules of construction, have the meanings assigned thereto in the Purchase Agreement</w:t>
      </w:r>
      <w:r>
        <w:rPr>
          <w:rFonts w:ascii="Arial" w:cs="Arial" w:eastAsia="Arial" w:hAnsi="Arial"/>
          <w:sz w:val="14"/>
          <w:szCs w:val="14"/>
          <w:i w:val="1"/>
          <w:iCs w:val="1"/>
          <w:color w:val="auto"/>
        </w:rPr>
        <w:t xml:space="preserve"> </w:t>
      </w:r>
      <w:r>
        <w:rPr>
          <w:rFonts w:ascii="Arial" w:cs="Arial" w:eastAsia="Arial" w:hAnsi="Arial"/>
          <w:sz w:val="14"/>
          <w:szCs w:val="14"/>
          <w:color w:val="auto"/>
        </w:rPr>
        <w:t>or, if not defined therein, in the Loan Agreement.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140" w:type="dxa"/>
            <w:vAlign w:val="bottom"/>
          </w:tcPr>
          <w:p>
            <w:pPr>
              <w:ind w:left="80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9"/>
                <w:szCs w:val="9"/>
                <w:b w:val="1"/>
                <w:bCs w:val="1"/>
                <w:color w:val="auto"/>
              </w:rPr>
              <w:t>RELIMINARY</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TATEMENTS</w:t>
            </w:r>
          </w:p>
        </w:tc>
        <w:tc>
          <w:tcPr>
            <w:tcW w:w="0" w:type="dxa"/>
            <w:vAlign w:val="bottom"/>
          </w:tcPr>
          <w:p>
            <w:pPr>
              <w:spacing w:after="0"/>
              <w:rPr>
                <w:sz w:val="1"/>
                <w:szCs w:val="1"/>
                <w:color w:val="auto"/>
              </w:rPr>
            </w:pPr>
          </w:p>
        </w:tc>
      </w:tr>
      <w:tr>
        <w:trPr>
          <w:trHeight w:val="405"/>
        </w:trPr>
        <w:tc>
          <w:tcPr>
            <w:tcW w:w="720" w:type="dxa"/>
            <w:vAlign w:val="bottom"/>
          </w:tcPr>
          <w:p>
            <w:pPr>
              <w:ind w:left="80"/>
              <w:spacing w:after="0"/>
              <w:rPr>
                <w:sz w:val="20"/>
                <w:szCs w:val="20"/>
                <w:color w:val="auto"/>
              </w:rPr>
            </w:pPr>
            <w:r>
              <w:rPr>
                <w:rFonts w:ascii="Arial" w:cs="Arial" w:eastAsia="Arial" w:hAnsi="Arial"/>
                <w:sz w:val="14"/>
                <w:szCs w:val="14"/>
                <w:color w:val="auto"/>
              </w:rPr>
              <w:t>A.</w:t>
            </w:r>
          </w:p>
        </w:tc>
        <w:tc>
          <w:tcPr>
            <w:tcW w:w="10540" w:type="dxa"/>
            <w:vAlign w:val="bottom"/>
            <w:gridSpan w:val="5"/>
          </w:tcPr>
          <w:p>
            <w:pPr>
              <w:ind w:left="940"/>
              <w:spacing w:after="0"/>
              <w:rPr>
                <w:sz w:val="20"/>
                <w:szCs w:val="20"/>
                <w:color w:val="auto"/>
              </w:rPr>
            </w:pPr>
            <w:r>
              <w:rPr>
                <w:rFonts w:ascii="Arial" w:cs="Arial" w:eastAsia="Arial" w:hAnsi="Arial"/>
                <w:sz w:val="14"/>
                <w:szCs w:val="14"/>
                <w:color w:val="auto"/>
              </w:rPr>
              <w:t>The parties hereto have previously entered into and are currently party to the Purchase Agreement;</w:t>
            </w:r>
          </w:p>
        </w:tc>
        <w:tc>
          <w:tcPr>
            <w:tcW w:w="0" w:type="dxa"/>
            <w:vAlign w:val="bottom"/>
          </w:tcPr>
          <w:p>
            <w:pPr>
              <w:spacing w:after="0"/>
              <w:rPr>
                <w:sz w:val="1"/>
                <w:szCs w:val="1"/>
                <w:color w:val="auto"/>
              </w:rPr>
            </w:pPr>
          </w:p>
        </w:tc>
      </w:tr>
      <w:tr>
        <w:trPr>
          <w:trHeight w:val="405"/>
        </w:trPr>
        <w:tc>
          <w:tcPr>
            <w:tcW w:w="720" w:type="dxa"/>
            <w:vAlign w:val="bottom"/>
          </w:tcPr>
          <w:p>
            <w:pPr>
              <w:ind w:left="80"/>
              <w:spacing w:after="0"/>
              <w:rPr>
                <w:sz w:val="20"/>
                <w:szCs w:val="20"/>
                <w:color w:val="auto"/>
              </w:rPr>
            </w:pPr>
            <w:r>
              <w:rPr>
                <w:rFonts w:ascii="Arial" w:cs="Arial" w:eastAsia="Arial" w:hAnsi="Arial"/>
                <w:sz w:val="14"/>
                <w:szCs w:val="14"/>
                <w:color w:val="auto"/>
              </w:rPr>
              <w:t>B.</w:t>
            </w:r>
          </w:p>
        </w:tc>
        <w:tc>
          <w:tcPr>
            <w:tcW w:w="10540" w:type="dxa"/>
            <w:vAlign w:val="bottom"/>
            <w:gridSpan w:val="5"/>
          </w:tcPr>
          <w:p>
            <w:pPr>
              <w:ind w:left="940"/>
              <w:spacing w:after="0"/>
              <w:rPr>
                <w:sz w:val="20"/>
                <w:szCs w:val="20"/>
                <w:color w:val="auto"/>
              </w:rPr>
            </w:pPr>
            <w:r>
              <w:rPr>
                <w:rFonts w:ascii="Arial" w:cs="Arial" w:eastAsia="Arial" w:hAnsi="Arial"/>
                <w:sz w:val="14"/>
                <w:szCs w:val="14"/>
                <w:color w:val="auto"/>
              </w:rPr>
              <w:t>The Buyer has previously entered into and is currently party to the Loan Agreement;</w:t>
            </w:r>
          </w:p>
        </w:tc>
        <w:tc>
          <w:tcPr>
            <w:tcW w:w="0" w:type="dxa"/>
            <w:vAlign w:val="bottom"/>
          </w:tcPr>
          <w:p>
            <w:pPr>
              <w:spacing w:after="0"/>
              <w:rPr>
                <w:sz w:val="1"/>
                <w:szCs w:val="1"/>
                <w:color w:val="auto"/>
              </w:rPr>
            </w:pPr>
          </w:p>
        </w:tc>
      </w:tr>
      <w:tr>
        <w:trPr>
          <w:trHeight w:val="405"/>
        </w:trPr>
        <w:tc>
          <w:tcPr>
            <w:tcW w:w="720" w:type="dxa"/>
            <w:vAlign w:val="bottom"/>
          </w:tcPr>
          <w:p>
            <w:pPr>
              <w:ind w:left="80"/>
              <w:spacing w:after="0"/>
              <w:rPr>
                <w:sz w:val="20"/>
                <w:szCs w:val="20"/>
                <w:color w:val="auto"/>
              </w:rPr>
            </w:pPr>
            <w:r>
              <w:rPr>
                <w:rFonts w:ascii="Arial" w:cs="Arial" w:eastAsia="Arial" w:hAnsi="Arial"/>
                <w:sz w:val="14"/>
                <w:szCs w:val="14"/>
                <w:color w:val="auto"/>
              </w:rPr>
              <w:t>C.</w:t>
            </w:r>
          </w:p>
        </w:tc>
        <w:tc>
          <w:tcPr>
            <w:tcW w:w="10540" w:type="dxa"/>
            <w:vAlign w:val="bottom"/>
            <w:gridSpan w:val="5"/>
          </w:tcPr>
          <w:p>
            <w:pPr>
              <w:ind w:left="940"/>
              <w:spacing w:after="0"/>
              <w:rPr>
                <w:sz w:val="20"/>
                <w:szCs w:val="20"/>
                <w:color w:val="auto"/>
              </w:rPr>
            </w:pPr>
            <w:r>
              <w:rPr>
                <w:rFonts w:ascii="Arial" w:cs="Arial" w:eastAsia="Arial" w:hAnsi="Arial"/>
                <w:sz w:val="14"/>
                <w:szCs w:val="14"/>
                <w:color w:val="auto"/>
              </w:rPr>
              <w:t>The parties hereto desire to amend the Purchase Agreement; and</w:t>
            </w:r>
          </w:p>
        </w:tc>
        <w:tc>
          <w:tcPr>
            <w:tcW w:w="0" w:type="dxa"/>
            <w:vAlign w:val="bottom"/>
          </w:tcPr>
          <w:p>
            <w:pPr>
              <w:spacing w:after="0"/>
              <w:rPr>
                <w:sz w:val="1"/>
                <w:szCs w:val="1"/>
                <w:color w:val="auto"/>
              </w:rPr>
            </w:pPr>
          </w:p>
        </w:tc>
      </w:tr>
      <w:tr>
        <w:trPr>
          <w:trHeight w:val="405"/>
        </w:trPr>
        <w:tc>
          <w:tcPr>
            <w:tcW w:w="720" w:type="dxa"/>
            <w:vAlign w:val="bottom"/>
          </w:tcPr>
          <w:p>
            <w:pPr>
              <w:ind w:left="80"/>
              <w:spacing w:after="0"/>
              <w:rPr>
                <w:sz w:val="20"/>
                <w:szCs w:val="20"/>
                <w:color w:val="auto"/>
              </w:rPr>
            </w:pPr>
            <w:r>
              <w:rPr>
                <w:rFonts w:ascii="Arial" w:cs="Arial" w:eastAsia="Arial" w:hAnsi="Arial"/>
                <w:sz w:val="14"/>
                <w:szCs w:val="14"/>
                <w:color w:val="auto"/>
              </w:rPr>
              <w:t>D.</w:t>
            </w:r>
          </w:p>
        </w:tc>
        <w:tc>
          <w:tcPr>
            <w:tcW w:w="10540" w:type="dxa"/>
            <w:vAlign w:val="bottom"/>
            <w:gridSpan w:val="5"/>
          </w:tcPr>
          <w:p>
            <w:pPr>
              <w:ind w:left="940"/>
              <w:spacing w:after="0"/>
              <w:rPr>
                <w:sz w:val="20"/>
                <w:szCs w:val="20"/>
                <w:color w:val="auto"/>
              </w:rPr>
            </w:pPr>
            <w:r>
              <w:rPr>
                <w:rFonts w:ascii="Arial" w:cs="Arial" w:eastAsia="Arial" w:hAnsi="Arial"/>
                <w:sz w:val="14"/>
                <w:szCs w:val="14"/>
                <w:color w:val="auto"/>
              </w:rPr>
              <w:t>The Administrative Agent and the Lenders are willing to consent to such amendment.</w:t>
            </w:r>
          </w:p>
        </w:tc>
        <w:tc>
          <w:tcPr>
            <w:tcW w:w="0" w:type="dxa"/>
            <w:vAlign w:val="bottom"/>
          </w:tcPr>
          <w:p>
            <w:pPr>
              <w:spacing w:after="0"/>
              <w:rPr>
                <w:sz w:val="1"/>
                <w:szCs w:val="1"/>
                <w:color w:val="auto"/>
              </w:rPr>
            </w:pPr>
          </w:p>
        </w:tc>
      </w:tr>
      <w:tr>
        <w:trPr>
          <w:trHeight w:val="405"/>
        </w:trPr>
        <w:tc>
          <w:tcPr>
            <w:tcW w:w="720" w:type="dxa"/>
            <w:vAlign w:val="bottom"/>
            <w:vMerge w:val="restart"/>
          </w:tcPr>
          <w:p>
            <w:pPr>
              <w:spacing w:after="0"/>
              <w:rPr>
                <w:sz w:val="20"/>
                <w:szCs w:val="20"/>
                <w:color w:val="auto"/>
              </w:rPr>
            </w:pPr>
            <w:r>
              <w:rPr>
                <w:rFonts w:ascii="Arial" w:cs="Arial" w:eastAsia="Arial" w:hAnsi="Arial"/>
                <w:sz w:val="14"/>
                <w:szCs w:val="14"/>
                <w:color w:val="auto"/>
              </w:rPr>
              <w:t>follows:</w:t>
            </w:r>
          </w:p>
        </w:tc>
        <w:tc>
          <w:tcPr>
            <w:tcW w:w="10540" w:type="dxa"/>
            <w:vAlign w:val="bottom"/>
            <w:gridSpan w:val="5"/>
          </w:tcPr>
          <w:p>
            <w:pPr>
              <w:ind w:left="160"/>
              <w:spacing w:after="0"/>
              <w:rPr>
                <w:sz w:val="20"/>
                <w:szCs w:val="20"/>
                <w:color w:val="auto"/>
              </w:rPr>
            </w:pPr>
            <w:r>
              <w:rPr>
                <w:rFonts w:ascii="Arial" w:cs="Arial" w:eastAsia="Arial" w:hAnsi="Arial"/>
                <w:sz w:val="14"/>
                <w:szCs w:val="14"/>
                <w:color w:val="auto"/>
                <w:w w:val="96"/>
              </w:rPr>
              <w:t>N</w:t>
            </w:r>
            <w:r>
              <w:rPr>
                <w:rFonts w:ascii="Arial" w:cs="Arial" w:eastAsia="Arial" w:hAnsi="Arial"/>
                <w:sz w:val="9"/>
                <w:szCs w:val="9"/>
                <w:color w:val="auto"/>
                <w:w w:val="96"/>
              </w:rPr>
              <w:t>OW</w:t>
            </w:r>
            <w:r>
              <w:rPr>
                <w:rFonts w:ascii="Arial" w:cs="Arial" w:eastAsia="Arial" w:hAnsi="Arial"/>
                <w:sz w:val="14"/>
                <w:szCs w:val="14"/>
                <w:color w:val="auto"/>
                <w:w w:val="96"/>
              </w:rPr>
              <w:t>, T</w:t>
            </w:r>
            <w:r>
              <w:rPr>
                <w:rFonts w:ascii="Arial" w:cs="Arial" w:eastAsia="Arial" w:hAnsi="Arial"/>
                <w:sz w:val="9"/>
                <w:szCs w:val="9"/>
                <w:color w:val="auto"/>
                <w:w w:val="96"/>
              </w:rPr>
              <w:t>HEREFORE</w:t>
            </w:r>
            <w:r>
              <w:rPr>
                <w:rFonts w:ascii="Arial" w:cs="Arial" w:eastAsia="Arial" w:hAnsi="Arial"/>
                <w:sz w:val="14"/>
                <w:szCs w:val="14"/>
                <w:color w:val="auto"/>
                <w:w w:val="96"/>
              </w:rPr>
              <w:t>, for good and valuable consideration, the receipt and sufficiency of which are hereby acknowledged, the parties hereto, intending to be legally bound, agree as</w:t>
            </w:r>
          </w:p>
        </w:tc>
        <w:tc>
          <w:tcPr>
            <w:tcW w:w="0" w:type="dxa"/>
            <w:vAlign w:val="bottom"/>
          </w:tcPr>
          <w:p>
            <w:pPr>
              <w:spacing w:after="0"/>
              <w:rPr>
                <w:sz w:val="1"/>
                <w:szCs w:val="1"/>
                <w:color w:val="auto"/>
              </w:rPr>
            </w:pPr>
          </w:p>
        </w:tc>
      </w:tr>
      <w:tr>
        <w:trPr>
          <w:trHeight w:val="148"/>
        </w:trPr>
        <w:tc>
          <w:tcPr>
            <w:tcW w:w="72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ECTION</w:t>
            </w:r>
            <w:r>
              <w:rPr>
                <w:rFonts w:ascii="Arial" w:cs="Arial" w:eastAsia="Arial" w:hAnsi="Arial"/>
                <w:sz w:val="14"/>
                <w:szCs w:val="14"/>
                <w:color w:val="auto"/>
              </w:rPr>
              <w:t xml:space="preserve"> 1.</w:t>
            </w:r>
          </w:p>
        </w:tc>
        <w:tc>
          <w:tcPr>
            <w:tcW w:w="10540" w:type="dxa"/>
            <w:vAlign w:val="bottom"/>
            <w:gridSpan w:val="5"/>
          </w:tcPr>
          <w:p>
            <w:pPr>
              <w:ind w:left="132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MENDMENTS</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5"/>
        </w:trPr>
        <w:tc>
          <w:tcPr>
            <w:tcW w:w="720" w:type="dxa"/>
            <w:vAlign w:val="bottom"/>
          </w:tcPr>
          <w:p>
            <w:pPr>
              <w:spacing w:after="0"/>
              <w:rPr>
                <w:sz w:val="24"/>
                <w:szCs w:val="24"/>
                <w:color w:val="auto"/>
              </w:rPr>
            </w:pPr>
          </w:p>
        </w:tc>
        <w:tc>
          <w:tcPr>
            <w:tcW w:w="10540" w:type="dxa"/>
            <w:vAlign w:val="bottom"/>
            <w:gridSpan w:val="5"/>
          </w:tcPr>
          <w:p>
            <w:pPr>
              <w:ind w:left="160"/>
              <w:spacing w:after="0"/>
              <w:rPr>
                <w:sz w:val="20"/>
                <w:szCs w:val="20"/>
                <w:color w:val="auto"/>
              </w:rPr>
            </w:pPr>
            <w:r>
              <w:rPr>
                <w:rFonts w:ascii="Arial" w:cs="Arial" w:eastAsia="Arial" w:hAnsi="Arial"/>
                <w:sz w:val="14"/>
                <w:szCs w:val="14"/>
                <w:color w:val="auto"/>
              </w:rPr>
              <w:t>Effective as of the date hereof, the Purchase Agreement is hereby amended by:</w:t>
            </w:r>
          </w:p>
        </w:tc>
        <w:tc>
          <w:tcPr>
            <w:tcW w:w="0" w:type="dxa"/>
            <w:vAlign w:val="bottom"/>
          </w:tcPr>
          <w:p>
            <w:pPr>
              <w:spacing w:after="0"/>
              <w:rPr>
                <w:sz w:val="1"/>
                <w:szCs w:val="1"/>
                <w:color w:val="auto"/>
              </w:rPr>
            </w:pPr>
          </w:p>
        </w:tc>
      </w:tr>
      <w:tr>
        <w:trPr>
          <w:trHeight w:val="392"/>
        </w:trPr>
        <w:tc>
          <w:tcPr>
            <w:tcW w:w="720" w:type="dxa"/>
            <w:vAlign w:val="bottom"/>
          </w:tcPr>
          <w:p>
            <w:pPr>
              <w:ind w:left="80"/>
              <w:spacing w:after="0"/>
              <w:rPr>
                <w:sz w:val="20"/>
                <w:szCs w:val="20"/>
                <w:color w:val="auto"/>
              </w:rPr>
            </w:pPr>
            <w:r>
              <w:rPr>
                <w:rFonts w:ascii="Arial" w:cs="Arial" w:eastAsia="Arial" w:hAnsi="Arial"/>
                <w:sz w:val="14"/>
                <w:szCs w:val="14"/>
                <w:color w:val="auto"/>
              </w:rPr>
              <w:t>1.1</w:t>
            </w:r>
          </w:p>
        </w:tc>
        <w:tc>
          <w:tcPr>
            <w:tcW w:w="10540" w:type="dxa"/>
            <w:vAlign w:val="bottom"/>
            <w:gridSpan w:val="5"/>
          </w:tcPr>
          <w:p>
            <w:pPr>
              <w:ind w:left="940"/>
              <w:spacing w:after="0"/>
              <w:rPr>
                <w:sz w:val="20"/>
                <w:szCs w:val="20"/>
                <w:color w:val="auto"/>
              </w:rPr>
            </w:pPr>
            <w:r>
              <w:rPr>
                <w:rFonts w:ascii="Arial" w:cs="Arial" w:eastAsia="Arial" w:hAnsi="Arial"/>
                <w:sz w:val="14"/>
                <w:szCs w:val="14"/>
                <w:color w:val="auto"/>
              </w:rPr>
              <w:t>The insertion of the following Section 2.3 in the correct numerical order therein:</w:t>
            </w:r>
          </w:p>
        </w:tc>
        <w:tc>
          <w:tcPr>
            <w:tcW w:w="0" w:type="dxa"/>
            <w:vAlign w:val="bottom"/>
          </w:tcPr>
          <w:p>
            <w:pPr>
              <w:spacing w:after="0"/>
              <w:rPr>
                <w:sz w:val="1"/>
                <w:szCs w:val="1"/>
                <w:color w:val="auto"/>
              </w:rPr>
            </w:pPr>
          </w:p>
        </w:tc>
      </w:tr>
      <w:tr>
        <w:trPr>
          <w:trHeight w:val="376"/>
        </w:trPr>
        <w:tc>
          <w:tcPr>
            <w:tcW w:w="720" w:type="dxa"/>
            <w:vAlign w:val="bottom"/>
          </w:tcPr>
          <w:p>
            <w:pPr>
              <w:spacing w:after="0"/>
              <w:rPr>
                <w:sz w:val="24"/>
                <w:szCs w:val="24"/>
                <w:color w:val="auto"/>
              </w:rPr>
            </w:pPr>
          </w:p>
        </w:tc>
        <w:tc>
          <w:tcPr>
            <w:tcW w:w="10540" w:type="dxa"/>
            <w:vAlign w:val="bottom"/>
            <w:gridSpan w:val="5"/>
          </w:tcPr>
          <w:p>
            <w:pPr>
              <w:ind w:left="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Section 2.3Administrative Convenience.</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20" w:type="dxa"/>
            <w:vAlign w:val="bottom"/>
          </w:tcPr>
          <w:p>
            <w:pPr>
              <w:spacing w:after="0"/>
              <w:rPr>
                <w:sz w:val="24"/>
                <w:szCs w:val="24"/>
                <w:color w:val="auto"/>
              </w:rPr>
            </w:pPr>
          </w:p>
        </w:tc>
        <w:tc>
          <w:tcPr>
            <w:tcW w:w="10540" w:type="dxa"/>
            <w:vAlign w:val="bottom"/>
            <w:gridSpan w:val="5"/>
          </w:tcPr>
          <w:p>
            <w:pPr>
              <w:ind w:left="940"/>
              <w:spacing w:after="0"/>
              <w:rPr>
                <w:sz w:val="20"/>
                <w:szCs w:val="20"/>
                <w:color w:val="auto"/>
              </w:rPr>
            </w:pPr>
            <w:r>
              <w:rPr>
                <w:rFonts w:ascii="Arial" w:cs="Arial" w:eastAsia="Arial" w:hAnsi="Arial"/>
                <w:sz w:val="14"/>
                <w:szCs w:val="14"/>
                <w:color w:val="auto"/>
                <w:w w:val="95"/>
              </w:rPr>
              <w:t>The Seller and the Buyer acknowledge and agree that, solely for administrative convenience, the Seller may direct that a Transferred Loan be titled directly into the</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0540" w:type="dxa"/>
            <w:vAlign w:val="bottom"/>
            <w:gridSpan w:val="5"/>
          </w:tcPr>
          <w:p>
            <w:pPr>
              <w:ind w:left="160"/>
              <w:spacing w:after="0" w:line="149" w:lineRule="exact"/>
              <w:rPr>
                <w:sz w:val="20"/>
                <w:szCs w:val="20"/>
                <w:color w:val="auto"/>
              </w:rPr>
            </w:pPr>
            <w:r>
              <w:rPr>
                <w:rFonts w:ascii="Arial" w:cs="Arial" w:eastAsia="Arial" w:hAnsi="Arial"/>
                <w:sz w:val="14"/>
                <w:szCs w:val="14"/>
                <w:color w:val="auto"/>
                <w:w w:val="93"/>
              </w:rPr>
              <w:t>name of the Buyer, and/or that any document or assignment agreement (or, in the case of any Underlying Note, any chain of endorsement) required to be executed and delivered in</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0540" w:type="dxa"/>
            <w:vAlign w:val="bottom"/>
            <w:gridSpan w:val="5"/>
          </w:tcPr>
          <w:p>
            <w:pPr>
              <w:ind w:left="160"/>
              <w:spacing w:after="0" w:line="149" w:lineRule="exact"/>
              <w:rPr>
                <w:sz w:val="20"/>
                <w:szCs w:val="20"/>
                <w:color w:val="auto"/>
              </w:rPr>
            </w:pPr>
            <w:r>
              <w:rPr>
                <w:rFonts w:ascii="Arial" w:cs="Arial" w:eastAsia="Arial" w:hAnsi="Arial"/>
                <w:sz w:val="14"/>
                <w:szCs w:val="14"/>
                <w:color w:val="auto"/>
                <w:w w:val="94"/>
              </w:rPr>
              <w:t>connection with (a) the acquisition of a Transferred Loan as a lender at the closing thereof may be executed and delivered directly by the Buyer at the direction of the Seller or (b)</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0540" w:type="dxa"/>
            <w:vAlign w:val="bottom"/>
            <w:gridSpan w:val="5"/>
          </w:tcPr>
          <w:p>
            <w:pPr>
              <w:ind w:left="160"/>
              <w:spacing w:after="0" w:line="149" w:lineRule="exact"/>
              <w:rPr>
                <w:sz w:val="20"/>
                <w:szCs w:val="20"/>
                <w:color w:val="auto"/>
              </w:rPr>
            </w:pPr>
            <w:r>
              <w:rPr>
                <w:rFonts w:ascii="Arial" w:cs="Arial" w:eastAsia="Arial" w:hAnsi="Arial"/>
                <w:sz w:val="14"/>
                <w:szCs w:val="14"/>
                <w:color w:val="auto"/>
                <w:w w:val="94"/>
              </w:rPr>
              <w:t>the transfer of a Transferred Loan in accordance with the terms of the Related Documents may reflect that any third party from whom the Seller may purchase a Transferred Loan</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0540" w:type="dxa"/>
            <w:vAlign w:val="bottom"/>
            <w:gridSpan w:val="5"/>
          </w:tcPr>
          <w:p>
            <w:pPr>
              <w:ind w:left="160"/>
              <w:spacing w:after="0" w:line="149" w:lineRule="exact"/>
              <w:rPr>
                <w:sz w:val="20"/>
                <w:szCs w:val="20"/>
                <w:color w:val="auto"/>
              </w:rPr>
            </w:pPr>
            <w:r>
              <w:rPr>
                <w:rFonts w:ascii="Arial" w:cs="Arial" w:eastAsia="Arial" w:hAnsi="Arial"/>
                <w:sz w:val="14"/>
                <w:szCs w:val="14"/>
                <w:color w:val="auto"/>
                <w:w w:val="94"/>
              </w:rPr>
              <w:t>is assigning such Transferred Loan directly to the Buyer. Nothing in any such document or assignment agreement (or, in the case of any Underlying Note, nothing in such chain of</w:t>
            </w: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10540" w:type="dxa"/>
            <w:vAlign w:val="bottom"/>
            <w:gridSpan w:val="5"/>
          </w:tcPr>
          <w:p>
            <w:pPr>
              <w:ind w:left="160"/>
              <w:spacing w:after="0"/>
              <w:rPr>
                <w:sz w:val="20"/>
                <w:szCs w:val="20"/>
                <w:color w:val="auto"/>
              </w:rPr>
            </w:pPr>
            <w:r>
              <w:rPr>
                <w:rFonts w:ascii="Arial" w:cs="Arial" w:eastAsia="Arial" w:hAnsi="Arial"/>
                <w:sz w:val="14"/>
                <w:szCs w:val="14"/>
                <w:color w:val="auto"/>
              </w:rPr>
              <w:t>endorsement) shall be deemed to impair the transfers of the related Transferred Loan by the Seller to the Buyer in accordance with the terms of this Agreement.”</w:t>
            </w:r>
          </w:p>
        </w:tc>
        <w:tc>
          <w:tcPr>
            <w:tcW w:w="0" w:type="dxa"/>
            <w:vAlign w:val="bottom"/>
          </w:tcPr>
          <w:p>
            <w:pPr>
              <w:spacing w:after="0"/>
              <w:rPr>
                <w:sz w:val="1"/>
                <w:szCs w:val="1"/>
                <w:color w:val="auto"/>
              </w:rPr>
            </w:pPr>
          </w:p>
        </w:tc>
      </w:tr>
      <w:tr>
        <w:trPr>
          <w:trHeight w:val="405"/>
        </w:trPr>
        <w:tc>
          <w:tcPr>
            <w:tcW w:w="720" w:type="dxa"/>
            <w:vAlign w:val="bottom"/>
          </w:tcPr>
          <w:p>
            <w:pPr>
              <w:ind w:left="80"/>
              <w:spacing w:after="0"/>
              <w:rPr>
                <w:sz w:val="20"/>
                <w:szCs w:val="20"/>
                <w:color w:val="auto"/>
              </w:rPr>
            </w:pPr>
            <w:r>
              <w:rPr>
                <w:rFonts w:ascii="Arial" w:cs="Arial" w:eastAsia="Arial" w:hAnsi="Arial"/>
                <w:sz w:val="14"/>
                <w:szCs w:val="14"/>
                <w:color w:val="auto"/>
              </w:rPr>
              <w:t>1.2</w:t>
            </w:r>
          </w:p>
        </w:tc>
        <w:tc>
          <w:tcPr>
            <w:tcW w:w="10540" w:type="dxa"/>
            <w:vAlign w:val="bottom"/>
            <w:gridSpan w:val="5"/>
          </w:tcPr>
          <w:p>
            <w:pPr>
              <w:ind w:left="940"/>
              <w:spacing w:after="0"/>
              <w:rPr>
                <w:sz w:val="20"/>
                <w:szCs w:val="20"/>
                <w:color w:val="auto"/>
              </w:rPr>
            </w:pPr>
            <w:r>
              <w:rPr>
                <w:rFonts w:ascii="Arial" w:cs="Arial" w:eastAsia="Arial" w:hAnsi="Arial"/>
                <w:sz w:val="14"/>
                <w:szCs w:val="14"/>
                <w:color w:val="auto"/>
              </w:rPr>
              <w:t>The deletion of Section 10.1 in its entirety and its restatement to read as follows:</w:t>
            </w:r>
          </w:p>
        </w:tc>
        <w:tc>
          <w:tcPr>
            <w:tcW w:w="0" w:type="dxa"/>
            <w:vAlign w:val="bottom"/>
          </w:tcPr>
          <w:p>
            <w:pPr>
              <w:spacing w:after="0"/>
              <w:rPr>
                <w:sz w:val="1"/>
                <w:szCs w:val="1"/>
                <w:color w:val="auto"/>
              </w:rPr>
            </w:pPr>
          </w:p>
        </w:tc>
      </w:tr>
      <w:tr>
        <w:trPr>
          <w:trHeight w:val="377"/>
        </w:trPr>
        <w:tc>
          <w:tcPr>
            <w:tcW w:w="720" w:type="dxa"/>
            <w:vAlign w:val="bottom"/>
          </w:tcPr>
          <w:p>
            <w:pPr>
              <w:spacing w:after="0"/>
              <w:rPr>
                <w:sz w:val="24"/>
                <w:szCs w:val="24"/>
                <w:color w:val="auto"/>
              </w:rPr>
            </w:pPr>
          </w:p>
        </w:tc>
        <w:tc>
          <w:tcPr>
            <w:tcW w:w="10540" w:type="dxa"/>
            <w:vAlign w:val="bottom"/>
            <w:gridSpan w:val="5"/>
          </w:tcPr>
          <w:p>
            <w:pPr>
              <w:ind w:left="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Section 10.1Amendment.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20" w:type="dxa"/>
            <w:vAlign w:val="bottom"/>
          </w:tcPr>
          <w:p>
            <w:pPr>
              <w:spacing w:after="0"/>
              <w:rPr>
                <w:sz w:val="24"/>
                <w:szCs w:val="24"/>
                <w:color w:val="auto"/>
              </w:rPr>
            </w:pPr>
          </w:p>
        </w:tc>
        <w:tc>
          <w:tcPr>
            <w:tcW w:w="10540" w:type="dxa"/>
            <w:vAlign w:val="bottom"/>
            <w:gridSpan w:val="5"/>
          </w:tcPr>
          <w:p>
            <w:pPr>
              <w:ind w:left="940"/>
              <w:spacing w:after="0"/>
              <w:rPr>
                <w:sz w:val="20"/>
                <w:szCs w:val="20"/>
                <w:color w:val="auto"/>
              </w:rPr>
            </w:pPr>
            <w:r>
              <w:rPr>
                <w:rFonts w:ascii="Arial" w:cs="Arial" w:eastAsia="Arial" w:hAnsi="Arial"/>
                <w:sz w:val="14"/>
                <w:szCs w:val="14"/>
                <w:color w:val="auto"/>
                <w:w w:val="93"/>
              </w:rPr>
              <w:t>This Agreement and the rights and obligations of the parties hereunder may not be amended, waived or changed orally, but only by an instrument in writing signed by</w:t>
            </w: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10540" w:type="dxa"/>
            <w:vAlign w:val="bottom"/>
            <w:gridSpan w:val="5"/>
          </w:tcPr>
          <w:p>
            <w:pPr>
              <w:ind w:left="160"/>
              <w:spacing w:after="0"/>
              <w:rPr>
                <w:sz w:val="20"/>
                <w:szCs w:val="20"/>
                <w:color w:val="auto"/>
              </w:rPr>
            </w:pPr>
            <w:r>
              <w:rPr>
                <w:rFonts w:ascii="Arial" w:cs="Arial" w:eastAsia="Arial" w:hAnsi="Arial"/>
                <w:sz w:val="14"/>
                <w:szCs w:val="14"/>
                <w:color w:val="auto"/>
              </w:rPr>
              <w:t>the Buyer and the Seller and, for so long as the Credit Agreement remains in effect, with the consent of the Administrative Agent and the Required Lenders.”</w:t>
            </w:r>
          </w:p>
        </w:tc>
        <w:tc>
          <w:tcPr>
            <w:tcW w:w="0" w:type="dxa"/>
            <w:vAlign w:val="bottom"/>
          </w:tcPr>
          <w:p>
            <w:pPr>
              <w:spacing w:after="0"/>
              <w:rPr>
                <w:sz w:val="1"/>
                <w:szCs w:val="1"/>
                <w:color w:val="auto"/>
              </w:rPr>
            </w:pPr>
          </w:p>
        </w:tc>
      </w:tr>
      <w:tr>
        <w:trPr>
          <w:trHeight w:val="559"/>
        </w:trPr>
        <w:tc>
          <w:tcPr>
            <w:tcW w:w="7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EPRESENTATIONS</w:t>
      </w:r>
      <w:r>
        <w:rPr>
          <w:rFonts w:ascii="Arial" w:cs="Arial" w:eastAsia="Arial" w:hAnsi="Arial"/>
          <w:sz w:val="13"/>
          <w:szCs w:val="13"/>
          <w:color w:val="auto"/>
        </w:rPr>
        <w:t>.</w:t>
      </w:r>
    </w:p>
    <w:p>
      <w:pPr>
        <w:spacing w:after="0" w:line="200" w:lineRule="exact"/>
        <w:rPr>
          <w:sz w:val="20"/>
          <w:szCs w:val="20"/>
          <w:color w:val="auto"/>
        </w:rPr>
      </w:pPr>
    </w:p>
    <w:p>
      <w:pPr>
        <w:sectPr>
          <w:pgSz w:w="11900" w:h="16838" w:orient="portrait"/>
          <w:cols w:equalWidth="0" w:num="2">
            <w:col w:w="1320" w:space="720"/>
            <w:col w:w="9200"/>
          </w:cols>
          <w:pgMar w:left="320" w:top="647" w:right="339" w:bottom="1440" w:gutter="0" w:footer="0" w:header="0"/>
        </w:sectPr>
      </w:pPr>
    </w:p>
    <w:p>
      <w:pPr>
        <w:spacing w:after="0" w:line="56" w:lineRule="exact"/>
        <w:rPr>
          <w:sz w:val="20"/>
          <w:szCs w:val="20"/>
          <w:color w:val="auto"/>
        </w:rPr>
      </w:pPr>
    </w:p>
    <w:p>
      <w:pPr>
        <w:jc w:val="both"/>
        <w:ind w:left="860" w:hanging="784"/>
        <w:spacing w:after="0" w:line="231" w:lineRule="auto"/>
        <w:tabs>
          <w:tab w:leader="none" w:pos="84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Each of the Buyer and the Seller hereby represents and warrants to the other party hereto that as of the date hereof each of their respective representations and warranties contained in the Facility Documents to which it is a party, including without limitation Section 4.2 of the Purchase Agreement and Section 4.01 of the Loan Agreement (in the case of the Buyer) and Section 4.1 of the Purchase Agreement (in the case of the Seller), are true and correct in all material respects as of the date hereof (except to the extent that such representations and warranties relate to an earlier date, in which case such representations and warranties are true and correct in all material respects as of such earlier date).</w:t>
      </w:r>
    </w:p>
    <w:p>
      <w:pPr>
        <w:sectPr>
          <w:pgSz w:w="11900" w:h="16838" w:orient="portrait"/>
          <w:cols w:equalWidth="0" w:num="1">
            <w:col w:w="11240"/>
          </w:cols>
          <w:pgMar w:left="320" w:top="647" w:right="339" w:bottom="1440" w:gutter="0" w:footer="0" w:header="0"/>
          <w:type w:val="continuous"/>
        </w:sectPr>
      </w:pPr>
    </w:p>
    <w:p>
      <w:pPr>
        <w:spacing w:after="0" w:line="224" w:lineRule="exact"/>
        <w:rPr>
          <w:sz w:val="20"/>
          <w:szCs w:val="20"/>
          <w:color w:val="auto"/>
        </w:rPr>
      </w:pPr>
    </w:p>
    <w:p>
      <w:pPr>
        <w:ind w:left="80"/>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firstLine="798"/>
        <w:spacing w:after="0" w:line="253" w:lineRule="auto"/>
        <w:rPr>
          <w:sz w:val="20"/>
          <w:szCs w:val="20"/>
          <w:color w:val="auto"/>
        </w:rPr>
      </w:pPr>
      <w:r>
        <w:rPr>
          <w:rFonts w:ascii="Arial" w:cs="Arial" w:eastAsia="Arial" w:hAnsi="Arial"/>
          <w:sz w:val="14"/>
          <w:szCs w:val="14"/>
          <w:color w:val="auto"/>
        </w:rPr>
        <w:t>The Buyer hereby represents and warrants that it has provided not less than ten (10) Business Days’ prior written notice of this amendment agreement to the Administrative Agent.</w:t>
      </w:r>
    </w:p>
    <w:p>
      <w:pPr>
        <w:spacing w:after="0" w:line="200" w:lineRule="exact"/>
        <w:rPr>
          <w:sz w:val="20"/>
          <w:szCs w:val="20"/>
          <w:color w:val="auto"/>
        </w:rPr>
      </w:pPr>
    </w:p>
    <w:p>
      <w:pPr>
        <w:sectPr>
          <w:pgSz w:w="11900" w:h="16838" w:orient="portrait"/>
          <w:cols w:equalWidth="0" w:num="2">
            <w:col w:w="260" w:space="600"/>
            <w:col w:w="10380"/>
          </w:cols>
          <w:pgMar w:left="320" w:top="647"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ISCELLANEOUS</w:t>
      </w:r>
      <w:r>
        <w:rPr>
          <w:rFonts w:ascii="Arial" w:cs="Arial" w:eastAsia="Arial" w:hAnsi="Arial"/>
          <w:sz w:val="14"/>
          <w:szCs w:val="14"/>
          <w:color w:val="auto"/>
        </w:rPr>
        <w:t>.</w:t>
      </w:r>
    </w:p>
    <w:p>
      <w:pPr>
        <w:spacing w:after="0" w:line="200" w:lineRule="exact"/>
        <w:rPr>
          <w:sz w:val="20"/>
          <w:szCs w:val="20"/>
          <w:color w:val="auto"/>
        </w:rPr>
      </w:pPr>
    </w:p>
    <w:p>
      <w:pPr>
        <w:sectPr>
          <w:pgSz w:w="11900" w:h="16838" w:orient="portrait"/>
          <w:cols w:equalWidth="0" w:num="2">
            <w:col w:w="1320" w:space="720"/>
            <w:col w:w="9200"/>
          </w:cols>
          <w:pgMar w:left="320" w:top="647" w:right="339" w:bottom="1440" w:gutter="0" w:footer="0" w:header="0"/>
          <w:type w:val="continuous"/>
        </w:sectPr>
      </w:pPr>
    </w:p>
    <w:p>
      <w:pPr>
        <w:spacing w:after="0" w:line="44"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3.1.Except as specifically waived hereby, the Purchase Agreement shall continue in full force and effect in accordance with its original terms. Reference to this specific amendment agreement need not be made in the Purchase Agreement or any other instrument or document executed in connection therewith, or in any certificate, letter or communication issued or made pursuant to or with respect to the Purchase Agreement, any reference in any of such items to the Purchase Agreement being sufficient to refer to the Purchase Agreement as amended hereby.</w:t>
      </w:r>
    </w:p>
    <w:p>
      <w:pPr>
        <w:spacing w:after="0" w:line="209" w:lineRule="exact"/>
        <w:rPr>
          <w:sz w:val="20"/>
          <w:szCs w:val="20"/>
          <w:color w:val="auto"/>
        </w:rPr>
      </w:pPr>
    </w:p>
    <w:p>
      <w:pPr>
        <w:jc w:val="both"/>
        <w:spacing w:after="0" w:line="157" w:lineRule="exact"/>
        <w:rPr>
          <w:sz w:val="20"/>
          <w:szCs w:val="20"/>
          <w:color w:val="auto"/>
        </w:rPr>
      </w:pPr>
      <w:r>
        <w:rPr>
          <w:rFonts w:ascii="Arial" w:cs="Arial" w:eastAsia="Arial" w:hAnsi="Arial"/>
          <w:sz w:val="14"/>
          <w:szCs w:val="14"/>
          <w:color w:val="auto"/>
        </w:rPr>
        <w:t>3.2.This amendment agreement may be executed in any number of counterparts, and by the different parties on different counterpart signature pages, all of which taken together shall constitute one and the same agreement. Any of the parties hereto may execute this amendment agreement by signing any such counterpart and each of such counterparts shall for all purposes be deemed to be an original. Delivery of a counterpart hereof by facsimile transmission or by e</w:t>
      </w:r>
      <w:r>
        <w:rPr>
          <w:rFonts w:ascii="MS PGothic" w:cs="MS PGothic" w:eastAsia="MS PGothic" w:hAnsi="MS PGothic"/>
          <w:sz w:val="14"/>
          <w:szCs w:val="14"/>
          <w:color w:val="auto"/>
        </w:rPr>
        <w:t>‑</w:t>
      </w:r>
      <w:r>
        <w:rPr>
          <w:rFonts w:ascii="Arial" w:cs="Arial" w:eastAsia="Arial" w:hAnsi="Arial"/>
          <w:sz w:val="14"/>
          <w:szCs w:val="14"/>
          <w:color w:val="auto"/>
        </w:rPr>
        <w:t xml:space="preserve">mail transmission of an Adobe Portable Document Format File (also known as an </w:t>
      </w:r>
      <w:r>
        <w:rPr>
          <w:rFonts w:ascii="Arial" w:cs="Arial" w:eastAsia="Arial" w:hAnsi="Arial"/>
          <w:sz w:val="14"/>
          <w:szCs w:val="14"/>
          <w:i w:val="1"/>
          <w:iCs w:val="1"/>
          <w:color w:val="auto"/>
        </w:rPr>
        <w:t>“PDF”</w:t>
      </w:r>
      <w:r>
        <w:rPr>
          <w:rFonts w:ascii="Arial" w:cs="Arial" w:eastAsia="Arial" w:hAnsi="Arial"/>
          <w:sz w:val="14"/>
          <w:szCs w:val="14"/>
          <w:color w:val="auto"/>
        </w:rPr>
        <w:t xml:space="preserve"> file) shall be effective as delivery of a manually executed counterpart hereof.</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3.3.</w:t>
      </w:r>
      <w:r>
        <w:rPr>
          <w:rFonts w:ascii="Arial" w:cs="Arial" w:eastAsia="Arial" w:hAnsi="Arial"/>
          <w:sz w:val="14"/>
          <w:szCs w:val="14"/>
          <w:i w:val="1"/>
          <w:iCs w:val="1"/>
          <w:color w:val="auto"/>
        </w:rPr>
        <w:t>Governing Law.</w:t>
      </w:r>
      <w:r>
        <w:rPr>
          <w:rFonts w:ascii="Arial" w:cs="Arial" w:eastAsia="Arial" w:hAnsi="Arial"/>
          <w:sz w:val="14"/>
          <w:szCs w:val="14"/>
          <w:color w:val="auto"/>
        </w:rPr>
        <w:t xml:space="preserve"> T</w:t>
      </w:r>
      <w:r>
        <w:rPr>
          <w:rFonts w:ascii="Arial" w:cs="Arial" w:eastAsia="Arial" w:hAnsi="Arial"/>
          <w:sz w:val="9"/>
          <w:szCs w:val="9"/>
          <w:color w:val="auto"/>
        </w:rPr>
        <w:t>HIS AMENDMENT AGREEMENT AND THE RIGHTS AND OBLIGATIONS OF THE PARTIES UNDER THIS AGREEMENT SHALL BE GOVERNED BY AND CONSTRUED IN ACCORDANCE WITH THE INTERNAL LAW OF THE</w:t>
      </w:r>
      <w:r>
        <w:rPr>
          <w:rFonts w:ascii="Arial" w:cs="Arial" w:eastAsia="Arial" w:hAnsi="Arial"/>
          <w:sz w:val="14"/>
          <w:szCs w:val="14"/>
          <w:color w:val="auto"/>
        </w:rPr>
        <w:t xml:space="preserve"> S</w:t>
      </w:r>
      <w:r>
        <w:rPr>
          <w:rFonts w:ascii="Arial" w:cs="Arial" w:eastAsia="Arial" w:hAnsi="Arial"/>
          <w:sz w:val="9"/>
          <w:szCs w:val="9"/>
          <w:color w:val="auto"/>
        </w:rPr>
        <w:t>TATE OF</w:t>
      </w:r>
      <w:r>
        <w:rPr>
          <w:rFonts w:ascii="Arial" w:cs="Arial" w:eastAsia="Arial" w:hAnsi="Arial"/>
          <w:sz w:val="14"/>
          <w:szCs w:val="14"/>
          <w:color w:val="auto"/>
        </w:rPr>
        <w:t xml:space="preserve"> N</w:t>
      </w:r>
      <w:r>
        <w:rPr>
          <w:rFonts w:ascii="Arial" w:cs="Arial" w:eastAsia="Arial" w:hAnsi="Arial"/>
          <w:sz w:val="9"/>
          <w:szCs w:val="9"/>
          <w:color w:val="auto"/>
        </w:rPr>
        <w:t>EW</w:t>
      </w:r>
      <w:r>
        <w:rPr>
          <w:rFonts w:ascii="Arial" w:cs="Arial" w:eastAsia="Arial" w:hAnsi="Arial"/>
          <w:sz w:val="14"/>
          <w:szCs w:val="14"/>
          <w:color w:val="auto"/>
        </w:rPr>
        <w:t xml:space="preserve"> Y</w:t>
      </w:r>
      <w:r>
        <w:rPr>
          <w:rFonts w:ascii="Arial" w:cs="Arial" w:eastAsia="Arial" w:hAnsi="Arial"/>
          <w:sz w:val="9"/>
          <w:szCs w:val="9"/>
          <w:color w:val="auto"/>
        </w:rPr>
        <w:t>ORK</w:t>
      </w:r>
      <w:r>
        <w:rPr>
          <w:rFonts w:ascii="Arial" w:cs="Arial" w:eastAsia="Arial" w:hAnsi="Arial"/>
          <w:sz w:val="14"/>
          <w:szCs w:val="14"/>
          <w:color w:val="auto"/>
        </w:rPr>
        <w: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AGES</w:t>
      </w:r>
      <w:r>
        <w:rPr>
          <w:rFonts w:ascii="Arial" w:cs="Arial" w:eastAsia="Arial" w:hAnsi="Arial"/>
          <w:sz w:val="14"/>
          <w:szCs w:val="14"/>
          <w:color w:val="auto"/>
        </w:rPr>
        <w:t xml:space="preserve"> T</w:t>
      </w:r>
      <w:r>
        <w:rPr>
          <w:rFonts w:ascii="Arial" w:cs="Arial" w:eastAsia="Arial" w:hAnsi="Arial"/>
          <w:sz w:val="9"/>
          <w:szCs w:val="9"/>
          <w:color w:val="auto"/>
        </w:rPr>
        <w:t>O</w:t>
      </w:r>
      <w:r>
        <w:rPr>
          <w:rFonts w:ascii="Arial" w:cs="Arial" w:eastAsia="Arial" w:hAnsi="Arial"/>
          <w:sz w:val="14"/>
          <w:szCs w:val="14"/>
          <w:color w:val="auto"/>
        </w:rPr>
        <w:t xml:space="preserve"> F</w:t>
      </w:r>
      <w:r>
        <w:rPr>
          <w:rFonts w:ascii="Arial" w:cs="Arial" w:eastAsia="Arial" w:hAnsi="Arial"/>
          <w:sz w:val="9"/>
          <w:szCs w:val="9"/>
          <w:color w:val="auto"/>
        </w:rPr>
        <w:t>OLLOW</w:t>
      </w:r>
      <w:r>
        <w:rPr>
          <w:rFonts w:ascii="Arial" w:cs="Arial" w:eastAsia="Arial" w:hAnsi="Arial"/>
          <w:sz w:val="14"/>
          <w:szCs w:val="14"/>
          <w:color w:val="auto"/>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3"/>
          <w:szCs w:val="13"/>
          <w:color w:val="auto"/>
        </w:rPr>
        <w:t>I</w:t>
      </w:r>
      <w:r>
        <w:rPr>
          <w:rFonts w:ascii="Arial" w:cs="Arial" w:eastAsia="Arial" w:hAnsi="Arial"/>
          <w:sz w:val="8"/>
          <w:szCs w:val="8"/>
          <w:color w:val="auto"/>
        </w:rPr>
        <w:t>N</w:t>
      </w:r>
      <w:r>
        <w:rPr>
          <w:rFonts w:ascii="Arial" w:cs="Arial" w:eastAsia="Arial" w:hAnsi="Arial"/>
          <w:sz w:val="13"/>
          <w:szCs w:val="13"/>
          <w:color w:val="auto"/>
        </w:rPr>
        <w:t xml:space="preserve"> W</w:t>
      </w:r>
      <w:r>
        <w:rPr>
          <w:rFonts w:ascii="Arial" w:cs="Arial" w:eastAsia="Arial" w:hAnsi="Arial"/>
          <w:sz w:val="8"/>
          <w:szCs w:val="8"/>
          <w:color w:val="auto"/>
        </w:rPr>
        <w:t>ITNESS</w:t>
      </w:r>
      <w:r>
        <w:rPr>
          <w:rFonts w:ascii="Arial" w:cs="Arial" w:eastAsia="Arial" w:hAnsi="Arial"/>
          <w:sz w:val="13"/>
          <w:szCs w:val="13"/>
          <w:color w:val="auto"/>
        </w:rPr>
        <w:t xml:space="preserve"> W</w:t>
      </w:r>
      <w:r>
        <w:rPr>
          <w:rFonts w:ascii="Arial" w:cs="Arial" w:eastAsia="Arial" w:hAnsi="Arial"/>
          <w:sz w:val="8"/>
          <w:szCs w:val="8"/>
          <w:color w:val="auto"/>
        </w:rPr>
        <w:t>HEREOF</w:t>
      </w:r>
      <w:r>
        <w:rPr>
          <w:rFonts w:ascii="Arial" w:cs="Arial" w:eastAsia="Arial" w:hAnsi="Arial"/>
          <w:sz w:val="13"/>
          <w:szCs w:val="13"/>
          <w:color w:val="auto"/>
        </w:rPr>
        <w:t>, the parties hereto have caused this amendment agreement to be executed and delivered by their duly authorized officers as of the date hereof.</w:t>
      </w:r>
    </w:p>
    <w:p>
      <w:pPr>
        <w:spacing w:after="0" w:line="256"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P</w:t>
      </w:r>
      <w:r>
        <w:rPr>
          <w:rFonts w:ascii="Arial" w:cs="Arial" w:eastAsia="Arial" w:hAnsi="Arial"/>
          <w:sz w:val="9"/>
          <w:szCs w:val="9"/>
          <w:color w:val="auto"/>
        </w:rPr>
        <w:t>ENNANT</w:t>
      </w:r>
      <w:r>
        <w:rPr>
          <w:rFonts w:ascii="Arial" w:cs="Arial" w:eastAsia="Arial" w:hAnsi="Arial"/>
          <w:sz w:val="14"/>
          <w:szCs w:val="14"/>
          <w:color w:val="auto"/>
        </w:rPr>
        <w:t>P</w:t>
      </w:r>
      <w:r>
        <w:rPr>
          <w:rFonts w:ascii="Arial" w:cs="Arial" w:eastAsia="Arial" w:hAnsi="Arial"/>
          <w:sz w:val="9"/>
          <w:szCs w:val="9"/>
          <w:color w:val="auto"/>
        </w:rPr>
        <w:t>ARK</w:t>
      </w:r>
      <w:r>
        <w:rPr>
          <w:rFonts w:ascii="Arial" w:cs="Arial" w:eastAsia="Arial" w:hAnsi="Arial"/>
          <w:sz w:val="14"/>
          <w:szCs w:val="14"/>
          <w:color w:val="auto"/>
        </w:rPr>
        <w:t xml:space="preserve"> F</w:t>
      </w:r>
      <w:r>
        <w:rPr>
          <w:rFonts w:ascii="Arial" w:cs="Arial" w:eastAsia="Arial" w:hAnsi="Arial"/>
          <w:sz w:val="9"/>
          <w:szCs w:val="9"/>
          <w:color w:val="auto"/>
        </w:rPr>
        <w:t>LOATING</w:t>
      </w:r>
      <w:r>
        <w:rPr>
          <w:rFonts w:ascii="Arial" w:cs="Arial" w:eastAsia="Arial" w:hAnsi="Arial"/>
          <w:sz w:val="14"/>
          <w:szCs w:val="14"/>
          <w:color w:val="auto"/>
        </w:rPr>
        <w:t xml:space="preserve"> R</w:t>
      </w:r>
      <w:r>
        <w:rPr>
          <w:rFonts w:ascii="Arial" w:cs="Arial" w:eastAsia="Arial" w:hAnsi="Arial"/>
          <w:sz w:val="9"/>
          <w:szCs w:val="9"/>
          <w:color w:val="auto"/>
        </w:rPr>
        <w:t>ATE</w:t>
      </w:r>
      <w:r>
        <w:rPr>
          <w:rFonts w:ascii="Arial" w:cs="Arial" w:eastAsia="Arial" w:hAnsi="Arial"/>
          <w:sz w:val="14"/>
          <w:szCs w:val="14"/>
          <w:color w:val="auto"/>
        </w:rPr>
        <w:t xml:space="preserve"> F</w:t>
      </w:r>
      <w:r>
        <w:rPr>
          <w:rFonts w:ascii="Arial" w:cs="Arial" w:eastAsia="Arial" w:hAnsi="Arial"/>
          <w:sz w:val="9"/>
          <w:szCs w:val="9"/>
          <w:color w:val="auto"/>
        </w:rPr>
        <w:t>UNDING</w:t>
      </w:r>
      <w:r>
        <w:rPr>
          <w:rFonts w:ascii="Arial" w:cs="Arial" w:eastAsia="Arial" w:hAnsi="Arial"/>
          <w:sz w:val="14"/>
          <w:szCs w:val="14"/>
          <w:color w:val="auto"/>
        </w:rPr>
        <w:t xml:space="preserve"> I, LLC, as Buyer</w:t>
      </w:r>
    </w:p>
    <w:p>
      <w:pPr>
        <w:spacing w:after="0" w:line="231" w:lineRule="exact"/>
        <w:rPr>
          <w:sz w:val="20"/>
          <w:szCs w:val="20"/>
          <w:color w:val="auto"/>
        </w:rPr>
      </w:pPr>
    </w:p>
    <w:p>
      <w:pPr>
        <w:ind w:left="4740"/>
        <w:spacing w:after="0"/>
        <w:tabs>
          <w:tab w:leader="none" w:pos="55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PennantPark Floating Rate Capital Ltd., as Designated Manager</w:t>
      </w:r>
    </w:p>
    <w:p>
      <w:pPr>
        <w:spacing w:after="0" w:line="200" w:lineRule="exact"/>
        <w:rPr>
          <w:sz w:val="20"/>
          <w:szCs w:val="20"/>
          <w:color w:val="auto"/>
        </w:rPr>
      </w:pPr>
    </w:p>
    <w:p>
      <w:pPr>
        <w:spacing w:after="0" w:line="312"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Aviv Efrat</w:t>
      </w:r>
    </w:p>
    <w:p>
      <w:pPr>
        <w:ind w:left="5180"/>
        <w:spacing w:after="0" w:line="221" w:lineRule="auto"/>
        <w:rPr>
          <w:sz w:val="20"/>
          <w:szCs w:val="20"/>
          <w:color w:val="auto"/>
        </w:rPr>
      </w:pPr>
      <w:r>
        <w:rPr>
          <w:rFonts w:ascii="Arial" w:cs="Arial" w:eastAsia="Arial" w:hAnsi="Arial"/>
          <w:sz w:val="14"/>
          <w:szCs w:val="14"/>
          <w:color w:val="auto"/>
        </w:rPr>
        <w:t>Name: Aviv Efrat</w:t>
      </w:r>
    </w:p>
    <w:p>
      <w:pPr>
        <w:ind w:left="5180"/>
        <w:spacing w:after="0"/>
        <w:rPr>
          <w:sz w:val="20"/>
          <w:szCs w:val="20"/>
          <w:color w:val="auto"/>
        </w:rPr>
      </w:pPr>
      <w:r>
        <w:rPr>
          <w:rFonts w:ascii="Arial" w:cs="Arial" w:eastAsia="Arial" w:hAnsi="Arial"/>
          <w:sz w:val="14"/>
          <w:szCs w:val="14"/>
          <w:color w:val="auto"/>
        </w:rPr>
        <w:t>Title: Chief Financial Officer</w:t>
      </w:r>
    </w:p>
    <w:p>
      <w:pPr>
        <w:spacing w:after="0" w:line="232"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P</w:t>
      </w:r>
      <w:r>
        <w:rPr>
          <w:rFonts w:ascii="Arial" w:cs="Arial" w:eastAsia="Arial" w:hAnsi="Arial"/>
          <w:sz w:val="9"/>
          <w:szCs w:val="9"/>
          <w:color w:val="auto"/>
        </w:rPr>
        <w:t>ENNANT</w:t>
      </w:r>
      <w:r>
        <w:rPr>
          <w:rFonts w:ascii="Arial" w:cs="Arial" w:eastAsia="Arial" w:hAnsi="Arial"/>
          <w:sz w:val="14"/>
          <w:szCs w:val="14"/>
          <w:color w:val="auto"/>
        </w:rPr>
        <w:t>P</w:t>
      </w:r>
      <w:r>
        <w:rPr>
          <w:rFonts w:ascii="Arial" w:cs="Arial" w:eastAsia="Arial" w:hAnsi="Arial"/>
          <w:sz w:val="9"/>
          <w:szCs w:val="9"/>
          <w:color w:val="auto"/>
        </w:rPr>
        <w:t>ARK</w:t>
      </w:r>
      <w:r>
        <w:rPr>
          <w:rFonts w:ascii="Arial" w:cs="Arial" w:eastAsia="Arial" w:hAnsi="Arial"/>
          <w:sz w:val="14"/>
          <w:szCs w:val="14"/>
          <w:color w:val="auto"/>
        </w:rPr>
        <w:t xml:space="preserve"> F</w:t>
      </w:r>
      <w:r>
        <w:rPr>
          <w:rFonts w:ascii="Arial" w:cs="Arial" w:eastAsia="Arial" w:hAnsi="Arial"/>
          <w:sz w:val="9"/>
          <w:szCs w:val="9"/>
          <w:color w:val="auto"/>
        </w:rPr>
        <w:t>LOATING</w:t>
      </w:r>
      <w:r>
        <w:rPr>
          <w:rFonts w:ascii="Arial" w:cs="Arial" w:eastAsia="Arial" w:hAnsi="Arial"/>
          <w:sz w:val="14"/>
          <w:szCs w:val="14"/>
          <w:color w:val="auto"/>
        </w:rPr>
        <w:t xml:space="preserve"> R</w:t>
      </w:r>
      <w:r>
        <w:rPr>
          <w:rFonts w:ascii="Arial" w:cs="Arial" w:eastAsia="Arial" w:hAnsi="Arial"/>
          <w:sz w:val="9"/>
          <w:szCs w:val="9"/>
          <w:color w:val="auto"/>
        </w:rPr>
        <w:t>ATE</w:t>
      </w:r>
      <w:r>
        <w:rPr>
          <w:rFonts w:ascii="Arial" w:cs="Arial" w:eastAsia="Arial" w:hAnsi="Arial"/>
          <w:sz w:val="14"/>
          <w:szCs w:val="14"/>
          <w:color w:val="auto"/>
        </w:rPr>
        <w:t xml:space="preserve"> C</w:t>
      </w:r>
      <w:r>
        <w:rPr>
          <w:rFonts w:ascii="Arial" w:cs="Arial" w:eastAsia="Arial" w:hAnsi="Arial"/>
          <w:sz w:val="9"/>
          <w:szCs w:val="9"/>
          <w:color w:val="auto"/>
        </w:rPr>
        <w:t>APITAL</w:t>
      </w:r>
      <w:r>
        <w:rPr>
          <w:rFonts w:ascii="Arial" w:cs="Arial" w:eastAsia="Arial" w:hAnsi="Arial"/>
          <w:sz w:val="14"/>
          <w:szCs w:val="14"/>
          <w:color w:val="auto"/>
        </w:rPr>
        <w:t xml:space="preserve"> L</w:t>
      </w:r>
      <w:r>
        <w:rPr>
          <w:rFonts w:ascii="Arial" w:cs="Arial" w:eastAsia="Arial" w:hAnsi="Arial"/>
          <w:sz w:val="9"/>
          <w:szCs w:val="9"/>
          <w:color w:val="auto"/>
        </w:rPr>
        <w:t>TD</w:t>
      </w:r>
      <w:r>
        <w:rPr>
          <w:rFonts w:ascii="Arial" w:cs="Arial" w:eastAsia="Arial" w:hAnsi="Arial"/>
          <w:sz w:val="14"/>
          <w:szCs w:val="14"/>
          <w:color w:val="auto"/>
        </w:rPr>
        <w:t>., as Seller</w:t>
      </w:r>
    </w:p>
    <w:p>
      <w:pPr>
        <w:spacing w:after="0" w:line="200" w:lineRule="exact"/>
        <w:rPr>
          <w:sz w:val="20"/>
          <w:szCs w:val="20"/>
          <w:color w:val="auto"/>
        </w:rPr>
      </w:pPr>
    </w:p>
    <w:p>
      <w:pPr>
        <w:spacing w:after="0" w:line="287"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Aviv Efrat</w:t>
      </w:r>
    </w:p>
    <w:p>
      <w:pPr>
        <w:ind w:left="5180"/>
        <w:spacing w:after="0" w:line="221" w:lineRule="auto"/>
        <w:rPr>
          <w:sz w:val="20"/>
          <w:szCs w:val="20"/>
          <w:color w:val="auto"/>
        </w:rPr>
      </w:pPr>
      <w:r>
        <w:rPr>
          <w:rFonts w:ascii="Arial" w:cs="Arial" w:eastAsia="Arial" w:hAnsi="Arial"/>
          <w:sz w:val="14"/>
          <w:szCs w:val="14"/>
          <w:color w:val="auto"/>
        </w:rPr>
        <w:t>Name: Aviv Efrat</w:t>
      </w:r>
    </w:p>
    <w:p>
      <w:pPr>
        <w:ind w:left="5180"/>
        <w:spacing w:after="0"/>
        <w:rPr>
          <w:sz w:val="20"/>
          <w:szCs w:val="20"/>
          <w:color w:val="auto"/>
        </w:rPr>
      </w:pPr>
      <w:r>
        <w:rPr>
          <w:rFonts w:ascii="Arial" w:cs="Arial" w:eastAsia="Arial" w:hAnsi="Arial"/>
          <w:sz w:val="14"/>
          <w:szCs w:val="14"/>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95250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320"/>
          </w:cols>
          <w:pgMar w:left="1200" w:top="364" w:right="137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9"/>
          <w:szCs w:val="9"/>
          <w:b w:val="1"/>
          <w:bCs w:val="1"/>
          <w:color w:val="auto"/>
        </w:rPr>
        <w:t>ONSENTED TO AND</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GREED BY</w:t>
      </w:r>
      <w:r>
        <w:rPr>
          <w:rFonts w:ascii="Arial" w:cs="Arial" w:eastAsia="Arial" w:hAnsi="Arial"/>
          <w:sz w:val="14"/>
          <w:szCs w:val="14"/>
          <w:b w:val="1"/>
          <w:bCs w:val="1"/>
          <w:color w:val="auto"/>
        </w:rPr>
        <w:t>:</w:t>
      </w: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UN</w:t>
      </w:r>
      <w:r>
        <w:rPr>
          <w:rFonts w:ascii="Arial" w:cs="Arial" w:eastAsia="Arial" w:hAnsi="Arial"/>
          <w:sz w:val="14"/>
          <w:szCs w:val="14"/>
          <w:color w:val="auto"/>
        </w:rPr>
        <w:t>T</w:t>
      </w:r>
      <w:r>
        <w:rPr>
          <w:rFonts w:ascii="Arial" w:cs="Arial" w:eastAsia="Arial" w:hAnsi="Arial"/>
          <w:sz w:val="9"/>
          <w:szCs w:val="9"/>
          <w:color w:val="auto"/>
        </w:rPr>
        <w:t>RUST</w:t>
      </w:r>
      <w:r>
        <w:rPr>
          <w:rFonts w:ascii="Arial" w:cs="Arial" w:eastAsia="Arial" w:hAnsi="Arial"/>
          <w:sz w:val="14"/>
          <w:szCs w:val="14"/>
          <w:color w:val="auto"/>
        </w:rPr>
        <w:t xml:space="preserve"> B</w:t>
      </w:r>
      <w:r>
        <w:rPr>
          <w:rFonts w:ascii="Arial" w:cs="Arial" w:eastAsia="Arial" w:hAnsi="Arial"/>
          <w:sz w:val="9"/>
          <w:szCs w:val="9"/>
          <w:color w:val="auto"/>
        </w:rPr>
        <w:t>ANK</w:t>
      </w:r>
      <w:r>
        <w:rPr>
          <w:rFonts w:ascii="Arial" w:cs="Arial" w:eastAsia="Arial" w:hAnsi="Arial"/>
          <w:sz w:val="14"/>
          <w:szCs w:val="14"/>
          <w:color w:val="auto"/>
        </w:rPr>
        <w:t>,</w:t>
      </w:r>
    </w:p>
    <w:p>
      <w:pPr>
        <w:ind w:left="6060"/>
        <w:spacing w:after="0"/>
        <w:rPr>
          <w:sz w:val="20"/>
          <w:szCs w:val="20"/>
          <w:color w:val="auto"/>
        </w:rPr>
      </w:pPr>
      <w:r>
        <w:rPr>
          <w:rFonts w:ascii="Arial" w:cs="Arial" w:eastAsia="Arial" w:hAnsi="Arial"/>
          <w:sz w:val="14"/>
          <w:szCs w:val="14"/>
          <w:color w:val="auto"/>
        </w:rPr>
        <w:t>as Administrative Agent</w:t>
      </w:r>
    </w:p>
    <w:p>
      <w:pPr>
        <w:spacing w:after="0" w:line="200" w:lineRule="exact"/>
        <w:rPr>
          <w:sz w:val="20"/>
          <w:szCs w:val="20"/>
          <w:color w:val="auto"/>
        </w:rPr>
      </w:pP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Jason Meyer</w:t>
      </w:r>
    </w:p>
    <w:p>
      <w:pPr>
        <w:ind w:left="6060"/>
        <w:spacing w:after="0" w:line="221" w:lineRule="auto"/>
        <w:rPr>
          <w:sz w:val="20"/>
          <w:szCs w:val="20"/>
          <w:color w:val="auto"/>
        </w:rPr>
      </w:pPr>
      <w:r>
        <w:rPr>
          <w:rFonts w:ascii="Arial" w:cs="Arial" w:eastAsia="Arial" w:hAnsi="Arial"/>
          <w:sz w:val="14"/>
          <w:szCs w:val="14"/>
          <w:color w:val="auto"/>
        </w:rPr>
        <w:t>Name: Jason Meyer</w:t>
      </w:r>
    </w:p>
    <w:p>
      <w:pPr>
        <w:jc w:val="right"/>
        <w:ind w:right="2499"/>
        <w:spacing w:after="0"/>
        <w:rPr>
          <w:sz w:val="20"/>
          <w:szCs w:val="20"/>
          <w:color w:val="auto"/>
        </w:rPr>
      </w:pPr>
      <w:r>
        <w:rPr>
          <w:rFonts w:ascii="Arial" w:cs="Arial" w:eastAsia="Arial" w:hAnsi="Arial"/>
          <w:sz w:val="14"/>
          <w:szCs w:val="14"/>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47" w:name="page48"/>
    <w:bookmarkEnd w:id="47"/>
    <w:p>
      <w:pPr>
        <w:ind w:left="498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UN</w:t>
      </w:r>
      <w:r>
        <w:rPr>
          <w:rFonts w:ascii="Arial" w:cs="Arial" w:eastAsia="Arial" w:hAnsi="Arial"/>
          <w:sz w:val="14"/>
          <w:szCs w:val="14"/>
          <w:color w:val="auto"/>
        </w:rPr>
        <w:t>T</w:t>
      </w:r>
      <w:r>
        <w:rPr>
          <w:rFonts w:ascii="Arial" w:cs="Arial" w:eastAsia="Arial" w:hAnsi="Arial"/>
          <w:sz w:val="9"/>
          <w:szCs w:val="9"/>
          <w:color w:val="auto"/>
        </w:rPr>
        <w:t>RUST</w:t>
      </w:r>
      <w:r>
        <w:rPr>
          <w:rFonts w:ascii="Arial" w:cs="Arial" w:eastAsia="Arial" w:hAnsi="Arial"/>
          <w:sz w:val="14"/>
          <w:szCs w:val="14"/>
          <w:color w:val="auto"/>
        </w:rPr>
        <w:t xml:space="preserve"> B</w:t>
      </w:r>
      <w:r>
        <w:rPr>
          <w:rFonts w:ascii="Arial" w:cs="Arial" w:eastAsia="Arial" w:hAnsi="Arial"/>
          <w:sz w:val="9"/>
          <w:szCs w:val="9"/>
          <w:color w:val="auto"/>
        </w:rPr>
        <w:t>ANK</w:t>
      </w:r>
      <w:r>
        <w:rPr>
          <w:rFonts w:ascii="Arial" w:cs="Arial" w:eastAsia="Arial" w:hAnsi="Arial"/>
          <w:sz w:val="14"/>
          <w:szCs w:val="14"/>
          <w:color w:val="auto"/>
        </w:rPr>
        <w:t>, as a Lender</w:t>
      </w:r>
    </w:p>
    <w:p>
      <w:pPr>
        <w:spacing w:after="0" w:line="200" w:lineRule="exact"/>
        <w:rPr>
          <w:sz w:val="20"/>
          <w:szCs w:val="20"/>
          <w:color w:val="auto"/>
        </w:rPr>
      </w:pPr>
    </w:p>
    <w:p>
      <w:pPr>
        <w:spacing w:after="0" w:line="287"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Jason Meyer</w:t>
      </w:r>
    </w:p>
    <w:p>
      <w:pPr>
        <w:ind w:left="5180"/>
        <w:spacing w:after="0" w:line="221" w:lineRule="auto"/>
        <w:rPr>
          <w:sz w:val="20"/>
          <w:szCs w:val="20"/>
          <w:color w:val="auto"/>
        </w:rPr>
      </w:pPr>
      <w:r>
        <w:rPr>
          <w:rFonts w:ascii="Arial" w:cs="Arial" w:eastAsia="Arial" w:hAnsi="Arial"/>
          <w:sz w:val="14"/>
          <w:szCs w:val="14"/>
          <w:color w:val="auto"/>
        </w:rPr>
        <w:t>Name: Jason Meyer</w:t>
      </w:r>
    </w:p>
    <w:p>
      <w:pPr>
        <w:jc w:val="right"/>
        <w:ind w:right="2499"/>
        <w:spacing w:after="0"/>
        <w:rPr>
          <w:sz w:val="20"/>
          <w:szCs w:val="20"/>
          <w:color w:val="auto"/>
        </w:rPr>
      </w:pPr>
      <w:r>
        <w:rPr>
          <w:rFonts w:ascii="Arial" w:cs="Arial" w:eastAsia="Arial" w:hAnsi="Arial"/>
          <w:sz w:val="14"/>
          <w:szCs w:val="14"/>
          <w:color w:val="auto"/>
        </w:rPr>
        <w:t>Title: Senior Vice President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95250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620" w:right="1440" w:bottom="1440" w:gutter="0" w:footer="0" w:header="0"/>
        </w:sectPr>
      </w:pPr>
    </w:p>
    <w:bookmarkStart w:id="48" w:name="page49"/>
    <w:bookmarkEnd w:id="48"/>
    <w:p>
      <w:pPr>
        <w:ind w:left="4980"/>
        <w:spacing w:after="0"/>
        <w:rPr>
          <w:sz w:val="20"/>
          <w:szCs w:val="20"/>
          <w:color w:val="auto"/>
        </w:rPr>
      </w:pPr>
      <w:r>
        <w:rPr>
          <w:rFonts w:ascii="Arial" w:cs="Arial" w:eastAsia="Arial" w:hAnsi="Arial"/>
          <w:sz w:val="14"/>
          <w:szCs w:val="14"/>
          <w:i w:val="1"/>
          <w:iCs w:val="1"/>
          <w:color w:val="auto"/>
        </w:rPr>
        <w:t>“L</w:t>
      </w:r>
      <w:r>
        <w:rPr>
          <w:rFonts w:ascii="Arial" w:cs="Arial" w:eastAsia="Arial" w:hAnsi="Arial"/>
          <w:sz w:val="9"/>
          <w:szCs w:val="9"/>
          <w:i w:val="1"/>
          <w:iCs w:val="1"/>
          <w:color w:val="auto"/>
        </w:rPr>
        <w:t>ENDERS</w:t>
      </w:r>
      <w:r>
        <w:rPr>
          <w:rFonts w:ascii="Arial" w:cs="Arial" w:eastAsia="Arial" w:hAnsi="Arial"/>
          <w:sz w:val="14"/>
          <w:szCs w:val="14"/>
          <w:i w:val="1"/>
          <w:iCs w:val="1"/>
          <w:color w:val="auto"/>
        </w:rPr>
        <w:t>”</w:t>
      </w:r>
    </w:p>
    <w:p>
      <w:pPr>
        <w:spacing w:after="0" w:line="231"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G</w:t>
      </w:r>
      <w:r>
        <w:rPr>
          <w:rFonts w:ascii="Arial" w:cs="Arial" w:eastAsia="Arial" w:hAnsi="Arial"/>
          <w:sz w:val="9"/>
          <w:szCs w:val="9"/>
          <w:color w:val="auto"/>
        </w:rPr>
        <w:t>OLDMAN</w:t>
      </w:r>
      <w:r>
        <w:rPr>
          <w:rFonts w:ascii="Arial" w:cs="Arial" w:eastAsia="Arial" w:hAnsi="Arial"/>
          <w:sz w:val="14"/>
          <w:szCs w:val="14"/>
          <w:color w:val="auto"/>
        </w:rPr>
        <w:t xml:space="preserve"> S</w:t>
      </w:r>
      <w:r>
        <w:rPr>
          <w:rFonts w:ascii="Arial" w:cs="Arial" w:eastAsia="Arial" w:hAnsi="Arial"/>
          <w:sz w:val="9"/>
          <w:szCs w:val="9"/>
          <w:color w:val="auto"/>
        </w:rPr>
        <w:t>ACHS</w:t>
      </w:r>
      <w:r>
        <w:rPr>
          <w:rFonts w:ascii="Arial" w:cs="Arial" w:eastAsia="Arial" w:hAnsi="Arial"/>
          <w:sz w:val="14"/>
          <w:szCs w:val="14"/>
          <w:color w:val="auto"/>
        </w:rPr>
        <w:t xml:space="preserve"> B</w:t>
      </w:r>
      <w:r>
        <w:rPr>
          <w:rFonts w:ascii="Arial" w:cs="Arial" w:eastAsia="Arial" w:hAnsi="Arial"/>
          <w:sz w:val="9"/>
          <w:szCs w:val="9"/>
          <w:color w:val="auto"/>
        </w:rPr>
        <w:t>ANK</w:t>
      </w:r>
      <w:r>
        <w:rPr>
          <w:rFonts w:ascii="Arial" w:cs="Arial" w:eastAsia="Arial" w:hAnsi="Arial"/>
          <w:sz w:val="14"/>
          <w:szCs w:val="14"/>
          <w:color w:val="auto"/>
        </w:rPr>
        <w:t xml:space="preserve"> USA, as Lender</w:t>
      </w:r>
    </w:p>
    <w:p>
      <w:pPr>
        <w:spacing w:after="0" w:line="200" w:lineRule="exact"/>
        <w:rPr>
          <w:sz w:val="20"/>
          <w:szCs w:val="20"/>
          <w:color w:val="auto"/>
        </w:rPr>
      </w:pPr>
    </w:p>
    <w:p>
      <w:pPr>
        <w:spacing w:after="0" w:line="30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Chris Lam</w:t>
      </w:r>
    </w:p>
    <w:p>
      <w:pPr>
        <w:ind w:left="5180"/>
        <w:spacing w:after="0" w:line="221" w:lineRule="auto"/>
        <w:rPr>
          <w:sz w:val="20"/>
          <w:szCs w:val="20"/>
          <w:color w:val="auto"/>
        </w:rPr>
      </w:pPr>
      <w:r>
        <w:rPr>
          <w:rFonts w:ascii="Arial" w:cs="Arial" w:eastAsia="Arial" w:hAnsi="Arial"/>
          <w:sz w:val="14"/>
          <w:szCs w:val="14"/>
          <w:color w:val="auto"/>
        </w:rPr>
        <w:t>Name: Chris Lam</w:t>
      </w:r>
    </w:p>
    <w:p>
      <w:pPr>
        <w:ind w:left="5180"/>
        <w:spacing w:after="0"/>
        <w:rPr>
          <w:sz w:val="20"/>
          <w:szCs w:val="20"/>
          <w:color w:val="auto"/>
        </w:rPr>
      </w:pPr>
      <w:r>
        <w:rPr>
          <w:rFonts w:ascii="Arial" w:cs="Arial" w:eastAsia="Arial" w:hAnsi="Arial"/>
          <w:sz w:val="14"/>
          <w:szCs w:val="14"/>
          <w:color w:val="auto"/>
        </w:rPr>
        <w:t>Title: Authorized Signatory</w:t>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ORGAN</w:t>
      </w:r>
      <w:r>
        <w:rPr>
          <w:rFonts w:ascii="Arial" w:cs="Arial" w:eastAsia="Arial" w:hAnsi="Arial"/>
          <w:sz w:val="14"/>
          <w:szCs w:val="14"/>
          <w:color w:val="auto"/>
        </w:rPr>
        <w:t xml:space="preserve"> S</w:t>
      </w:r>
      <w:r>
        <w:rPr>
          <w:rFonts w:ascii="Arial" w:cs="Arial" w:eastAsia="Arial" w:hAnsi="Arial"/>
          <w:sz w:val="9"/>
          <w:szCs w:val="9"/>
          <w:color w:val="auto"/>
        </w:rPr>
        <w:t>TANLEY</w:t>
      </w:r>
      <w:r>
        <w:rPr>
          <w:rFonts w:ascii="Arial" w:cs="Arial" w:eastAsia="Arial" w:hAnsi="Arial"/>
          <w:sz w:val="14"/>
          <w:szCs w:val="14"/>
          <w:color w:val="auto"/>
        </w:rPr>
        <w:t xml:space="preserve"> B</w:t>
      </w:r>
      <w:r>
        <w:rPr>
          <w:rFonts w:ascii="Arial" w:cs="Arial" w:eastAsia="Arial" w:hAnsi="Arial"/>
          <w:sz w:val="9"/>
          <w:szCs w:val="9"/>
          <w:color w:val="auto"/>
        </w:rPr>
        <w:t>ANK</w:t>
      </w:r>
      <w:r>
        <w:rPr>
          <w:rFonts w:ascii="Arial" w:cs="Arial" w:eastAsia="Arial" w:hAnsi="Arial"/>
          <w:sz w:val="14"/>
          <w:szCs w:val="14"/>
          <w:color w:val="auto"/>
        </w:rPr>
        <w:t>, N.A., as Lender</w:t>
      </w:r>
    </w:p>
    <w:p>
      <w:pPr>
        <w:spacing w:after="0" w:line="200" w:lineRule="exact"/>
        <w:rPr>
          <w:sz w:val="20"/>
          <w:szCs w:val="20"/>
          <w:color w:val="auto"/>
        </w:rPr>
      </w:pPr>
    </w:p>
    <w:p>
      <w:pPr>
        <w:spacing w:after="0" w:line="30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Emanuel Ma</w:t>
      </w:r>
    </w:p>
    <w:p>
      <w:pPr>
        <w:ind w:left="5180"/>
        <w:spacing w:after="0" w:line="221" w:lineRule="auto"/>
        <w:rPr>
          <w:sz w:val="20"/>
          <w:szCs w:val="20"/>
          <w:color w:val="auto"/>
        </w:rPr>
      </w:pPr>
      <w:r>
        <w:rPr>
          <w:rFonts w:ascii="Arial" w:cs="Arial" w:eastAsia="Arial" w:hAnsi="Arial"/>
          <w:sz w:val="14"/>
          <w:szCs w:val="14"/>
          <w:color w:val="auto"/>
        </w:rPr>
        <w:t>Name: Emanuel Ma</w:t>
      </w:r>
    </w:p>
    <w:p>
      <w:pPr>
        <w:ind w:left="5180"/>
        <w:spacing w:after="0"/>
        <w:rPr>
          <w:sz w:val="20"/>
          <w:szCs w:val="20"/>
          <w:color w:val="auto"/>
        </w:rPr>
      </w:pPr>
      <w:r>
        <w:rPr>
          <w:rFonts w:ascii="Arial" w:cs="Arial" w:eastAsia="Arial" w:hAnsi="Arial"/>
          <w:sz w:val="14"/>
          <w:szCs w:val="14"/>
          <w:color w:val="auto"/>
        </w:rPr>
        <w:t>Title: Authorized Signatory</w:t>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C</w:t>
      </w:r>
      <w:r>
        <w:rPr>
          <w:rFonts w:ascii="Arial" w:cs="Arial" w:eastAsia="Arial" w:hAnsi="Arial"/>
          <w:sz w:val="9"/>
          <w:szCs w:val="9"/>
          <w:color w:val="auto"/>
        </w:rPr>
        <w:t>APITAL</w:t>
      </w:r>
      <w:r>
        <w:rPr>
          <w:rFonts w:ascii="Arial" w:cs="Arial" w:eastAsia="Arial" w:hAnsi="Arial"/>
          <w:sz w:val="14"/>
          <w:szCs w:val="14"/>
          <w:color w:val="auto"/>
        </w:rPr>
        <w:t xml:space="preserve"> O</w:t>
      </w:r>
      <w:r>
        <w:rPr>
          <w:rFonts w:ascii="Arial" w:cs="Arial" w:eastAsia="Arial" w:hAnsi="Arial"/>
          <w:sz w:val="9"/>
          <w:szCs w:val="9"/>
          <w:color w:val="auto"/>
        </w:rPr>
        <w:t>NE</w:t>
      </w:r>
      <w:r>
        <w:rPr>
          <w:rFonts w:ascii="Arial" w:cs="Arial" w:eastAsia="Arial" w:hAnsi="Arial"/>
          <w:sz w:val="14"/>
          <w:szCs w:val="14"/>
          <w:color w:val="auto"/>
        </w:rPr>
        <w:t>, N.A., as Lender</w:t>
      </w:r>
    </w:p>
    <w:p>
      <w:pPr>
        <w:spacing w:after="0" w:line="200" w:lineRule="exact"/>
        <w:rPr>
          <w:sz w:val="20"/>
          <w:szCs w:val="20"/>
          <w:color w:val="auto"/>
        </w:rPr>
      </w:pPr>
    </w:p>
    <w:p>
      <w:pPr>
        <w:spacing w:after="0" w:line="30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Young Son</w:t>
      </w:r>
    </w:p>
    <w:p>
      <w:pPr>
        <w:ind w:left="5180"/>
        <w:spacing w:after="0" w:line="221" w:lineRule="auto"/>
        <w:rPr>
          <w:sz w:val="20"/>
          <w:szCs w:val="20"/>
          <w:color w:val="auto"/>
        </w:rPr>
      </w:pPr>
      <w:r>
        <w:rPr>
          <w:rFonts w:ascii="Arial" w:cs="Arial" w:eastAsia="Arial" w:hAnsi="Arial"/>
          <w:sz w:val="14"/>
          <w:szCs w:val="14"/>
          <w:color w:val="auto"/>
        </w:rPr>
        <w:t>Name: Young Son</w:t>
      </w:r>
    </w:p>
    <w:p>
      <w:pPr>
        <w:ind w:left="5180"/>
        <w:spacing w:after="0"/>
        <w:rPr>
          <w:sz w:val="20"/>
          <w:szCs w:val="20"/>
          <w:color w:val="auto"/>
        </w:rPr>
      </w:pPr>
      <w:r>
        <w:rPr>
          <w:rFonts w:ascii="Arial" w:cs="Arial" w:eastAsia="Arial" w:hAnsi="Arial"/>
          <w:sz w:val="14"/>
          <w:szCs w:val="14"/>
          <w:color w:val="auto"/>
        </w:rPr>
        <w:t>Title: Director</w:t>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C</w:t>
      </w:r>
      <w:r>
        <w:rPr>
          <w:rFonts w:ascii="Arial" w:cs="Arial" w:eastAsia="Arial" w:hAnsi="Arial"/>
          <w:sz w:val="9"/>
          <w:szCs w:val="9"/>
          <w:color w:val="auto"/>
        </w:rPr>
        <w:t>ITY</w:t>
      </w:r>
      <w:r>
        <w:rPr>
          <w:rFonts w:ascii="Arial" w:cs="Arial" w:eastAsia="Arial" w:hAnsi="Arial"/>
          <w:sz w:val="14"/>
          <w:szCs w:val="14"/>
          <w:color w:val="auto"/>
        </w:rPr>
        <w:t xml:space="preserve"> N</w:t>
      </w:r>
      <w:r>
        <w:rPr>
          <w:rFonts w:ascii="Arial" w:cs="Arial" w:eastAsia="Arial" w:hAnsi="Arial"/>
          <w:sz w:val="9"/>
          <w:szCs w:val="9"/>
          <w:color w:val="auto"/>
        </w:rPr>
        <w:t>ATIONAL</w:t>
      </w:r>
      <w:r>
        <w:rPr>
          <w:rFonts w:ascii="Arial" w:cs="Arial" w:eastAsia="Arial" w:hAnsi="Arial"/>
          <w:sz w:val="14"/>
          <w:szCs w:val="14"/>
          <w:color w:val="auto"/>
        </w:rPr>
        <w:t xml:space="preserve"> B</w:t>
      </w:r>
      <w:r>
        <w:rPr>
          <w:rFonts w:ascii="Arial" w:cs="Arial" w:eastAsia="Arial" w:hAnsi="Arial"/>
          <w:sz w:val="9"/>
          <w:szCs w:val="9"/>
          <w:color w:val="auto"/>
        </w:rPr>
        <w:t>ANK</w:t>
      </w:r>
      <w:r>
        <w:rPr>
          <w:rFonts w:ascii="Arial" w:cs="Arial" w:eastAsia="Arial" w:hAnsi="Arial"/>
          <w:sz w:val="14"/>
          <w:szCs w:val="14"/>
          <w:color w:val="auto"/>
        </w:rPr>
        <w:t>, as Lender</w:t>
      </w:r>
    </w:p>
    <w:p>
      <w:pPr>
        <w:spacing w:after="0" w:line="200" w:lineRule="exact"/>
        <w:rPr>
          <w:sz w:val="20"/>
          <w:szCs w:val="20"/>
          <w:color w:val="auto"/>
        </w:rPr>
      </w:pPr>
    </w:p>
    <w:p>
      <w:pPr>
        <w:spacing w:after="0" w:line="30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Jeffrey Feinberg</w:t>
      </w:r>
    </w:p>
    <w:p>
      <w:pPr>
        <w:ind w:left="5180"/>
        <w:spacing w:after="0" w:line="221" w:lineRule="auto"/>
        <w:rPr>
          <w:sz w:val="20"/>
          <w:szCs w:val="20"/>
          <w:color w:val="auto"/>
        </w:rPr>
      </w:pPr>
      <w:r>
        <w:rPr>
          <w:rFonts w:ascii="Arial" w:cs="Arial" w:eastAsia="Arial" w:hAnsi="Arial"/>
          <w:sz w:val="14"/>
          <w:szCs w:val="14"/>
          <w:color w:val="auto"/>
        </w:rPr>
        <w:t>Name: Jeffrey Feinberg</w:t>
      </w:r>
    </w:p>
    <w:p>
      <w:pPr>
        <w:ind w:left="5180"/>
        <w:spacing w:after="0"/>
        <w:rPr>
          <w:sz w:val="20"/>
          <w:szCs w:val="20"/>
          <w:color w:val="auto"/>
        </w:rPr>
      </w:pPr>
      <w:r>
        <w:rPr>
          <w:rFonts w:ascii="Arial" w:cs="Arial" w:eastAsia="Arial" w:hAnsi="Arial"/>
          <w:sz w:val="14"/>
          <w:szCs w:val="14"/>
          <w:color w:val="auto"/>
        </w:rPr>
        <w:t>Title: Senior Vice President</w:t>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C</w:t>
      </w:r>
      <w:r>
        <w:rPr>
          <w:rFonts w:ascii="Arial" w:cs="Arial" w:eastAsia="Arial" w:hAnsi="Arial"/>
          <w:sz w:val="9"/>
          <w:szCs w:val="9"/>
          <w:color w:val="auto"/>
        </w:rPr>
        <w:t>OMERICA</w:t>
      </w:r>
      <w:r>
        <w:rPr>
          <w:rFonts w:ascii="Arial" w:cs="Arial" w:eastAsia="Arial" w:hAnsi="Arial"/>
          <w:sz w:val="14"/>
          <w:szCs w:val="14"/>
          <w:color w:val="auto"/>
        </w:rPr>
        <w:t xml:space="preserve"> B</w:t>
      </w:r>
      <w:r>
        <w:rPr>
          <w:rFonts w:ascii="Arial" w:cs="Arial" w:eastAsia="Arial" w:hAnsi="Arial"/>
          <w:sz w:val="9"/>
          <w:szCs w:val="9"/>
          <w:color w:val="auto"/>
        </w:rPr>
        <w:t>ANK</w:t>
      </w:r>
      <w:r>
        <w:rPr>
          <w:rFonts w:ascii="Arial" w:cs="Arial" w:eastAsia="Arial" w:hAnsi="Arial"/>
          <w:sz w:val="14"/>
          <w:szCs w:val="14"/>
          <w:color w:val="auto"/>
        </w:rPr>
        <w:t>, as Lender</w:t>
      </w:r>
    </w:p>
    <w:p>
      <w:pPr>
        <w:spacing w:after="0" w:line="200" w:lineRule="exact"/>
        <w:rPr>
          <w:sz w:val="20"/>
          <w:szCs w:val="20"/>
          <w:color w:val="auto"/>
        </w:rPr>
      </w:pPr>
    </w:p>
    <w:p>
      <w:pPr>
        <w:spacing w:after="0" w:line="30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Timothy O’Rourke</w:t>
      </w:r>
    </w:p>
    <w:p>
      <w:pPr>
        <w:ind w:left="5180"/>
        <w:spacing w:after="0" w:line="221" w:lineRule="auto"/>
        <w:rPr>
          <w:sz w:val="20"/>
          <w:szCs w:val="20"/>
          <w:color w:val="auto"/>
        </w:rPr>
      </w:pPr>
      <w:r>
        <w:rPr>
          <w:rFonts w:ascii="Arial" w:cs="Arial" w:eastAsia="Arial" w:hAnsi="Arial"/>
          <w:sz w:val="14"/>
          <w:szCs w:val="14"/>
          <w:color w:val="auto"/>
        </w:rPr>
        <w:t>Name: Timothy O’Rourke</w:t>
      </w:r>
    </w:p>
    <w:p>
      <w:pPr>
        <w:ind w:left="5180"/>
        <w:spacing w:after="0"/>
        <w:rPr>
          <w:sz w:val="20"/>
          <w:szCs w:val="20"/>
          <w:color w:val="auto"/>
        </w:rPr>
      </w:pPr>
      <w:r>
        <w:rPr>
          <w:rFonts w:ascii="Arial" w:cs="Arial" w:eastAsia="Arial" w:hAnsi="Arial"/>
          <w:sz w:val="14"/>
          <w:szCs w:val="14"/>
          <w:color w:val="auto"/>
        </w:rPr>
        <w:t>Title: Vice President</w:t>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B</w:t>
      </w:r>
      <w:r>
        <w:rPr>
          <w:rFonts w:ascii="Arial" w:cs="Arial" w:eastAsia="Arial" w:hAnsi="Arial"/>
          <w:sz w:val="9"/>
          <w:szCs w:val="9"/>
          <w:color w:val="auto"/>
        </w:rPr>
        <w:t>ANK OF</w:t>
      </w:r>
      <w:r>
        <w:rPr>
          <w:rFonts w:ascii="Arial" w:cs="Arial" w:eastAsia="Arial" w:hAnsi="Arial"/>
          <w:sz w:val="14"/>
          <w:szCs w:val="14"/>
          <w:color w:val="auto"/>
        </w:rPr>
        <w:t xml:space="preserve"> N</w:t>
      </w:r>
      <w:r>
        <w:rPr>
          <w:rFonts w:ascii="Arial" w:cs="Arial" w:eastAsia="Arial" w:hAnsi="Arial"/>
          <w:sz w:val="9"/>
          <w:szCs w:val="9"/>
          <w:color w:val="auto"/>
        </w:rPr>
        <w:t>EW</w:t>
      </w:r>
      <w:r>
        <w:rPr>
          <w:rFonts w:ascii="Arial" w:cs="Arial" w:eastAsia="Arial" w:hAnsi="Arial"/>
          <w:sz w:val="14"/>
          <w:szCs w:val="14"/>
          <w:color w:val="auto"/>
        </w:rPr>
        <w:t xml:space="preserve"> Y</w:t>
      </w:r>
      <w:r>
        <w:rPr>
          <w:rFonts w:ascii="Arial" w:cs="Arial" w:eastAsia="Arial" w:hAnsi="Arial"/>
          <w:sz w:val="9"/>
          <w:szCs w:val="9"/>
          <w:color w:val="auto"/>
        </w:rPr>
        <w:t>ORK</w:t>
      </w:r>
      <w:r>
        <w:rPr>
          <w:rFonts w:ascii="Arial" w:cs="Arial" w:eastAsia="Arial" w:hAnsi="Arial"/>
          <w:sz w:val="14"/>
          <w:szCs w:val="14"/>
          <w:color w:val="auto"/>
        </w:rPr>
        <w:t xml:space="preserve"> M</w:t>
      </w:r>
      <w:r>
        <w:rPr>
          <w:rFonts w:ascii="Arial" w:cs="Arial" w:eastAsia="Arial" w:hAnsi="Arial"/>
          <w:sz w:val="9"/>
          <w:szCs w:val="9"/>
          <w:color w:val="auto"/>
        </w:rPr>
        <w:t>ELLON</w:t>
      </w:r>
      <w:r>
        <w:rPr>
          <w:rFonts w:ascii="Arial" w:cs="Arial" w:eastAsia="Arial" w:hAnsi="Arial"/>
          <w:sz w:val="14"/>
          <w:szCs w:val="14"/>
          <w:color w:val="auto"/>
        </w:rPr>
        <w:t>, as Lender</w:t>
      </w:r>
    </w:p>
    <w:p>
      <w:pPr>
        <w:spacing w:after="0" w:line="200" w:lineRule="exact"/>
        <w:rPr>
          <w:sz w:val="20"/>
          <w:szCs w:val="20"/>
          <w:color w:val="auto"/>
        </w:rPr>
      </w:pPr>
    </w:p>
    <w:p>
      <w:pPr>
        <w:spacing w:after="0" w:line="30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James L. Behrmann</w:t>
      </w:r>
    </w:p>
    <w:p>
      <w:pPr>
        <w:ind w:left="5180"/>
        <w:spacing w:after="0" w:line="221" w:lineRule="auto"/>
        <w:rPr>
          <w:sz w:val="20"/>
          <w:szCs w:val="20"/>
          <w:color w:val="auto"/>
        </w:rPr>
      </w:pPr>
      <w:r>
        <w:rPr>
          <w:rFonts w:ascii="Arial" w:cs="Arial" w:eastAsia="Arial" w:hAnsi="Arial"/>
          <w:sz w:val="14"/>
          <w:szCs w:val="14"/>
          <w:color w:val="auto"/>
        </w:rPr>
        <w:t>Name: James L. Behrmann</w:t>
      </w:r>
    </w:p>
    <w:p>
      <w:pPr>
        <w:jc w:val="right"/>
        <w:ind w:right="2639"/>
        <w:spacing w:after="0"/>
        <w:rPr>
          <w:sz w:val="20"/>
          <w:szCs w:val="20"/>
          <w:color w:val="auto"/>
        </w:rPr>
      </w:pPr>
      <w:r>
        <w:rPr>
          <w:rFonts w:ascii="Arial" w:cs="Arial" w:eastAsia="Arial" w:hAnsi="Arial"/>
          <w:sz w:val="14"/>
          <w:szCs w:val="14"/>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2659"/>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OCIÉTÉ</w:t>
      </w:r>
      <w:r>
        <w:rPr>
          <w:rFonts w:ascii="Arial" w:cs="Arial" w:eastAsia="Arial" w:hAnsi="Arial"/>
          <w:sz w:val="14"/>
          <w:szCs w:val="14"/>
          <w:color w:val="auto"/>
        </w:rPr>
        <w:t xml:space="preserve"> G</w:t>
      </w:r>
      <w:r>
        <w:rPr>
          <w:rFonts w:ascii="Arial" w:cs="Arial" w:eastAsia="Arial" w:hAnsi="Arial"/>
          <w:sz w:val="9"/>
          <w:szCs w:val="9"/>
          <w:color w:val="auto"/>
        </w:rPr>
        <w:t>ÉNÉRALE</w:t>
      </w:r>
      <w:r>
        <w:rPr>
          <w:rFonts w:ascii="Arial" w:cs="Arial" w:eastAsia="Arial" w:hAnsi="Arial"/>
          <w:sz w:val="14"/>
          <w:szCs w:val="14"/>
          <w:color w:val="auto"/>
        </w:rPr>
        <w:t>, as Lender</w:t>
      </w:r>
    </w:p>
    <w:p>
      <w:pPr>
        <w:spacing w:after="0" w:line="200" w:lineRule="exact"/>
        <w:rPr>
          <w:sz w:val="20"/>
          <w:szCs w:val="20"/>
          <w:color w:val="auto"/>
        </w:rPr>
      </w:pPr>
    </w:p>
    <w:p>
      <w:pPr>
        <w:spacing w:after="0" w:line="287"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Julien Thinat</w:t>
      </w:r>
    </w:p>
    <w:p>
      <w:pPr>
        <w:ind w:left="5180"/>
        <w:spacing w:after="0" w:line="221" w:lineRule="auto"/>
        <w:rPr>
          <w:sz w:val="20"/>
          <w:szCs w:val="20"/>
          <w:color w:val="auto"/>
        </w:rPr>
      </w:pPr>
      <w:r>
        <w:rPr>
          <w:rFonts w:ascii="Arial" w:cs="Arial" w:eastAsia="Arial" w:hAnsi="Arial"/>
          <w:sz w:val="14"/>
          <w:szCs w:val="14"/>
          <w:color w:val="auto"/>
        </w:rPr>
        <w:t>Name: Julien Thinat</w:t>
      </w:r>
    </w:p>
    <w:p>
      <w:pPr>
        <w:ind w:left="5180"/>
        <w:spacing w:after="0"/>
        <w:rPr>
          <w:sz w:val="20"/>
          <w:szCs w:val="20"/>
          <w:color w:val="auto"/>
        </w:rPr>
      </w:pPr>
      <w:r>
        <w:rPr>
          <w:rFonts w:ascii="Arial" w:cs="Arial" w:eastAsia="Arial" w:hAnsi="Arial"/>
          <w:sz w:val="14"/>
          <w:szCs w:val="14"/>
          <w:color w:val="auto"/>
        </w:rPr>
        <w:t>Title: Authorized Signatory</w:t>
      </w:r>
    </w:p>
    <w:p>
      <w:pPr>
        <w:spacing w:after="0" w:line="232" w:lineRule="exact"/>
        <w:rPr>
          <w:sz w:val="20"/>
          <w:szCs w:val="20"/>
          <w:color w:val="auto"/>
        </w:rPr>
      </w:pPr>
    </w:p>
    <w:p>
      <w:pPr>
        <w:jc w:val="right"/>
        <w:ind w:right="1119"/>
        <w:spacing w:after="0"/>
        <w:tabs>
          <w:tab w:leader="none" w:pos="660" w:val="left"/>
        </w:tabs>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OUNTCLIFF</w:t>
      </w:r>
      <w:r>
        <w:rPr>
          <w:rFonts w:ascii="Arial" w:cs="Arial" w:eastAsia="Arial" w:hAnsi="Arial"/>
          <w:sz w:val="14"/>
          <w:szCs w:val="14"/>
          <w:color w:val="auto"/>
        </w:rPr>
        <w:t xml:space="preserve"> F</w:t>
      </w:r>
      <w:r>
        <w:rPr>
          <w:rFonts w:ascii="Arial" w:cs="Arial" w:eastAsia="Arial" w:hAnsi="Arial"/>
          <w:sz w:val="9"/>
          <w:szCs w:val="9"/>
          <w:color w:val="auto"/>
        </w:rPr>
        <w:t>UNDING</w:t>
      </w:r>
      <w:r>
        <w:rPr>
          <w:rFonts w:ascii="Arial" w:cs="Arial" w:eastAsia="Arial" w:hAnsi="Arial"/>
          <w:sz w:val="14"/>
          <w:szCs w:val="14"/>
          <w:color w:val="auto"/>
        </w:rPr>
        <w:t xml:space="preserve"> LLC, as a related</w:t>
      </w:r>
      <w:r>
        <w:rPr>
          <w:sz w:val="20"/>
          <w:szCs w:val="20"/>
          <w:color w:val="auto"/>
        </w:rPr>
        <w:tab/>
      </w:r>
      <w:r>
        <w:rPr>
          <w:rFonts w:ascii="Arial" w:cs="Arial" w:eastAsia="Arial" w:hAnsi="Arial"/>
          <w:sz w:val="13"/>
          <w:szCs w:val="13"/>
          <w:color w:val="auto"/>
        </w:rPr>
        <w:t>CP Conduit</w:t>
      </w:r>
    </w:p>
    <w:p>
      <w:pPr>
        <w:spacing w:after="0" w:line="200" w:lineRule="exact"/>
        <w:rPr>
          <w:sz w:val="20"/>
          <w:szCs w:val="20"/>
          <w:color w:val="auto"/>
        </w:rPr>
      </w:pPr>
    </w:p>
    <w:p>
      <w:pPr>
        <w:spacing w:after="0" w:line="287"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Josh Borg</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95250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620" w:right="1440" w:bottom="1440" w:gutter="0" w:footer="0" w:header="0"/>
        </w:sectPr>
      </w:pPr>
    </w:p>
    <w:bookmarkStart w:id="49" w:name="page50"/>
    <w:bookmarkEnd w:id="49"/>
    <w:p>
      <w:pPr>
        <w:ind w:left="5180"/>
        <w:spacing w:after="0"/>
        <w:rPr>
          <w:sz w:val="20"/>
          <w:szCs w:val="20"/>
          <w:color w:val="auto"/>
        </w:rPr>
      </w:pPr>
      <w:r>
        <w:rPr>
          <w:rFonts w:ascii="Arial" w:cs="Arial" w:eastAsia="Arial" w:hAnsi="Arial"/>
          <w:sz w:val="14"/>
          <w:szCs w:val="14"/>
          <w:color w:val="auto"/>
        </w:rPr>
        <w:t>Name: Josh Borg</w:t>
      </w:r>
    </w:p>
    <w:p>
      <w:pPr>
        <w:ind w:left="5180"/>
        <w:spacing w:after="0"/>
        <w:rPr>
          <w:sz w:val="20"/>
          <w:szCs w:val="20"/>
          <w:color w:val="auto"/>
        </w:rPr>
      </w:pPr>
      <w:r>
        <w:rPr>
          <w:rFonts w:ascii="Arial" w:cs="Arial" w:eastAsia="Arial" w:hAnsi="Arial"/>
          <w:sz w:val="14"/>
          <w:szCs w:val="14"/>
          <w:color w:val="auto"/>
        </w:rPr>
        <w:t>Title: Authorized Signatory</w:t>
      </w:r>
    </w:p>
    <w:p>
      <w:pPr>
        <w:spacing w:after="0" w:line="232"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TIFEL</w:t>
      </w:r>
      <w:r>
        <w:rPr>
          <w:rFonts w:ascii="Arial" w:cs="Arial" w:eastAsia="Arial" w:hAnsi="Arial"/>
          <w:sz w:val="14"/>
          <w:szCs w:val="14"/>
          <w:color w:val="auto"/>
        </w:rPr>
        <w:t xml:space="preserve"> B</w:t>
      </w:r>
      <w:r>
        <w:rPr>
          <w:rFonts w:ascii="Arial" w:cs="Arial" w:eastAsia="Arial" w:hAnsi="Arial"/>
          <w:sz w:val="9"/>
          <w:szCs w:val="9"/>
          <w:color w:val="auto"/>
        </w:rPr>
        <w:t>ANK</w:t>
      </w:r>
      <w:r>
        <w:rPr>
          <w:rFonts w:ascii="Arial" w:cs="Arial" w:eastAsia="Arial" w:hAnsi="Arial"/>
          <w:sz w:val="14"/>
          <w:szCs w:val="14"/>
          <w:color w:val="auto"/>
        </w:rPr>
        <w:t xml:space="preserve"> &amp; T</w:t>
      </w:r>
      <w:r>
        <w:rPr>
          <w:rFonts w:ascii="Arial" w:cs="Arial" w:eastAsia="Arial" w:hAnsi="Arial"/>
          <w:sz w:val="9"/>
          <w:szCs w:val="9"/>
          <w:color w:val="auto"/>
        </w:rPr>
        <w:t>RUST</w:t>
      </w:r>
      <w:r>
        <w:rPr>
          <w:rFonts w:ascii="Arial" w:cs="Arial" w:eastAsia="Arial" w:hAnsi="Arial"/>
          <w:sz w:val="14"/>
          <w:szCs w:val="14"/>
          <w:color w:val="auto"/>
        </w:rPr>
        <w:t>, as Lender</w:t>
      </w:r>
    </w:p>
    <w:p>
      <w:pPr>
        <w:spacing w:after="0" w:line="200" w:lineRule="exact"/>
        <w:rPr>
          <w:sz w:val="20"/>
          <w:szCs w:val="20"/>
          <w:color w:val="auto"/>
        </w:rPr>
      </w:pPr>
    </w:p>
    <w:p>
      <w:pPr>
        <w:spacing w:after="0" w:line="287"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Joseph L. Sooter, Jr.</w:t>
      </w:r>
    </w:p>
    <w:p>
      <w:pPr>
        <w:ind w:left="5180"/>
        <w:spacing w:after="0" w:line="221" w:lineRule="auto"/>
        <w:rPr>
          <w:sz w:val="20"/>
          <w:szCs w:val="20"/>
          <w:color w:val="auto"/>
        </w:rPr>
      </w:pPr>
      <w:r>
        <w:rPr>
          <w:rFonts w:ascii="Arial" w:cs="Arial" w:eastAsia="Arial" w:hAnsi="Arial"/>
          <w:sz w:val="14"/>
          <w:szCs w:val="14"/>
          <w:color w:val="auto"/>
        </w:rPr>
        <w:t>Name: Joseph L. Sooter, Jr.</w:t>
      </w:r>
    </w:p>
    <w:p>
      <w:pPr>
        <w:ind w:left="5180"/>
        <w:spacing w:after="0"/>
        <w:rPr>
          <w:sz w:val="20"/>
          <w:szCs w:val="20"/>
          <w:color w:val="auto"/>
        </w:rPr>
      </w:pPr>
      <w:r>
        <w:rPr>
          <w:rFonts w:ascii="Arial" w:cs="Arial" w:eastAsia="Arial" w:hAnsi="Arial"/>
          <w:sz w:val="14"/>
          <w:szCs w:val="14"/>
          <w:color w:val="auto"/>
        </w:rPr>
        <w:t>Title: Senior Vice President</w:t>
      </w:r>
    </w:p>
    <w:p>
      <w:pPr>
        <w:spacing w:after="0" w:line="232" w:lineRule="exact"/>
        <w:rPr>
          <w:sz w:val="20"/>
          <w:szCs w:val="20"/>
          <w:color w:val="auto"/>
        </w:rPr>
      </w:pPr>
    </w:p>
    <w:p>
      <w:pPr>
        <w:jc w:val="right"/>
        <w:ind w:right="1859"/>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TATE</w:t>
      </w:r>
      <w:r>
        <w:rPr>
          <w:rFonts w:ascii="Arial" w:cs="Arial" w:eastAsia="Arial" w:hAnsi="Arial"/>
          <w:sz w:val="14"/>
          <w:szCs w:val="14"/>
          <w:color w:val="auto"/>
        </w:rPr>
        <w:t xml:space="preserve"> B</w:t>
      </w:r>
      <w:r>
        <w:rPr>
          <w:rFonts w:ascii="Arial" w:cs="Arial" w:eastAsia="Arial" w:hAnsi="Arial"/>
          <w:sz w:val="9"/>
          <w:szCs w:val="9"/>
          <w:color w:val="auto"/>
        </w:rPr>
        <w:t>ANK AND</w:t>
      </w:r>
      <w:r>
        <w:rPr>
          <w:rFonts w:ascii="Arial" w:cs="Arial" w:eastAsia="Arial" w:hAnsi="Arial"/>
          <w:sz w:val="14"/>
          <w:szCs w:val="14"/>
          <w:color w:val="auto"/>
        </w:rPr>
        <w:t xml:space="preserve"> T</w:t>
      </w:r>
      <w:r>
        <w:rPr>
          <w:rFonts w:ascii="Arial" w:cs="Arial" w:eastAsia="Arial" w:hAnsi="Arial"/>
          <w:sz w:val="9"/>
          <w:szCs w:val="9"/>
          <w:color w:val="auto"/>
        </w:rPr>
        <w:t>RUST</w:t>
      </w:r>
      <w:r>
        <w:rPr>
          <w:rFonts w:ascii="Arial" w:cs="Arial" w:eastAsia="Arial" w:hAnsi="Arial"/>
          <w:sz w:val="14"/>
          <w:szCs w:val="14"/>
          <w:color w:val="auto"/>
        </w:rPr>
        <w:t xml:space="preserve"> C</w:t>
      </w:r>
      <w:r>
        <w:rPr>
          <w:rFonts w:ascii="Arial" w:cs="Arial" w:eastAsia="Arial" w:hAnsi="Arial"/>
          <w:sz w:val="9"/>
          <w:szCs w:val="9"/>
          <w:color w:val="auto"/>
        </w:rPr>
        <w:t>OMPANY</w:t>
      </w:r>
      <w:r>
        <w:rPr>
          <w:rFonts w:ascii="Arial" w:cs="Arial" w:eastAsia="Arial" w:hAnsi="Arial"/>
          <w:sz w:val="14"/>
          <w:szCs w:val="14"/>
          <w:color w:val="auto"/>
        </w:rPr>
        <w:t>, as Lender</w:t>
      </w:r>
    </w:p>
    <w:p>
      <w:pPr>
        <w:spacing w:after="0" w:line="200" w:lineRule="exact"/>
        <w:rPr>
          <w:sz w:val="20"/>
          <w:szCs w:val="20"/>
          <w:color w:val="auto"/>
        </w:rPr>
      </w:pPr>
    </w:p>
    <w:p>
      <w:pPr>
        <w:spacing w:after="0" w:line="287"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Wes Reagan</w:t>
      </w:r>
    </w:p>
    <w:p>
      <w:pPr>
        <w:ind w:left="5180"/>
        <w:spacing w:after="0" w:line="221" w:lineRule="auto"/>
        <w:rPr>
          <w:sz w:val="20"/>
          <w:szCs w:val="20"/>
          <w:color w:val="auto"/>
        </w:rPr>
      </w:pPr>
      <w:r>
        <w:rPr>
          <w:rFonts w:ascii="Arial" w:cs="Arial" w:eastAsia="Arial" w:hAnsi="Arial"/>
          <w:sz w:val="14"/>
          <w:szCs w:val="14"/>
          <w:color w:val="auto"/>
        </w:rPr>
        <w:t>Name: Wes Reagan</w:t>
      </w:r>
    </w:p>
    <w:p>
      <w:pPr>
        <w:ind w:left="5180"/>
        <w:spacing w:after="0"/>
        <w:rPr>
          <w:sz w:val="20"/>
          <w:szCs w:val="20"/>
          <w:color w:val="auto"/>
        </w:rPr>
      </w:pPr>
      <w:r>
        <w:rPr>
          <w:rFonts w:ascii="Arial" w:cs="Arial" w:eastAsia="Arial" w:hAnsi="Arial"/>
          <w:sz w:val="14"/>
          <w:szCs w:val="14"/>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Agreement</w:t>
      </w:r>
      <w:r>
        <w:rPr>
          <w:rFonts w:ascii="Arial" w:cs="Arial" w:eastAsia="Arial" w:hAnsi="Arial"/>
          <w:sz w:val="16"/>
          <w:szCs w:val="16"/>
          <w:color w:val="auto"/>
        </w:rPr>
        <w:t>]</w:t>
      </w:r>
    </w:p>
    <w:p>
      <w:pPr>
        <w:sectPr>
          <w:pgSz w:w="11900" w:h="16838" w:orient="portrait"/>
          <w:cols w:equalWidth="0" w:num="1">
            <w:col w:w="9259"/>
          </w:cols>
          <w:pgMar w:left="1200" w:top="363"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4"/>
          <w:szCs w:val="14"/>
          <w:b w:val="1"/>
          <w:bCs w:val="1"/>
          <w:color w:val="auto"/>
        </w:rPr>
        <w:t>EXHIBIT 31.1</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2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2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2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2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2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2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8, 2018</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33"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b w:val="1"/>
          <w:bCs w:val="1"/>
          <w:color w:val="auto"/>
        </w:rPr>
        <w:t>EXHIBIT 31.2</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2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2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2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2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2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8, 2018</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240"/>
          </w:cols>
          <w:pgMar w:left="320" w:top="333"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connection with this Report on Form 10-Q for the three months ended December 31, 2017, or the Report, of PennantPark Floating Rate Capital Ltd., or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Arthur H. Penn, Chief Executive Officer of the Registrant, hereby certify, to the best of my knowledge, that:</w:t>
      </w:r>
    </w:p>
    <w:p>
      <w:pPr>
        <w:spacing w:after="0" w:line="57" w:lineRule="exact"/>
        <w:rPr>
          <w:sz w:val="20"/>
          <w:szCs w:val="20"/>
          <w:color w:val="auto"/>
        </w:rPr>
      </w:pPr>
    </w:p>
    <w:p>
      <w:pPr>
        <w:ind w:left="760" w:hanging="374"/>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February 8, 2018</w:t>
      </w:r>
    </w:p>
    <w:p>
      <w:pPr>
        <w:sectPr>
          <w:pgSz w:w="11900" w:h="16838" w:orient="portrait"/>
          <w:cols w:equalWidth="0" w:num="1">
            <w:col w:w="11240"/>
          </w:cols>
          <w:pgMar w:left="320" w:top="333"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connection with this Report on Form 10-Q for the three months ended December 31, 2017, or the Report, of PennantPark Floating Rate Capital Ltd., or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Aviv Efrat, Chief Financial Officer of the Registrant, hereby certify, to the best of my knowledge, that:</w:t>
      </w:r>
    </w:p>
    <w:p>
      <w:pPr>
        <w:spacing w:after="0" w:line="57" w:lineRule="exact"/>
        <w:rPr>
          <w:sz w:val="20"/>
          <w:szCs w:val="20"/>
          <w:color w:val="auto"/>
        </w:rPr>
      </w:pPr>
    </w:p>
    <w:p>
      <w:pPr>
        <w:ind w:left="760" w:hanging="374"/>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February 8, 2018</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lvl w:ilvl="1">
      <w:lvlJc w:val="left"/>
      <w:lvlText w:val="(%2)"/>
      <w:numFmt w:val="decimal"/>
      <w:start w:val="13"/>
    </w:lvl>
  </w:abstractNum>
  <w:abstractNum w:abstractNumId="3">
    <w:nsid w:val="6B68079A"/>
    <w:multiLevelType w:val="hybridMultilevel"/>
    <w:lvl w:ilvl="0">
      <w:lvlJc w:val="left"/>
      <w:lvlText w:val="(%1)"/>
      <w:numFmt w:val="decimal"/>
      <w:start w:val="1"/>
    </w:lvl>
    <w:lvl w:ilvl="1">
      <w:lvlJc w:val="left"/>
      <w:lvlText w:val="(%2)"/>
      <w:numFmt w:val="decimal"/>
      <w:start w:val="13"/>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lowerLetter"/>
      <w:start w:val="5"/>
    </w:lvl>
    <w:lvl w:ilvl="1">
      <w:lvlJc w:val="left"/>
      <w:lvlText w:val="%2."/>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8"/>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73" Type="http://schemas.openxmlformats.org/officeDocument/2006/relationships/hyperlink" Target="http://www.sec.gov/Archives/edgar/data/1504619/000119312511080862/dex99a.htm" TargetMode="External"/><Relationship Id="rId74" Type="http://schemas.openxmlformats.org/officeDocument/2006/relationships/hyperlink" Target="http://www.sec.gov/Archives/edgar/data/1504619/000119312515393212/d59576dex31.htm" TargetMode="External"/><Relationship Id="rId75" Type="http://schemas.openxmlformats.org/officeDocument/2006/relationships/hyperlink" Target="http://www.sec.gov/Archives/edgar/data/1504619/000119312511088977/dex99d.htm" TargetMode="External"/><Relationship Id="rId76" Type="http://schemas.openxmlformats.org/officeDocument/2006/relationships/hyperlink" Target="http://www.sec.gov/Archives/edgar/data/1504619/000119312517340875/d474680dex101.htm" TargetMode="External"/><Relationship Id="rId77" Type="http://schemas.openxmlformats.org/officeDocument/2006/relationships/hyperlink" Target="http://www.sec.gov/Archives/edgar/data/1504619/000119312517368270/d487151dex99d8.htm" TargetMode="External"/><Relationship Id="rId78" Type="http://schemas.openxmlformats.org/officeDocument/2006/relationships/hyperlink" Target="http://www.sec.gov/Archives/edgar/data/1504619/000119312517368270/d487151dex99d9.htm" TargetMode="External"/><Relationship Id="rId79"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2020-05-05T12:09:48Z</dcterms:created>
  <dcterms:modified xsi:type="dcterms:W3CDTF">2020-05-05T12:09:48Z</dcterms:modified>
</cp:coreProperties>
</file>