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As filed with the Securities and Exchange Commission on December 16, 2019.</w:t>
      </w:r>
    </w:p>
    <w:p>
      <w:pPr>
        <w:ind w:left="4420"/>
        <w:spacing w:after="0" w:line="223" w:lineRule="auto"/>
        <w:rPr>
          <w:sz w:val="20"/>
          <w:szCs w:val="20"/>
          <w:color w:val="auto"/>
        </w:rPr>
      </w:pPr>
      <w:r>
        <w:rPr>
          <w:rFonts w:ascii="Arial" w:cs="Arial" w:eastAsia="Arial" w:hAnsi="Arial"/>
          <w:sz w:val="14"/>
          <w:szCs w:val="14"/>
          <w:b w:val="1"/>
          <w:bCs w:val="1"/>
          <w:color w:val="auto"/>
        </w:rPr>
        <w:t>Securities Act Registration No. 333-</w:t>
      </w:r>
    </w:p>
    <w:p>
      <w:pPr>
        <w:ind w:left="4200"/>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34290</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75565</wp:posOffset>
            </wp:positionV>
            <wp:extent cx="6886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74930</wp:posOffset>
            </wp:positionV>
            <wp:extent cx="6886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ind w:left="4520"/>
        <w:spacing w:after="0" w:line="207" w:lineRule="exact"/>
        <w:tabs>
          <w:tab w:leader="none" w:pos="672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540"/>
        <w:spacing w:after="0" w:line="207" w:lineRule="exact"/>
        <w:tabs>
          <w:tab w:leader="none" w:pos="670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52070</wp:posOffset>
            </wp:positionV>
            <wp:extent cx="6886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1"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2"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32"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ectPr>
          <w:pgSz w:w="11900" w:h="16838" w:orient="portrait"/>
          <w:cols w:equalWidth="0" w:num="1">
            <w:col w:w="11320"/>
          </w:cols>
          <w:pgMar w:left="240" w:top="23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600" w:type="dxa"/>
            <w:vAlign w:val="bottom"/>
            <w:tcBorders>
              <w:top w:val="single" w:sz="8" w:color="auto"/>
              <w:left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jc w:val="center"/>
              <w:ind w:right="277"/>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60" w:type="dxa"/>
            <w:vAlign w:val="bottom"/>
            <w:tcBorders>
              <w:top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spacing w:after="0"/>
              <w:rPr>
                <w:sz w:val="12"/>
                <w:szCs w:val="12"/>
                <w:color w:val="auto"/>
              </w:rPr>
            </w:pPr>
          </w:p>
        </w:tc>
      </w:tr>
      <w:tr>
        <w:trPr>
          <w:trHeight w:val="148"/>
        </w:trPr>
        <w:tc>
          <w:tcPr>
            <w:tcW w:w="3600" w:type="dxa"/>
            <w:vAlign w:val="bottom"/>
            <w:tcBorders>
              <w:left w:val="single" w:sz="8" w:color="auto"/>
              <w:right w:val="single" w:sz="8" w:color="auto"/>
            </w:tcBorders>
          </w:tcPr>
          <w:p>
            <w:pPr>
              <w:ind w:left="116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460" w:type="dxa"/>
            <w:vAlign w:val="bottom"/>
            <w:tcBorders>
              <w:right w:val="single" w:sz="8" w:color="auto"/>
            </w:tcBorders>
          </w:tcPr>
          <w:p>
            <w:pPr>
              <w:jc w:val="right"/>
              <w:ind w:right="312"/>
              <w:spacing w:after="0" w:line="148" w:lineRule="exact"/>
              <w:rPr>
                <w:sz w:val="20"/>
                <w:szCs w:val="20"/>
                <w:color w:val="auto"/>
              </w:rPr>
            </w:pPr>
            <w:r>
              <w:rPr>
                <w:rFonts w:ascii="Arial" w:cs="Arial" w:eastAsia="Arial" w:hAnsi="Arial"/>
                <w:sz w:val="14"/>
                <w:szCs w:val="14"/>
                <w:b w:val="1"/>
                <w:bCs w:val="1"/>
                <w:color w:val="auto"/>
              </w:rPr>
              <w:t>Amount Being</w:t>
            </w:r>
          </w:p>
        </w:tc>
        <w:tc>
          <w:tcPr>
            <w:tcW w:w="1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300" w:type="dxa"/>
            <w:vAlign w:val="bottom"/>
          </w:tcPr>
          <w:p>
            <w:pPr>
              <w:spacing w:after="0"/>
              <w:rPr>
                <w:sz w:val="12"/>
                <w:szCs w:val="12"/>
                <w:color w:val="auto"/>
              </w:rPr>
            </w:pPr>
          </w:p>
        </w:tc>
        <w:tc>
          <w:tcPr>
            <w:tcW w:w="1580" w:type="dxa"/>
            <w:vAlign w:val="bottom"/>
            <w:tcBorders>
              <w:right w:val="single" w:sz="8" w:color="auto"/>
            </w:tcBorders>
          </w:tcPr>
          <w:p>
            <w:pPr>
              <w:jc w:val="center"/>
              <w:ind w:right="277"/>
              <w:spacing w:after="0" w:line="148"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1560" w:type="dxa"/>
            <w:vAlign w:val="bottom"/>
            <w:tcBorders>
              <w:right w:val="single" w:sz="8" w:color="auto"/>
            </w:tcBorders>
          </w:tcPr>
          <w:p>
            <w:pPr>
              <w:jc w:val="center"/>
              <w:ind w:right="31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3600" w:type="dxa"/>
            <w:vAlign w:val="bottom"/>
            <w:tcBorders>
              <w:left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4"/>
                <w:szCs w:val="14"/>
                <w:b w:val="1"/>
                <w:bCs w:val="1"/>
                <w:color w:val="auto"/>
              </w:rPr>
              <w:t>Registered</w:t>
            </w:r>
          </w:p>
        </w:tc>
        <w:tc>
          <w:tcPr>
            <w:tcW w:w="146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Unit</w:t>
            </w: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jc w:val="center"/>
              <w:ind w:right="27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center"/>
              <w:ind w:right="33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Common Stock, $0.001 par value per share</w:t>
            </w:r>
            <w:r>
              <w:rPr>
                <w:rFonts w:ascii="Arial" w:cs="Arial" w:eastAsia="Arial" w:hAnsi="Arial"/>
                <w:sz w:val="16"/>
                <w:szCs w:val="16"/>
                <w:color w:val="auto"/>
                <w:vertAlign w:val="superscript"/>
              </w:rPr>
              <w:t>(2)</w:t>
            </w:r>
          </w:p>
        </w:tc>
        <w:tc>
          <w:tcPr>
            <w:tcW w:w="1460" w:type="dxa"/>
            <w:vAlign w:val="bottom"/>
            <w:tcBorders>
              <w:bottom w:val="single" w:sz="8" w:color="auto"/>
              <w:right w:val="single" w:sz="8" w:color="auto"/>
            </w:tcBorders>
          </w:tcPr>
          <w:p>
            <w:pPr>
              <w:jc w:val="right"/>
              <w:ind w:right="1212"/>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53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 per share</w:t>
            </w:r>
            <w:r>
              <w:rPr>
                <w:rFonts w:ascii="Arial" w:cs="Arial" w:eastAsia="Arial" w:hAnsi="Arial"/>
                <w:sz w:val="16"/>
                <w:szCs w:val="16"/>
                <w:color w:val="auto"/>
                <w:vertAlign w:val="superscript"/>
              </w:rPr>
              <w:t>(2)</w:t>
            </w:r>
          </w:p>
        </w:tc>
        <w:tc>
          <w:tcPr>
            <w:tcW w:w="14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4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4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4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jc w:val="right"/>
              <w:ind w:right="1212"/>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532"/>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right"/>
              <w:ind w:right="37"/>
              <w:spacing w:after="0" w:line="142" w:lineRule="exact"/>
              <w:rPr>
                <w:sz w:val="20"/>
                <w:szCs w:val="20"/>
                <w:color w:val="auto"/>
              </w:rPr>
            </w:pPr>
            <w:r>
              <w:rPr>
                <w:rFonts w:ascii="Arial" w:cs="Arial" w:eastAsia="Arial" w:hAnsi="Arial"/>
                <w:sz w:val="11"/>
                <w:szCs w:val="11"/>
                <w:color w:val="auto"/>
              </w:rPr>
              <w:t>500,000,000</w:t>
            </w:r>
            <w:r>
              <w:rPr>
                <w:rFonts w:ascii="Arial" w:cs="Arial" w:eastAsia="Arial" w:hAnsi="Arial"/>
                <w:sz w:val="16"/>
                <w:szCs w:val="16"/>
                <w:color w:val="auto"/>
                <w:vertAlign w:val="superscript"/>
              </w:rPr>
              <w:t>(5)</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right w:val="single" w:sz="8" w:color="auto"/>
            </w:tcBorders>
          </w:tcPr>
          <w:p>
            <w:pPr>
              <w:jc w:val="right"/>
              <w:ind w:right="119"/>
              <w:spacing w:after="0" w:line="142" w:lineRule="exact"/>
              <w:rPr>
                <w:sz w:val="20"/>
                <w:szCs w:val="20"/>
                <w:color w:val="auto"/>
              </w:rPr>
            </w:pPr>
            <w:r>
              <w:rPr>
                <w:rFonts w:ascii="Arial" w:cs="Arial" w:eastAsia="Arial" w:hAnsi="Arial"/>
                <w:sz w:val="11"/>
                <w:szCs w:val="11"/>
                <w:color w:val="auto"/>
              </w:rPr>
              <w:t>64,900</w:t>
            </w:r>
            <w:r>
              <w:rPr>
                <w:rFonts w:ascii="Arial" w:cs="Arial" w:eastAsia="Arial" w:hAnsi="Arial"/>
                <w:sz w:val="16"/>
                <w:szCs w:val="16"/>
                <w:color w:val="auto"/>
                <w:vertAlign w:val="superscript"/>
              </w:rPr>
              <w:t>(6)</w:t>
            </w:r>
          </w:p>
        </w:tc>
      </w:tr>
    </w:tbl>
    <w:p>
      <w:pPr>
        <w:spacing w:after="0" w:line="43" w:lineRule="exact"/>
        <w:rPr>
          <w:sz w:val="20"/>
          <w:szCs w:val="20"/>
          <w:color w:val="auto"/>
        </w:rPr>
      </w:pPr>
    </w:p>
    <w:p>
      <w:pPr>
        <w:ind w:left="660" w:right="20" w:hanging="206"/>
        <w:spacing w:after="0" w:line="239"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30" w:lineRule="exact"/>
        <w:rPr>
          <w:rFonts w:ascii="Arial" w:cs="Arial" w:eastAsia="Arial" w:hAnsi="Arial"/>
          <w:sz w:val="14"/>
          <w:szCs w:val="14"/>
          <w:color w:val="auto"/>
        </w:rPr>
      </w:pPr>
    </w:p>
    <w:p>
      <w:pPr>
        <w:ind w:left="660" w:right="200" w:hanging="206"/>
        <w:spacing w:after="0" w:line="239"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30" w:lineRule="exact"/>
        <w:rPr>
          <w:rFonts w:ascii="Arial" w:cs="Arial" w:eastAsia="Arial" w:hAnsi="Arial"/>
          <w:sz w:val="14"/>
          <w:szCs w:val="14"/>
          <w:color w:val="auto"/>
        </w:rPr>
      </w:pPr>
    </w:p>
    <w:p>
      <w:pPr>
        <w:ind w:left="660" w:hanging="206"/>
        <w:spacing w:after="0"/>
        <w:tabs>
          <w:tab w:leader="none" w:pos="66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64" w:lineRule="exact"/>
        <w:rPr>
          <w:rFonts w:ascii="Arial" w:cs="Arial" w:eastAsia="Arial" w:hAnsi="Arial"/>
          <w:sz w:val="12"/>
          <w:szCs w:val="12"/>
          <w:color w:val="auto"/>
        </w:rPr>
      </w:pPr>
    </w:p>
    <w:p>
      <w:pPr>
        <w:ind w:left="660" w:hanging="206"/>
        <w:spacing w:after="0" w:line="305" w:lineRule="auto"/>
        <w:tabs>
          <w:tab w:leader="none" w:pos="66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p>
      <w:pPr>
        <w:ind w:left="660" w:hanging="206"/>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$500,000,000.</w:t>
      </w:r>
    </w:p>
    <w:p>
      <w:pPr>
        <w:spacing w:after="0" w:line="41" w:lineRule="exact"/>
        <w:rPr>
          <w:rFonts w:ascii="Arial" w:cs="Arial" w:eastAsia="Arial" w:hAnsi="Arial"/>
          <w:sz w:val="14"/>
          <w:szCs w:val="14"/>
          <w:color w:val="auto"/>
        </w:rPr>
      </w:pPr>
    </w:p>
    <w:p>
      <w:pPr>
        <w:ind w:left="660" w:hanging="206"/>
        <w:spacing w:after="0"/>
        <w:tabs>
          <w:tab w:leader="none" w:pos="660" w:val="left"/>
        </w:tabs>
        <w:numPr>
          <w:ilvl w:val="0"/>
          <w:numId w:val="2"/>
        </w:numPr>
        <w:rPr>
          <w:rFonts w:ascii="Arial" w:cs="Arial" w:eastAsia="Arial" w:hAnsi="Arial"/>
          <w:sz w:val="12"/>
          <w:szCs w:val="12"/>
          <w:color w:val="auto"/>
        </w:rPr>
      </w:pPr>
      <w:r>
        <w:rPr>
          <w:rFonts w:ascii="Arial" w:cs="Arial" w:eastAsia="Arial" w:hAnsi="Arial"/>
          <w:sz w:val="12"/>
          <w:szCs w:val="12"/>
          <w:color w:val="auto"/>
        </w:rPr>
        <w:t>Calculated pursuant to Rule 457(o) under the Securities Act of 1933, as amended. Pursuant to Rule 415(a)(6) under the Securities Act of 1933, as amended, this registration statement includes</w:t>
      </w:r>
    </w:p>
    <w:p>
      <w:pPr>
        <w:spacing w:after="0" w:line="22" w:lineRule="exact"/>
        <w:rPr>
          <w:rFonts w:ascii="Arial" w:cs="Arial" w:eastAsia="Arial" w:hAnsi="Arial"/>
          <w:sz w:val="12"/>
          <w:szCs w:val="12"/>
          <w:color w:val="auto"/>
        </w:rPr>
      </w:pPr>
    </w:p>
    <w:p>
      <w:pPr>
        <w:ind w:left="660"/>
        <w:spacing w:after="0" w:line="263" w:lineRule="auto"/>
        <w:rPr>
          <w:rFonts w:ascii="Arial" w:cs="Arial" w:eastAsia="Arial" w:hAnsi="Arial"/>
          <w:sz w:val="12"/>
          <w:szCs w:val="12"/>
          <w:color w:val="auto"/>
        </w:rPr>
      </w:pPr>
      <w:r>
        <w:rPr>
          <w:rFonts w:ascii="Arial" w:cs="Arial" w:eastAsia="Arial" w:hAnsi="Arial"/>
          <w:sz w:val="12"/>
          <w:szCs w:val="12"/>
          <w:color w:val="auto"/>
        </w:rPr>
        <w:t>$500,000,000 of the $632,653,200 of unsold securities of the registrant that have been previously registered on the Registration Statement on Form N-2 (File No. 333-190602) originally filed by the registrant on August 13, 2013 and declared effective on January 30, 2014 (the “2014 prior registration statement”). On December 16, 2016, a Registration Statement on Form N-2 (File No. 333-215111) for $500,000,000 of unsold securities of the registrant was filed and declared effective on January 19, 2017 (the “2017 prior registration statement”) which included $500,000,000 of the original $800,000,000 of unsold securities of the 2014 prior registration statement at which time, pursuant to Rule 415(a)(6), the offering of the unsold securities registered under the 2014 prior registration statement was deemed terminated. A filing fee of $109,120 was paid in connection with the 2014 prior registration statement, and the Registration Statement on Form N-2 (File No. 333-180084) originally filed by the Registrant on March 14, 2012, of which $167,346,800 securities were sold under offerings of the 2017 prior registration statement, and is being offset against the total registration fee pursuant to Rule 457(p), resulting in no payment in connection with the filing of this Registration Statement. Pursuant to Rule 415(a)(6), the offering of the unsold securities registered under the 2017 prior registration statement will be deemed terminated as of the effective date of this Registration Statement.</w:t>
      </w:r>
    </w:p>
    <w:p>
      <w:pPr>
        <w:spacing w:after="0" w:line="5" w:lineRule="exact"/>
        <w:rPr>
          <w:sz w:val="20"/>
          <w:szCs w:val="20"/>
          <w:color w:val="auto"/>
        </w:rPr>
      </w:pPr>
    </w:p>
    <w:p>
      <w:pPr>
        <w:ind w:right="40" w:firstLine="456"/>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8(c) of the Securities Act of 1933, as amended, or until the Registration Statement shall become effective on such date as the Securities and Exchange Commission, acting pursuant to said Section 8(c), may determine.</w:t>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105410</wp:posOffset>
            </wp:positionV>
            <wp:extent cx="222123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15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105"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86"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05"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96"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or TASE, under the symbol “PFLT.” The last reported closing price for our common stock on The Nasdaq Global Select Market on December 13, 2019 was $12.43 per share, and our NAV on September 30, 2019 was $12.97 per share.</w:t>
      </w:r>
    </w:p>
    <w:p>
      <w:pPr>
        <w:spacing w:after="0" w:line="11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 xml:space="preserve">. </w:t>
      </w:r>
      <w:r>
        <w:rPr>
          <w:rFonts w:ascii="Arial" w:cs="Arial" w:eastAsia="Arial" w:hAnsi="Arial"/>
          <w:sz w:val="16"/>
          <w:szCs w:val="16"/>
          <w:color w:val="auto"/>
        </w:rPr>
        <w:t>The information on our website is not incorporated by reference into this prospectus. The SEC also maintains a website at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ind w:right="1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44"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80" w:type="dxa"/>
            <w:vAlign w:val="bottom"/>
            <w:gridSpan w:val="25"/>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80" w:type="dxa"/>
            <w:vAlign w:val="bottom"/>
            <w:gridSpan w:val="25"/>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7"/>
                <w:szCs w:val="17"/>
                <w:color w:val="auto"/>
              </w:rPr>
            </w:pPr>
          </w:p>
        </w:tc>
        <w:tc>
          <w:tcPr>
            <w:tcW w:w="904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82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PRICE RANGE OF COMMON STOCK</w:t>
              </w:r>
            </w:hyperlink>
          </w:p>
        </w:tc>
        <w:tc>
          <w:tcPr>
            <w:tcW w:w="818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SALES OF COMMON STOCK BELOW NET ASSET VALUE</w:t>
              </w:r>
            </w:hyperlink>
          </w:p>
        </w:tc>
        <w:tc>
          <w:tcPr>
            <w:tcW w:w="65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DISTRIBUTIONS</w:t>
              </w:r>
            </w:hyperlink>
          </w:p>
        </w:tc>
        <w:tc>
          <w:tcPr>
            <w:tcW w:w="9740" w:type="dxa"/>
            <w:vAlign w:val="bottom"/>
            <w:gridSpan w:val="2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PORTFOLIO COMPANIES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PORTFOLIO MANAGEMENT</w:t>
              </w:r>
            </w:hyperlink>
          </w:p>
        </w:tc>
        <w:tc>
          <w:tcPr>
            <w:tcW w:w="88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DETERMINATION OF NET ASSET VALUE</w:t>
              </w:r>
            </w:hyperlink>
          </w:p>
        </w:tc>
        <w:tc>
          <w:tcPr>
            <w:tcW w:w="778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DESCRIPTION OF OUR CAPITAL STOCK</w:t>
              </w:r>
            </w:hyperlink>
          </w:p>
        </w:tc>
        <w:tc>
          <w:tcPr>
            <w:tcW w:w="78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OUR PREFERRED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OUR WARRANTS</w:t>
              </w:r>
            </w:hyperlink>
          </w:p>
        </w:tc>
        <w:tc>
          <w:tcPr>
            <w:tcW w:w="76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72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BROKERAGE ALLOCATIONS AND OTHER PRACTICES</w:t>
              </w:r>
            </w:hyperlink>
          </w:p>
        </w:tc>
        <w:tc>
          <w:tcPr>
            <w:tcW w:w="67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MATERIAL U.S. FEDERAL INCOME TAX CONSIDERATIONS</w:t>
              </w:r>
            </w:hyperlink>
          </w:p>
        </w:tc>
        <w:tc>
          <w:tcPr>
            <w:tcW w:w="63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SUB-ADMINISTRATOR, CUSTODIAN, TRANSFER AGENT AND TRUSTEE</w:t>
              </w:r>
            </w:hyperlink>
          </w:p>
        </w:tc>
        <w:tc>
          <w:tcPr>
            <w:tcW w:w="52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INDEPENDENT REGISTERED PUBLIC ACCOUNTING FIRM</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INCORPORATION BY REFERENCE</w:t>
              </w:r>
            </w:hyperlink>
          </w:p>
        </w:tc>
        <w:tc>
          <w:tcPr>
            <w:tcW w:w="1920" w:type="dxa"/>
            <w:vAlign w:val="bottom"/>
            <w:tcBorders>
              <w:top w:val="single" w:sz="8" w:color="0000EE"/>
            </w:tcBorders>
            <w:gridSpan w:val="11"/>
          </w:tcPr>
          <w:p>
            <w:pPr>
              <w:spacing w:after="0"/>
              <w:rPr>
                <w:sz w:val="17"/>
                <w:szCs w:val="17"/>
                <w:color w:val="auto"/>
              </w:rPr>
            </w:pPr>
          </w:p>
        </w:tc>
        <w:tc>
          <w:tcPr>
            <w:tcW w:w="64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08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47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6470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1"/>
        <w:spacing w:after="0" w:line="282"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w:t>
      </w:r>
    </w:p>
    <w:p>
      <w:pPr>
        <w:spacing w:after="0" w:line="13" w:lineRule="exact"/>
        <w:rPr>
          <w:sz w:val="20"/>
          <w:szCs w:val="20"/>
          <w:color w:val="auto"/>
        </w:rPr>
      </w:pPr>
    </w:p>
    <w:p>
      <w:pPr>
        <w:ind w:left="200" w:hanging="4"/>
        <w:spacing w:after="0" w:line="253" w:lineRule="auto"/>
        <w:tabs>
          <w:tab w:leader="none" w:pos="41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21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21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continue our monthly distributions to our stockholders. Our monthly distributions, if any, are determined by our board of directors.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Distributions may include a return of capital. See “Distributions” for more information.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726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726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administrative and principal executive offices are located at 590 Madison Avenue, 15th Floor, New York, NY 10022. Our phone number is</w:t>
      </w:r>
    </w:p>
    <w:p>
      <w:pPr>
        <w:spacing w:after="0" w:line="46" w:lineRule="exact"/>
        <w:rPr>
          <w:sz w:val="20"/>
          <w:szCs w:val="20"/>
          <w:color w:val="auto"/>
        </w:rPr>
      </w:pPr>
    </w:p>
    <w:p>
      <w:pPr>
        <w:ind w:left="200" w:right="100" w:hanging="4"/>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Sales load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5"/>
                <w:szCs w:val="15"/>
                <w:b w:val="1"/>
                <w:bCs w:val="1"/>
                <w:color w:val="auto"/>
              </w:rPr>
              <w:t>(3)</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Management fees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Other expenses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14.81%</w:t>
            </w:r>
            <w:r>
              <w:rPr>
                <w:rFonts w:ascii="Arial" w:cs="Arial" w:eastAsia="Arial" w:hAnsi="Arial"/>
                <w:sz w:val="15"/>
                <w:szCs w:val="15"/>
                <w:color w:val="auto"/>
                <w:w w:val="98"/>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5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2019.</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2019. See “Business— Investment Management Agreement” and “Business—Investment Advisory Fees” in our most recent Annual Report on Form 10-K for more information.</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“Business—Investment Advisory Fees” in our most recent Annual Report on Form 10-K for more information.</w:t>
      </w:r>
    </w:p>
    <w:p>
      <w:pPr>
        <w:spacing w:after="0" w:line="7" w:lineRule="exact"/>
        <w:rPr>
          <w:rFonts w:ascii="Arial" w:cs="Arial" w:eastAsia="Arial" w:hAnsi="Arial"/>
          <w:sz w:val="16"/>
          <w:szCs w:val="16"/>
          <w:color w:val="auto"/>
        </w:rPr>
      </w:pPr>
    </w:p>
    <w:p>
      <w:pPr>
        <w:ind w:left="460" w:right="1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ind w:left="460" w:right="32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2" w:lineRule="exact"/>
        <w:rPr>
          <w:rFonts w:ascii="Arial" w:cs="Arial" w:eastAsia="Arial" w:hAnsi="Arial"/>
          <w:sz w:val="16"/>
          <w:szCs w:val="16"/>
          <w:color w:val="auto"/>
        </w:rPr>
      </w:pPr>
    </w:p>
    <w:p>
      <w:pPr>
        <w:ind w:left="460" w:right="4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460" w:right="260" w:hanging="452"/>
        <w:spacing w:after="0" w:line="270"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13.61%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investment:</w:t>
            </w:r>
          </w:p>
        </w:tc>
        <w:tc>
          <w:tcPr>
            <w:tcW w:w="35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75"/>
        </w:trPr>
        <w:tc>
          <w:tcPr>
            <w:tcW w:w="7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Assuming a 5% annual return (assumes no return from net realized capital gains or net</w:t>
            </w: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$ 161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381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564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r>
      <w:tr>
        <w:trPr>
          <w:trHeight w:val="202"/>
        </w:trPr>
        <w:tc>
          <w:tcPr>
            <w:tcW w:w="7120" w:type="dxa"/>
            <w:vAlign w:val="bottom"/>
            <w:gridSpan w:val="2"/>
          </w:tcPr>
          <w:p>
            <w:pPr>
              <w:spacing w:after="0" w:line="201" w:lineRule="exact"/>
              <w:rPr>
                <w:sz w:val="20"/>
                <w:szCs w:val="20"/>
                <w:color w:val="auto"/>
              </w:rPr>
            </w:pPr>
            <w:r>
              <w:rPr>
                <w:rFonts w:ascii="Arial" w:cs="Arial" w:eastAsia="Arial" w:hAnsi="Arial"/>
                <w:sz w:val="18"/>
                <w:szCs w:val="18"/>
                <w:color w:val="auto"/>
              </w:rPr>
              <w:t>Assuming a 5% annual return (assumes return from only realized capital gains and thus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640" w:type="dxa"/>
            <w:vAlign w:val="bottom"/>
            <w:gridSpan w:val="2"/>
          </w:tcPr>
          <w:p>
            <w:pPr>
              <w:spacing w:after="0"/>
              <w:rPr>
                <w:sz w:val="20"/>
                <w:szCs w:val="20"/>
                <w:color w:val="auto"/>
              </w:rPr>
            </w:pPr>
            <w:r>
              <w:rPr>
                <w:rFonts w:ascii="Arial" w:cs="Arial" w:eastAsia="Arial" w:hAnsi="Arial"/>
                <w:sz w:val="18"/>
                <w:szCs w:val="18"/>
                <w:color w:val="auto"/>
              </w:rPr>
              <w:t>$ 169</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589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r>
    </w:tbl>
    <w:p>
      <w:pPr>
        <w:spacing w:after="0" w:line="20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9" w:lineRule="exact"/>
        <w:rPr>
          <w:sz w:val="20"/>
          <w:szCs w:val="20"/>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5"/>
              </w:rPr>
              <w:t>Total Amount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3"/>
              </w:rPr>
              <w:t>Asset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00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Coverage</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40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380" w:type="dxa"/>
            <w:vAlign w:val="bottom"/>
          </w:tcPr>
          <w:p>
            <w:pPr>
              <w:spacing w:after="0"/>
              <w:rPr>
                <w:sz w:val="15"/>
                <w:szCs w:val="15"/>
                <w:color w:val="auto"/>
              </w:rPr>
            </w:pP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90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90"/>
        </w:trPr>
        <w:tc>
          <w:tcPr>
            <w:tcW w:w="4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2023 Notes and 2031 Asset-Backed Debt</w:t>
            </w: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631,887</w:t>
            </w:r>
          </w:p>
        </w:tc>
        <w:tc>
          <w:tcPr>
            <w:tcW w:w="38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1,786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472,307</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253,783</w:t>
            </w:r>
          </w:p>
        </w:tc>
        <w:tc>
          <w:tcPr>
            <w:tcW w:w="38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2,780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232,908</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2,601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29,600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w w:val="94"/>
              </w:rPr>
              <w:t>13,598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99,600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3,109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24,650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4,735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975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in the United States of America.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December 13, 2019, the last reported closing price of our common stock on The Nasdaq Global Select Market was $12.43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0"/>
              </w:rPr>
              <w:t>Closing Sales Price</w:t>
            </w:r>
          </w:p>
        </w:tc>
        <w:tc>
          <w:tcPr>
            <w:tcW w:w="2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Premium / (Discount)</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Premium / (Discount)</w:t>
            </w:r>
          </w:p>
        </w:tc>
        <w:tc>
          <w:tcPr>
            <w:tcW w:w="24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56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7"/>
              </w:rPr>
              <w:t>on NASDAQ</w:t>
            </w:r>
          </w:p>
        </w:tc>
        <w:tc>
          <w:tcPr>
            <w:tcW w:w="2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of High Sales</w:t>
            </w: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of Low Sales</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Borders>
              <w:bottom w:val="single" w:sz="8" w:color="auto"/>
            </w:tcBorders>
            <w:vMerge w:val="continue"/>
          </w:tcPr>
          <w:p>
            <w:pPr>
              <w:spacing w:after="0"/>
              <w:rPr>
                <w:sz w:val="12"/>
                <w:szCs w:val="12"/>
                <w:color w:val="auto"/>
              </w:rPr>
            </w:pPr>
          </w:p>
        </w:tc>
        <w:tc>
          <w:tcPr>
            <w:tcW w:w="25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76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200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7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298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Fiscal Year Ending September 30,</w:t>
            </w:r>
          </w:p>
        </w:tc>
        <w:tc>
          <w:tcPr>
            <w:tcW w:w="3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First quarter (through December 13,</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$12.56</w:t>
            </w:r>
          </w:p>
        </w:tc>
        <w:tc>
          <w:tcPr>
            <w:tcW w:w="260" w:type="dxa"/>
            <w:vAlign w:val="bottom"/>
          </w:tcPr>
          <w:p>
            <w:pPr>
              <w:spacing w:after="0"/>
              <w:rPr>
                <w:sz w:val="20"/>
                <w:szCs w:val="20"/>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$ 11.33</w:t>
            </w: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w w:val="97"/>
              </w:rPr>
              <w:t>0.285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12.97</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11.79</w:t>
            </w: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11.22</w:t>
            </w:r>
          </w:p>
        </w:tc>
        <w:tc>
          <w:tcPr>
            <w:tcW w:w="200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11.44</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13.24</w:t>
            </w:r>
          </w:p>
        </w:tc>
        <w:tc>
          <w:tcPr>
            <w:tcW w:w="500" w:type="dxa"/>
            <w:vAlign w:val="bottom"/>
          </w:tcPr>
          <w:p>
            <w:pPr>
              <w:jc w:val="right"/>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11.80</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11.20</w:t>
            </w: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29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13.15</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13.82</w:t>
            </w:r>
          </w:p>
        </w:tc>
        <w:tc>
          <w:tcPr>
            <w:tcW w:w="500" w:type="dxa"/>
            <w:vAlign w:val="bottom"/>
          </w:tcPr>
          <w:p>
            <w:pPr>
              <w:jc w:val="right"/>
              <w:spacing w:after="0"/>
              <w:rPr>
                <w:sz w:val="20"/>
                <w:szCs w:val="20"/>
                <w:color w:val="auto"/>
              </w:rPr>
            </w:pPr>
            <w:r>
              <w:rPr>
                <w:rFonts w:ascii="Arial" w:cs="Arial" w:eastAsia="Arial" w:hAnsi="Arial"/>
                <w:sz w:val="18"/>
                <w:szCs w:val="18"/>
                <w:color w:val="auto"/>
              </w:rPr>
              <w:t>14.10</w:t>
            </w:r>
          </w:p>
        </w:tc>
        <w:tc>
          <w:tcPr>
            <w:tcW w:w="2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13.08</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12.19</w:t>
            </w:r>
          </w:p>
        </w:tc>
        <w:tc>
          <w:tcPr>
            <w:tcW w:w="2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13.86</w:t>
            </w:r>
          </w:p>
        </w:tc>
        <w:tc>
          <w:tcPr>
            <w:tcW w:w="500" w:type="dxa"/>
            <w:vAlign w:val="bottom"/>
          </w:tcPr>
          <w:p>
            <w:pPr>
              <w:jc w:val="right"/>
              <w:spacing w:after="0"/>
              <w:rPr>
                <w:sz w:val="20"/>
                <w:szCs w:val="20"/>
                <w:color w:val="auto"/>
              </w:rPr>
            </w:pPr>
            <w:r>
              <w:rPr>
                <w:rFonts w:ascii="Arial" w:cs="Arial" w:eastAsia="Arial" w:hAnsi="Arial"/>
                <w:sz w:val="18"/>
                <w:szCs w:val="18"/>
                <w:color w:val="auto"/>
              </w:rPr>
              <w:t>14.61</w:t>
            </w:r>
          </w:p>
        </w:tc>
        <w:tc>
          <w:tcPr>
            <w:tcW w:w="260" w:type="dxa"/>
            <w:vAlign w:val="bottom"/>
          </w:tcPr>
          <w:p>
            <w:pPr>
              <w:spacing w:after="0"/>
              <w:rPr>
                <w:sz w:val="20"/>
                <w:szCs w:val="20"/>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13.72</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97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0" w:lineRule="exact"/>
        <w:rPr>
          <w:sz w:val="20"/>
          <w:szCs w:val="20"/>
          <w:color w:val="auto"/>
        </w:rPr>
      </w:pPr>
    </w:p>
    <w:p>
      <w:pPr>
        <w:ind w:left="460" w:right="20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 dividend of $0.095 per share payable on January 2, 2020 to stockholders of record as of December 19, 2019.</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30, 2019 we had 43 stockholders of record.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2" w:lineRule="exact"/>
        <w:rPr>
          <w:sz w:val="20"/>
          <w:szCs w:val="20"/>
          <w:color w:val="auto"/>
        </w:rPr>
      </w:pPr>
    </w:p>
    <w:p>
      <w:pPr>
        <w:ind w:left="1020" w:right="26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20" w:right="16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20" w:right="4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5620" w:right="5420" w:hanging="5045"/>
        <w:spacing w:after="0" w:line="536" w:lineRule="auto"/>
        <w:tabs>
          <w:tab w:leader="none" w:pos="10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1020" w:hanging="44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2"/>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6"/>
              </w:rPr>
              <w:t>Below NAV</w:t>
            </w: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2"/>
              </w:rPr>
              <w:t>1,000,000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1,100,000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color w:val="auto"/>
              </w:rPr>
              <w:t>NAV per share</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(20.00)%</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w:t>
            </w:r>
          </w:p>
        </w:tc>
        <w:tc>
          <w:tcPr>
            <w:tcW w:w="4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3760" w:type="dxa"/>
            <w:vAlign w:val="bottom"/>
          </w:tcPr>
          <w:p>
            <w:pPr>
              <w:ind w:left="340"/>
              <w:spacing w:after="0"/>
              <w:rPr>
                <w:sz w:val="20"/>
                <w:szCs w:val="20"/>
                <w:color w:val="auto"/>
              </w:rPr>
            </w:pPr>
            <w:r>
              <w:rPr>
                <w:rFonts w:ascii="Arial" w:cs="Arial" w:eastAsia="Arial" w:hAnsi="Arial"/>
                <w:sz w:val="16"/>
                <w:szCs w:val="16"/>
                <w:color w:val="auto"/>
                <w:w w:val="95"/>
              </w:rPr>
              <w:t>Total investment by stockholder A (assumed to be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60" w:type="dxa"/>
            <w:vAlign w:val="bottom"/>
          </w:tcPr>
          <w:p>
            <w:pPr>
              <w:ind w:left="500"/>
              <w:spacing w:after="0"/>
              <w:rPr>
                <w:sz w:val="20"/>
                <w:szCs w:val="20"/>
                <w:color w:val="auto"/>
              </w:rPr>
            </w:pPr>
            <w:r>
              <w:rPr>
                <w:rFonts w:ascii="Arial" w:cs="Arial" w:eastAsia="Arial" w:hAnsi="Arial"/>
                <w:sz w:val="16"/>
                <w:szCs w:val="16"/>
                <w:color w:val="auto"/>
              </w:rPr>
              <w:t>$10.00 per share)</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100,000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100,000</w:t>
            </w:r>
          </w:p>
        </w:tc>
        <w:tc>
          <w:tcPr>
            <w:tcW w:w="820" w:type="dxa"/>
            <w:vAlign w:val="bottom"/>
            <w:gridSpan w:val="2"/>
            <w:vMerge w:val="continue"/>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100,000</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 to stockholder A (total NAV less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investment)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(200)</w:t>
            </w:r>
          </w:p>
        </w:tc>
        <w:tc>
          <w:tcPr>
            <w:tcW w:w="84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(900)</w:t>
            </w:r>
          </w:p>
        </w:tc>
        <w:tc>
          <w:tcPr>
            <w:tcW w:w="820" w:type="dxa"/>
            <w:vAlign w:val="bottom"/>
            <w:gridSpan w:val="2"/>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21"/>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2"/>
              </w:rPr>
              <w:t>Example 1</w:t>
            </w:r>
          </w:p>
        </w:tc>
        <w:tc>
          <w:tcPr>
            <w:tcW w:w="120" w:type="dxa"/>
            <w:vAlign w:val="bottom"/>
          </w:tcPr>
          <w:p>
            <w:pPr>
              <w:spacing w:after="0"/>
              <w:rPr>
                <w:sz w:val="14"/>
                <w:szCs w:val="14"/>
                <w:color w:val="auto"/>
              </w:rPr>
            </w:pPr>
          </w:p>
        </w:tc>
        <w:tc>
          <w:tcPr>
            <w:tcW w:w="17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Example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20" w:type="dxa"/>
            <w:vAlign w:val="bottom"/>
          </w:tcPr>
          <w:p>
            <w:pPr>
              <w:spacing w:after="0"/>
              <w:rPr>
                <w:sz w:val="12"/>
                <w:szCs w:val="12"/>
                <w:color w:val="auto"/>
              </w:rPr>
            </w:pPr>
          </w:p>
        </w:tc>
        <w:tc>
          <w:tcPr>
            <w:tcW w:w="17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4"/>
                <w:szCs w:val="14"/>
                <w:color w:val="auto"/>
              </w:rPr>
            </w:pPr>
          </w:p>
        </w:tc>
        <w:tc>
          <w:tcPr>
            <w:tcW w:w="18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5"/>
              </w:rPr>
              <w:t>at 5% Discount</w:t>
            </w:r>
          </w:p>
        </w:tc>
        <w:tc>
          <w:tcPr>
            <w:tcW w:w="120" w:type="dxa"/>
            <w:vAlign w:val="bottom"/>
          </w:tcPr>
          <w:p>
            <w:pPr>
              <w:spacing w:after="0"/>
              <w:rPr>
                <w:sz w:val="14"/>
                <w:szCs w:val="14"/>
                <w:color w:val="auto"/>
              </w:rPr>
            </w:pPr>
          </w:p>
        </w:tc>
        <w:tc>
          <w:tcPr>
            <w:tcW w:w="17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2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6"/>
                <w:szCs w:val="16"/>
                <w:color w:val="auto"/>
              </w:rPr>
              <w:t>NAV per share held by stockholder A</w:t>
            </w:r>
          </w:p>
        </w:tc>
        <w:tc>
          <w:tcPr>
            <w:tcW w:w="2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4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9.91</w:t>
            </w:r>
          </w:p>
        </w:tc>
        <w:tc>
          <w:tcPr>
            <w:tcW w:w="4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9.50</w:t>
            </w:r>
          </w:p>
        </w:tc>
        <w:tc>
          <w:tcPr>
            <w:tcW w:w="4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Investment per share held by stockholder A (assumed to be</w:t>
            </w: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$10.00 per share on shares held prior to sale)</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80" w:type="dxa"/>
            <w:vAlign w:val="bottom"/>
          </w:tcPr>
          <w:p>
            <w:pPr>
              <w:ind w:left="340"/>
              <w:spacing w:after="0"/>
              <w:rPr>
                <w:sz w:val="20"/>
                <w:szCs w:val="20"/>
                <w:color w:val="auto"/>
              </w:rPr>
            </w:pPr>
            <w:r>
              <w:rPr>
                <w:rFonts w:ascii="Arial" w:cs="Arial" w:eastAsia="Arial" w:hAnsi="Arial"/>
                <w:sz w:val="16"/>
                <w:szCs w:val="16"/>
                <w:color w:val="auto"/>
              </w:rPr>
              <w:t>Dilution per share held by stockholder A (NAV per share</w:t>
            </w:r>
          </w:p>
        </w:tc>
        <w:tc>
          <w:tcPr>
            <w:tcW w:w="260" w:type="dxa"/>
            <w:vAlign w:val="bottom"/>
          </w:tcPr>
          <w:p>
            <w:pPr>
              <w:spacing w:after="0"/>
              <w:rPr>
                <w:sz w:val="16"/>
                <w:szCs w:val="16"/>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500"/>
              <w:spacing w:after="0"/>
              <w:rPr>
                <w:sz w:val="20"/>
                <w:szCs w:val="20"/>
                <w:color w:val="auto"/>
              </w:rPr>
            </w:pPr>
            <w:r>
              <w:rPr>
                <w:rFonts w:ascii="Arial" w:cs="Arial" w:eastAsia="Arial" w:hAnsi="Arial"/>
                <w:sz w:val="16"/>
                <w:szCs w:val="16"/>
                <w:color w:val="auto"/>
              </w:rPr>
              <w:t>less investment per share)</w:t>
            </w:r>
          </w:p>
        </w:tc>
        <w:tc>
          <w:tcPr>
            <w:tcW w:w="2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(0.02)</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(0.09)</w:t>
            </w:r>
          </w:p>
        </w:tc>
        <w:tc>
          <w:tcPr>
            <w:tcW w:w="82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(0.50)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Percentage dilution to stockholder A (dilution per share</w:t>
            </w:r>
          </w:p>
        </w:tc>
        <w:tc>
          <w:tcPr>
            <w:tcW w:w="2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divided by investment per share)</w:t>
            </w:r>
          </w:p>
        </w:tc>
        <w:tc>
          <w:tcPr>
            <w:tcW w:w="2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w:t>
      </w:r>
    </w:p>
    <w:p>
      <w:pPr>
        <w:ind w:right="18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w w:val="87"/>
              </w:rPr>
              <w:t>1,250,000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w w:val="87"/>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NAV per share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13,750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130,625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740" w:type="dxa"/>
            <w:vAlign w:val="bottom"/>
          </w:tcPr>
          <w:p>
            <w:pPr>
              <w:spacing w:after="0"/>
              <w:rPr>
                <w:sz w:val="20"/>
                <w:szCs w:val="20"/>
                <w:color w:val="auto"/>
              </w:rPr>
            </w:pPr>
            <w:r>
              <w:rPr>
                <w:rFonts w:ascii="Arial" w:cs="Arial" w:eastAsia="Arial" w:hAnsi="Arial"/>
                <w:sz w:val="16"/>
                <w:szCs w:val="16"/>
                <w:color w:val="auto"/>
                <w:w w:val="97"/>
              </w:rPr>
              <w:t>Total investment by stockholder A (assumed to be $10.00 per share on shares held</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40" w:type="dxa"/>
            <w:vAlign w:val="bottom"/>
          </w:tcPr>
          <w:p>
            <w:pPr>
              <w:ind w:left="180"/>
              <w:spacing w:after="0"/>
              <w:rPr>
                <w:sz w:val="20"/>
                <w:szCs w:val="20"/>
                <w:color w:val="auto"/>
              </w:rPr>
            </w:pPr>
            <w:r>
              <w:rPr>
                <w:rFonts w:ascii="Arial" w:cs="Arial" w:eastAsia="Arial" w:hAnsi="Arial"/>
                <w:sz w:val="16"/>
                <w:szCs w:val="16"/>
                <w:color w:val="auto"/>
              </w:rPr>
              <w:t>prior to sale)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9.86%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129,588</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1,037</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740" w:type="dxa"/>
            <w:vAlign w:val="bottom"/>
          </w:tcPr>
          <w:p>
            <w:pPr>
              <w:ind w:left="340"/>
              <w:spacing w:after="0"/>
              <w:rPr>
                <w:sz w:val="20"/>
                <w:szCs w:val="20"/>
                <w:color w:val="auto"/>
              </w:rPr>
            </w:pPr>
            <w:r>
              <w:rPr>
                <w:rFonts w:ascii="Arial" w:cs="Arial" w:eastAsia="Arial" w:hAnsi="Arial"/>
                <w:sz w:val="16"/>
                <w:szCs w:val="16"/>
                <w:color w:val="auto"/>
                <w:w w:val="98"/>
              </w:rPr>
              <w:t>Investment per share held by stockholder A (assumed to be $10.00 per share</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500"/>
              <w:spacing w:after="0"/>
              <w:rPr>
                <w:sz w:val="20"/>
                <w:szCs w:val="20"/>
                <w:color w:val="auto"/>
              </w:rPr>
            </w:pPr>
            <w:r>
              <w:rPr>
                <w:rFonts w:ascii="Arial" w:cs="Arial" w:eastAsia="Arial" w:hAnsi="Arial"/>
                <w:sz w:val="16"/>
                <w:szCs w:val="16"/>
                <w:color w:val="auto"/>
              </w:rPr>
              <w:t>on shares held prior to sale)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9.42</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0.08</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740" w:type="dxa"/>
            <w:vAlign w:val="bottom"/>
          </w:tcPr>
          <w:p>
            <w:pPr>
              <w:ind w:left="340"/>
              <w:spacing w:after="0"/>
              <w:rPr>
                <w:sz w:val="20"/>
                <w:szCs w:val="20"/>
                <w:color w:val="auto"/>
              </w:rPr>
            </w:pPr>
            <w:r>
              <w:rPr>
                <w:rFonts w:ascii="Arial" w:cs="Arial" w:eastAsia="Arial" w:hAnsi="Arial"/>
                <w:sz w:val="16"/>
                <w:szCs w:val="16"/>
                <w:color w:val="auto"/>
              </w:rPr>
              <w:t>Percentage (dilution)/accretion to stockholder A ((dilution)/accretion per</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40" w:type="dxa"/>
            <w:vAlign w:val="bottom"/>
          </w:tcPr>
          <w:p>
            <w:pPr>
              <w:ind w:left="500"/>
              <w:spacing w:after="0"/>
              <w:rPr>
                <w:sz w:val="20"/>
                <w:szCs w:val="20"/>
                <w:color w:val="auto"/>
              </w:rPr>
            </w:pPr>
            <w:r>
              <w:rPr>
                <w:rFonts w:ascii="Arial" w:cs="Arial" w:eastAsia="Arial" w:hAnsi="Arial"/>
                <w:sz w:val="16"/>
                <w:szCs w:val="16"/>
                <w:color w:val="auto"/>
              </w:rPr>
              <w:t>share divided by investment per share)</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(2.76)%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9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9.50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1,050,000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7"/>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NAV per share</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9.98</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500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0.05%</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0.20%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4,990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9,910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ind w:left="340"/>
              <w:spacing w:after="0"/>
              <w:rPr>
                <w:sz w:val="20"/>
                <w:szCs w:val="20"/>
                <w:color w:val="auto"/>
              </w:rPr>
            </w:pPr>
            <w:r>
              <w:rPr>
                <w:rFonts w:ascii="Arial" w:cs="Arial" w:eastAsia="Arial" w:hAnsi="Arial"/>
                <w:sz w:val="16"/>
                <w:szCs w:val="16"/>
                <w:color w:val="auto"/>
              </w:rPr>
              <w:t>Total investment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5,000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(dilution)/accretion to stockholder A (total</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NAV less total investment)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440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9.98</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9.91</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00" w:type="dxa"/>
            <w:vAlign w:val="bottom"/>
          </w:tcPr>
          <w:p>
            <w:pPr>
              <w:ind w:left="340"/>
              <w:spacing w:after="0"/>
              <w:rPr>
                <w:sz w:val="20"/>
                <w:szCs w:val="20"/>
                <w:color w:val="auto"/>
              </w:rPr>
            </w:pPr>
            <w:r>
              <w:rPr>
                <w:rFonts w:ascii="Arial" w:cs="Arial" w:eastAsia="Arial" w:hAnsi="Arial"/>
                <w:sz w:val="16"/>
                <w:szCs w:val="16"/>
                <w:color w:val="auto"/>
              </w:rPr>
              <w:t>Investment per share held by stockholder A</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8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stockholder A (NAV per share less investment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per share)</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(0.02)</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0.44</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900" w:type="dxa"/>
            <w:vAlign w:val="bottom"/>
          </w:tcPr>
          <w:p>
            <w:pPr>
              <w:ind w:left="340"/>
              <w:spacing w:after="0"/>
              <w:rPr>
                <w:sz w:val="20"/>
                <w:szCs w:val="20"/>
                <w:color w:val="auto"/>
              </w:rPr>
            </w:pPr>
            <w:r>
              <w:rPr>
                <w:rFonts w:ascii="Arial" w:cs="Arial" w:eastAsia="Arial" w:hAnsi="Arial"/>
                <w:sz w:val="16"/>
                <w:szCs w:val="16"/>
                <w:color w:val="auto"/>
              </w:rPr>
              <w:t>Percentage (dilution)/accretion to stockholder A</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500"/>
              <w:spacing w:after="0"/>
              <w:rPr>
                <w:sz w:val="20"/>
                <w:szCs w:val="20"/>
                <w:color w:val="auto"/>
              </w:rPr>
            </w:pPr>
            <w:r>
              <w:rPr>
                <w:rFonts w:ascii="Arial" w:cs="Arial" w:eastAsia="Arial" w:hAnsi="Arial"/>
                <w:sz w:val="16"/>
                <w:szCs w:val="16"/>
                <w:color w:val="auto"/>
              </w:rPr>
              <w:t>((dilution)/accretion per share divided by</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500"/>
              <w:spacing w:after="0"/>
              <w:rPr>
                <w:sz w:val="20"/>
                <w:szCs w:val="20"/>
                <w:color w:val="auto"/>
              </w:rPr>
            </w:pPr>
            <w:r>
              <w:rPr>
                <w:rFonts w:ascii="Arial" w:cs="Arial" w:eastAsia="Arial" w:hAnsi="Arial"/>
                <w:sz w:val="16"/>
                <w:szCs w:val="16"/>
                <w:color w:val="auto"/>
              </w:rPr>
              <w:t>investment per share)</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4.65%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 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960" w:type="dxa"/>
            <w:vAlign w:val="bottom"/>
            <w:gridSpan w:val="3"/>
            <w:vMerge w:val="continue"/>
          </w:tcPr>
          <w:p>
            <w:pPr>
              <w:spacing w:after="0"/>
              <w:rPr>
                <w:sz w:val="12"/>
                <w:szCs w:val="12"/>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Nature of Business</w:t>
            </w:r>
          </w:p>
        </w:tc>
        <w:tc>
          <w:tcPr>
            <w:tcW w:w="3400" w:type="dxa"/>
            <w:vAlign w:val="bottom"/>
            <w:gridSpan w:val="2"/>
            <w:vMerge w:val="continue"/>
          </w:tcPr>
          <w:p>
            <w:pPr>
              <w:spacing w:after="0"/>
              <w:rPr>
                <w:sz w:val="12"/>
                <w:szCs w:val="12"/>
                <w:color w:val="auto"/>
              </w:rPr>
            </w:pPr>
          </w:p>
        </w:tc>
        <w:tc>
          <w:tcPr>
            <w:tcW w:w="110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80" w:type="dxa"/>
            <w:vAlign w:val="bottom"/>
            <w:gridSpan w:val="2"/>
            <w:vMerge w:val="continue"/>
          </w:tcPr>
          <w:p>
            <w:pPr>
              <w:spacing w:after="0"/>
              <w:rPr>
                <w:sz w:val="14"/>
                <w:szCs w:val="14"/>
                <w:color w:val="auto"/>
              </w:rPr>
            </w:pPr>
          </w:p>
        </w:tc>
        <w:tc>
          <w:tcPr>
            <w:tcW w:w="3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gridSpan w:val="2"/>
          </w:tcPr>
          <w:p>
            <w:pPr>
              <w:spacing w:after="0" w:line="130" w:lineRule="exact"/>
              <w:rPr>
                <w:sz w:val="20"/>
                <w:szCs w:val="20"/>
                <w:color w:val="auto"/>
              </w:rPr>
            </w:pPr>
            <w:r>
              <w:rPr>
                <w:rFonts w:ascii="Arial" w:cs="Arial" w:eastAsia="Arial" w:hAnsi="Arial"/>
                <w:sz w:val="14"/>
                <w:szCs w:val="14"/>
                <w:color w:val="auto"/>
              </w:rPr>
              <w:t>18 Fremont Street Acquisition, LLC</w:t>
            </w:r>
          </w:p>
        </w:tc>
        <w:tc>
          <w:tcPr>
            <w:tcW w:w="18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0"/>
              </w:rPr>
              <w:t>Hotels, Restaurants and</w:t>
            </w:r>
          </w:p>
        </w:tc>
        <w:tc>
          <w:tcPr>
            <w:tcW w:w="340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L+800, 08/11/2025</w:t>
            </w:r>
          </w:p>
        </w:tc>
        <w:tc>
          <w:tcPr>
            <w:tcW w:w="110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1 Fremont Street</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Las Vegas, NV 89101</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8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Consumer Goods: Durable</w:t>
            </w:r>
          </w:p>
        </w:tc>
        <w:tc>
          <w:tcPr>
            <w:tcW w:w="3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Warrants</w:t>
            </w:r>
          </w:p>
        </w:tc>
        <w:tc>
          <w:tcPr>
            <w:tcW w:w="110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AG Investco LP</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Software</w:t>
            </w:r>
          </w:p>
        </w:tc>
        <w:tc>
          <w:tcPr>
            <w:tcW w:w="34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251 Little Falls Drive</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Herndon, VA 19808</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8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IT Services</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L+600, 07/24/2025</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American Auto Auction Group, LLC</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Transportation: Consumer</w:t>
            </w:r>
          </w:p>
        </w:tc>
        <w:tc>
          <w:tcPr>
            <w:tcW w:w="34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L+475, 01/02/2024</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10333 N. Meridian, Suite 200</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Indianapolis, IN 46290</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18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Building Products</w:t>
            </w:r>
          </w:p>
        </w:tc>
        <w:tc>
          <w:tcPr>
            <w:tcW w:w="34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L+550, 12/21/2023</w:t>
            </w:r>
          </w:p>
        </w:tc>
        <w:tc>
          <w:tcPr>
            <w:tcW w:w="110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American Teleconferencing Services, Ltd.</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4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L+650, 12/08/2021</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3280 Peachtree Road, NE</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Atlanta, GA 30305</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API Technologies Corp.</w:t>
            </w:r>
          </w:p>
        </w:tc>
        <w:tc>
          <w:tcPr>
            <w:tcW w:w="18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5"/>
              </w:rPr>
              <w:t>Electronic Equipment,</w:t>
            </w:r>
          </w:p>
        </w:tc>
        <w:tc>
          <w:tcPr>
            <w:tcW w:w="34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L+425, 05/11/2026</w:t>
            </w:r>
          </w:p>
        </w:tc>
        <w:tc>
          <w:tcPr>
            <w:tcW w:w="110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18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Instruments, and</w:t>
            </w:r>
          </w:p>
        </w:tc>
        <w:tc>
          <w:tcPr>
            <w:tcW w:w="3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Orlando, FL 32819</w:t>
            </w:r>
          </w:p>
        </w:tc>
        <w:tc>
          <w:tcPr>
            <w:tcW w:w="18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0"/>
              </w:rPr>
              <w:t>Components</w:t>
            </w:r>
          </w:p>
        </w:tc>
        <w:tc>
          <w:tcPr>
            <w:tcW w:w="3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40" w:type="dxa"/>
            <w:vAlign w:val="bottom"/>
            <w:gridSpan w:val="3"/>
            <w:vMerge w:val="continue"/>
          </w:tcPr>
          <w:p>
            <w:pPr>
              <w:spacing w:after="0"/>
              <w:rPr>
                <w:sz w:val="12"/>
                <w:szCs w:val="12"/>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10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900" w:type="dxa"/>
            <w:vAlign w:val="bottom"/>
            <w:gridSpan w:val="2"/>
            <w:vMerge w:val="continue"/>
          </w:tcPr>
          <w:p>
            <w:pPr>
              <w:spacing w:after="0"/>
              <w:rPr>
                <w:sz w:val="14"/>
                <w:szCs w:val="14"/>
                <w:color w:val="auto"/>
              </w:rPr>
            </w:pP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2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BEI Precision Systems &amp; Space Company, Inc.</w:t>
            </w:r>
          </w:p>
        </w:tc>
        <w:tc>
          <w:tcPr>
            <w:tcW w:w="162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80" w:type="dxa"/>
            <w:vAlign w:val="bottom"/>
            <w:shd w:val="clear" w:color="auto" w:fill="CCEEFF"/>
          </w:tcPr>
          <w:p>
            <w:pPr>
              <w:spacing w:after="0"/>
              <w:rPr>
                <w:sz w:val="9"/>
                <w:szCs w:val="9"/>
                <w:color w:val="auto"/>
              </w:rPr>
            </w:pPr>
          </w:p>
        </w:tc>
        <w:tc>
          <w:tcPr>
            <w:tcW w:w="28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 3M L+550, 04/28/2023</w:t>
            </w: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11,613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1100 Murphy Drive</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By Light Professional IT Services, LLC</w:t>
            </w: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22,316</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(By Light Investco LP)</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3M L+625, 05/16/2022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Arlington, VA 22201</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Cadence Aerospace, LLC</w:t>
            </w:r>
          </w:p>
        </w:tc>
        <w:tc>
          <w:tcPr>
            <w:tcW w:w="19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1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3M L+650, 11/14/2023</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 Newport Center Drive, Suite 950</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Cano Health, LLC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L+650, 12/23/2021</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23,913</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(ITC Rumba, LLC)</w:t>
            </w: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680 N. University Drive</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Pembroke Pines, FL 33024</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Cardenas Markets LLC</w:t>
            </w:r>
          </w:p>
        </w:tc>
        <w:tc>
          <w:tcPr>
            <w:tcW w:w="19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9"/>
              </w:rPr>
              <w:t>Beverage, Food and</w:t>
            </w:r>
          </w:p>
        </w:tc>
        <w:tc>
          <w:tcPr>
            <w:tcW w:w="31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1M L+575, 11/29/2023</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2501 East Guasti Road</w:t>
            </w:r>
          </w:p>
        </w:tc>
        <w:tc>
          <w:tcPr>
            <w:tcW w:w="1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Tobacco</w:t>
            </w:r>
          </w:p>
        </w:tc>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Ontario, CA 91761</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CHA Holdings, Inc.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Environmental Industries</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575 Broadway, Suite 301</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3M L+450, 04/10/2025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Albany, NY 12207</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9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1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1M L+575, 08/31/2023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CI (Summit) Investment Holdings, LLC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Construction and Building</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575 Minnehaha Ave. W.</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9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High Tech Industries</w:t>
            </w:r>
          </w:p>
        </w:tc>
        <w:tc>
          <w:tcPr>
            <w:tcW w:w="31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(3)</w:t>
            </w:r>
            <w:r>
              <w:rPr>
                <w:rFonts w:ascii="Arial" w:cs="Arial" w:eastAsia="Arial" w:hAnsi="Arial"/>
                <w:sz w:val="14"/>
                <w:szCs w:val="14"/>
                <w:color w:val="auto"/>
              </w:rPr>
              <w:t>)</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3M L+875, 04/25/2025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(3)</w:t>
            </w:r>
            <w:r>
              <w:rPr>
                <w:rFonts w:ascii="Arial" w:cs="Arial" w:eastAsia="Arial" w:hAnsi="Arial"/>
                <w:sz w:val="14"/>
                <w:szCs w:val="14"/>
                <w:color w:val="auto"/>
              </w:rPr>
              <w:t>)</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Confluent Health, LLC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Health Providers and</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L+500, 06/24/2026</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75 S English Station Road</w:t>
            </w: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Services</w:t>
            </w: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Louisville, KY 40245</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DBI Holding, LLC</w:t>
            </w:r>
          </w:p>
        </w:tc>
        <w:tc>
          <w:tcPr>
            <w:tcW w:w="19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31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Second Lien Secured Debt, 8.0% fixed PIK,</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North Conahan Drive</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02/01/2026</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Hazleton, PA 18201</w:t>
            </w: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DecoPac, Inc.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Beverage, Food and</w:t>
            </w:r>
          </w:p>
        </w:tc>
        <w:tc>
          <w:tcPr>
            <w:tcW w:w="31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12,888</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(DecoPac Holdings Inc.)</w:t>
            </w: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Tobacco</w:t>
            </w: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3M L+825, 03/31/2025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3500 Thurston Avenue</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Anoka, MN 55303</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9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Consumer Goods:</w:t>
            </w:r>
          </w:p>
        </w:tc>
        <w:tc>
          <w:tcPr>
            <w:tcW w:w="31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945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31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3M L+550, 10/31/2023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Digital Room Holdings, Inc.</w:t>
            </w: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Media: Advertising,</w:t>
            </w:r>
          </w:p>
        </w:tc>
        <w:tc>
          <w:tcPr>
            <w:tcW w:w="31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L+500, 05/22/2026</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9,495</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8000 Haskell Ave.</w:t>
            </w:r>
          </w:p>
        </w:tc>
        <w:tc>
          <w:tcPr>
            <w:tcW w:w="1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Van Nuys, CA 91406</w:t>
            </w: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60" w:type="dxa"/>
            <w:vAlign w:val="bottom"/>
            <w:gridSpan w:val="3"/>
            <w:vMerge w:val="continue"/>
          </w:tcPr>
          <w:p>
            <w:pPr>
              <w:spacing w:after="0"/>
              <w:rPr>
                <w:sz w:val="12"/>
                <w:szCs w:val="12"/>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08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900" w:type="dxa"/>
            <w:vAlign w:val="bottom"/>
            <w:gridSpan w:val="2"/>
            <w:vMerge w:val="continue"/>
          </w:tcPr>
          <w:p>
            <w:pPr>
              <w:spacing w:after="0"/>
              <w:rPr>
                <w:sz w:val="14"/>
                <w:szCs w:val="14"/>
                <w:color w:val="auto"/>
              </w:rPr>
            </w:pP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2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Douglas Products and Packaging Company LLC</w:t>
            </w:r>
          </w:p>
        </w:tc>
        <w:tc>
          <w:tcPr>
            <w:tcW w:w="16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Chemicals, Plastics and</w:t>
            </w:r>
          </w:p>
        </w:tc>
        <w:tc>
          <w:tcPr>
            <w:tcW w:w="300" w:type="dxa"/>
            <w:vAlign w:val="bottom"/>
            <w:shd w:val="clear" w:color="auto" w:fill="CCEEFF"/>
          </w:tcPr>
          <w:p>
            <w:pPr>
              <w:spacing w:after="0"/>
              <w:rPr>
                <w:sz w:val="9"/>
                <w:szCs w:val="9"/>
                <w:color w:val="auto"/>
              </w:rPr>
            </w:pPr>
          </w:p>
        </w:tc>
        <w:tc>
          <w:tcPr>
            <w:tcW w:w="278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26,403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Sewer Intermediate, LLC)</w:t>
            </w:r>
          </w:p>
        </w:tc>
        <w:tc>
          <w:tcPr>
            <w:tcW w:w="1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Rubber</w:t>
            </w: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L+575, 10/19/2022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(Plant Health Intermediate, Inc.)</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East Old 210 Highway</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East Valley Tourist Development Authority</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Hotel, Gaming and Leisure</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84245 Indio Springs Dr.</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L+800, 03/07/2022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Indio, CA 92203</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(3)</w:t>
            </w:r>
          </w:p>
        </w:tc>
        <w:tc>
          <w:tcPr>
            <w:tcW w:w="19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Banking, Finance,</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9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2"/>
              </w:rPr>
              <w:t>Insurance &amp; Real Estate</w:t>
            </w: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L+500, 10/05/2023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78738</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Education Networks of America, Inc.</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Telecommunications</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First Lien Secured Debt</w:t>
            </w:r>
            <w:r>
              <w:rPr>
                <w:rFonts w:ascii="Arial" w:cs="Arial" w:eastAsia="Arial" w:hAnsi="Arial"/>
                <w:sz w:val="12"/>
                <w:szCs w:val="12"/>
                <w:color w:val="auto"/>
                <w:w w:val="96"/>
              </w:rPr>
              <w:t>(4)</w:t>
            </w:r>
            <w:r>
              <w:rPr>
                <w:rFonts w:ascii="Arial" w:cs="Arial" w:eastAsia="Arial" w:hAnsi="Arial"/>
                <w:sz w:val="14"/>
                <w:szCs w:val="14"/>
                <w:color w:val="auto"/>
                <w:w w:val="96"/>
              </w:rPr>
              <w:t>, 1M L+750 (PIK</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618 Grassmere Park Drive</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tcPr>
          <w:p>
            <w:pPr>
              <w:jc w:val="center"/>
              <w:spacing w:after="0" w:line="149" w:lineRule="exact"/>
              <w:rPr>
                <w:sz w:val="20"/>
                <w:szCs w:val="20"/>
                <w:color w:val="auto"/>
              </w:rPr>
            </w:pPr>
            <w:r>
              <w:rPr>
                <w:rFonts w:ascii="Arial" w:cs="Arial" w:eastAsia="Arial" w:hAnsi="Arial"/>
                <w:sz w:val="14"/>
                <w:szCs w:val="14"/>
                <w:color w:val="auto"/>
                <w:w w:val="92"/>
              </w:rPr>
              <w:t>2.5%), 05/06/2021</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Suite 12</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Nashville, TN 37211</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Efficient Collaborative Retail Marketing Company, LLC</w:t>
            </w:r>
          </w:p>
        </w:tc>
        <w:tc>
          <w:tcPr>
            <w:tcW w:w="190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Media: Diversified and</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27070 Miles Road, Suite A</w:t>
            </w:r>
          </w:p>
        </w:tc>
        <w:tc>
          <w:tcPr>
            <w:tcW w:w="19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Production</w:t>
            </w: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L+675, 06/15/2022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FlexPrint, LLC</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Professional Services</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2845 N. Omaha Street</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L+620, 01/02/2024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Mesa, AZ 85215</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9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5"/>
              </w:rPr>
              <w:t>Construction and Building</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GCOM Software LLC</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High Tech Industries</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14,346</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(GCOM InvestCo LP)</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L+625, 11/14/2022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24 Madison Avenue (Extension 4)</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Albany, NY 12203</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Good2Grow LLC</w:t>
            </w:r>
          </w:p>
        </w:tc>
        <w:tc>
          <w:tcPr>
            <w:tcW w:w="19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89"/>
              </w:rPr>
              <w:t>Beverages</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2859 Paces Ferry Road SE #2100</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L+425, 11/18/2024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30339</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GSM Holdings, Inc.</w:t>
            </w: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Goods: Durable</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3385 Roy Orr Blvd., Suite B</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L+450, 06/03/2024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Grand Prairie, TX 75050</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9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Media</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L+625, 12/10/2024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IMIA Holdings, Inc.</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Aerospace and Defense</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 10/28/2024</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6470 Spanish Fort Boulevard Suite 300</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Spanish Fort, AL 36527</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Group, LLC</w:t>
            </w:r>
          </w:p>
        </w:tc>
        <w:tc>
          <w:tcPr>
            <w:tcW w:w="19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Wholesale</w:t>
            </w:r>
          </w:p>
        </w:tc>
        <w:tc>
          <w:tcPr>
            <w:tcW w:w="30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L+650, 06/27/2023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gridSpan w:val="3"/>
          </w:tcPr>
          <w:p>
            <w:pPr>
              <w:spacing w:after="0"/>
              <w:rPr>
                <w:sz w:val="20"/>
                <w:szCs w:val="20"/>
                <w:color w:val="auto"/>
              </w:rPr>
            </w:pPr>
            <w:r>
              <w:rPr>
                <w:rFonts w:ascii="Arial" w:cs="Arial" w:eastAsia="Arial" w:hAnsi="Arial"/>
                <w:sz w:val="14"/>
                <w:szCs w:val="14"/>
                <w:color w:val="auto"/>
              </w:rPr>
              <w:t>Innova Medical Ophthalmics Inc.</w:t>
            </w:r>
            <w:r>
              <w:rPr>
                <w:rFonts w:ascii="Arial" w:cs="Arial" w:eastAsia="Arial" w:hAnsi="Arial"/>
                <w:sz w:val="12"/>
                <w:szCs w:val="12"/>
                <w:color w:val="auto"/>
              </w:rPr>
              <w:t>(3)</w:t>
            </w: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Capital Equipment</w:t>
            </w:r>
          </w:p>
        </w:tc>
        <w:tc>
          <w:tcPr>
            <w:tcW w:w="3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17,506</w:t>
            </w: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(Lombart Brothers, Inc.)</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L+625, 04/13/2022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tcPr>
          <w:p>
            <w:pPr>
              <w:spacing w:after="0" w:line="149" w:lineRule="exact"/>
              <w:rPr>
                <w:sz w:val="20"/>
                <w:szCs w:val="20"/>
                <w:color w:val="auto"/>
              </w:rPr>
            </w:pPr>
            <w:r>
              <w:rPr>
                <w:rFonts w:ascii="Arial" w:cs="Arial" w:eastAsia="Arial" w:hAnsi="Arial"/>
                <w:sz w:val="14"/>
                <w:szCs w:val="14"/>
                <w:color w:val="auto"/>
              </w:rPr>
              <w:t>5358 Robin Hood Road</w:t>
            </w: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3"/>
          </w:tcPr>
          <w:p>
            <w:pPr>
              <w:spacing w:after="0"/>
              <w:rPr>
                <w:sz w:val="20"/>
                <w:szCs w:val="20"/>
                <w:color w:val="auto"/>
              </w:rPr>
            </w:pPr>
            <w:r>
              <w:rPr>
                <w:rFonts w:ascii="Arial" w:cs="Arial" w:eastAsia="Arial" w:hAnsi="Arial"/>
                <w:sz w:val="14"/>
                <w:szCs w:val="14"/>
                <w:color w:val="auto"/>
              </w:rPr>
              <w:t>Norfolk, VA 23513</w:t>
            </w: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280" w:type="dxa"/>
            <w:vAlign w:val="bottom"/>
            <w:gridSpan w:val="2"/>
          </w:tcPr>
          <w:p>
            <w:pPr>
              <w:jc w:val="right"/>
              <w:ind w:right="598"/>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20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200" w:type="dxa"/>
            <w:vAlign w:val="bottom"/>
            <w:gridSpan w:val="2"/>
            <w:vMerge w:val="continue"/>
          </w:tcPr>
          <w:p>
            <w:pPr>
              <w:spacing w:after="0"/>
              <w:rPr>
                <w:sz w:val="12"/>
                <w:szCs w:val="12"/>
                <w:color w:val="auto"/>
              </w:rPr>
            </w:pPr>
          </w:p>
        </w:tc>
        <w:tc>
          <w:tcPr>
            <w:tcW w:w="1280" w:type="dxa"/>
            <w:vAlign w:val="bottom"/>
            <w:gridSpan w:val="2"/>
          </w:tcPr>
          <w:p>
            <w:pPr>
              <w:jc w:val="right"/>
              <w:ind w:right="478"/>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9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80" w:type="dxa"/>
            <w:vAlign w:val="bottom"/>
            <w:gridSpan w:val="2"/>
          </w:tcPr>
          <w:p>
            <w:pPr>
              <w:jc w:val="right"/>
              <w:ind w:right="398"/>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Integrative Nutrition, LLC</w:t>
            </w:r>
          </w:p>
        </w:tc>
        <w:tc>
          <w:tcPr>
            <w:tcW w:w="13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9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460" w:type="dxa"/>
            <w:vAlign w:val="bottom"/>
            <w:tcBorders>
              <w:top w:val="single" w:sz="8" w:color="CCEEFF"/>
            </w:tcBorders>
            <w:shd w:val="clear" w:color="auto" w:fill="CCEEFF"/>
          </w:tcPr>
          <w:p>
            <w:pPr>
              <w:jc w:val="right"/>
              <w:ind w:right="278"/>
              <w:spacing w:after="0" w:line="109" w:lineRule="exact"/>
              <w:rPr>
                <w:sz w:val="20"/>
                <w:szCs w:val="20"/>
                <w:color w:val="auto"/>
              </w:rPr>
            </w:pPr>
            <w:r>
              <w:rPr>
                <w:rFonts w:ascii="Arial" w:cs="Arial" w:eastAsia="Arial" w:hAnsi="Arial"/>
                <w:sz w:val="12"/>
                <w:szCs w:val="12"/>
                <w:color w:val="auto"/>
                <w:w w:val="93"/>
              </w:rPr>
              <w:t>%</w:t>
            </w: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(IIN Group Holdings, LLC)</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L+475, 09/29/2023</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12"/>
                <w:szCs w:val="12"/>
                <w:color w:val="auto"/>
              </w:rPr>
              <w:t>th</w:t>
            </w:r>
            <w:r>
              <w:rPr>
                <w:rFonts w:ascii="Arial" w:cs="Arial" w:eastAsia="Arial" w:hAnsi="Arial"/>
                <w:sz w:val="14"/>
                <w:szCs w:val="14"/>
                <w:color w:val="auto"/>
              </w:rPr>
              <w:t xml:space="preserve"> Avenue</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Inventus Power, Inc.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Goods: Durable</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L+650, 04/30/2020</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1200 Internationale Parkway</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Woodridge, IL 60517</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JWC/UMA Holdings, L.P.</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Healthcare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Common Equity</w:t>
            </w:r>
          </w:p>
        </w:tc>
        <w:tc>
          <w:tcPr>
            <w:tcW w:w="1280" w:type="dxa"/>
            <w:vAlign w:val="bottom"/>
            <w:gridSpan w:val="2"/>
            <w:shd w:val="clear" w:color="auto" w:fill="CCEEFF"/>
          </w:tcPr>
          <w:p>
            <w:pPr>
              <w:jc w:val="right"/>
              <w:ind w:right="278"/>
              <w:spacing w:after="0" w:line="130"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1515 Broad Street, Suite 120</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Bloomfield, NJ 07003</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Chemicals, Plastics and</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96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Rubber</w:t>
            </w: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L+525, 12/20/2023</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Uniontown, OH 44685</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Kentucky Downs, LLC</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Hotels, Restaurants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 Racing Holdco, LLC)</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Leisure</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L+850, 03/07/2025</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5629 Nashville Road</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2"/>
              </w:rPr>
              <w:t>Warrants</w:t>
            </w:r>
            <w:r>
              <w:rPr>
                <w:rFonts w:ascii="Arial" w:cs="Arial" w:eastAsia="Arial" w:hAnsi="Arial"/>
                <w:sz w:val="12"/>
                <w:szCs w:val="12"/>
                <w:color w:val="auto"/>
                <w:w w:val="92"/>
              </w:rPr>
              <w:t>(5)</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Franklin, KY 42134</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KHC Holdings, Inc.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Wholesale</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12,511</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3300 Brother Boulevard</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L+600, 10/31/2022</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Memphis, TN 38133</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Lago Resort &amp; Casino, LLC</w:t>
            </w:r>
          </w:p>
        </w:tc>
        <w:tc>
          <w:tcPr>
            <w:tcW w:w="2820" w:type="dxa"/>
            <w:vAlign w:val="bottom"/>
            <w:gridSpan w:val="3"/>
            <w:shd w:val="clear" w:color="auto" w:fill="CCEEFF"/>
          </w:tcPr>
          <w:p>
            <w:pPr>
              <w:jc w:val="center"/>
              <w:ind w:left="608"/>
              <w:spacing w:after="0" w:line="130" w:lineRule="exact"/>
              <w:rPr>
                <w:sz w:val="20"/>
                <w:szCs w:val="20"/>
                <w:color w:val="auto"/>
              </w:rPr>
            </w:pPr>
            <w:r>
              <w:rPr>
                <w:rFonts w:ascii="Arial" w:cs="Arial" w:eastAsia="Arial" w:hAnsi="Arial"/>
                <w:sz w:val="14"/>
                <w:szCs w:val="14"/>
                <w:color w:val="auto"/>
                <w:w w:val="94"/>
              </w:rPr>
              <w:t>Hotel, Gaming and Leisure</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3M L+950, 03/07/2022</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1133 Ridge Road (Rt 414)</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Waterloo, NY 13165</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LAV Gear Holdings, Inc.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Capital Equipment</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3165 W Sunset Rd</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L+550, 10/31/2024</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Las Vegas, NV 89118</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LifeCare Holdings LLC</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Healthcare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3"/>
              </w:rPr>
              <w:t>—, 11/30/2021</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9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Long Island Vision Management, LLC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805 Broadway</w:t>
            </w:r>
          </w:p>
        </w:tc>
        <w:tc>
          <w:tcPr>
            <w:tcW w:w="96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L+475, 09/11/2023</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New York, NY 11701</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Long’s Drugs Incorporated</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Healthcare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L+500, 08/19/2022</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SC 29210</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LSF9 Atlantis Holdings, LLC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Retail</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L+600, 05/01/2023</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Eden Prairie, MN 55344</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Media: Advertising,</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Second Lien Secured Debt,</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Manna Pro Products, LLC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Consumer Goods:</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L+600, 12/08/2023</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707 Spirit 40 Park Drive, #150</w:t>
            </w:r>
          </w:p>
        </w:tc>
        <w:tc>
          <w:tcPr>
            <w:tcW w:w="96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Chesterfield, MO 63005</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9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Media: Diversified and</w:t>
            </w:r>
          </w:p>
        </w:tc>
        <w:tc>
          <w:tcPr>
            <w:tcW w:w="320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USD (3M L+525,</w:t>
            </w:r>
          </w:p>
        </w:tc>
        <w:tc>
          <w:tcPr>
            <w:tcW w:w="1280" w:type="dxa"/>
            <w:vAlign w:val="bottom"/>
            <w:gridSpan w:val="2"/>
            <w:shd w:val="clear" w:color="auto" w:fill="CCEEFF"/>
          </w:tcPr>
          <w:p>
            <w:pPr>
              <w:jc w:val="right"/>
              <w:ind w:right="45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9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Production</w:t>
            </w:r>
          </w:p>
        </w:tc>
        <w:tc>
          <w:tcPr>
            <w:tcW w:w="320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01/27/2023), CAD (P+275, 01/27/2023)</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4"/>
                <w:szCs w:val="14"/>
                <w:color w:val="auto"/>
              </w:rPr>
              <w:t>McAfee, LLC</w:t>
            </w:r>
          </w:p>
        </w:tc>
        <w:tc>
          <w:tcPr>
            <w:tcW w:w="9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High Tech Industries</w:t>
            </w:r>
          </w:p>
        </w:tc>
        <w:tc>
          <w:tcPr>
            <w:tcW w:w="320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Second Lien Secured Debt,</w:t>
            </w:r>
          </w:p>
        </w:tc>
        <w:tc>
          <w:tcPr>
            <w:tcW w:w="1280" w:type="dxa"/>
            <w:vAlign w:val="bottom"/>
            <w:gridSpan w:val="2"/>
          </w:tcPr>
          <w:p>
            <w:pPr>
              <w:jc w:val="right"/>
              <w:ind w:right="4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L+850, 09/29/2025</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3"/>
          </w:tcPr>
          <w:p>
            <w:pPr>
              <w:spacing w:after="0"/>
              <w:rPr>
                <w:sz w:val="20"/>
                <w:szCs w:val="20"/>
                <w:color w:val="auto"/>
              </w:rPr>
            </w:pPr>
            <w:r>
              <w:rPr>
                <w:rFonts w:ascii="Arial" w:cs="Arial" w:eastAsia="Arial" w:hAnsi="Arial"/>
                <w:sz w:val="14"/>
                <w:szCs w:val="14"/>
                <w:color w:val="auto"/>
              </w:rPr>
              <w:t>Santa Clara, CA 95054</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420" w:type="dxa"/>
            <w:vAlign w:val="bottom"/>
            <w:gridSpan w:val="2"/>
          </w:tcPr>
          <w:p>
            <w:pPr>
              <w:jc w:val="center"/>
              <w:ind w:right="518"/>
              <w:spacing w:after="0"/>
              <w:rPr>
                <w:sz w:val="20"/>
                <w:szCs w:val="20"/>
                <w:color w:val="auto"/>
              </w:rPr>
            </w:pPr>
            <w:r>
              <w:rPr>
                <w:rFonts w:ascii="Arial" w:cs="Arial" w:eastAsia="Arial" w:hAnsi="Arial"/>
                <w:sz w:val="14"/>
                <w:szCs w:val="14"/>
                <w:b w:val="1"/>
                <w:bCs w:val="1"/>
                <w:color w:val="auto"/>
                <w:w w:val="91"/>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240" w:type="dxa"/>
            <w:vAlign w:val="bottom"/>
            <w:gridSpan w:val="3"/>
            <w:vMerge w:val="continue"/>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060" w:type="dxa"/>
            <w:vAlign w:val="bottom"/>
            <w:gridSpan w:val="2"/>
            <w:vMerge w:val="continue"/>
          </w:tcPr>
          <w:p>
            <w:pPr>
              <w:spacing w:after="0"/>
              <w:rPr>
                <w:sz w:val="12"/>
                <w:szCs w:val="12"/>
                <w:color w:val="auto"/>
              </w:rPr>
            </w:pPr>
          </w:p>
        </w:tc>
        <w:tc>
          <w:tcPr>
            <w:tcW w:w="1420" w:type="dxa"/>
            <w:vAlign w:val="bottom"/>
            <w:gridSpan w:val="2"/>
          </w:tcPr>
          <w:p>
            <w:pPr>
              <w:jc w:val="right"/>
              <w:ind w:right="598"/>
              <w:spacing w:after="0" w:line="145" w:lineRule="exact"/>
              <w:rPr>
                <w:sz w:val="20"/>
                <w:szCs w:val="20"/>
                <w:color w:val="auto"/>
              </w:rPr>
            </w:pPr>
            <w:r>
              <w:rPr>
                <w:rFonts w:ascii="Arial" w:cs="Arial" w:eastAsia="Arial" w:hAnsi="Arial"/>
                <w:sz w:val="14"/>
                <w:szCs w:val="14"/>
                <w:b w:val="1"/>
                <w:bCs w:val="1"/>
                <w:color w:val="auto"/>
                <w:w w:val="97"/>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80" w:type="dxa"/>
            <w:vAlign w:val="bottom"/>
            <w:gridSpan w:val="2"/>
            <w:vMerge w:val="continue"/>
          </w:tcPr>
          <w:p>
            <w:pPr>
              <w:spacing w:after="0"/>
              <w:rPr>
                <w:sz w:val="15"/>
                <w:szCs w:val="15"/>
                <w:color w:val="auto"/>
              </w:rPr>
            </w:pP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420" w:type="dxa"/>
            <w:vAlign w:val="bottom"/>
            <w:gridSpan w:val="2"/>
          </w:tcPr>
          <w:p>
            <w:pPr>
              <w:jc w:val="center"/>
              <w:ind w:right="5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MeritDirect, LLC</w:t>
            </w:r>
          </w:p>
        </w:tc>
        <w:tc>
          <w:tcPr>
            <w:tcW w:w="236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Media</w:t>
            </w:r>
          </w:p>
        </w:tc>
        <w:tc>
          <w:tcPr>
            <w:tcW w:w="28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1.0</w:t>
            </w:r>
          </w:p>
        </w:tc>
        <w:tc>
          <w:tcPr>
            <w:tcW w:w="600" w:type="dxa"/>
            <w:vAlign w:val="bottom"/>
            <w:tcBorders>
              <w:top w:val="single" w:sz="8" w:color="CCEEFF"/>
            </w:tcBorders>
            <w:shd w:val="clear" w:color="auto" w:fill="CCEEFF"/>
          </w:tcPr>
          <w:p>
            <w:pPr>
              <w:jc w:val="right"/>
              <w:ind w:right="418"/>
              <w:spacing w:after="0" w:line="109" w:lineRule="exact"/>
              <w:rPr>
                <w:sz w:val="20"/>
                <w:szCs w:val="20"/>
                <w:color w:val="auto"/>
              </w:rPr>
            </w:pPr>
            <w:r>
              <w:rPr>
                <w:rFonts w:ascii="Arial" w:cs="Arial" w:eastAsia="Arial" w:hAnsi="Arial"/>
                <w:sz w:val="12"/>
                <w:szCs w:val="12"/>
                <w:color w:val="auto"/>
                <w:w w:val="93"/>
              </w:rPr>
              <w:t>%</w:t>
            </w: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L+550, 05/23/2024</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Mission Critical Electronics, Inc.</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Capital Equipment</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2911 W. Garry Ave.</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L+500, 09/28/2021</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Santa Ana, CA 92704</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Montreign Operating Company, LLC</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Hotel, Gaming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24,345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204 State Route 17B</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L+825, 01/24/2023</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Monticello, NY 12701</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Nuvei Technologies Corp.</w:t>
            </w:r>
            <w:r>
              <w:rPr>
                <w:rFonts w:ascii="Arial" w:cs="Arial" w:eastAsia="Arial" w:hAnsi="Arial"/>
                <w:sz w:val="12"/>
                <w:szCs w:val="12"/>
                <w:color w:val="auto"/>
              </w:rPr>
              <w:t>(3)</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Diversified Financial</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 P+400, 09/28/2025</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19,651</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1100 Rene Levsque West Suite 900</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Services</w:t>
            </w: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Montreal, Quebec, H3B 4N4</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Olde Thompson, LLC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Beverage, Food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3250 Camino Del Sol</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89"/>
              </w:rPr>
              <w:t>Tobacco</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L+450, 05/14/2024</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Oxnard, CA 93030</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Output Services Group, Inc.</w:t>
            </w: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Business Services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100 Challenger Road #303</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L+450, 03/27/2024</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Ridgefield Park, NJ 07660</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Construction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700 Centreville Rd.</w:t>
            </w:r>
          </w:p>
        </w:tc>
        <w:tc>
          <w:tcPr>
            <w:tcW w:w="17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rPr>
              <w:t>Building</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L+625, 02/27/2023</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MI 49042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Peninsula Pacific Entertainment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Hotel, Gaming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13,276</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Leisure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L+725, 11/13/2024</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New Kent, VA 23124</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(3)</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Beverage, Food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89"/>
              </w:rPr>
              <w:t>Tobacco</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L+525, 06/01/2023</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PlayPower, Inc.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Leisure Products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L+550, 05/08/2026</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Huntersville, NC 28078</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Business Services</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L+700, 08/08/2022</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PT Network,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Second Lien Secured Debt, 3M L+1,000 PIK,</w:t>
            </w:r>
          </w:p>
        </w:tc>
        <w:tc>
          <w:tcPr>
            <w:tcW w:w="1420" w:type="dxa"/>
            <w:vAlign w:val="bottom"/>
            <w:gridSpan w:val="2"/>
          </w:tcPr>
          <w:p>
            <w:pPr>
              <w:ind w:left="640"/>
              <w:spacing w:after="0"/>
              <w:rPr>
                <w:sz w:val="20"/>
                <w:szCs w:val="20"/>
                <w:color w:val="auto"/>
              </w:rPr>
            </w:pPr>
            <w:r>
              <w:rPr>
                <w:rFonts w:ascii="Arial" w:cs="Arial" w:eastAsia="Arial" w:hAnsi="Arial"/>
                <w:sz w:val="14"/>
                <w:szCs w:val="14"/>
                <w:color w:val="auto"/>
              </w:rPr>
              <w:t>2.5%</w:t>
            </w:r>
            <w:r>
              <w:rPr>
                <w:rFonts w:ascii="Arial" w:cs="Arial" w:eastAsia="Arial" w:hAnsi="Arial"/>
                <w:sz w:val="12"/>
                <w:szCs w:val="12"/>
                <w:color w:val="auto"/>
              </w:rPr>
              <w:t>(6)</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(PT Network Intermediate Holdings, LLC)</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780" w:type="dxa"/>
            <w:vAlign w:val="bottom"/>
          </w:tcPr>
          <w:p>
            <w:pPr>
              <w:jc w:val="center"/>
              <w:spacing w:after="0" w:line="149" w:lineRule="exact"/>
              <w:rPr>
                <w:sz w:val="20"/>
                <w:szCs w:val="20"/>
                <w:color w:val="auto"/>
              </w:rPr>
            </w:pPr>
            <w:r>
              <w:rPr>
                <w:rFonts w:ascii="Arial" w:cs="Arial" w:eastAsia="Arial" w:hAnsi="Arial"/>
                <w:sz w:val="14"/>
                <w:szCs w:val="14"/>
                <w:color w:val="auto"/>
                <w:w w:val="94"/>
              </w:rPr>
              <w:t>11/30/2024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(CI (PTN) Investment Holdings II, LLC)</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501 Fairmount Avenue</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Towson, MD 21286</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0"/>
              </w:rPr>
              <w:t>Aerospace and Defense</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L+525, 09/04/2024</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3"/>
          </w:tcPr>
          <w:p>
            <w:pPr>
              <w:spacing w:after="0"/>
              <w:rPr>
                <w:sz w:val="20"/>
                <w:szCs w:val="20"/>
                <w:color w:val="auto"/>
              </w:rPr>
            </w:pPr>
            <w:r>
              <w:rPr>
                <w:rFonts w:ascii="Arial" w:cs="Arial" w:eastAsia="Arial" w:hAnsi="Arial"/>
                <w:sz w:val="14"/>
                <w:szCs w:val="14"/>
                <w:color w:val="auto"/>
              </w:rPr>
              <w:t>Questex, LLC</w:t>
            </w: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Media: Diversified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Production</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L+500, 09/09/2024</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Newton, MA 02466</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2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8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7"/>
              </w:rPr>
              <w:t>Media: Advertising,</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7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Printing and Publishing</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L+625, 06/28/2022</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160" w:type="dxa"/>
            <w:vAlign w:val="bottom"/>
            <w:gridSpan w:val="3"/>
            <w:vMerge w:val="continue"/>
          </w:tcPr>
          <w:p>
            <w:pPr>
              <w:spacing w:after="0"/>
              <w:rPr>
                <w:sz w:val="12"/>
                <w:szCs w:val="12"/>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1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920" w:type="dxa"/>
            <w:vAlign w:val="bottom"/>
            <w:gridSpan w:val="2"/>
            <w:vMerge w:val="continue"/>
          </w:tcPr>
          <w:p>
            <w:pPr>
              <w:spacing w:after="0"/>
              <w:rPr>
                <w:sz w:val="14"/>
                <w:szCs w:val="14"/>
                <w:color w:val="auto"/>
              </w:rPr>
            </w:pP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1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Research Now Group, Inc. and Survey Sampling International</w:t>
            </w:r>
          </w:p>
        </w:tc>
        <w:tc>
          <w:tcPr>
            <w:tcW w:w="162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300" w:type="dxa"/>
            <w:vAlign w:val="bottom"/>
            <w:shd w:val="clear" w:color="auto" w:fill="CCEEFF"/>
          </w:tcPr>
          <w:p>
            <w:pPr>
              <w:spacing w:after="0"/>
              <w:rPr>
                <w:sz w:val="9"/>
                <w:szCs w:val="9"/>
                <w:color w:val="auto"/>
              </w:rPr>
            </w:pPr>
          </w:p>
        </w:tc>
        <w:tc>
          <w:tcPr>
            <w:tcW w:w="286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 3M L+550, 12/20/2024</w:t>
            </w: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24,601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4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rPr>
              <w:t>LLC</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Riverpoint Medical, LLC</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Healthcare Equipment and</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825 NE 25th Avenue</w:t>
            </w: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Supplies</w:t>
            </w: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3M L+500,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Portland, OR 97232</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1M L+600, 02/28/2022</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Schlesinger Global, Inc.</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Professional Services</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19,327</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L+500, 07/14/2025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Iselin, NJ 08830</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Commercial Services &amp;</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Supplies</w:t>
            </w:r>
          </w:p>
        </w:tc>
        <w:tc>
          <w:tcPr>
            <w:tcW w:w="31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L+650, 05/03/2024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2"/>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Smile Brands Inc.</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Healthcare and</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100 Spectrum Center Drive</w:t>
            </w:r>
          </w:p>
        </w:tc>
        <w:tc>
          <w:tcPr>
            <w:tcW w:w="1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Pharmaceuticals</w:t>
            </w: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1M L+450, 10/14/2024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Irvine, CA 92618</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Snak Club, LLC</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Beverage, Food and</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5560 E Slauson Ave</w:t>
            </w:r>
          </w:p>
        </w:tc>
        <w:tc>
          <w:tcPr>
            <w:tcW w:w="1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Tobacco</w:t>
            </w:r>
          </w:p>
        </w:tc>
        <w:tc>
          <w:tcPr>
            <w:tcW w:w="31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3M L+600, 07/19/2021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Commerce, CA 90040</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Solutionreach, Inc.</w:t>
            </w: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Healthcare Technology</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3M L+575, 01/17/2024</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2600 N. Ashton Blvd.</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Lehi, UT 84043</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TeleGuam Holdings, LLC</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1M L+500, 07/25/2023</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Tamuning, Guam 96913</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Teneo Holdings LLC</w:t>
            </w:r>
          </w:p>
        </w:tc>
        <w:tc>
          <w:tcPr>
            <w:tcW w:w="1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7"/>
              </w:rPr>
              <w:t>Diversified Financial</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1M L+525, 07/18/2025</w:t>
            </w:r>
          </w:p>
        </w:tc>
        <w:tc>
          <w:tcPr>
            <w:tcW w:w="1260" w:type="dxa"/>
            <w:vAlign w:val="bottom"/>
            <w:gridSpan w:val="2"/>
            <w:shd w:val="clear" w:color="auto" w:fill="CCEEFF"/>
          </w:tcPr>
          <w:p>
            <w:pPr>
              <w:jc w:val="right"/>
              <w:ind w:right="52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 Park Avenue, 4th Floor</w:t>
            </w:r>
          </w:p>
        </w:tc>
        <w:tc>
          <w:tcPr>
            <w:tcW w:w="1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89"/>
              </w:rPr>
              <w:t>Services</w:t>
            </w: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Tensar Corporation</w:t>
            </w: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Construction and Buildings</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First Lien Secured Debt, 3M L+475, 07/09/2021</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21,716</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Alpharetta, GA 30009</w:t>
            </w: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Infosoft Group, LLC</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Media: Broadcasting and</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 3M L+525, 09/16/2024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InfosoftCoInvest, LLC)</w:t>
            </w:r>
          </w:p>
        </w:tc>
        <w:tc>
          <w:tcPr>
            <w:tcW w:w="19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Subscription</w:t>
            </w:r>
          </w:p>
        </w:tc>
        <w:tc>
          <w:tcPr>
            <w:tcW w:w="31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Milwaukee, WI 53202</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The Original Cakerie, Co.</w:t>
            </w:r>
            <w:r>
              <w:rPr>
                <w:rFonts w:ascii="Arial" w:cs="Arial" w:eastAsia="Arial" w:hAnsi="Arial"/>
                <w:sz w:val="12"/>
                <w:szCs w:val="12"/>
                <w:color w:val="auto"/>
              </w:rPr>
              <w:t>(3)</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13,154</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The Original Cakerie Ltd.</w:t>
            </w:r>
            <w:r>
              <w:rPr>
                <w:rFonts w:ascii="Arial" w:cs="Arial" w:eastAsia="Arial" w:hAnsi="Arial"/>
                <w:sz w:val="12"/>
                <w:szCs w:val="12"/>
                <w:color w:val="auto"/>
              </w:rPr>
              <w:t>(3)</w:t>
            </w: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The Original Cakerie, Co.</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1345 Cliveden Ave</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(2M L+500, 07/20/2022),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Delta, BC V3M 6C7, Canada</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The Original Cakerie, Ltd.</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6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(2M L+450, 07/20/2022)</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TPC Broadband Investors, LP</w:t>
            </w:r>
            <w:r>
              <w:rPr>
                <w:rFonts w:ascii="Arial" w:cs="Arial" w:eastAsia="Arial" w:hAnsi="Arial"/>
                <w:sz w:val="12"/>
                <w:szCs w:val="12"/>
                <w:color w:val="auto"/>
              </w:rPr>
              <w:t>(5)</w:t>
            </w:r>
          </w:p>
        </w:tc>
        <w:tc>
          <w:tcPr>
            <w:tcW w:w="19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31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12409 NW 35 Street</w:t>
            </w:r>
          </w:p>
        </w:tc>
        <w:tc>
          <w:tcPr>
            <w:tcW w:w="1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Coral Springs, FL 33065</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16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3080" w:type="dxa"/>
            <w:vAlign w:val="bottom"/>
            <w:gridSpan w:val="2"/>
            <w:vMerge w:val="continue"/>
          </w:tcPr>
          <w:p>
            <w:pPr>
              <w:spacing w:after="0"/>
              <w:rPr>
                <w:sz w:val="12"/>
                <w:szCs w:val="12"/>
                <w:color w:val="auto"/>
              </w:rPr>
            </w:pPr>
          </w:p>
        </w:tc>
        <w:tc>
          <w:tcPr>
            <w:tcW w:w="1400" w:type="dxa"/>
            <w:vAlign w:val="bottom"/>
            <w:gridSpan w:val="2"/>
          </w:tcPr>
          <w:p>
            <w:pPr>
              <w:jc w:val="right"/>
              <w:ind w:right="66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60" w:type="dxa"/>
            <w:vAlign w:val="bottom"/>
            <w:gridSpan w:val="2"/>
            <w:vMerge w:val="continue"/>
          </w:tcPr>
          <w:p>
            <w:pPr>
              <w:spacing w:after="0"/>
              <w:rPr>
                <w:sz w:val="15"/>
                <w:szCs w:val="15"/>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Triad Manufacturing, Inc.</w:t>
            </w:r>
          </w:p>
        </w:tc>
        <w:tc>
          <w:tcPr>
            <w:tcW w:w="228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Capital Equipment</w:t>
            </w:r>
          </w:p>
        </w:tc>
        <w:tc>
          <w:tcPr>
            <w:tcW w:w="280" w:type="dxa"/>
            <w:vAlign w:val="bottom"/>
            <w:tcBorders>
              <w:top w:val="single" w:sz="8" w:color="CCEEFF"/>
            </w:tcBorders>
            <w:shd w:val="clear" w:color="auto" w:fill="CCEEFF"/>
          </w:tcPr>
          <w:p>
            <w:pPr>
              <w:spacing w:after="0"/>
              <w:rPr>
                <w:sz w:val="9"/>
                <w:szCs w:val="9"/>
                <w:color w:val="auto"/>
              </w:rPr>
            </w:pPr>
          </w:p>
        </w:tc>
        <w:tc>
          <w:tcPr>
            <w:tcW w:w="28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7,633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4321 Semple Avenue</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L+1,125, 12/28/2020</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63120</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TVC Enterprises, LLC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Professional Services</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(Gauge TVC Coinvest, LLC)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L+550, 01/18/2024</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6100 Lake Forrest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Atlanta, GA 30328</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TWS Acquisition Corporation</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Diversified Consumer</w:t>
            </w:r>
          </w:p>
        </w:tc>
        <w:tc>
          <w:tcPr>
            <w:tcW w:w="30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jc w:val="right"/>
              <w:ind w:right="6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Tyto Athene, LLC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22,089</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(NXOF Holdings, Inc.)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510 Spring St., #200</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Herndon, VA 20170</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Capital Equipment</w:t>
            </w:r>
          </w:p>
        </w:tc>
        <w:tc>
          <w:tcPr>
            <w:tcW w:w="30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jc w:val="right"/>
              <w:ind w:right="6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UniTek Global Services,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3M L+550, 08/20/2024</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9,802</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1777 Sentry Parkway West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Gwynedd Hall, Ste. 202</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Blue Bell, PA 19422</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Med Acquisition, Inc.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Healthcare and</w:t>
            </w:r>
          </w:p>
        </w:tc>
        <w:tc>
          <w:tcPr>
            <w:tcW w:w="30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 1M L+900, 08/13/2021</w:t>
            </w:r>
          </w:p>
        </w:tc>
        <w:tc>
          <w:tcPr>
            <w:tcW w:w="1400" w:type="dxa"/>
            <w:vAlign w:val="bottom"/>
            <w:gridSpan w:val="2"/>
            <w:shd w:val="clear" w:color="auto" w:fill="CCEEFF"/>
          </w:tcPr>
          <w:p>
            <w:pPr>
              <w:jc w:val="right"/>
              <w:ind w:right="66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8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Doral, FL 33122</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Vision Purchaser Corporation</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Media</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1M L+625, 06/10/2025</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7650 185th Street</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Tinley Park, IL 60477</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JWC-WE Holdings, L.P.</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Wholesale</w:t>
            </w:r>
          </w:p>
        </w:tc>
        <w:tc>
          <w:tcPr>
            <w:tcW w:w="30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140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60" w:type="dxa"/>
            <w:vAlign w:val="bottom"/>
            <w:gridSpan w:val="3"/>
          </w:tcPr>
          <w:p>
            <w:pPr>
              <w:spacing w:after="0"/>
              <w:rPr>
                <w:sz w:val="20"/>
                <w:szCs w:val="20"/>
                <w:color w:val="auto"/>
              </w:rPr>
            </w:pPr>
            <w:r>
              <w:rPr>
                <w:rFonts w:ascii="Arial" w:cs="Arial" w:eastAsia="Arial" w:hAnsi="Arial"/>
                <w:sz w:val="14"/>
                <w:szCs w:val="14"/>
                <w:color w:val="auto"/>
              </w:rPr>
              <w:t>Whitney, Bradley &amp; Brown, Inc.</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 1M L+750, 10/18/2022</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5,686</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(WBB Equity, LLC)</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3"/>
          </w:tcPr>
          <w:p>
            <w:pPr>
              <w:spacing w:after="0"/>
              <w:rPr>
                <w:sz w:val="20"/>
                <w:szCs w:val="20"/>
                <w:color w:val="auto"/>
              </w:rPr>
            </w:pPr>
            <w:r>
              <w:rPr>
                <w:rFonts w:ascii="Arial" w:cs="Arial" w:eastAsia="Arial" w:hAnsi="Arial"/>
                <w:sz w:val="14"/>
                <w:szCs w:val="14"/>
                <w:color w:val="auto"/>
              </w:rPr>
              <w:t>Reston, VA 20191</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tcPr>
          <w:p>
            <w:pPr>
              <w:spacing w:after="0" w:line="130" w:lineRule="exact"/>
              <w:rPr>
                <w:sz w:val="20"/>
                <w:szCs w:val="20"/>
                <w:color w:val="auto"/>
              </w:rPr>
            </w:pPr>
            <w:r>
              <w:rPr>
                <w:rFonts w:ascii="Arial" w:cs="Arial" w:eastAsia="Arial" w:hAnsi="Arial"/>
                <w:sz w:val="14"/>
                <w:szCs w:val="14"/>
                <w:color w:val="auto"/>
              </w:rPr>
              <w:t>Country Fresh Holdings, LLC</w:t>
            </w:r>
          </w:p>
        </w:tc>
        <w:tc>
          <w:tcPr>
            <w:tcW w:w="186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jc w:val="right"/>
              <w:ind w:right="460"/>
              <w:spacing w:after="0" w:line="130"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1"/>
                <w:szCs w:val="11"/>
                <w:color w:val="auto"/>
              </w:rPr>
            </w:pP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14,492</w:t>
            </w: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(Country Fresh Holding Company Inc.)</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3M L+500, 05/01/2023</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15479 Pin Oaks Drive</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Second Lien Secured Debt, 1M L+850 PIK,</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49" w:lineRule="exact"/>
              <w:rPr>
                <w:sz w:val="20"/>
                <w:szCs w:val="20"/>
                <w:color w:val="auto"/>
              </w:rPr>
            </w:pPr>
            <w:r>
              <w:rPr>
                <w:rFonts w:ascii="Arial" w:cs="Arial" w:eastAsia="Arial" w:hAnsi="Arial"/>
                <w:sz w:val="14"/>
                <w:szCs w:val="14"/>
                <w:color w:val="auto"/>
              </w:rPr>
              <w:t>Conroe, TX 77384</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tcPr>
          <w:p>
            <w:pPr>
              <w:jc w:val="center"/>
              <w:spacing w:after="0" w:line="149" w:lineRule="exact"/>
              <w:rPr>
                <w:sz w:val="20"/>
                <w:szCs w:val="20"/>
                <w:color w:val="auto"/>
              </w:rPr>
            </w:pPr>
            <w:r>
              <w:rPr>
                <w:rFonts w:ascii="Arial" w:cs="Arial" w:eastAsia="Arial" w:hAnsi="Arial"/>
                <w:sz w:val="14"/>
                <w:szCs w:val="14"/>
                <w:color w:val="auto"/>
                <w:w w:val="94"/>
              </w:rPr>
              <w:t>04/29/2024</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Quick Weight Loss Centers, LLC</w:t>
            </w:r>
          </w:p>
        </w:tc>
        <w:tc>
          <w:tcPr>
            <w:tcW w:w="18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30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24.0%</w:t>
            </w:r>
            <w:r>
              <w:rPr>
                <w:rFonts w:ascii="Arial" w:cs="Arial" w:eastAsia="Arial" w:hAnsi="Arial"/>
                <w:sz w:val="12"/>
                <w:szCs w:val="12"/>
                <w:color w:val="auto"/>
              </w:rPr>
              <w:t>(6)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(Quick Weight Loss Centers Holdings, LLC)</w:t>
            </w:r>
          </w:p>
        </w:tc>
        <w:tc>
          <w:tcPr>
            <w:tcW w:w="18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3161 Mcnab Road</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Second Lien Secured Debt,</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Pompano Beach, FL 33069</w:t>
            </w: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Voting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380" w:type="dxa"/>
            <w:vAlign w:val="bottom"/>
            <w:gridSpan w:val="3"/>
            <w:vMerge w:val="continue"/>
          </w:tcPr>
          <w:p>
            <w:pPr>
              <w:spacing w:after="0"/>
              <w:rPr>
                <w:sz w:val="12"/>
                <w:szCs w:val="12"/>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100" w:type="dxa"/>
            <w:vAlign w:val="bottom"/>
            <w:gridSpan w:val="2"/>
            <w:vMerge w:val="continue"/>
          </w:tcPr>
          <w:p>
            <w:pPr>
              <w:spacing w:after="0"/>
              <w:rPr>
                <w:sz w:val="12"/>
                <w:szCs w:val="12"/>
                <w:color w:val="auto"/>
              </w:rPr>
            </w:pPr>
          </w:p>
        </w:tc>
        <w:tc>
          <w:tcPr>
            <w:tcW w:w="120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7"/>
              </w:rPr>
              <w:t>Percentage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00" w:type="dxa"/>
            <w:vAlign w:val="bottom"/>
            <w:gridSpan w:val="2"/>
            <w:vMerge w:val="continue"/>
          </w:tcPr>
          <w:p>
            <w:pPr>
              <w:spacing w:after="0"/>
              <w:rPr>
                <w:sz w:val="14"/>
                <w:szCs w:val="14"/>
                <w:color w:val="auto"/>
              </w:rPr>
            </w:pPr>
          </w:p>
        </w:tc>
        <w:tc>
          <w:tcPr>
            <w:tcW w:w="3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3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25% or More Owned</w:t>
            </w:r>
          </w:p>
        </w:tc>
        <w:tc>
          <w:tcPr>
            <w:tcW w:w="1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tcPr>
          <w:p>
            <w:pPr>
              <w:spacing w:after="0" w:line="130" w:lineRule="exact"/>
              <w:rPr>
                <w:sz w:val="20"/>
                <w:szCs w:val="20"/>
                <w:color w:val="auto"/>
              </w:rPr>
            </w:pPr>
            <w:r>
              <w:rPr>
                <w:rFonts w:ascii="Arial" w:cs="Arial" w:eastAsia="Arial" w:hAnsi="Arial"/>
                <w:sz w:val="14"/>
                <w:szCs w:val="14"/>
                <w:color w:val="auto"/>
              </w:rPr>
              <w:t>PennantPark Senior Secured Loan Fund I LLC</w:t>
            </w:r>
            <w:r>
              <w:rPr>
                <w:rFonts w:ascii="Arial" w:cs="Arial" w:eastAsia="Arial" w:hAnsi="Arial"/>
                <w:sz w:val="12"/>
                <w:szCs w:val="12"/>
                <w:color w:val="auto"/>
              </w:rPr>
              <w:t>(3)</w:t>
            </w:r>
          </w:p>
        </w:tc>
        <w:tc>
          <w:tcPr>
            <w:tcW w:w="17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31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2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172,163</w:t>
            </w: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L+800, 05/06/2024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380" w:type="dxa"/>
            <w:vAlign w:val="bottom"/>
            <w:gridSpan w:val="3"/>
          </w:tcPr>
          <w:p>
            <w:pPr>
              <w:spacing w:after="0"/>
              <w:rPr>
                <w:sz w:val="20"/>
                <w:szCs w:val="20"/>
                <w:color w:val="auto"/>
              </w:rPr>
            </w:pPr>
            <w:r>
              <w:rPr>
                <w:rFonts w:ascii="Arial" w:cs="Arial" w:eastAsia="Arial" w:hAnsi="Arial"/>
                <w:sz w:val="14"/>
                <w:szCs w:val="14"/>
                <w:color w:val="auto"/>
              </w:rPr>
              <w:t>New York, NY 10022</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Equity Interest</w:t>
            </w:r>
            <w:r>
              <w:rPr>
                <w:rFonts w:ascii="Arial" w:cs="Arial" w:eastAsia="Arial" w:hAnsi="Arial"/>
                <w:sz w:val="12"/>
                <w:szCs w:val="12"/>
                <w:color w:val="auto"/>
                <w:w w:val="94"/>
              </w:rPr>
              <w:t>(4)</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1,081,707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975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64" w:lineRule="exact"/>
        <w:rPr>
          <w:sz w:val="20"/>
          <w:szCs w:val="20"/>
          <w:color w:val="auto"/>
        </w:rPr>
      </w:pPr>
    </w:p>
    <w:p>
      <w:pPr>
        <w:ind w:left="460" w:right="120" w:hanging="452"/>
        <w:spacing w:after="0" w:line="243" w:lineRule="auto"/>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460" w:hanging="452"/>
        <w:spacing w:after="0" w:line="22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jc w:val="both"/>
        <w:ind w:left="460" w:right="80" w:hanging="452"/>
        <w:spacing w:after="0" w:line="22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460" w:right="80" w:hanging="452"/>
        <w:spacing w:after="0" w:line="22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460" w:hanging="452"/>
        <w:spacing w:after="0" w:line="221"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840" w:type="dxa"/>
            <w:vAlign w:val="bottom"/>
          </w:tcPr>
          <w:p>
            <w:pPr>
              <w:spacing w:after="0"/>
              <w:rPr>
                <w:sz w:val="14"/>
                <w:szCs w:val="14"/>
                <w:color w:val="auto"/>
              </w:rPr>
            </w:pPr>
          </w:p>
        </w:tc>
        <w:tc>
          <w:tcPr>
            <w:tcW w:w="276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w w:val="90"/>
              </w:rPr>
              <w:t>September 30, 2019</w:t>
            </w:r>
            <w:r>
              <w:rPr>
                <w:rFonts w:ascii="Arial" w:cs="Arial" w:eastAsia="Arial" w:hAnsi="Arial"/>
                <w:sz w:val="12"/>
                <w:szCs w:val="12"/>
                <w:b w:val="1"/>
                <w:bCs w:val="1"/>
                <w:color w:val="auto"/>
                <w:w w:val="90"/>
              </w:rPr>
              <w:t>(1)</w:t>
            </w:r>
          </w:p>
        </w:tc>
        <w:tc>
          <w:tcPr>
            <w:tcW w:w="1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September 30, 2018</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36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5260" w:type="dxa"/>
            <w:vAlign w:val="bottom"/>
            <w:gridSpan w:val="3"/>
            <w:vMerge w:val="continue"/>
            <w:shd w:val="clear" w:color="auto" w:fill="CCEEFF"/>
          </w:tcPr>
          <w:p>
            <w:pPr>
              <w:spacing w:after="0"/>
              <w:rPr>
                <w:sz w:val="17"/>
                <w:szCs w:val="17"/>
                <w:color w:val="auto"/>
              </w:rPr>
            </w:pPr>
          </w:p>
        </w:tc>
        <w:tc>
          <w:tcPr>
            <w:tcW w:w="2760" w:type="dxa"/>
            <w:vAlign w:val="bottom"/>
            <w:gridSpan w:val="2"/>
            <w:shd w:val="clear" w:color="auto" w:fill="CCEEFF"/>
          </w:tcPr>
          <w:p>
            <w:pPr>
              <w:jc w:val="right"/>
              <w:ind w:right="1260"/>
              <w:spacing w:after="0" w:line="203" w:lineRule="exact"/>
              <w:rPr>
                <w:sz w:val="20"/>
                <w:szCs w:val="20"/>
                <w:color w:val="auto"/>
              </w:rPr>
            </w:pPr>
            <w:r>
              <w:rPr>
                <w:rFonts w:ascii="Arial" w:cs="Arial" w:eastAsia="Arial" w:hAnsi="Arial"/>
                <w:sz w:val="18"/>
                <w:szCs w:val="18"/>
                <w:color w:val="auto"/>
              </w:rPr>
              <w:t>7%</w:t>
            </w: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6</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Media</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5</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Consumer Goods: Non-Durable</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Diversified Financial Services</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Building Products</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Hotels, Restaurants and Leisure</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Diversified Consumer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Healthcare Technology</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 Services</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760" w:type="dxa"/>
            <w:vAlign w:val="bottom"/>
            <w:gridSpan w:val="2"/>
          </w:tcPr>
          <w:p>
            <w:pPr>
              <w:jc w:val="right"/>
              <w:ind w:right="140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2"/>
          </w:tcPr>
          <w:p>
            <w:pPr>
              <w:jc w:val="right"/>
              <w:ind w:right="1260"/>
              <w:spacing w:after="0"/>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66"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20" w:type="dxa"/>
            <w:vAlign w:val="bottom"/>
            <w:vMerge w:val="restart"/>
          </w:tcPr>
          <w:p>
            <w:pPr>
              <w:spacing w:after="0"/>
              <w:rPr>
                <w:sz w:val="14"/>
                <w:szCs w:val="14"/>
                <w:color w:val="auto"/>
              </w:rPr>
            </w:pPr>
          </w:p>
        </w:tc>
        <w:tc>
          <w:tcPr>
            <w:tcW w:w="20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4"/>
                <w:szCs w:val="14"/>
                <w:color w:val="auto"/>
              </w:rPr>
            </w:pPr>
          </w:p>
        </w:tc>
        <w:tc>
          <w:tcPr>
            <w:tcW w:w="428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4000" w:type="dxa"/>
            <w:vAlign w:val="bottom"/>
            <w:gridSpan w:val="2"/>
          </w:tcPr>
          <w:p>
            <w:pPr>
              <w:spacing w:after="0" w:line="180" w:lineRule="exact"/>
              <w:rPr>
                <w:sz w:val="20"/>
                <w:szCs w:val="20"/>
                <w:color w:val="auto"/>
              </w:rPr>
            </w:pPr>
            <w:r>
              <w:rPr>
                <w:rFonts w:ascii="Arial" w:cs="Arial" w:eastAsia="Arial" w:hAnsi="Arial"/>
                <w:sz w:val="16"/>
                <w:szCs w:val="16"/>
                <w:color w:val="auto"/>
              </w:rPr>
              <w:t>PennantPark Investment Corporation</w:t>
            </w:r>
          </w:p>
        </w:tc>
        <w:tc>
          <w:tcPr>
            <w:tcW w:w="20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00" w:type="dxa"/>
            <w:vAlign w:val="bottom"/>
          </w:tcPr>
          <w:p>
            <w:pPr>
              <w:spacing w:after="0"/>
              <w:rPr>
                <w:sz w:val="15"/>
                <w:szCs w:val="15"/>
                <w:color w:val="auto"/>
              </w:rPr>
            </w:pPr>
          </w:p>
        </w:tc>
        <w:tc>
          <w:tcPr>
            <w:tcW w:w="40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in U.S. middle-market companies in the form of</w:t>
            </w: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company</w:t>
            </w: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w w:val="95"/>
              </w:rPr>
              <w:t>first lien secured loans, second lien secured debt, subordinated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rPr>
              <w:t>debt and equity investments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000" w:type="dxa"/>
            <w:vAlign w:val="bottom"/>
            <w:gridSpan w:val="2"/>
          </w:tcPr>
          <w:p>
            <w:pPr>
              <w:spacing w:after="0"/>
              <w:rPr>
                <w:sz w:val="20"/>
                <w:szCs w:val="20"/>
                <w:color w:val="auto"/>
              </w:rPr>
            </w:pPr>
            <w:r>
              <w:rPr>
                <w:rFonts w:ascii="Arial" w:cs="Arial" w:eastAsia="Arial" w:hAnsi="Arial"/>
                <w:sz w:val="16"/>
                <w:szCs w:val="16"/>
                <w:color w:val="auto"/>
              </w:rPr>
              <w:t>PennantPark Senior Secured Loan Fund I LLC</w:t>
            </w:r>
          </w:p>
        </w:tc>
        <w:tc>
          <w:tcPr>
            <w:tcW w:w="2040" w:type="dxa"/>
            <w:vAlign w:val="bottom"/>
          </w:tcPr>
          <w:p>
            <w:pPr>
              <w:spacing w:after="0"/>
              <w:rPr>
                <w:sz w:val="20"/>
                <w:szCs w:val="20"/>
                <w:color w:val="auto"/>
              </w:rPr>
            </w:pPr>
            <w:r>
              <w:rPr>
                <w:rFonts w:ascii="Arial" w:cs="Arial" w:eastAsia="Arial" w:hAnsi="Arial"/>
                <w:sz w:val="16"/>
                <w:szCs w:val="16"/>
                <w:color w:val="auto"/>
              </w:rPr>
              <w:t>Joint Venture</w:t>
            </w: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040" w:type="dxa"/>
            <w:vAlign w:val="bottom"/>
          </w:tcPr>
          <w:p>
            <w:pPr>
              <w:spacing w:after="0"/>
              <w:rPr>
                <w:sz w:val="20"/>
                <w:szCs w:val="20"/>
                <w:color w:val="auto"/>
              </w:rPr>
            </w:pPr>
            <w:r>
              <w:rPr>
                <w:rFonts w:ascii="Arial" w:cs="Arial" w:eastAsia="Arial" w:hAnsi="Arial"/>
                <w:sz w:val="16"/>
                <w:szCs w:val="16"/>
                <w:color w:val="auto"/>
              </w:rPr>
              <w:t>Direct Lending Funds</w:t>
            </w:r>
          </w:p>
        </w:tc>
        <w:tc>
          <w:tcPr>
            <w:tcW w:w="4480" w:type="dxa"/>
            <w:vAlign w:val="bottom"/>
            <w:gridSpan w:val="3"/>
          </w:tcPr>
          <w:p>
            <w:pPr>
              <w:ind w:left="20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December 13, 2019. Information as to the beneficial ownerships is based on information furnished to us by such persons. We are not part of a “family of investment companies,” as that term is defined in the 1940 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Dollar Range of the</w:t>
            </w:r>
          </w:p>
        </w:tc>
      </w:tr>
      <w:tr>
        <w:trPr>
          <w:trHeight w:val="149"/>
        </w:trPr>
        <w:tc>
          <w:tcPr>
            <w:tcW w:w="58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9"/>
        </w:trPr>
        <w:tc>
          <w:tcPr>
            <w:tcW w:w="58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PennantPark Floating</w:t>
            </w:r>
          </w:p>
        </w:tc>
      </w:tr>
      <w:tr>
        <w:trPr>
          <w:trHeight w:val="171"/>
        </w:trPr>
        <w:tc>
          <w:tcPr>
            <w:tcW w:w="58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Rate Capital Ltd.</w:t>
            </w:r>
            <w:r>
              <w:rPr>
                <w:rFonts w:ascii="Arial" w:cs="Arial" w:eastAsia="Arial" w:hAnsi="Arial"/>
                <w:sz w:val="12"/>
                <w:szCs w:val="12"/>
                <w:b w:val="1"/>
                <w:bCs w:val="1"/>
                <w:color w:val="auto"/>
                <w:w w:val="97"/>
              </w:rPr>
              <w:t>(1)</w:t>
            </w:r>
          </w:p>
        </w:tc>
      </w:tr>
      <w:tr>
        <w:trPr>
          <w:trHeight w:val="196"/>
        </w:trPr>
        <w:tc>
          <w:tcPr>
            <w:tcW w:w="584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4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Over $</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Jose A. Briones</w:t>
            </w:r>
          </w:p>
        </w:tc>
        <w:tc>
          <w:tcPr>
            <w:tcW w:w="4760" w:type="dxa"/>
            <w:vAlign w:val="bottom"/>
            <w:gridSpan w:val="2"/>
          </w:tcPr>
          <w:p>
            <w:pPr>
              <w:ind w:left="4180"/>
              <w:spacing w:after="0"/>
              <w:rPr>
                <w:sz w:val="20"/>
                <w:szCs w:val="20"/>
                <w:color w:val="auto"/>
              </w:rPr>
            </w:pPr>
            <w:r>
              <w:rPr>
                <w:rFonts w:ascii="Arial" w:cs="Arial" w:eastAsia="Arial" w:hAnsi="Arial"/>
                <w:sz w:val="16"/>
                <w:szCs w:val="16"/>
                <w:color w:val="auto"/>
              </w:rPr>
              <w:t>Over $</w:t>
            </w: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4760" w:type="dxa"/>
            <w:vAlign w:val="bottom"/>
            <w:gridSpan w:val="2"/>
            <w:shd w:val="clear" w:color="auto" w:fill="CCEEFF"/>
          </w:tcPr>
          <w:p>
            <w:pPr>
              <w:ind w:left="4180"/>
              <w:spacing w:after="0"/>
              <w:rPr>
                <w:sz w:val="20"/>
                <w:szCs w:val="20"/>
                <w:color w:val="auto"/>
              </w:rPr>
            </w:pPr>
            <w:r>
              <w:rPr>
                <w:rFonts w:ascii="Arial" w:cs="Arial" w:eastAsia="Arial" w:hAnsi="Arial"/>
                <w:sz w:val="16"/>
                <w:szCs w:val="16"/>
                <w:color w:val="auto"/>
              </w:rPr>
              <w:t>Over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shd w:val="clear" w:color="auto" w:fill="CCEEFF"/>
          </w:tcPr>
          <w:p>
            <w:pPr>
              <w:spacing w:after="0"/>
              <w:rPr>
                <w:sz w:val="17"/>
                <w:szCs w:val="17"/>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4760" w:type="dxa"/>
            <w:vAlign w:val="bottom"/>
            <w:gridSpan w:val="2"/>
          </w:tcPr>
          <w:p>
            <w:pPr>
              <w:ind w:left="4180"/>
              <w:spacing w:after="0"/>
              <w:rPr>
                <w:sz w:val="20"/>
                <w:szCs w:val="20"/>
                <w:color w:val="auto"/>
              </w:rPr>
            </w:pPr>
            <w:r>
              <w:rPr>
                <w:rFonts w:ascii="Arial" w:cs="Arial" w:eastAsia="Arial" w:hAnsi="Arial"/>
                <w:sz w:val="16"/>
                <w:szCs w:val="16"/>
                <w:color w:val="auto"/>
              </w:rPr>
              <w:t>Over $</w:t>
            </w: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975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61" w:lineRule="exact"/>
        <w:rPr>
          <w:sz w:val="20"/>
          <w:szCs w:val="20"/>
          <w:color w:val="auto"/>
        </w:rPr>
      </w:pPr>
    </w:p>
    <w:p>
      <w:pPr>
        <w:ind w:left="460" w:right="14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 Beneficial ownership has been determined in accordance with Rule 16a-1(a)(2) promulgated under the Exchange Act.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20" w:right="40" w:hanging="566"/>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20" w:hanging="56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20" w:right="480" w:hanging="566"/>
        <w:spacing w:after="0" w:line="279"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20" w:right="100" w:hanging="566"/>
        <w:spacing w:after="0" w:line="28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1020" w:right="200" w:hanging="566"/>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48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20" w:right="76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20" w:right="120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020" w:hanging="44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20" w:right="20" w:hanging="445"/>
        <w:spacing w:after="0" w:line="286"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right="480" w:hanging="445"/>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20" w:hanging="44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20" w:hanging="445"/>
        <w:spacing w:after="0" w:line="25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78"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November 30,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December 13, 2019 was $12.43 per share. As of November 30, 2019, we had 43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November 30, 2019:</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64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15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6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020" w:hanging="44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20" w:hanging="445"/>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1020" w:right="240" w:hanging="445"/>
        <w:spacing w:after="0" w:line="308"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20" w:hanging="445"/>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20" w:right="100" w:hanging="445"/>
        <w:spacing w:after="0" w:line="34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absolute forum for (a) any derivative action or proceeding brought on our behalf, (b) 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45"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20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1020" w:right="420" w:hanging="445"/>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1020" w:right="220" w:hanging="445"/>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20" w:right="120" w:hanging="445"/>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1020" w:right="180" w:hanging="445"/>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ind w:left="1020" w:right="320" w:hanging="445"/>
        <w:spacing w:after="0" w:line="26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6" w:lineRule="exact"/>
        <w:rPr>
          <w:rFonts w:ascii="Arial" w:cs="Arial" w:eastAsia="Arial" w:hAnsi="Arial"/>
          <w:sz w:val="18"/>
          <w:szCs w:val="18"/>
          <w:color w:val="auto"/>
        </w:rPr>
      </w:pPr>
    </w:p>
    <w:p>
      <w:pPr>
        <w:ind w:left="1020" w:right="20" w:hanging="445"/>
        <w:spacing w:after="0" w:line="26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6"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1020" w:right="36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35" w:lineRule="exact"/>
        <w:rPr>
          <w:rFonts w:ascii="Arial" w:cs="Arial" w:eastAsia="Arial" w:hAnsi="Arial"/>
          <w:sz w:val="18"/>
          <w:szCs w:val="18"/>
          <w:color w:val="auto"/>
        </w:rPr>
      </w:pPr>
    </w:p>
    <w:p>
      <w:pPr>
        <w:ind w:left="1020" w:right="12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1020" w:hanging="44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1020" w:right="46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1020" w:right="800" w:hanging="445"/>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73" w:lineRule="exact"/>
        <w:rPr>
          <w:sz w:val="20"/>
          <w:szCs w:val="20"/>
          <w:color w:val="auto"/>
        </w:rPr>
      </w:pPr>
    </w:p>
    <w:p>
      <w:pPr>
        <w:ind w:right="100" w:firstLine="456"/>
        <w:spacing w:after="0" w:line="327" w:lineRule="auto"/>
        <w:rPr>
          <w:sz w:val="20"/>
          <w:szCs w:val="20"/>
          <w:color w:val="auto"/>
        </w:rPr>
      </w:pPr>
      <w:r>
        <w:rPr>
          <w:rFonts w:ascii="Arial" w:cs="Arial" w:eastAsia="Arial" w:hAnsi="Arial"/>
          <w:sz w:val="15"/>
          <w:szCs w:val="15"/>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1020" w:hanging="44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20" w:right="480" w:hanging="445"/>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1020" w:right="100" w:hanging="445"/>
        <w:spacing w:after="0" w:line="26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020" w:right="400" w:hanging="445"/>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20" w:right="360" w:hanging="445"/>
        <w:spacing w:after="0" w:line="34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20" w:hanging="44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20" w:right="200" w:hanging="445"/>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20" w:right="80" w:hanging="445"/>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20" w:right="240" w:hanging="445"/>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1020" w:hanging="445"/>
        <w:spacing w:after="0" w:line="26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6" w:lineRule="exact"/>
        <w:rPr>
          <w:rFonts w:ascii="Arial" w:cs="Arial" w:eastAsia="Arial" w:hAnsi="Arial"/>
          <w:sz w:val="18"/>
          <w:szCs w:val="18"/>
          <w:color w:val="auto"/>
        </w:rPr>
      </w:pPr>
    </w:p>
    <w:p>
      <w:pPr>
        <w:ind w:left="1020" w:right="60" w:hanging="445"/>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1020" w:right="100" w:hanging="445"/>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5" w:lineRule="exact"/>
        <w:rPr>
          <w:rFonts w:ascii="Arial" w:cs="Arial" w:eastAsia="Arial" w:hAnsi="Arial"/>
          <w:sz w:val="18"/>
          <w:szCs w:val="18"/>
          <w:color w:val="auto"/>
        </w:rPr>
      </w:pPr>
    </w:p>
    <w:p>
      <w:pPr>
        <w:ind w:left="1020" w:right="200" w:hanging="445"/>
        <w:spacing w:after="0" w:line="286"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1020" w:right="480" w:hanging="445"/>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ind w:left="1020" w:hanging="445"/>
        <w:spacing w:after="0" w:line="26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6" w:lineRule="exact"/>
        <w:rPr>
          <w:rFonts w:ascii="Arial" w:cs="Arial" w:eastAsia="Arial" w:hAnsi="Arial"/>
          <w:sz w:val="18"/>
          <w:szCs w:val="18"/>
          <w:color w:val="auto"/>
        </w:rPr>
      </w:pPr>
    </w:p>
    <w:p>
      <w:pPr>
        <w:ind w:left="1020" w:hanging="445"/>
        <w:spacing w:after="0" w:line="33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1020" w:right="60" w:hanging="445"/>
        <w:spacing w:after="0" w:line="25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20" w:right="480" w:hanging="445"/>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1020" w:hanging="445"/>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1020" w:right="180" w:hanging="445"/>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20" w:right="240" w:hanging="445"/>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20" w:hanging="44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20" w:right="200" w:hanging="445"/>
        <w:spacing w:after="0" w:line="26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0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20" w:right="220" w:hanging="445"/>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20" w:right="160" w:hanging="445"/>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20" w:right="420" w:hanging="445"/>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20" w:hanging="445"/>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53" w:lineRule="exact"/>
        <w:rPr>
          <w:rFonts w:ascii="Arial" w:cs="Arial" w:eastAsia="Arial" w:hAnsi="Arial"/>
          <w:sz w:val="16"/>
          <w:szCs w:val="16"/>
          <w:color w:val="auto"/>
        </w:rPr>
      </w:pPr>
    </w:p>
    <w:p>
      <w:pPr>
        <w:ind w:left="1020" w:right="40" w:hanging="445"/>
        <w:spacing w:after="0" w:line="342"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20" w:right="300" w:hanging="445"/>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20" w:right="180" w:hanging="445"/>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445"/>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1020" w:right="180" w:hanging="445"/>
        <w:spacing w:after="0" w:line="264"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1020" w:hanging="445"/>
        <w:spacing w:after="0" w:line="264"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20" w:right="180" w:hanging="445"/>
        <w:spacing w:after="0" w:line="264"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1020" w:hanging="445"/>
        <w:spacing w:after="0" w:line="255"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8" w:lineRule="exact"/>
        <w:rPr>
          <w:rFonts w:ascii="Arial" w:cs="Arial" w:eastAsia="Arial" w:hAnsi="Arial"/>
          <w:sz w:val="18"/>
          <w:szCs w:val="18"/>
          <w:color w:val="auto"/>
        </w:rPr>
      </w:pPr>
    </w:p>
    <w:p>
      <w:pPr>
        <w:ind w:left="1020" w:right="20" w:hanging="445"/>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20" w:hanging="44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20" w:right="20" w:hanging="445"/>
        <w:spacing w:after="0" w:line="25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1020" w:hanging="44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American Stock Transfer &amp; Trust Company, LLC is the trustee under the indenture. Mishmeret Trust Company, Ltd. serves as trustee for our 2023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20" w:hanging="44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20" w:right="400" w:hanging="445"/>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20" w:right="40" w:hanging="445"/>
        <w:spacing w:after="0" w:line="264"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20" w:hanging="44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20" w:right="60" w:hanging="445"/>
        <w:spacing w:after="0" w:line="264"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020" w:hanging="44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480" w:right="160" w:hanging="446"/>
        <w:spacing w:after="0" w:line="264"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60" w:hanging="446"/>
        <w:spacing w:after="0" w:line="286"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purposes. The Taxable Subsidiary generally will be subject to corporate income taxes on its earnings, which ultimately will reduce our return on such income and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93"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7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7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right="360" w:firstLine="456"/>
        <w:spacing w:after="0" w:line="288"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ind w:firstLine="8"/>
        <w:spacing w:after="0" w:line="254"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1020" w:hanging="445"/>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20" w:right="540" w:hanging="445"/>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20" w:hanging="445"/>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4"/>
          <w:szCs w:val="14"/>
          <w:color w:val="auto"/>
        </w:rPr>
        <w:t>th</w:t>
      </w:r>
      <w:r>
        <w:rPr>
          <w:rFonts w:ascii="Arial" w:cs="Arial" w:eastAsia="Arial" w:hAnsi="Arial"/>
          <w:sz w:val="17"/>
          <w:szCs w:val="17"/>
          <w:color w:val="auto"/>
        </w:rPr>
        <w:t xml:space="preserve">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 SEC:</w:t>
      </w:r>
    </w:p>
    <w:p>
      <w:pPr>
        <w:spacing w:after="0" w:line="154" w:lineRule="exact"/>
        <w:rPr>
          <w:sz w:val="20"/>
          <w:szCs w:val="20"/>
          <w:color w:val="auto"/>
        </w:rPr>
      </w:pPr>
    </w:p>
    <w:p>
      <w:pPr>
        <w:ind w:left="1020" w:hanging="445"/>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30, 2019, filed with the SEC on November 20, 2019; and</w:t>
      </w:r>
    </w:p>
    <w:p>
      <w:pPr>
        <w:spacing w:after="0" w:line="130" w:lineRule="exact"/>
        <w:rPr>
          <w:rFonts w:ascii="Arial" w:cs="Arial" w:eastAsia="Arial" w:hAnsi="Arial"/>
          <w:sz w:val="18"/>
          <w:szCs w:val="18"/>
          <w:color w:val="auto"/>
        </w:rPr>
      </w:pPr>
    </w:p>
    <w:p>
      <w:pPr>
        <w:ind w:left="1020" w:right="100" w:hanging="445"/>
        <w:spacing w:after="0" w:line="264"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our Common Stock referenced in our Registration Statement on Form 8-A (No. 001-35127), as filed with the SEC on April 7, 2011, including any amendment or report filed for the purpose of updating such description prior to the termination of the offering of the common stock registered 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and any accompanying prospectus supplement,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Copies of these reports, proxy and information statements and other information may be obtained, after paying a duplicating fee, by sending a request by email to: publicinfo@sec.gov.</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600" w:hanging="386"/>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rFonts w:ascii="Arial" w:cs="Arial" w:eastAsia="Arial" w:hAnsi="Arial"/>
          <w:sz w:val="18"/>
          <w:szCs w:val="18"/>
          <w:color w:val="auto"/>
        </w:rPr>
      </w:pPr>
    </w:p>
    <w:p>
      <w:pPr>
        <w:ind w:left="600" w:right="200"/>
        <w:spacing w:after="0" w:line="256" w:lineRule="auto"/>
        <w:rPr>
          <w:rFonts w:ascii="Arial" w:cs="Arial" w:eastAsia="Arial" w:hAnsi="Arial"/>
          <w:sz w:val="18"/>
          <w:szCs w:val="18"/>
          <w:color w:val="auto"/>
        </w:rPr>
      </w:pPr>
      <w:r>
        <w:rPr>
          <w:rFonts w:ascii="Arial" w:cs="Arial" w:eastAsia="Arial" w:hAnsi="Arial"/>
          <w:sz w:val="18"/>
          <w:szCs w:val="18"/>
          <w:color w:val="auto"/>
        </w:rPr>
        <w:t>The consolidated financial statements as of September 30, 2019 and September 30, 2018 and for each of the three years in the period ended September 30, 2019 and management’s assessment of the effectiveness of internal control over financial reporting (which is included in Management’s Report on Internal Control over Financial Reporting) as of September 30, 2019 have been incorporated by reference in this registration statement in “Part A— Information Required in a Prospectus.”</w:t>
      </w:r>
    </w:p>
    <w:p>
      <w:pPr>
        <w:spacing w:after="0" w:line="197" w:lineRule="exact"/>
        <w:rPr>
          <w:sz w:val="20"/>
          <w:szCs w:val="20"/>
          <w:color w:val="auto"/>
        </w:rPr>
      </w:pPr>
    </w:p>
    <w:p>
      <w:pPr>
        <w:ind w:left="600" w:hanging="386"/>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600" w:right="80" w:hanging="440"/>
        <w:spacing w:after="0" w:line="268"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Pre-Effective Amendment No. 3 to the Registration Statement on Form N-2 (File No. 333-170243), filed on March 29, 2011).</w:t>
      </w:r>
    </w:p>
    <w:p>
      <w:pPr>
        <w:spacing w:after="0" w:line="145" w:lineRule="exact"/>
        <w:rPr>
          <w:rFonts w:ascii="Arial" w:cs="Arial" w:eastAsia="Arial" w:hAnsi="Arial"/>
          <w:sz w:val="18"/>
          <w:szCs w:val="18"/>
          <w:color w:val="auto"/>
        </w:rPr>
      </w:pPr>
    </w:p>
    <w:p>
      <w:pPr>
        <w:ind w:left="600" w:right="40" w:hanging="444"/>
        <w:spacing w:after="0" w:line="268"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814-00891), filed on December 2, 2015).</w:t>
      </w:r>
    </w:p>
    <w:p>
      <w:pPr>
        <w:spacing w:after="0" w:line="145" w:lineRule="exact"/>
        <w:rPr>
          <w:sz w:val="20"/>
          <w:szCs w:val="20"/>
          <w:color w:val="auto"/>
        </w:rPr>
      </w:pPr>
    </w:p>
    <w:p>
      <w:pPr>
        <w:ind w:left="600" w:right="140" w:hanging="539"/>
        <w:spacing w:after="0" w:line="268" w:lineRule="auto"/>
        <w:tabs>
          <w:tab w:leader="none" w:pos="580" w:val="left"/>
        </w:tabs>
        <w:rPr>
          <w:sz w:val="20"/>
          <w:szCs w:val="20"/>
          <w:color w:val="auto"/>
        </w:rPr>
      </w:pPr>
      <w:r>
        <w:rPr>
          <w:rFonts w:ascii="Arial" w:cs="Arial" w:eastAsia="Arial" w:hAnsi="Arial"/>
          <w:sz w:val="18"/>
          <w:szCs w:val="18"/>
          <w:color w:val="auto"/>
        </w:rPr>
        <w:t>(d)(1)</w:t>
        <w:tab/>
        <w:t>Form of Share Certificate (Incorporated by reference to Exhibit 99(D) to the Registrant’s Pre-Effective Amendment No. 5 to the Registration Statement on Form N-2 (File No. 333-170243), filed on April 5, 2011).</w:t>
      </w:r>
    </w:p>
    <w:p>
      <w:pPr>
        <w:spacing w:after="0" w:line="145" w:lineRule="exact"/>
        <w:rPr>
          <w:sz w:val="20"/>
          <w:szCs w:val="20"/>
          <w:color w:val="auto"/>
        </w:rPr>
      </w:pPr>
    </w:p>
    <w:p>
      <w:pPr>
        <w:ind w:left="600" w:right="220" w:hanging="539"/>
        <w:spacing w:after="0" w:line="268" w:lineRule="auto"/>
        <w:tabs>
          <w:tab w:leader="none" w:pos="58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Registration Statement on Form N-2 (File No. 333-180084), filed on March 14, 2012).</w:t>
      </w:r>
    </w:p>
    <w:p>
      <w:pPr>
        <w:spacing w:after="0" w:line="145" w:lineRule="exact"/>
        <w:rPr>
          <w:sz w:val="20"/>
          <w:szCs w:val="20"/>
          <w:color w:val="auto"/>
        </w:rPr>
      </w:pPr>
    </w:p>
    <w:p>
      <w:pPr>
        <w:ind w:left="600" w:hanging="539"/>
        <w:spacing w:after="0" w:line="268" w:lineRule="auto"/>
        <w:tabs>
          <w:tab w:leader="none" w:pos="580" w:val="left"/>
        </w:tabs>
        <w:rPr>
          <w:sz w:val="20"/>
          <w:szCs w:val="20"/>
          <w:color w:val="auto"/>
        </w:rPr>
      </w:pPr>
      <w:r>
        <w:rPr>
          <w:rFonts w:ascii="Arial" w:cs="Arial" w:eastAsia="Arial" w:hAnsi="Arial"/>
          <w:sz w:val="18"/>
          <w:szCs w:val="18"/>
          <w:color w:val="auto"/>
        </w:rPr>
        <w:t>(d)(3)</w:t>
        <w:tab/>
        <w:t>Form of Indenture (Incorporated by reference to Exhibit 99(D)(3) to the Registrant’s Registration Statement on Form N-2 (File No. 333-180084), filed on March 14, 2012).</w:t>
      </w:r>
    </w:p>
    <w:p>
      <w:pPr>
        <w:spacing w:after="0" w:line="145" w:lineRule="exact"/>
        <w:rPr>
          <w:sz w:val="20"/>
          <w:szCs w:val="20"/>
          <w:color w:val="auto"/>
        </w:rPr>
      </w:pPr>
    </w:p>
    <w:p>
      <w:pPr>
        <w:ind w:left="60"/>
        <w:spacing w:after="0"/>
        <w:tabs>
          <w:tab w:leader="none" w:pos="58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6"/>
          <w:szCs w:val="16"/>
          <w:color w:val="auto"/>
        </w:rPr>
        <w:t>Form of Subscription Agent Agreement (Incorporated by reference to Exhibit 99(D)(4) to the Registrant’s Registration Statement on Form N-2 (File No.</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333-180084), filed on March 14, 2012).</w:t>
      </w:r>
    </w:p>
    <w:p>
      <w:pPr>
        <w:spacing w:after="0" w:line="178" w:lineRule="exact"/>
        <w:rPr>
          <w:sz w:val="20"/>
          <w:szCs w:val="20"/>
          <w:color w:val="auto"/>
        </w:rPr>
      </w:pPr>
    </w:p>
    <w:p>
      <w:pPr>
        <w:ind w:left="600" w:right="500" w:hanging="539"/>
        <w:spacing w:after="0" w:line="268" w:lineRule="auto"/>
        <w:tabs>
          <w:tab w:leader="none" w:pos="580" w:val="left"/>
        </w:tabs>
        <w:rPr>
          <w:sz w:val="20"/>
          <w:szCs w:val="20"/>
          <w:color w:val="auto"/>
        </w:rPr>
      </w:pPr>
      <w:r>
        <w:rPr>
          <w:rFonts w:ascii="Arial" w:cs="Arial" w:eastAsia="Arial" w:hAnsi="Arial"/>
          <w:sz w:val="18"/>
          <w:szCs w:val="18"/>
          <w:color w:val="auto"/>
        </w:rPr>
        <w:t>(d)(5)</w:t>
        <w:tab/>
        <w:t>Form of Warrant Agreement (Incorporated by reference to Exhibit 99(D)(5) to the Registrant’s Registration Statement on Form N-2 (File No. 333-180084), filed on March 14, 2012).</w:t>
      </w:r>
    </w:p>
    <w:p>
      <w:pPr>
        <w:spacing w:after="0" w:line="145" w:lineRule="exact"/>
        <w:rPr>
          <w:sz w:val="20"/>
          <w:szCs w:val="20"/>
          <w:color w:val="auto"/>
        </w:rPr>
      </w:pPr>
    </w:p>
    <w:p>
      <w:pPr>
        <w:ind w:left="600" w:right="220" w:hanging="539"/>
        <w:spacing w:after="0" w:line="268" w:lineRule="auto"/>
        <w:tabs>
          <w:tab w:leader="none" w:pos="580" w:val="left"/>
        </w:tabs>
        <w:rPr>
          <w:sz w:val="20"/>
          <w:szCs w:val="20"/>
          <w:color w:val="auto"/>
        </w:rPr>
      </w:pPr>
      <w:r>
        <w:rPr>
          <w:rFonts w:ascii="Arial" w:cs="Arial" w:eastAsia="Arial" w:hAnsi="Arial"/>
          <w:sz w:val="18"/>
          <w:szCs w:val="18"/>
          <w:color w:val="auto"/>
        </w:rPr>
        <w:t>(d)(6)</w:t>
        <w:tab/>
        <w:t>Form T-1 Statement of Eligibility with respect to the Form of Indenture (Incorporated by reference to Exhibit 99(D)(6) to the Registrant’s Registration Statement on Form N-2 (File No. 333-180084), filed on March 14, 2012).</w:t>
      </w:r>
    </w:p>
    <w:p>
      <w:pPr>
        <w:spacing w:after="0" w:line="145" w:lineRule="exact"/>
        <w:rPr>
          <w:sz w:val="20"/>
          <w:szCs w:val="20"/>
          <w:color w:val="auto"/>
        </w:rPr>
      </w:pPr>
    </w:p>
    <w:p>
      <w:pPr>
        <w:ind w:left="600" w:right="220" w:hanging="539"/>
        <w:spacing w:after="0" w:line="268" w:lineRule="auto"/>
        <w:tabs>
          <w:tab w:leader="none" w:pos="580" w:val="left"/>
        </w:tabs>
        <w:rPr>
          <w:sz w:val="20"/>
          <w:szCs w:val="20"/>
          <w:color w:val="auto"/>
        </w:rPr>
      </w:pPr>
      <w:r>
        <w:rPr>
          <w:rFonts w:ascii="Arial" w:cs="Arial" w:eastAsia="Arial" w:hAnsi="Arial"/>
          <w:sz w:val="18"/>
          <w:szCs w:val="18"/>
          <w:color w:val="auto"/>
        </w:rPr>
        <w:t>(d)(7)</w:t>
        <w:tab/>
        <w:t>Form of Articles Supplementary (Incorporated by reference to Exhibit 99(D)(7) to the Registrant’s Registration Statement on Form N-2 (File No. 333-180084), filed on March 14, 2012).</w:t>
      </w:r>
    </w:p>
    <w:p>
      <w:pPr>
        <w:spacing w:after="0" w:line="145" w:lineRule="exact"/>
        <w:rPr>
          <w:sz w:val="20"/>
          <w:szCs w:val="20"/>
          <w:color w:val="auto"/>
        </w:rPr>
      </w:pPr>
    </w:p>
    <w:p>
      <w:pPr>
        <w:ind w:left="600" w:hanging="539"/>
        <w:spacing w:after="0" w:line="332" w:lineRule="auto"/>
        <w:tabs>
          <w:tab w:leader="none" w:pos="580" w:val="left"/>
        </w:tabs>
        <w:rPr>
          <w:sz w:val="20"/>
          <w:szCs w:val="20"/>
          <w:color w:val="auto"/>
        </w:rPr>
      </w:pPr>
      <w:r>
        <w:rPr>
          <w:rFonts w:ascii="Arial" w:cs="Arial" w:eastAsia="Arial" w:hAnsi="Arial"/>
          <w:sz w:val="16"/>
          <w:szCs w:val="16"/>
          <w:color w:val="auto"/>
        </w:rPr>
        <w:t>(d)(8)</w:t>
        <w:tab/>
        <w:t>Deed of Trust dated November 23, 2017, between PennantPark Floating Rate Capital Ltd. and Mishmeret Trust Company, Ltd (Incorporated by reference to Exhibit 99(D)(8) to the Registrant’s Registration Statement on Form N-2 (File No. 333-215111), filed on December 13, 2017).</w:t>
      </w:r>
    </w:p>
    <w:p>
      <w:pPr>
        <w:spacing w:after="0" w:line="99" w:lineRule="exact"/>
        <w:rPr>
          <w:sz w:val="20"/>
          <w:szCs w:val="20"/>
          <w:color w:val="auto"/>
        </w:rPr>
      </w:pPr>
    </w:p>
    <w:p>
      <w:pPr>
        <w:ind w:left="600" w:right="100" w:hanging="539"/>
        <w:spacing w:after="0" w:line="268" w:lineRule="auto"/>
        <w:tabs>
          <w:tab w:leader="none" w:pos="580" w:val="left"/>
        </w:tabs>
        <w:rPr>
          <w:sz w:val="20"/>
          <w:szCs w:val="20"/>
          <w:color w:val="auto"/>
        </w:rPr>
      </w:pPr>
      <w:r>
        <w:rPr>
          <w:rFonts w:ascii="Arial" w:cs="Arial" w:eastAsia="Arial" w:hAnsi="Arial"/>
          <w:sz w:val="18"/>
          <w:szCs w:val="18"/>
          <w:color w:val="auto"/>
        </w:rPr>
        <w:t>(d)(9)</w:t>
        <w:tab/>
        <w:t>Supplementary Notice dated November 23, 2017 (Incorporated by reference to Exhibit 99(D)(9) to the Registrant’s Registration Statement on Form N-2 (File No. 333-215111), filed on December 13, 2017).</w:t>
      </w:r>
    </w:p>
    <w:p>
      <w:pPr>
        <w:spacing w:after="0" w:line="78" w:lineRule="exact"/>
        <w:rPr>
          <w:sz w:val="20"/>
          <w:szCs w:val="20"/>
          <w:color w:val="auto"/>
        </w:rPr>
      </w:pPr>
    </w:p>
    <w:p>
      <w:pPr>
        <w:ind w:left="600" w:right="200" w:hanging="599"/>
        <w:spacing w:after="0" w:line="259" w:lineRule="auto"/>
        <w:tabs>
          <w:tab w:leader="none" w:pos="580" w:val="left"/>
        </w:tabs>
        <w:rPr>
          <w:sz w:val="20"/>
          <w:szCs w:val="20"/>
          <w:color w:val="auto"/>
        </w:rPr>
      </w:pPr>
      <w:r>
        <w:rPr>
          <w:rFonts w:ascii="Arial" w:cs="Arial" w:eastAsia="Arial" w:hAnsi="Arial"/>
          <w:sz w:val="18"/>
          <w:szCs w:val="18"/>
          <w:color w:val="auto"/>
        </w:rPr>
        <w:t>(d)(10)</w:t>
        <w:tab/>
        <w:t>Indenture, dated as of September 19, 2019, by and among PennantPark CLO I, Ltd., as issuer, PennantPark CLO I, LLC, as co-issuer, and U.S. Bank National Association, as trustee and as collateral agent (Incorporated by reference to Exhibit 99.2 to the Registrant’s Current Report on Form 8-K (File No. 814-00891), filed on September 20, 2019).</w:t>
      </w:r>
    </w:p>
    <w:p>
      <w:pPr>
        <w:spacing w:after="0" w:line="154" w:lineRule="exact"/>
        <w:rPr>
          <w:sz w:val="20"/>
          <w:szCs w:val="20"/>
          <w:color w:val="auto"/>
        </w:rPr>
      </w:pPr>
    </w:p>
    <w:p>
      <w:pPr>
        <w:ind w:left="600" w:right="300" w:hanging="444"/>
        <w:spacing w:after="0" w:line="259"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Second Amended and Restated Investment Advisory Agreement, dated as of February 2, 2016, between PennantPark Floating Rate Capital Ltd. and PennantPark Investment Advisers, LLC (Incorporated by reference to the Registrant’s Quarterly Report on Form 10-Q (File No. 814-00891), filed on February 4, 2016).</w:t>
      </w:r>
    </w:p>
    <w:p>
      <w:pPr>
        <w:spacing w:after="0" w:line="154" w:lineRule="exact"/>
        <w:rPr>
          <w:sz w:val="20"/>
          <w:szCs w:val="20"/>
          <w:color w:val="auto"/>
        </w:rPr>
      </w:pPr>
    </w:p>
    <w:p>
      <w:pPr>
        <w:ind w:left="600" w:right="60" w:hanging="539"/>
        <w:spacing w:after="0" w:line="268" w:lineRule="auto"/>
        <w:tabs>
          <w:tab w:leader="none" w:pos="58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Registration Statement on Form N-2 (File No. 333-180084), filed on March 14, 2012).</w:t>
      </w:r>
    </w:p>
    <w:p>
      <w:pPr>
        <w:spacing w:after="0" w:line="145" w:lineRule="exact"/>
        <w:rPr>
          <w:sz w:val="20"/>
          <w:szCs w:val="20"/>
          <w:color w:val="auto"/>
        </w:rPr>
      </w:pPr>
    </w:p>
    <w:p>
      <w:pPr>
        <w:ind w:left="600" w:right="180" w:hanging="539"/>
        <w:spacing w:after="0" w:line="268" w:lineRule="auto"/>
        <w:tabs>
          <w:tab w:leader="none" w:pos="580" w:val="left"/>
        </w:tabs>
        <w:rPr>
          <w:sz w:val="20"/>
          <w:szCs w:val="20"/>
          <w:color w:val="auto"/>
        </w:rPr>
      </w:pPr>
      <w:r>
        <w:rPr>
          <w:rFonts w:ascii="Arial" w:cs="Arial" w:eastAsia="Arial" w:hAnsi="Arial"/>
          <w:sz w:val="18"/>
          <w:szCs w:val="18"/>
          <w:color w:val="auto"/>
        </w:rPr>
        <w:t>(h)(2)</w:t>
        <w:tab/>
        <w:t>Form of Underwriting Agreement for debt (Incorporated by reference to Exhibit 99(H)(2) to the Registrant’s Registration Statement on Form N-2 (File No. 333-180084), filed on March 14, 2012).</w:t>
      </w:r>
    </w:p>
    <w:p>
      <w:pPr>
        <w:spacing w:after="0" w:line="145" w:lineRule="exact"/>
        <w:rPr>
          <w:sz w:val="20"/>
          <w:szCs w:val="20"/>
          <w:color w:val="auto"/>
        </w:rPr>
      </w:pPr>
    </w:p>
    <w:p>
      <w:pPr>
        <w:ind w:left="600" w:right="60" w:hanging="539"/>
        <w:spacing w:after="0" w:line="268" w:lineRule="auto"/>
        <w:tabs>
          <w:tab w:leader="none" w:pos="580" w:val="left"/>
        </w:tabs>
        <w:rPr>
          <w:sz w:val="20"/>
          <w:szCs w:val="20"/>
          <w:color w:val="auto"/>
        </w:rPr>
      </w:pPr>
      <w:r>
        <w:rPr>
          <w:rFonts w:ascii="Arial" w:cs="Arial" w:eastAsia="Arial" w:hAnsi="Arial"/>
          <w:sz w:val="18"/>
          <w:szCs w:val="18"/>
          <w:color w:val="auto"/>
        </w:rPr>
        <w:t>(h)(3)</w:t>
        <w:tab/>
        <w:t>Underwriting Agreement dated February 14, 2017 (Incorporated by reference to Exhibit 99(H)(3) to the Registrant’s Post-Effective Amendment No. 1 to the Registration Statement on Form N-2 (File No. 333-215111), filed on February 16, 2017).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right="80" w:hanging="619"/>
        <w:spacing w:after="0" w:line="268" w:lineRule="auto"/>
        <w:tabs>
          <w:tab w:leader="none" w:pos="640" w:val="left"/>
        </w:tabs>
        <w:rPr>
          <w:sz w:val="20"/>
          <w:szCs w:val="20"/>
          <w:color w:val="auto"/>
        </w:rPr>
      </w:pPr>
      <w:r>
        <w:rPr>
          <w:rFonts w:ascii="Arial" w:cs="Arial" w:eastAsia="Arial" w:hAnsi="Arial"/>
          <w:sz w:val="18"/>
          <w:szCs w:val="18"/>
          <w:color w:val="auto"/>
        </w:rPr>
        <w:t>(h)(4)</w:t>
        <w:tab/>
        <w:t>Underwriting Agreement dated October 25, 2017 (Incorporated by reference to Exhibit 99(H)(4) to the Registrant’s Post-Effective Amendment No. 2 to the Registration Statement on Form N-2 (File No. 333-215111), filed on October 27, 2017).</w:t>
      </w:r>
    </w:p>
    <w:p>
      <w:pPr>
        <w:spacing w:after="0" w:line="145" w:lineRule="exact"/>
        <w:rPr>
          <w:sz w:val="20"/>
          <w:szCs w:val="20"/>
          <w:color w:val="auto"/>
        </w:rPr>
      </w:pPr>
    </w:p>
    <w:p>
      <w:pPr>
        <w:ind w:left="660" w:right="40" w:hanging="505"/>
        <w:spacing w:after="0" w:line="33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Form of Custodian Agreement between the Registrant and The Bank of New York Mellon (Incorporated by reference to Exhibit 99(J) to the Registrant’s Pre-Effective Amendment No. 3 to the Registration Statement on Form N-2 (File No. 333-170243), filed on March 29, 2011).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center"/>
              <w:spacing w:after="0"/>
              <w:rPr>
                <w:sz w:val="20"/>
                <w:szCs w:val="20"/>
                <w:color w:val="auto"/>
              </w:rPr>
            </w:pPr>
            <w:r>
              <w:rPr>
                <w:rFonts w:ascii="Arial" w:cs="Arial" w:eastAsia="Arial" w:hAnsi="Arial"/>
                <w:sz w:val="18"/>
                <w:szCs w:val="18"/>
                <w:color w:val="auto"/>
                <w:w w:val="92"/>
              </w:rPr>
              <w:t>(k)(1)</w:t>
            </w:r>
          </w:p>
        </w:tc>
        <w:tc>
          <w:tcPr>
            <w:tcW w:w="10860" w:type="dxa"/>
            <w:vAlign w:val="bottom"/>
          </w:tcPr>
          <w:p>
            <w:pPr>
              <w:ind w:left="100"/>
              <w:spacing w:after="0"/>
              <w:rPr>
                <w:sz w:val="20"/>
                <w:szCs w:val="20"/>
                <w:color w:val="auto"/>
              </w:rPr>
            </w:pPr>
            <w:r>
              <w:rPr>
                <w:rFonts w:ascii="Arial" w:cs="Arial" w:eastAsia="Arial" w:hAnsi="Arial"/>
                <w:sz w:val="18"/>
                <w:szCs w:val="18"/>
                <w:color w:val="auto"/>
                <w:w w:val="89"/>
              </w:rPr>
              <w:t>Form of Stock Transfer Agency Agreement between the Registrant and American Stock Transfer &amp; Trust Company, LLC (Incorporated by reference to</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0"/>
              </w:rPr>
              <w:t>Exhibit 99(K)(1) to the Registrant’s Pre-Effective Amendment No. 3 to the Registration Statement on Form N-2 (File No. 333-170243), filed on March</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29, 2011).</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(k)(2)</w:t>
            </w: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Form of Administration Agreement between the Registrant and PennantPark Investment Administration, LLC (Incorporated by reference to Exhibit</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3"/>
              </w:rPr>
              <w:t>99(K)(2) to the Registrant’s Pre-Effective Amendment No. 3 to the Registration Statement on Form N-2 (File No. 333-170243), filed on March 29,</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2011).</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(k)(3)</w:t>
            </w:r>
          </w:p>
        </w:tc>
        <w:tc>
          <w:tcPr>
            <w:tcW w:w="10860" w:type="dxa"/>
            <w:vAlign w:val="bottom"/>
          </w:tcPr>
          <w:p>
            <w:pPr>
              <w:ind w:left="100"/>
              <w:spacing w:after="0"/>
              <w:rPr>
                <w:sz w:val="20"/>
                <w:szCs w:val="20"/>
                <w:color w:val="auto"/>
              </w:rPr>
            </w:pPr>
            <w:r>
              <w:rPr>
                <w:rFonts w:ascii="Arial" w:cs="Arial" w:eastAsia="Arial" w:hAnsi="Arial"/>
                <w:sz w:val="18"/>
                <w:szCs w:val="18"/>
                <w:color w:val="auto"/>
                <w:w w:val="94"/>
              </w:rPr>
              <w:t>Form of Trademark License Agreement (Incorporated by reference to Exhibit 99(K)(3) to the Registrant’s Pre-Effective Amendment No. 3 to the</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Registration Statement on Form N-2 (File No. 333-170243), filed on March 29, 2011).</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(k)(4)</w:t>
            </w:r>
          </w:p>
        </w:tc>
        <w:tc>
          <w:tcPr>
            <w:tcW w:w="10860" w:type="dxa"/>
            <w:vAlign w:val="bottom"/>
          </w:tcPr>
          <w:p>
            <w:pPr>
              <w:ind w:left="100"/>
              <w:spacing w:after="0"/>
              <w:rPr>
                <w:sz w:val="20"/>
                <w:szCs w:val="20"/>
                <w:color w:val="auto"/>
              </w:rPr>
            </w:pPr>
            <w:r>
              <w:rPr>
                <w:rFonts w:ascii="Arial" w:cs="Arial" w:eastAsia="Arial" w:hAnsi="Arial"/>
                <w:sz w:val="18"/>
                <w:szCs w:val="18"/>
                <w:color w:val="auto"/>
                <w:w w:val="89"/>
              </w:rPr>
              <w:t>Fourth Amended and Restated Revolving Credit and Security Agreement, dated as of October 30, 2018, among PennantPark Floating Rate Funding I,</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LLC, as borrower, PennantPark Investment Advisers, LLC, as collateral manager, the lenders from time to time parties thereto, SunTrust Bank, as</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3"/>
              </w:rPr>
              <w:t>administrative agent, SunTrust Robinson Humphrey, Inc., as lead arranger, and U.S. Bank National Association, as collateral agent, as collateral</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administrator, as backup collateral manager, and as custodian (Incorporated by reference to Exhibit 10.1 to the Registrant’s Current Report on Form 8-K</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(File No. 814-00891), filed on November 8, 2018).</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(k)(5)</w:t>
            </w:r>
          </w:p>
        </w:tc>
        <w:tc>
          <w:tcPr>
            <w:tcW w:w="10860" w:type="dxa"/>
            <w:vAlign w:val="bottom"/>
          </w:tcPr>
          <w:p>
            <w:pPr>
              <w:ind w:left="100"/>
              <w:spacing w:after="0"/>
              <w:rPr>
                <w:sz w:val="20"/>
                <w:szCs w:val="20"/>
                <w:color w:val="auto"/>
              </w:rPr>
            </w:pPr>
            <w:r>
              <w:rPr>
                <w:rFonts w:ascii="Arial" w:cs="Arial" w:eastAsia="Arial" w:hAnsi="Arial"/>
                <w:sz w:val="18"/>
                <w:szCs w:val="18"/>
                <w:color w:val="auto"/>
                <w:w w:val="87"/>
              </w:rPr>
              <w:t>Purchase and Contribution Agreement, dated as of June 23, 2011, among PennantPark Floating Rate Capital Ltd., as the seller, and PennantPark Floating</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Rate Funding I, LLC, as the buyer (Incorporated by reference to Exhibit 10.2 to the Registrant’s Periodic Report on Form 8-K (File No. 814-00891),</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filed on June 29, 2011).</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(k)(6)</w:t>
            </w: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First Amendment to Purchase and Contribution Agreement, dated as of January 16, 2018, between PennantPark Floating Rate Capital Ltd., as the seller,</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1"/>
              </w:rPr>
              <w:t>and PennantPark Floating Rate Funding I, LLC, as the buyer (Incorporated by reference to Exhibit 10.4 to the Registrant’s Quarterly Report on Form</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10-Q (File No. 814-00891), filed on February 8, 2018).</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(k)(7)</w:t>
            </w:r>
          </w:p>
        </w:tc>
        <w:tc>
          <w:tcPr>
            <w:tcW w:w="10860" w:type="dxa"/>
            <w:vAlign w:val="bottom"/>
          </w:tcPr>
          <w:p>
            <w:pPr>
              <w:ind w:left="100"/>
              <w:spacing w:after="0"/>
              <w:rPr>
                <w:sz w:val="20"/>
                <w:szCs w:val="20"/>
                <w:color w:val="auto"/>
              </w:rPr>
            </w:pPr>
            <w:r>
              <w:rPr>
                <w:rFonts w:ascii="Arial" w:cs="Arial" w:eastAsia="Arial" w:hAnsi="Arial"/>
                <w:sz w:val="18"/>
                <w:szCs w:val="18"/>
                <w:color w:val="auto"/>
                <w:w w:val="93"/>
              </w:rPr>
              <w:t>Limited Liability Company Agreement of PennantPark Senior Secured Loan Fund I LLC, dated as of May 4, 2017, by and between PennantPark</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0"/>
              </w:rPr>
              <w:t>Floating Rate Capital Ltd. and Trinity Universal Insurance Company (Incorporated by reference to Exhibit 10.1 to the Registrant’s Quarterly Report on</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Form 10-Q (File No. 814-00891), filed on August 8, 2017).</w:t>
            </w:r>
          </w:p>
        </w:tc>
      </w:tr>
      <w:tr>
        <w:trPr>
          <w:trHeight w:val="385"/>
        </w:trPr>
        <w:tc>
          <w:tcPr>
            <w:tcW w:w="560" w:type="dxa"/>
            <w:vAlign w:val="bottom"/>
          </w:tcPr>
          <w:p>
            <w:pPr>
              <w:jc w:val="center"/>
              <w:spacing w:after="0"/>
              <w:rPr>
                <w:sz w:val="20"/>
                <w:szCs w:val="20"/>
                <w:color w:val="auto"/>
              </w:rPr>
            </w:pPr>
            <w:r>
              <w:rPr>
                <w:rFonts w:ascii="Arial" w:cs="Arial" w:eastAsia="Arial" w:hAnsi="Arial"/>
                <w:sz w:val="18"/>
                <w:szCs w:val="18"/>
                <w:color w:val="auto"/>
                <w:w w:val="92"/>
              </w:rPr>
              <w:t>(k)(8)</w:t>
            </w:r>
          </w:p>
        </w:tc>
        <w:tc>
          <w:tcPr>
            <w:tcW w:w="10860" w:type="dxa"/>
            <w:vAlign w:val="bottom"/>
          </w:tcPr>
          <w:p>
            <w:pPr>
              <w:ind w:left="100"/>
              <w:spacing w:after="0"/>
              <w:rPr>
                <w:sz w:val="20"/>
                <w:szCs w:val="20"/>
                <w:color w:val="auto"/>
              </w:rPr>
            </w:pPr>
            <w:r>
              <w:rPr>
                <w:rFonts w:ascii="Arial" w:cs="Arial" w:eastAsia="Arial" w:hAnsi="Arial"/>
                <w:sz w:val="18"/>
                <w:szCs w:val="18"/>
                <w:color w:val="auto"/>
                <w:w w:val="91"/>
              </w:rPr>
              <w:t>Indemnification Agreement, dated as of November 15, 2016, between PennantPark Floating Rate Capital Ltd. and each of the directors and officers</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89"/>
              </w:rPr>
              <w:t>listed on Schedule A attached thereto (Incorporated by reference to Exhibit 10.6 on the Registrant’s Annual Report on Form 10-K (File No. 814-00891),</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filed on November 22, 2016).</w:t>
            </w: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auto"/>
              </w:rPr>
              <w:t>(k)(9)</w:t>
            </w: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Credit Agreement, dated as of September 19, 2019, by and among PennantPark CLO I, Ltd., as borrower, PennantPark CLO I, LLC, as co-borrower, the</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various financial institutions party thereto from time to time, as lenders, and U.S. Bank National Association, as collateral agent and as loan agent</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5"/>
              </w:rPr>
              <w:t>(Incorporated by reference to Exhibit 99.3 to the Registrant’s Current Report on Form 8-K (File No. 814-00891), filed on September 20, 2019).</w:t>
            </w:r>
          </w:p>
        </w:tc>
      </w:tr>
      <w:tr>
        <w:trPr>
          <w:trHeight w:val="385"/>
        </w:trPr>
        <w:tc>
          <w:tcPr>
            <w:tcW w:w="560" w:type="dxa"/>
            <w:vAlign w:val="bottom"/>
          </w:tcPr>
          <w:p>
            <w:pPr>
              <w:jc w:val="center"/>
              <w:ind w:right="12"/>
              <w:spacing w:after="0"/>
              <w:rPr>
                <w:sz w:val="20"/>
                <w:szCs w:val="20"/>
                <w:color w:val="auto"/>
              </w:rPr>
            </w:pPr>
            <w:r>
              <w:rPr>
                <w:rFonts w:ascii="Arial" w:cs="Arial" w:eastAsia="Arial" w:hAnsi="Arial"/>
                <w:sz w:val="18"/>
                <w:szCs w:val="18"/>
                <w:color w:val="auto"/>
                <w:w w:val="97"/>
              </w:rPr>
              <w:t>(k)(l0)</w:t>
            </w:r>
          </w:p>
        </w:tc>
        <w:tc>
          <w:tcPr>
            <w:tcW w:w="10860" w:type="dxa"/>
            <w:vAlign w:val="bottom"/>
          </w:tcPr>
          <w:p>
            <w:pPr>
              <w:ind w:left="100"/>
              <w:spacing w:after="0"/>
              <w:rPr>
                <w:sz w:val="20"/>
                <w:szCs w:val="20"/>
                <w:color w:val="auto"/>
              </w:rPr>
            </w:pPr>
            <w:r>
              <w:rPr>
                <w:rFonts w:ascii="Arial" w:cs="Arial" w:eastAsia="Arial" w:hAnsi="Arial"/>
                <w:sz w:val="18"/>
                <w:szCs w:val="18"/>
                <w:color w:val="auto"/>
                <w:w w:val="87"/>
              </w:rPr>
              <w:t>Collateral Management Agreement, dated as of September 19, 2019, between PennantPark CLO I, Ltd., as issuer, and PennantPark Investment Advisers,</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1"/>
              </w:rPr>
              <w:t>LLC, as collateral manager (Incorporated by reference to Exhibit 99.4 to the Registrant’s Current Report on Form 8-K (File No. 814-00891), filed on</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September 20, 2019).</w:t>
            </w: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auto"/>
              </w:rPr>
              <w:t>(k)(ll)</w:t>
            </w: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Master Loan Sale Agreement, dated as of September 19, 2019, among PennantPark Floating Rate Capital Ltd., as seller, PennantPark CLO I Depositor,</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LLC, as intermediate seller, and PennantPark CLO I Ltd., as buyer (Incorporated by reference to Exhibit 99.5 to the Registrant’s Current Report on</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Form 8-K (File No. 814-00891), filed on September 20, 2019).</w:t>
            </w:r>
          </w:p>
        </w:tc>
      </w:tr>
      <w:tr>
        <w:trPr>
          <w:trHeight w:val="385"/>
        </w:trPr>
        <w:tc>
          <w:tcPr>
            <w:tcW w:w="560" w:type="dxa"/>
            <w:vAlign w:val="bottom"/>
          </w:tcPr>
          <w:p>
            <w:pPr>
              <w:jc w:val="center"/>
              <w:ind w:right="12"/>
              <w:spacing w:after="0"/>
              <w:rPr>
                <w:sz w:val="20"/>
                <w:szCs w:val="20"/>
                <w:color w:val="auto"/>
              </w:rPr>
            </w:pPr>
            <w:r>
              <w:rPr>
                <w:rFonts w:ascii="Arial" w:cs="Arial" w:eastAsia="Arial" w:hAnsi="Arial"/>
                <w:sz w:val="18"/>
                <w:szCs w:val="18"/>
                <w:color w:val="auto"/>
                <w:w w:val="97"/>
              </w:rPr>
              <w:t>(k)(l2)</w:t>
            </w:r>
          </w:p>
        </w:tc>
        <w:tc>
          <w:tcPr>
            <w:tcW w:w="10860" w:type="dxa"/>
            <w:vAlign w:val="bottom"/>
          </w:tcPr>
          <w:p>
            <w:pPr>
              <w:ind w:left="100"/>
              <w:spacing w:after="0"/>
              <w:rPr>
                <w:sz w:val="20"/>
                <w:szCs w:val="20"/>
                <w:color w:val="auto"/>
              </w:rPr>
            </w:pPr>
            <w:r>
              <w:rPr>
                <w:rFonts w:ascii="Arial" w:cs="Arial" w:eastAsia="Arial" w:hAnsi="Arial"/>
                <w:sz w:val="18"/>
                <w:szCs w:val="18"/>
                <w:color w:val="auto"/>
                <w:w w:val="88"/>
              </w:rPr>
              <w:t>Master Participation Agreement, dated as of September 19, 2019, between PennantPark Floating Rate Funding I, LLC, as seller and PennantPark CLO I,</w:t>
            </w:r>
          </w:p>
        </w:tc>
      </w:tr>
      <w:tr>
        <w:trPr>
          <w:trHeight w:val="216"/>
        </w:trPr>
        <w:tc>
          <w:tcPr>
            <w:tcW w:w="56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0"/>
              </w:rPr>
              <w:t>Ltd., as buyer (Incorporated by reference to Exhibit 99.6 to the Registrant’s Current Report on Form 8-K (File No. 814-00891), filed on September 20,</w:t>
            </w:r>
          </w:p>
        </w:tc>
      </w:tr>
      <w:tr>
        <w:trPr>
          <w:trHeight w:val="222"/>
        </w:trPr>
        <w:tc>
          <w:tcPr>
            <w:tcW w:w="560" w:type="dxa"/>
            <w:vAlign w:val="bottom"/>
          </w:tcPr>
          <w:p>
            <w:pPr>
              <w:spacing w:after="0"/>
              <w:rPr>
                <w:sz w:val="19"/>
                <w:szCs w:val="19"/>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2019).</w:t>
            </w:r>
          </w:p>
        </w:tc>
      </w:tr>
      <w:tr>
        <w:trPr>
          <w:trHeight w:val="365"/>
        </w:trPr>
        <w:tc>
          <w:tcPr>
            <w:tcW w:w="560" w:type="dxa"/>
            <w:vAlign w:val="bottom"/>
          </w:tcPr>
          <w:p>
            <w:pPr>
              <w:spacing w:after="0"/>
              <w:rPr>
                <w:sz w:val="24"/>
                <w:szCs w:val="24"/>
                <w:color w:val="auto"/>
              </w:rPr>
            </w:pPr>
          </w:p>
        </w:tc>
        <w:tc>
          <w:tcPr>
            <w:tcW w:w="10860" w:type="dxa"/>
            <w:vAlign w:val="bottom"/>
          </w:tcPr>
          <w:p>
            <w:pPr>
              <w:ind w:left="5020"/>
              <w:spacing w:after="0"/>
              <w:rPr>
                <w:sz w:val="20"/>
                <w:szCs w:val="20"/>
                <w:color w:val="auto"/>
              </w:rPr>
            </w:pPr>
            <w:r>
              <w:rPr>
                <w:rFonts w:ascii="Arial" w:cs="Arial" w:eastAsia="Arial" w:hAnsi="Arial"/>
                <w:sz w:val="18"/>
                <w:szCs w:val="18"/>
                <w:color w:val="auto"/>
              </w:rPr>
              <w:t>C-2</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840" w:hanging="538"/>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jc w:val="center"/>
              <w:ind w:right="72"/>
              <w:spacing w:after="0"/>
              <w:rPr>
                <w:sz w:val="20"/>
                <w:szCs w:val="20"/>
                <w:color w:val="auto"/>
              </w:rPr>
            </w:pPr>
            <w:r>
              <w:rPr>
                <w:rFonts w:ascii="Arial" w:cs="Arial" w:eastAsia="Arial" w:hAnsi="Arial"/>
                <w:sz w:val="18"/>
                <w:szCs w:val="18"/>
                <w:color w:val="auto"/>
              </w:rPr>
              <w:t>(l)(1)*</w:t>
            </w:r>
          </w:p>
        </w:tc>
        <w:tc>
          <w:tcPr>
            <w:tcW w:w="10740" w:type="dxa"/>
            <w:vAlign w:val="bottom"/>
          </w:tcPr>
          <w:p>
            <w:pPr>
              <w:ind w:left="180"/>
              <w:spacing w:after="0"/>
              <w:rPr>
                <w:sz w:val="20"/>
                <w:szCs w:val="20"/>
                <w:color w:val="auto"/>
              </w:rPr>
            </w:pPr>
            <w:r>
              <w:rPr>
                <w:rFonts w:ascii="Arial" w:cs="Arial" w:eastAsia="Arial" w:hAnsi="Arial"/>
                <w:sz w:val="18"/>
                <w:szCs w:val="18"/>
                <w:color w:val="auto"/>
              </w:rPr>
              <w:t>Opinion and Consent of Venable LLP.</w:t>
            </w:r>
          </w:p>
        </w:tc>
      </w:tr>
      <w:tr>
        <w:trPr>
          <w:trHeight w:val="392"/>
        </w:trPr>
        <w:tc>
          <w:tcPr>
            <w:tcW w:w="660" w:type="dxa"/>
            <w:vAlign w:val="bottom"/>
          </w:tcPr>
          <w:p>
            <w:pPr>
              <w:jc w:val="center"/>
              <w:ind w:right="72"/>
              <w:spacing w:after="0"/>
              <w:rPr>
                <w:sz w:val="20"/>
                <w:szCs w:val="20"/>
                <w:color w:val="auto"/>
              </w:rPr>
            </w:pPr>
            <w:r>
              <w:rPr>
                <w:rFonts w:ascii="Arial" w:cs="Arial" w:eastAsia="Arial" w:hAnsi="Arial"/>
                <w:sz w:val="18"/>
                <w:szCs w:val="18"/>
                <w:color w:val="auto"/>
              </w:rPr>
              <w:t>(l)(2)*</w:t>
            </w:r>
          </w:p>
        </w:tc>
        <w:tc>
          <w:tcPr>
            <w:tcW w:w="10740" w:type="dxa"/>
            <w:vAlign w:val="bottom"/>
          </w:tcPr>
          <w:p>
            <w:pPr>
              <w:ind w:left="180"/>
              <w:spacing w:after="0"/>
              <w:rPr>
                <w:sz w:val="20"/>
                <w:szCs w:val="20"/>
                <w:color w:val="auto"/>
              </w:rPr>
            </w:pPr>
            <w:r>
              <w:rPr>
                <w:rFonts w:ascii="Arial" w:cs="Arial" w:eastAsia="Arial" w:hAnsi="Arial"/>
                <w:sz w:val="18"/>
                <w:szCs w:val="18"/>
                <w:color w:val="auto"/>
              </w:rPr>
              <w:t>Opinion and Consent of Dechert LLP.</w:t>
            </w:r>
          </w:p>
        </w:tc>
      </w:tr>
      <w:tr>
        <w:trPr>
          <w:trHeight w:val="392"/>
        </w:trPr>
        <w:tc>
          <w:tcPr>
            <w:tcW w:w="660" w:type="dxa"/>
            <w:vAlign w:val="bottom"/>
          </w:tcPr>
          <w:p>
            <w:pPr>
              <w:jc w:val="center"/>
              <w:ind w:right="72"/>
              <w:spacing w:after="0"/>
              <w:rPr>
                <w:sz w:val="20"/>
                <w:szCs w:val="20"/>
                <w:color w:val="auto"/>
              </w:rPr>
            </w:pPr>
            <w:r>
              <w:rPr>
                <w:rFonts w:ascii="Arial" w:cs="Arial" w:eastAsia="Arial" w:hAnsi="Arial"/>
                <w:sz w:val="18"/>
                <w:szCs w:val="18"/>
                <w:color w:val="auto"/>
                <w:w w:val="97"/>
              </w:rPr>
              <w:t>(n)(1)*</w:t>
            </w:r>
          </w:p>
        </w:tc>
        <w:tc>
          <w:tcPr>
            <w:tcW w:w="10740" w:type="dxa"/>
            <w:vAlign w:val="bottom"/>
          </w:tcPr>
          <w:p>
            <w:pPr>
              <w:ind w:left="180"/>
              <w:spacing w:after="0"/>
              <w:rPr>
                <w:sz w:val="20"/>
                <w:szCs w:val="20"/>
                <w:color w:val="auto"/>
              </w:rPr>
            </w:pPr>
            <w:r>
              <w:rPr>
                <w:rFonts w:ascii="Arial" w:cs="Arial" w:eastAsia="Arial" w:hAnsi="Arial"/>
                <w:sz w:val="18"/>
                <w:szCs w:val="18"/>
                <w:color w:val="auto"/>
              </w:rPr>
              <w:t>Consent of RSM US LLP.</w:t>
            </w:r>
          </w:p>
        </w:tc>
      </w:tr>
      <w:tr>
        <w:trPr>
          <w:trHeight w:val="392"/>
        </w:trPr>
        <w:tc>
          <w:tcPr>
            <w:tcW w:w="660" w:type="dxa"/>
            <w:vAlign w:val="bottom"/>
          </w:tcPr>
          <w:p>
            <w:pPr>
              <w:jc w:val="center"/>
              <w:ind w:right="72"/>
              <w:spacing w:after="0"/>
              <w:rPr>
                <w:sz w:val="20"/>
                <w:szCs w:val="20"/>
                <w:color w:val="auto"/>
              </w:rPr>
            </w:pPr>
            <w:r>
              <w:rPr>
                <w:rFonts w:ascii="Arial" w:cs="Arial" w:eastAsia="Arial" w:hAnsi="Arial"/>
                <w:sz w:val="18"/>
                <w:szCs w:val="18"/>
                <w:color w:val="auto"/>
                <w:w w:val="97"/>
              </w:rPr>
              <w:t>(n)(2)*</w:t>
            </w:r>
          </w:p>
        </w:tc>
        <w:tc>
          <w:tcPr>
            <w:tcW w:w="10740" w:type="dxa"/>
            <w:vAlign w:val="bottom"/>
          </w:tcPr>
          <w:p>
            <w:pPr>
              <w:ind w:left="18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85"/>
        </w:trPr>
        <w:tc>
          <w:tcPr>
            <w:tcW w:w="660" w:type="dxa"/>
            <w:vAlign w:val="bottom"/>
          </w:tcPr>
          <w:p>
            <w:pPr>
              <w:jc w:val="center"/>
              <w:ind w:right="72"/>
              <w:spacing w:after="0"/>
              <w:rPr>
                <w:sz w:val="20"/>
                <w:szCs w:val="20"/>
                <w:color w:val="auto"/>
              </w:rPr>
            </w:pPr>
            <w:r>
              <w:rPr>
                <w:rFonts w:ascii="Arial" w:cs="Arial" w:eastAsia="Arial" w:hAnsi="Arial"/>
                <w:sz w:val="18"/>
                <w:szCs w:val="18"/>
                <w:color w:val="auto"/>
                <w:w w:val="94"/>
              </w:rPr>
              <w:t>(r)(1)</w:t>
            </w:r>
          </w:p>
        </w:tc>
        <w:tc>
          <w:tcPr>
            <w:tcW w:w="10740" w:type="dxa"/>
            <w:vAlign w:val="bottom"/>
          </w:tcPr>
          <w:p>
            <w:pPr>
              <w:ind w:left="180"/>
              <w:spacing w:after="0"/>
              <w:rPr>
                <w:sz w:val="20"/>
                <w:szCs w:val="20"/>
                <w:color w:val="auto"/>
              </w:rPr>
            </w:pPr>
            <w:r>
              <w:rPr>
                <w:rFonts w:ascii="Arial" w:cs="Arial" w:eastAsia="Arial" w:hAnsi="Arial"/>
                <w:sz w:val="18"/>
                <w:szCs w:val="18"/>
                <w:color w:val="auto"/>
                <w:w w:val="88"/>
              </w:rPr>
              <w:t>Joint Code of Ethics of the Registrant, PennantPark Investment Corporation and PennantPark Investment Advisers, LLC (Incorporated by reference to</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Exhibit 14.1 to the Registrant’s Annual Report on Form 10-K (File No. 814-00891), filed on November 20, 2019).</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0740" w:type="dxa"/>
            <w:vAlign w:val="bottom"/>
          </w:tcPr>
          <w:p>
            <w:pPr>
              <w:ind w:left="180"/>
              <w:spacing w:after="0"/>
              <w:rPr>
                <w:sz w:val="20"/>
                <w:szCs w:val="20"/>
                <w:color w:val="auto"/>
              </w:rPr>
            </w:pPr>
            <w:r>
              <w:rPr>
                <w:rFonts w:ascii="Arial" w:cs="Arial" w:eastAsia="Arial" w:hAnsi="Arial"/>
                <w:sz w:val="18"/>
                <w:szCs w:val="18"/>
                <w:color w:val="auto"/>
                <w:w w:val="94"/>
              </w:rPr>
              <w:t>Form of Prospectus Supplement For Common Stock Offerings (Incorporated by reference to Exhibit 99(S)(1) to the Registrant’s Registration</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(s)(2)</w:t>
            </w:r>
          </w:p>
        </w:tc>
        <w:tc>
          <w:tcPr>
            <w:tcW w:w="10740" w:type="dxa"/>
            <w:vAlign w:val="bottom"/>
          </w:tcPr>
          <w:p>
            <w:pPr>
              <w:ind w:left="180"/>
              <w:spacing w:after="0"/>
              <w:rPr>
                <w:sz w:val="20"/>
                <w:szCs w:val="20"/>
                <w:color w:val="auto"/>
              </w:rPr>
            </w:pPr>
            <w:r>
              <w:rPr>
                <w:rFonts w:ascii="Arial" w:cs="Arial" w:eastAsia="Arial" w:hAnsi="Arial"/>
                <w:sz w:val="18"/>
                <w:szCs w:val="18"/>
                <w:color w:val="auto"/>
                <w:w w:val="94"/>
              </w:rPr>
              <w:t>Form of Prospectus Supplement For Preferred Stock Offerings (Incorporated by reference to Exhibit 99(S)(2) to the Registrant’s Registration</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(s)(3)</w:t>
            </w:r>
          </w:p>
        </w:tc>
        <w:tc>
          <w:tcPr>
            <w:tcW w:w="10740" w:type="dxa"/>
            <w:vAlign w:val="bottom"/>
          </w:tcPr>
          <w:p>
            <w:pPr>
              <w:ind w:left="180"/>
              <w:spacing w:after="0"/>
              <w:rPr>
                <w:sz w:val="20"/>
                <w:szCs w:val="20"/>
                <w:color w:val="auto"/>
              </w:rPr>
            </w:pPr>
            <w:r>
              <w:rPr>
                <w:rFonts w:ascii="Arial" w:cs="Arial" w:eastAsia="Arial" w:hAnsi="Arial"/>
                <w:sz w:val="18"/>
                <w:szCs w:val="18"/>
                <w:color w:val="auto"/>
                <w:w w:val="88"/>
              </w:rPr>
              <w:t>Form of Prospectus Supplement For Debt Offerings (Incorporated by reference to Exhibit 99(S)(3) to the Registrant’s Registration Statement on Form</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N-2 (File No. 333-180084), filed on March 14, 2012).</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(s)(4)</w:t>
            </w:r>
          </w:p>
        </w:tc>
        <w:tc>
          <w:tcPr>
            <w:tcW w:w="10740" w:type="dxa"/>
            <w:vAlign w:val="bottom"/>
          </w:tcPr>
          <w:p>
            <w:pPr>
              <w:ind w:left="180"/>
              <w:spacing w:after="0"/>
              <w:rPr>
                <w:sz w:val="20"/>
                <w:szCs w:val="20"/>
                <w:color w:val="auto"/>
              </w:rPr>
            </w:pPr>
            <w:r>
              <w:rPr>
                <w:rFonts w:ascii="Arial" w:cs="Arial" w:eastAsia="Arial" w:hAnsi="Arial"/>
                <w:sz w:val="18"/>
                <w:szCs w:val="18"/>
                <w:color w:val="auto"/>
                <w:w w:val="91"/>
              </w:rPr>
              <w:t>Form of Prospectus Supplement For Rights Offerings (Incorporated by reference to Exhibit 99(S)(4) to the Registrant’s Registration Statement on</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Form N-2 (File No. 333-180084), filed on March 14, 2012).</w:t>
            </w:r>
          </w:p>
        </w:tc>
      </w:tr>
      <w:tr>
        <w:trPr>
          <w:trHeight w:val="385"/>
        </w:trPr>
        <w:tc>
          <w:tcPr>
            <w:tcW w:w="660" w:type="dxa"/>
            <w:vAlign w:val="bottom"/>
          </w:tcPr>
          <w:p>
            <w:pPr>
              <w:jc w:val="center"/>
              <w:ind w:right="52"/>
              <w:spacing w:after="0"/>
              <w:rPr>
                <w:sz w:val="20"/>
                <w:szCs w:val="20"/>
                <w:color w:val="auto"/>
              </w:rPr>
            </w:pPr>
            <w:r>
              <w:rPr>
                <w:rFonts w:ascii="Arial" w:cs="Arial" w:eastAsia="Arial" w:hAnsi="Arial"/>
                <w:sz w:val="18"/>
                <w:szCs w:val="18"/>
                <w:color w:val="auto"/>
                <w:w w:val="92"/>
              </w:rPr>
              <w:t>(s)(5)</w:t>
            </w:r>
          </w:p>
        </w:tc>
        <w:tc>
          <w:tcPr>
            <w:tcW w:w="10740" w:type="dxa"/>
            <w:vAlign w:val="bottom"/>
          </w:tcPr>
          <w:p>
            <w:pPr>
              <w:ind w:left="180"/>
              <w:spacing w:after="0"/>
              <w:rPr>
                <w:sz w:val="20"/>
                <w:szCs w:val="20"/>
                <w:color w:val="auto"/>
              </w:rPr>
            </w:pPr>
            <w:r>
              <w:rPr>
                <w:rFonts w:ascii="Arial" w:cs="Arial" w:eastAsia="Arial" w:hAnsi="Arial"/>
                <w:sz w:val="18"/>
                <w:szCs w:val="18"/>
                <w:color w:val="auto"/>
                <w:w w:val="90"/>
              </w:rPr>
              <w:t>Form of Prospectus Supplement For Warrant Offerings (Incorporated by reference to Exhibit 99(S)(5) to the Registrant’s Registration Statement on</w:t>
            </w:r>
          </w:p>
        </w:tc>
      </w:tr>
      <w:tr>
        <w:trPr>
          <w:trHeight w:val="222"/>
        </w:trPr>
        <w:tc>
          <w:tcPr>
            <w:tcW w:w="660" w:type="dxa"/>
            <w:vAlign w:val="bottom"/>
          </w:tcPr>
          <w:p>
            <w:pPr>
              <w:spacing w:after="0"/>
              <w:rPr>
                <w:sz w:val="19"/>
                <w:szCs w:val="19"/>
                <w:color w:val="auto"/>
              </w:rPr>
            </w:pPr>
          </w:p>
        </w:tc>
        <w:tc>
          <w:tcPr>
            <w:tcW w:w="10740" w:type="dxa"/>
            <w:vAlign w:val="bottom"/>
          </w:tcPr>
          <w:p>
            <w:pPr>
              <w:ind w:left="180"/>
              <w:spacing w:after="0"/>
              <w:rPr>
                <w:sz w:val="20"/>
                <w:szCs w:val="20"/>
                <w:color w:val="auto"/>
              </w:rPr>
            </w:pPr>
            <w:r>
              <w:rPr>
                <w:rFonts w:ascii="Arial" w:cs="Arial" w:eastAsia="Arial" w:hAnsi="Arial"/>
                <w:sz w:val="18"/>
                <w:szCs w:val="18"/>
                <w:color w:val="auto"/>
              </w:rPr>
              <w:t>Form N-2 (File No. 333-180084), filed on March 14, 2012).</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77"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64,900*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Nasdaq listing fee</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65,000**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75,500*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3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3880" w:type="dxa"/>
            <w:vAlign w:val="bottom"/>
            <w:gridSpan w:val="2"/>
          </w:tcPr>
          <w:p>
            <w:pPr>
              <w:jc w:val="right"/>
              <w:ind w:right="2812"/>
              <w:spacing w:after="0"/>
              <w:rPr>
                <w:sz w:val="20"/>
                <w:szCs w:val="20"/>
                <w:color w:val="auto"/>
              </w:rPr>
            </w:pPr>
            <w:r>
              <w:rPr>
                <w:rFonts w:ascii="Arial" w:cs="Arial" w:eastAsia="Arial" w:hAnsi="Arial"/>
                <w:sz w:val="18"/>
                <w:szCs w:val="18"/>
                <w:color w:val="auto"/>
              </w:rPr>
              <w:t>C-3</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12"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This amount has been offset against a filing fee associated with unsold securities registered under a previous registration statement.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This amount is estimated.</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    To be provided by amendment.</w:t>
      </w:r>
    </w:p>
    <w:p>
      <w:pPr>
        <w:spacing w:after="0" w:line="19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Voting Securities</w:t>
            </w:r>
          </w:p>
        </w:tc>
        <w:tc>
          <w:tcPr>
            <w:tcW w:w="0" w:type="dxa"/>
            <w:vAlign w:val="bottom"/>
          </w:tcPr>
          <w:p>
            <w:pPr>
              <w:spacing w:after="0"/>
              <w:rPr>
                <w:sz w:val="1"/>
                <w:szCs w:val="1"/>
                <w:color w:val="auto"/>
              </w:rPr>
            </w:pPr>
          </w:p>
        </w:tc>
      </w:tr>
      <w:tr>
        <w:trPr>
          <w:trHeight w:val="174"/>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2920" w:type="dxa"/>
            <w:vAlign w:val="bottom"/>
            <w:vMerge w:val="restart"/>
          </w:tcPr>
          <w:p>
            <w:pPr>
              <w:spacing w:after="0"/>
              <w:rPr>
                <w:sz w:val="15"/>
                <w:szCs w:val="15"/>
                <w:color w:val="auto"/>
              </w:rPr>
            </w:pP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Owned Percentage</w:t>
            </w:r>
          </w:p>
        </w:tc>
        <w:tc>
          <w:tcPr>
            <w:tcW w:w="0" w:type="dxa"/>
            <w:vAlign w:val="bottom"/>
          </w:tcPr>
          <w:p>
            <w:pPr>
              <w:spacing w:after="0"/>
              <w:rPr>
                <w:sz w:val="1"/>
                <w:szCs w:val="1"/>
                <w:color w:val="auto"/>
              </w:rPr>
            </w:pPr>
          </w:p>
        </w:tc>
      </w:tr>
      <w:tr>
        <w:trPr>
          <w:trHeight w:val="127"/>
        </w:trPr>
        <w:tc>
          <w:tcPr>
            <w:tcW w:w="2960" w:type="dxa"/>
            <w:vAlign w:val="bottom"/>
            <w:tcBorders>
              <w:bottom w:val="single" w:sz="8" w:color="auto"/>
            </w:tcBorders>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PennantPark Floating Rate Funding I, LLC (Delaware)</w:t>
            </w:r>
          </w:p>
        </w:tc>
        <w:tc>
          <w:tcPr>
            <w:tcW w:w="1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gridSpan w:val="2"/>
            <w:vMerge w:val="continue"/>
            <w:shd w:val="clear" w:color="auto" w:fill="CCEEFF"/>
          </w:tcPr>
          <w:p>
            <w:pPr>
              <w:spacing w:after="0"/>
              <w:rPr>
                <w:sz w:val="17"/>
                <w:szCs w:val="17"/>
                <w:color w:val="auto"/>
              </w:rPr>
            </w:pPr>
          </w:p>
        </w:tc>
        <w:tc>
          <w:tcPr>
            <w:tcW w:w="1880" w:type="dxa"/>
            <w:vAlign w:val="bottom"/>
            <w:gridSpan w:val="2"/>
            <w:shd w:val="clear" w:color="auto" w:fill="CCEEFF"/>
          </w:tcPr>
          <w:p>
            <w:pPr>
              <w:ind w:left="11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PennantPark CLO I,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CLO I, Ltd. (Cayman Islands)</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PennantPark CLO I Depositor,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PFLT Funding II,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PFLT Investment Holdings,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Television Broadcasting Holdings, Inc.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GMC Television Broadcasting,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 Capital G.P.,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Solutions Capital I, L.P.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1012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4" w:lineRule="exact"/>
        <w:rPr>
          <w:sz w:val="20"/>
          <w:szCs w:val="20"/>
          <w:color w:val="auto"/>
        </w:rPr>
      </w:pPr>
    </w:p>
    <w:p>
      <w:pPr>
        <w:ind w:left="5580" w:right="3839" w:hanging="5572"/>
        <w:spacing w:after="0" w:line="525" w:lineRule="auto"/>
        <w:tabs>
          <w:tab w:leader="none" w:pos="3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entity is directly owned by PFLT Funding II, LLC, which is wholly-owned by us. C-4</w:t>
      </w:r>
    </w:p>
    <w:p>
      <w:pPr>
        <w:sectPr>
          <w:pgSz w:w="11900" w:h="16838" w:orient="portrait"/>
          <w:cols w:equalWidth="0" w:num="1">
            <w:col w:w="10219"/>
          </w:cols>
          <w:pgMar w:left="24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380" w:type="dxa"/>
            <w:vAlign w:val="bottom"/>
            <w:gridSpan w:val="2"/>
          </w:tcPr>
          <w:p>
            <w:pPr>
              <w:ind w:left="780"/>
              <w:spacing w:after="0"/>
              <w:rPr>
                <w:sz w:val="20"/>
                <w:szCs w:val="20"/>
                <w:color w:val="auto"/>
              </w:rPr>
            </w:pPr>
            <w:r>
              <w:rPr>
                <w:rFonts w:ascii="Arial" w:cs="Arial" w:eastAsia="Arial" w:hAnsi="Arial"/>
                <w:sz w:val="18"/>
                <w:szCs w:val="18"/>
                <w:b w:val="1"/>
                <w:bCs w:val="1"/>
                <w:color w:val="auto"/>
              </w:rPr>
              <w:t>Number of holders of shares</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080" w:type="dxa"/>
            <w:vAlign w:val="bottom"/>
            <w:gridSpan w:val="3"/>
          </w:tcPr>
          <w:p>
            <w:pPr>
              <w:ind w:left="580"/>
              <w:spacing w:after="0"/>
              <w:rPr>
                <w:sz w:val="20"/>
                <w:szCs w:val="20"/>
                <w:color w:val="auto"/>
              </w:rPr>
            </w:pPr>
            <w:r>
              <w:rPr>
                <w:rFonts w:ascii="Arial" w:cs="Arial" w:eastAsia="Arial" w:hAnsi="Arial"/>
                <w:sz w:val="18"/>
                <w:szCs w:val="18"/>
                <w:color w:val="auto"/>
              </w:rPr>
              <w:t>As of November 30, 2019</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00" w:type="dxa"/>
            <w:vAlign w:val="bottom"/>
          </w:tcPr>
          <w:p>
            <w:pPr>
              <w:spacing w:after="0"/>
              <w:rPr>
                <w:sz w:val="24"/>
                <w:szCs w:val="24"/>
                <w:color w:val="auto"/>
              </w:rPr>
            </w:pPr>
          </w:p>
        </w:tc>
        <w:tc>
          <w:tcPr>
            <w:tcW w:w="7380" w:type="dxa"/>
            <w:vAlign w:val="bottom"/>
            <w:gridSpan w:val="2"/>
            <w:vMerge w:val="restart"/>
          </w:tcPr>
          <w:p>
            <w:pPr>
              <w:jc w:val="center"/>
              <w:ind w:right="4900"/>
              <w:spacing w:after="0"/>
              <w:rPr>
                <w:sz w:val="20"/>
                <w:szCs w:val="20"/>
                <w:color w:val="auto"/>
              </w:rPr>
            </w:pPr>
            <w:r>
              <w:rPr>
                <w:rFonts w:ascii="Arial" w:cs="Arial" w:eastAsia="Arial" w:hAnsi="Arial"/>
                <w:sz w:val="14"/>
                <w:szCs w:val="14"/>
                <w:b w:val="1"/>
                <w:bCs w:val="1"/>
                <w:color w:val="auto"/>
                <w:w w:val="87"/>
              </w:rPr>
              <w:t>Title of Class</w:t>
            </w:r>
          </w:p>
        </w:tc>
        <w:tc>
          <w:tcPr>
            <w:tcW w:w="1980" w:type="dxa"/>
            <w:vAlign w:val="bottom"/>
          </w:tcPr>
          <w:p>
            <w:pPr>
              <w:jc w:val="right"/>
              <w:ind w:right="62"/>
              <w:spacing w:after="0"/>
              <w:rPr>
                <w:sz w:val="20"/>
                <w:szCs w:val="20"/>
                <w:color w:val="auto"/>
              </w:rPr>
            </w:pPr>
            <w:r>
              <w:rPr>
                <w:rFonts w:ascii="Arial" w:cs="Arial" w:eastAsia="Arial" w:hAnsi="Arial"/>
                <w:sz w:val="14"/>
                <w:szCs w:val="14"/>
                <w:b w:val="1"/>
                <w:bCs w:val="1"/>
                <w:color w:val="auto"/>
              </w:rPr>
              <w:t>Number of Record Holders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380" w:type="dxa"/>
            <w:vAlign w:val="bottom"/>
            <w:gridSpan w:val="2"/>
            <w:vMerge w:val="continue"/>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0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4200" w:type="dxa"/>
            <w:vAlign w:val="bottom"/>
          </w:tcPr>
          <w:p>
            <w:pPr>
              <w:spacing w:after="0"/>
              <w:rPr>
                <w:sz w:val="18"/>
                <w:szCs w:val="18"/>
                <w:color w:val="auto"/>
              </w:rPr>
            </w:pPr>
          </w:p>
        </w:tc>
        <w:tc>
          <w:tcPr>
            <w:tcW w:w="1980" w:type="dxa"/>
            <w:vAlign w:val="bottom"/>
          </w:tcPr>
          <w:p>
            <w:pPr>
              <w:jc w:val="right"/>
              <w:ind w:right="822"/>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Investment Adviser and its officers and directors is set forth in its Form ADV, as filed with the SEC (SEC File No. 801-67622), and is incorporated herein by reference.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w:t>
      </w:r>
      <w:r>
        <w:rPr>
          <w:rFonts w:ascii="Arial" w:cs="Arial" w:eastAsia="Arial" w:hAnsi="Arial"/>
          <w:sz w:val="11"/>
          <w:szCs w:val="11"/>
          <w:color w:val="auto"/>
        </w:rPr>
        <w:t>th</w:t>
      </w:r>
      <w:r>
        <w:rPr>
          <w:rFonts w:ascii="Arial" w:cs="Arial" w:eastAsia="Arial" w:hAnsi="Arial"/>
          <w:sz w:val="18"/>
          <w:szCs w:val="18"/>
          <w:color w:val="auto"/>
        </w:rPr>
        <w:t xml:space="preserve"> Avenue, 3rd floor,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Custodian, The Bank of New York Mellon, 240 Greenwich Street, New York, NY 10286; and</w:t>
      </w:r>
    </w:p>
    <w:p>
      <w:pPr>
        <w:spacing w:after="0" w:line="171" w:lineRule="exact"/>
        <w:rPr>
          <w:rFonts w:ascii="Arial" w:cs="Arial" w:eastAsia="Arial" w:hAnsi="Arial"/>
          <w:sz w:val="18"/>
          <w:szCs w:val="18"/>
          <w:color w:val="auto"/>
        </w:rPr>
      </w:pPr>
    </w:p>
    <w:p>
      <w:pPr>
        <w:ind w:left="5580" w:right="1540" w:hanging="5001"/>
        <w:spacing w:after="0" w:line="440" w:lineRule="auto"/>
        <w:tabs>
          <w:tab w:leader="none" w:pos="8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 C-8</w:t>
      </w:r>
    </w:p>
    <w:p>
      <w:pPr>
        <w:sectPr>
          <w:pgSz w:w="11900" w:h="16838" w:orient="portrait"/>
          <w:cols w:equalWidth="0" w:num="1">
            <w:col w:w="10960"/>
          </w:cols>
          <w:pgMar w:left="240" w:top="459" w:right="6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60" w:firstLine="579"/>
        <w:spacing w:after="0" w:line="259" w:lineRule="auto"/>
        <w:tabs>
          <w:tab w:leader="none" w:pos="8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suspend the offering of its shares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40" w:firstLine="579"/>
        <w:spacing w:after="0" w:line="294" w:lineRule="auto"/>
        <w:tabs>
          <w:tab w:leader="none" w:pos="81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120" w:hanging="216"/>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360" w:right="80" w:firstLine="544"/>
        <w:spacing w:after="0" w:line="314" w:lineRule="auto"/>
        <w:tabs>
          <w:tab w:leader="none" w:pos="1172" w:val="left"/>
        </w:tabs>
        <w:numPr>
          <w:ilvl w:val="0"/>
          <w:numId w:val="60"/>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or other applicable SEC rule under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24" w:lineRule="exact"/>
        <w:rPr>
          <w:sz w:val="20"/>
          <w:szCs w:val="20"/>
          <w:color w:val="auto"/>
        </w:rPr>
      </w:pPr>
    </w:p>
    <w:p>
      <w:pPr>
        <w:ind w:left="360" w:right="300" w:firstLine="987"/>
        <w:spacing w:after="0" w:line="268" w:lineRule="auto"/>
        <w:tabs>
          <w:tab w:leader="none" w:pos="16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360" w:right="280" w:firstLine="553"/>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4(a)(i), (ii), and (iii)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section 14 or section 15(d) of the Exchange Act that are incorporated by reference into the registration statement, or is contained in a form of prospectus filed pursuant to Rule 424(b), or other applicable SEC rule under the Securities Act, that is part of the registration statement.</w:t>
      </w:r>
    </w:p>
    <w:p>
      <w:pPr>
        <w:spacing w:after="0" w:line="32" w:lineRule="exact"/>
        <w:rPr>
          <w:sz w:val="20"/>
          <w:szCs w:val="20"/>
          <w:color w:val="auto"/>
        </w:rPr>
      </w:pPr>
    </w:p>
    <w:p>
      <w:pPr>
        <w:jc w:val="both"/>
        <w:ind w:left="360" w:right="440" w:firstLine="544"/>
        <w:spacing w:after="0" w:line="259"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360" w:firstLine="544"/>
        <w:spacing w:after="0" w:line="268"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6"/>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1560" w:hanging="213"/>
        <w:spacing w:after="0"/>
        <w:tabs>
          <w:tab w:leader="none" w:pos="15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90" w:lineRule="exact"/>
        <w:rPr>
          <w:rFonts w:ascii="Arial" w:cs="Arial" w:eastAsia="Arial" w:hAnsi="Arial"/>
          <w:sz w:val="18"/>
          <w:szCs w:val="18"/>
          <w:color w:val="auto"/>
        </w:rPr>
      </w:pPr>
    </w:p>
    <w:p>
      <w:pPr>
        <w:ind w:left="1040" w:right="140" w:firstLine="410"/>
        <w:spacing w:after="0" w:line="268" w:lineRule="auto"/>
        <w:tabs>
          <w:tab w:leader="none" w:pos="1743" w:val="left"/>
        </w:tabs>
        <w:numPr>
          <w:ilvl w:val="2"/>
          <w:numId w:val="6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100" w:firstLine="410"/>
        <w:spacing w:after="0" w:line="286" w:lineRule="auto"/>
        <w:tabs>
          <w:tab w:leader="none" w:pos="1733" w:val="left"/>
        </w:tabs>
        <w:numPr>
          <w:ilvl w:val="2"/>
          <w:numId w:val="6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46" w:lineRule="exact"/>
        <w:rPr>
          <w:rFonts w:ascii="Arial" w:cs="Arial" w:eastAsia="Arial" w:hAnsi="Arial"/>
          <w:sz w:val="16"/>
          <w:szCs w:val="16"/>
          <w:color w:val="auto"/>
        </w:rPr>
      </w:pPr>
    </w:p>
    <w:p>
      <w:pPr>
        <w:ind w:left="360" w:right="20" w:firstLine="987"/>
        <w:spacing w:after="0" w:line="290" w:lineRule="auto"/>
        <w:tabs>
          <w:tab w:leader="none" w:pos="1615"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if the Registrant is subject to Rule 430C, each prospectus filed pursuant to Rule 424(b) or Rule 497(b), (c), (d), or (e) under the Securities Act, as applicable,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jc w:val="both"/>
        <w:ind w:left="360" w:right="80" w:firstLine="544"/>
        <w:spacing w:after="0" w:line="323" w:lineRule="auto"/>
        <w:tabs>
          <w:tab w:leader="none" w:pos="1152"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7" w:lineRule="exact"/>
        <w:rPr>
          <w:sz w:val="20"/>
          <w:szCs w:val="20"/>
          <w:color w:val="auto"/>
        </w:rPr>
      </w:pPr>
    </w:p>
    <w:p>
      <w:pPr>
        <w:ind w:left="360" w:right="180" w:firstLine="544"/>
        <w:spacing w:after="0" w:line="268" w:lineRule="auto"/>
        <w:tabs>
          <w:tab w:leader="none" w:pos="112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or Rule 497 under the Securities Act, as applicable;</w:t>
      </w:r>
    </w:p>
    <w:p>
      <w:pPr>
        <w:spacing w:after="0" w:line="50" w:lineRule="exact"/>
        <w:rPr>
          <w:rFonts w:ascii="Arial" w:cs="Arial" w:eastAsia="Arial" w:hAnsi="Arial"/>
          <w:sz w:val="18"/>
          <w:szCs w:val="18"/>
          <w:color w:val="auto"/>
        </w:rPr>
      </w:pPr>
    </w:p>
    <w:p>
      <w:pPr>
        <w:ind w:left="360" w:right="800" w:firstLine="544"/>
        <w:spacing w:after="0" w:line="268" w:lineRule="auto"/>
        <w:tabs>
          <w:tab w:leader="none" w:pos="11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360" w:firstLine="544"/>
        <w:spacing w:after="0" w:line="332" w:lineRule="auto"/>
        <w:tabs>
          <w:tab w:leader="none" w:pos="12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200" w:hanging="296"/>
        <w:spacing w:after="0"/>
        <w:tabs>
          <w:tab w:leader="none" w:pos="12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80" w:firstLine="579"/>
        <w:spacing w:after="0" w:line="306" w:lineRule="auto"/>
        <w:tabs>
          <w:tab w:leader="none" w:pos="81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9"/>
        <w:spacing w:after="0" w:line="290" w:lineRule="auto"/>
        <w:tabs>
          <w:tab w:leader="none" w:pos="819"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Arial" w:cs="Arial" w:eastAsia="Arial" w:hAnsi="Arial"/>
          <w:sz w:val="16"/>
          <w:szCs w:val="16"/>
          <w:color w:val="auto"/>
        </w:rPr>
      </w:pPr>
    </w:p>
    <w:p>
      <w:pPr>
        <w:ind w:left="820" w:hanging="241"/>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State of New York, on the 16th day of December 2019.</w:t>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r>
      <w:tr>
        <w:trPr>
          <w:trHeight w:val="224"/>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7"/>
              </w:rPr>
              <w:t>Name: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351"/>
        </w:trPr>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54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Board</w:t>
            </w:r>
          </w:p>
        </w:tc>
      </w:tr>
    </w:tbl>
    <w:p>
      <w:pPr>
        <w:spacing w:after="0" w:line="1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MEN BY THESE PRESENT, each person whose signature appears below hereby constitutes and appoints Aviv Efrat his true and lawful attorney-in-fact and agent, with full power of substitution and resubstitution, for him and in his name, place and stead, in any and all capacities, to sign any and all amendments to this Registration Statement on Form N-2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might or could do in person, hereby ratifying and confirming all that said attorney-in-fact and agent, or his substitutes, may lawfully do or cause to be done by virtue hereof.</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N-2 has been signed by the following persons in the capacities set forth below on the 16th day of December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740" w:type="dxa"/>
            <w:vAlign w:val="bottom"/>
          </w:tcPr>
          <w:p>
            <w:pPr>
              <w:spacing w:after="0"/>
              <w:rPr>
                <w:sz w:val="20"/>
                <w:szCs w:val="20"/>
                <w:color w:val="auto"/>
              </w:rPr>
            </w:pP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565"/>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17"/>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74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r>
      <w:tr>
        <w:trPr>
          <w:trHeight w:val="222"/>
        </w:trPr>
        <w:tc>
          <w:tcPr>
            <w:tcW w:w="4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32"/>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Aviv Efrat</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 Officer)</w:t>
            </w:r>
          </w:p>
        </w:tc>
      </w:tr>
      <w:tr>
        <w:trPr>
          <w:trHeight w:val="43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Adam K. Bernstein</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Jeffrey Flug</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Marshall Brozost</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Samuel L. Katz</w:t>
            </w:r>
          </w:p>
        </w:tc>
        <w:tc>
          <w:tcPr>
            <w:tcW w:w="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364"/>
        </w:trPr>
        <w:tc>
          <w:tcPr>
            <w:tcW w:w="4840" w:type="dxa"/>
            <w:vAlign w:val="bottom"/>
          </w:tcPr>
          <w:p>
            <w:pPr>
              <w:spacing w:after="0"/>
              <w:rPr>
                <w:sz w:val="24"/>
                <w:szCs w:val="24"/>
                <w:color w:val="auto"/>
              </w:rPr>
            </w:pPr>
          </w:p>
        </w:tc>
        <w:tc>
          <w:tcPr>
            <w:tcW w:w="6580" w:type="dxa"/>
            <w:vAlign w:val="bottom"/>
            <w:gridSpan w:val="2"/>
          </w:tcPr>
          <w:p>
            <w:pPr>
              <w:ind w:left="700"/>
              <w:spacing w:after="0"/>
              <w:rPr>
                <w:sz w:val="20"/>
                <w:szCs w:val="20"/>
                <w:color w:val="auto"/>
              </w:rPr>
            </w:pPr>
            <w:r>
              <w:rPr>
                <w:rFonts w:ascii="Arial" w:cs="Arial" w:eastAsia="Arial" w:hAnsi="Arial"/>
                <w:sz w:val="18"/>
                <w:szCs w:val="18"/>
                <w:color w:val="auto"/>
              </w:rPr>
              <w:t>C-13</w:t>
            </w:r>
          </w:p>
        </w:tc>
      </w:tr>
    </w:tbl>
    <w:p>
      <w:pPr>
        <w:sectPr>
          <w:pgSz w:w="11900" w:h="16838" w:orient="portrait"/>
          <w:cols w:equalWidth="0" w:num="1">
            <w:col w:w="11420"/>
          </w:cols>
          <w:pgMar w:left="240" w:top="45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143510</wp:posOffset>
            </wp:positionV>
            <wp:extent cx="5608320" cy="8058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83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16,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left="2060"/>
        <w:spacing w:after="0"/>
        <w:tabs>
          <w:tab w:leader="none" w:pos="2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firstLine="2054"/>
        <w:spacing w:after="0" w:line="253" w:lineRule="auto"/>
        <w:rPr>
          <w:sz w:val="20"/>
          <w:szCs w:val="20"/>
          <w:color w:val="auto"/>
        </w:rPr>
      </w:pPr>
      <w:r>
        <w:rPr>
          <w:rFonts w:ascii="Arial" w:cs="Arial" w:eastAsia="Arial" w:hAnsi="Arial"/>
          <w:sz w:val="18"/>
          <w:szCs w:val="18"/>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of the following securities of the Company having an aggregate initial offering price of up to $500,000,000 (collectively, the “Securities”): (i) shares (“Common Shares”) of common stock, $.001 par value per share (“Common Stock”); (ii) shares (“Preferred Shares”) of preferred stock, $.001 par value per share (“Preferred Stock”); (iii) warrants (“Warrants”); (iv) subscription rights (“Subscription Rights”); and (v) debt securities (“Debt Securities”), covered by the above-referenced Registration Statement, and all amendments thereto (the “Registration Statement”), to be filed by the Company with the United States Securities and Exchange Commission (the “Commission”) under the Securities Act of 1933, as amended (the “1933 Act”), on or about the date hereof.</w:t>
      </w:r>
    </w:p>
    <w:p>
      <w:pPr>
        <w:spacing w:after="0" w:line="145" w:lineRule="exact"/>
        <w:rPr>
          <w:sz w:val="20"/>
          <w:szCs w:val="20"/>
          <w:color w:val="auto"/>
        </w:rPr>
      </w:pPr>
    </w:p>
    <w:p>
      <w:pPr>
        <w:ind w:right="420" w:firstLine="2054"/>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left="2360" w:hanging="298"/>
        <w:spacing w:after="0"/>
        <w:tabs>
          <w:tab w:leader="none" w:pos="23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Registration Statement and the related form of prospectus included therein, in the form transmitted to the Commission for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filing pursuant to the 1933 Act;</w:t>
      </w:r>
    </w:p>
    <w:p>
      <w:pPr>
        <w:spacing w:after="0" w:line="164" w:lineRule="exact"/>
        <w:rPr>
          <w:rFonts w:ascii="Arial" w:cs="Arial" w:eastAsia="Arial" w:hAnsi="Arial"/>
          <w:sz w:val="16"/>
          <w:szCs w:val="16"/>
          <w:color w:val="auto"/>
        </w:rPr>
      </w:pPr>
    </w:p>
    <w:p>
      <w:pPr>
        <w:ind w:left="2360" w:hanging="298"/>
        <w:spacing w:after="0"/>
        <w:tabs>
          <w:tab w:leader="none" w:pos="23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charter of the Company (the “Charter”), certified by the State Department of Assessments and Taxation of Maryland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pacing w:after="0" w:line="164" w:lineRule="exact"/>
        <w:rPr>
          <w:rFonts w:ascii="Arial" w:cs="Arial" w:eastAsia="Arial" w:hAnsi="Arial"/>
          <w:sz w:val="16"/>
          <w:szCs w:val="16"/>
          <w:color w:val="auto"/>
        </w:rPr>
      </w:pPr>
    </w:p>
    <w:p>
      <w:pPr>
        <w:ind w:left="2360" w:hanging="298"/>
        <w:spacing w:after="0"/>
        <w:tabs>
          <w:tab w:leader="none" w:pos="23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Amended and Restated Bylaws of the Company (the “Bylaws”), certified as of the date hereof by an officer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64" w:lineRule="exact"/>
        <w:rPr>
          <w:rFonts w:ascii="Arial" w:cs="Arial" w:eastAsia="Arial" w:hAnsi="Arial"/>
          <w:sz w:val="16"/>
          <w:szCs w:val="16"/>
          <w:color w:val="auto"/>
        </w:rPr>
      </w:pPr>
    </w:p>
    <w:p>
      <w:pPr>
        <w:ind w:left="2360" w:hanging="298"/>
        <w:spacing w:after="0"/>
        <w:tabs>
          <w:tab w:leader="none" w:pos="2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3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643255"/>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97" w:lineRule="exact"/>
        <w:rPr>
          <w:sz w:val="20"/>
          <w:szCs w:val="20"/>
          <w:color w:val="auto"/>
        </w:rPr>
      </w:pPr>
    </w:p>
    <w:p>
      <w:pPr>
        <w:ind w:right="300" w:firstLine="2062"/>
        <w:spacing w:after="0" w:line="268" w:lineRule="auto"/>
        <w:tabs>
          <w:tab w:leader="none" w:pos="23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131" w:lineRule="exact"/>
        <w:rPr>
          <w:rFonts w:ascii="Arial" w:cs="Arial" w:eastAsia="Arial" w:hAnsi="Arial"/>
          <w:sz w:val="18"/>
          <w:szCs w:val="18"/>
          <w:color w:val="auto"/>
        </w:rPr>
      </w:pPr>
    </w:p>
    <w:p>
      <w:pPr>
        <w:ind w:left="2360" w:hanging="298"/>
        <w:spacing w:after="0"/>
        <w:tabs>
          <w:tab w:leader="none" w:pos="2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20" w:firstLine="2062"/>
        <w:spacing w:after="0" w:line="268" w:lineRule="auto"/>
        <w:tabs>
          <w:tab w:leader="none" w:pos="23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2360" w:hanging="298"/>
        <w:spacing w:after="0"/>
        <w:tabs>
          <w:tab w:leader="none" w:pos="23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do so.</w:t>
      </w:r>
    </w:p>
    <w:p>
      <w:pPr>
        <w:spacing w:after="0" w:line="165" w:lineRule="exact"/>
        <w:rPr>
          <w:sz w:val="20"/>
          <w:szCs w:val="20"/>
          <w:color w:val="auto"/>
        </w:rPr>
      </w:pPr>
    </w:p>
    <w:p>
      <w:pPr>
        <w:ind w:left="2360" w:hanging="298"/>
        <w:spacing w:after="0"/>
        <w:tabs>
          <w:tab w:leader="none" w:pos="23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individual executing any of the Documents on behalf of a party (other than the Company) is duly authorized to do so.</w:t>
      </w:r>
    </w:p>
    <w:p>
      <w:pPr>
        <w:spacing w:after="0" w:line="194" w:lineRule="exact"/>
        <w:rPr>
          <w:rFonts w:ascii="Arial" w:cs="Arial" w:eastAsia="Arial" w:hAnsi="Arial"/>
          <w:sz w:val="16"/>
          <w:szCs w:val="16"/>
          <w:color w:val="auto"/>
        </w:rPr>
      </w:pPr>
    </w:p>
    <w:p>
      <w:pPr>
        <w:ind w:right="80" w:firstLine="2062"/>
        <w:spacing w:after="0" w:line="259" w:lineRule="auto"/>
        <w:tabs>
          <w:tab w:leader="none" w:pos="2361"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40" w:lineRule="exact"/>
        <w:rPr>
          <w:rFonts w:ascii="Arial" w:cs="Arial" w:eastAsia="Arial" w:hAnsi="Arial"/>
          <w:sz w:val="18"/>
          <w:szCs w:val="18"/>
          <w:color w:val="auto"/>
        </w:rPr>
      </w:pPr>
    </w:p>
    <w:p>
      <w:pPr>
        <w:ind w:firstLine="2062"/>
        <w:spacing w:after="0" w:line="291" w:lineRule="auto"/>
        <w:tabs>
          <w:tab w:leader="none" w:pos="23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20" w:lineRule="exact"/>
        <w:rPr>
          <w:rFonts w:ascii="Arial" w:cs="Arial" w:eastAsia="Arial" w:hAnsi="Arial"/>
          <w:sz w:val="16"/>
          <w:szCs w:val="16"/>
          <w:color w:val="auto"/>
        </w:rPr>
      </w:pPr>
    </w:p>
    <w:p>
      <w:pPr>
        <w:ind w:right="120" w:firstLine="2062"/>
        <w:spacing w:after="0" w:line="306" w:lineRule="auto"/>
        <w:tabs>
          <w:tab w:leader="none" w:pos="23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issuance of, and certain terms of, the Securities to be issued by the Company from time to time will be authorized and approved by the Board of Directors, or a duly authorized committee thereof, in accordance with the Maryland General Corporation Law, the Charter, the Bylaws and the Resolutions prior to the issuance of such Securities (such approval referred to herein as the “Corporate Proceedings”).</w:t>
      </w:r>
    </w:p>
    <w:p>
      <w:pPr>
        <w:sectPr>
          <w:pgSz w:w="11900" w:h="16838" w:orient="portrait"/>
          <w:cols w:equalWidth="0" w:num="1">
            <w:col w:w="11420"/>
          </w:cols>
          <w:pgMar w:left="240" w:top="130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3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643255"/>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440" w:firstLine="2062"/>
        <w:spacing w:after="0" w:line="306" w:lineRule="auto"/>
        <w:tabs>
          <w:tab w:leader="none" w:pos="2361"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106" w:lineRule="exact"/>
        <w:rPr>
          <w:rFonts w:ascii="Arial" w:cs="Arial" w:eastAsia="Arial" w:hAnsi="Arial"/>
          <w:sz w:val="16"/>
          <w:szCs w:val="16"/>
          <w:color w:val="auto"/>
        </w:rPr>
      </w:pPr>
    </w:p>
    <w:p>
      <w:pPr>
        <w:ind w:firstLine="2062"/>
        <w:spacing w:after="0" w:line="332" w:lineRule="auto"/>
        <w:tabs>
          <w:tab w:leader="none" w:pos="2352" w:val="left"/>
        </w:tabs>
        <w:numPr>
          <w:ilvl w:val="0"/>
          <w:numId w:val="73"/>
        </w:numPr>
        <w:rPr>
          <w:rFonts w:ascii="Arial" w:cs="Arial" w:eastAsia="Arial" w:hAnsi="Arial"/>
          <w:sz w:val="16"/>
          <w:szCs w:val="16"/>
          <w:color w:val="auto"/>
        </w:rPr>
      </w:pPr>
      <w:r>
        <w:rPr>
          <w:rFonts w:ascii="Arial" w:cs="Arial" w:eastAsia="Arial" w:hAnsi="Arial"/>
          <w:sz w:val="16"/>
          <w:szCs w:val="16"/>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85" w:lineRule="exact"/>
        <w:rPr>
          <w:rFonts w:ascii="Arial" w:cs="Arial" w:eastAsia="Arial" w:hAnsi="Arial"/>
          <w:sz w:val="16"/>
          <w:szCs w:val="16"/>
          <w:color w:val="auto"/>
        </w:rPr>
      </w:pPr>
    </w:p>
    <w:p>
      <w:pPr>
        <w:ind w:right="60" w:firstLine="2062"/>
        <w:spacing w:after="0" w:line="255" w:lineRule="auto"/>
        <w:tabs>
          <w:tab w:leader="none" w:pos="2361"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4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Based upon the foregoing, and subject to the assumptions, limitations and qualifications stated herein, it is our opinion that:</w:t>
      </w:r>
    </w:p>
    <w:p>
      <w:pPr>
        <w:spacing w:after="0" w:line="194" w:lineRule="exact"/>
        <w:rPr>
          <w:sz w:val="20"/>
          <w:szCs w:val="20"/>
          <w:color w:val="auto"/>
        </w:rPr>
      </w:pPr>
    </w:p>
    <w:p>
      <w:pPr>
        <w:ind w:left="2360" w:hanging="298"/>
        <w:spacing w:after="0"/>
        <w:tabs>
          <w:tab w:leader="none" w:pos="23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 standing with the SDAT.</w:t>
      </w:r>
    </w:p>
    <w:p>
      <w:pPr>
        <w:spacing w:after="0" w:line="164" w:lineRule="exact"/>
        <w:rPr>
          <w:rFonts w:ascii="Arial" w:cs="Arial" w:eastAsia="Arial" w:hAnsi="Arial"/>
          <w:sz w:val="16"/>
          <w:szCs w:val="16"/>
          <w:color w:val="auto"/>
        </w:rPr>
      </w:pPr>
    </w:p>
    <w:p>
      <w:pPr>
        <w:ind w:right="40" w:firstLine="2062"/>
        <w:spacing w:after="0" w:line="259" w:lineRule="auto"/>
        <w:tabs>
          <w:tab w:leader="none" w:pos="2361"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140" w:lineRule="exact"/>
        <w:rPr>
          <w:rFonts w:ascii="Arial" w:cs="Arial" w:eastAsia="Arial" w:hAnsi="Arial"/>
          <w:sz w:val="18"/>
          <w:szCs w:val="18"/>
          <w:color w:val="auto"/>
        </w:rPr>
      </w:pPr>
    </w:p>
    <w:p>
      <w:pPr>
        <w:ind w:right="40" w:firstLine="2062"/>
        <w:spacing w:after="0" w:line="259" w:lineRule="auto"/>
        <w:tabs>
          <w:tab w:leader="none" w:pos="2361"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140" w:lineRule="exact"/>
        <w:rPr>
          <w:rFonts w:ascii="Arial" w:cs="Arial" w:eastAsia="Arial" w:hAnsi="Arial"/>
          <w:sz w:val="18"/>
          <w:szCs w:val="18"/>
          <w:color w:val="auto"/>
        </w:rPr>
      </w:pPr>
    </w:p>
    <w:p>
      <w:pPr>
        <w:ind w:left="2360" w:hanging="298"/>
        <w:spacing w:after="0"/>
        <w:tabs>
          <w:tab w:leader="none" w:pos="23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Upon the completion of all Corporate Proceedings relating to the Warrants, the issuance of the Warrants will be duly authorized.</w:t>
      </w:r>
    </w:p>
    <w:p>
      <w:pPr>
        <w:spacing w:after="0" w:line="205" w:lineRule="exact"/>
        <w:rPr>
          <w:rFonts w:ascii="Arial" w:cs="Arial" w:eastAsia="Arial" w:hAnsi="Arial"/>
          <w:sz w:val="15"/>
          <w:szCs w:val="15"/>
          <w:color w:val="auto"/>
        </w:rPr>
      </w:pPr>
    </w:p>
    <w:p>
      <w:pPr>
        <w:ind w:left="2360" w:hanging="298"/>
        <w:spacing w:after="0"/>
        <w:tabs>
          <w:tab w:leader="none" w:pos="23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Subscription Rights, the issuance of the Subscription Rights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will be duly authorized.</w:t>
      </w:r>
    </w:p>
    <w:p>
      <w:pPr>
        <w:sectPr>
          <w:pgSz w:w="11900" w:h="16838" w:orient="portrait"/>
          <w:cols w:equalWidth="0" w:num="1">
            <w:col w:w="11380"/>
          </w:cols>
          <w:pgMar w:left="240" w:top="1306"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3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643255"/>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2360" w:hanging="298"/>
        <w:spacing w:after="0"/>
        <w:tabs>
          <w:tab w:leader="none" w:pos="23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Debt Securities, the issuance of the Debt Securities will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duly authorized.</w:t>
      </w:r>
    </w:p>
    <w:p>
      <w:pPr>
        <w:spacing w:after="0" w:line="165" w:lineRule="exact"/>
        <w:rPr>
          <w:sz w:val="20"/>
          <w:szCs w:val="20"/>
          <w:color w:val="auto"/>
        </w:rPr>
      </w:pPr>
    </w:p>
    <w:p>
      <w:pPr>
        <w:ind w:firstLine="2054"/>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or the applicability of, the 1940 Act and other federal securities laws, or state securities laws, including the securities laws of the State of Maryland.</w:t>
      </w:r>
    </w:p>
    <w:p>
      <w:pPr>
        <w:spacing w:after="0" w:line="140" w:lineRule="exact"/>
        <w:rPr>
          <w:sz w:val="20"/>
          <w:szCs w:val="20"/>
          <w:color w:val="auto"/>
        </w:rPr>
      </w:pPr>
    </w:p>
    <w:p>
      <w:pPr>
        <w:ind w:right="100" w:firstLine="2054"/>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jc w:val="both"/>
        <w:ind w:right="280" w:firstLine="2054"/>
        <w:spacing w:after="0" w:line="306" w:lineRule="auto"/>
        <w:rPr>
          <w:sz w:val="20"/>
          <w:szCs w:val="20"/>
          <w:color w:val="auto"/>
        </w:rPr>
      </w:pPr>
      <w:r>
        <w:rPr>
          <w:rFonts w:ascii="Arial" w:cs="Arial" w:eastAsia="Arial" w:hAnsi="Arial"/>
          <w:sz w:val="16"/>
          <w:szCs w:val="16"/>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8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400"/>
          </w:cols>
          <w:pgMar w:left="240" w:top="1306"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(l)(2)</w:t>
      </w:r>
    </w:p>
    <w:p>
      <w:pPr>
        <w:spacing w:after="0" w:line="215"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One International Place, 40th Floor</w:t>
      </w:r>
    </w:p>
    <w:p>
      <w:pPr>
        <w:ind w:left="8460"/>
        <w:spacing w:after="0" w:line="221" w:lineRule="auto"/>
        <w:rPr>
          <w:sz w:val="20"/>
          <w:szCs w:val="20"/>
          <w:color w:val="auto"/>
        </w:rPr>
      </w:pPr>
      <w:r>
        <w:rPr>
          <w:rFonts w:ascii="Arial" w:cs="Arial" w:eastAsia="Arial" w:hAnsi="Arial"/>
          <w:sz w:val="14"/>
          <w:szCs w:val="14"/>
          <w:color w:val="auto"/>
        </w:rPr>
        <w:t>100 Oliver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1149350"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49350" cy="445770"/>
                    </a:xfrm>
                    <a:prstGeom prst="rect">
                      <a:avLst/>
                    </a:prstGeom>
                    <a:noFill/>
                  </pic:spPr>
                </pic:pic>
              </a:graphicData>
            </a:graphic>
          </wp:anchor>
        </w:drawing>
      </w:r>
    </w:p>
    <w:p>
      <w:pPr>
        <w:ind w:left="8460"/>
        <w:spacing w:after="0" w:line="221" w:lineRule="auto"/>
        <w:rPr>
          <w:sz w:val="20"/>
          <w:szCs w:val="20"/>
          <w:color w:val="auto"/>
        </w:rPr>
      </w:pPr>
      <w:r>
        <w:rPr>
          <w:rFonts w:ascii="Arial" w:cs="Arial" w:eastAsia="Arial" w:hAnsi="Arial"/>
          <w:sz w:val="14"/>
          <w:szCs w:val="14"/>
          <w:color w:val="auto"/>
        </w:rPr>
        <w:t>Boston, MA 02110-2605</w:t>
      </w:r>
    </w:p>
    <w:p>
      <w:pPr>
        <w:ind w:left="8460"/>
        <w:spacing w:after="0" w:line="222" w:lineRule="auto"/>
        <w:rPr>
          <w:sz w:val="20"/>
          <w:szCs w:val="20"/>
          <w:color w:val="auto"/>
        </w:rPr>
      </w:pPr>
      <w:r>
        <w:rPr>
          <w:rFonts w:ascii="Arial" w:cs="Arial" w:eastAsia="Arial" w:hAnsi="Arial"/>
          <w:sz w:val="14"/>
          <w:szCs w:val="14"/>
          <w:color w:val="auto"/>
        </w:rPr>
        <w:t>+1 617 728 7100 Main</w:t>
      </w:r>
    </w:p>
    <w:p>
      <w:pPr>
        <w:ind w:left="8460"/>
        <w:spacing w:after="0" w:line="221" w:lineRule="auto"/>
        <w:rPr>
          <w:sz w:val="20"/>
          <w:szCs w:val="20"/>
          <w:color w:val="auto"/>
        </w:rPr>
      </w:pPr>
      <w:r>
        <w:rPr>
          <w:rFonts w:ascii="Arial" w:cs="Arial" w:eastAsia="Arial" w:hAnsi="Arial"/>
          <w:sz w:val="14"/>
          <w:szCs w:val="14"/>
          <w:color w:val="auto"/>
        </w:rPr>
        <w:t>+1 617 426 6567 Fax</w:t>
      </w:r>
    </w:p>
    <w:p>
      <w:pPr>
        <w:ind w:left="8460"/>
        <w:spacing w:after="0"/>
        <w:rPr>
          <w:sz w:val="20"/>
          <w:szCs w:val="20"/>
          <w:color w:val="auto"/>
        </w:rPr>
      </w:pPr>
      <w:r>
        <w:rPr>
          <w:rFonts w:ascii="Arial" w:cs="Arial" w:eastAsia="Arial" w:hAnsi="Arial"/>
          <w:sz w:val="14"/>
          <w:szCs w:val="14"/>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146050</wp:posOffset>
            </wp:positionV>
            <wp:extent cx="18783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acted as counsel to 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on the date hereof,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possible offerings from time to time of up to an aggregate of $500,000,000 of the following securities of the Company: (1) shares of common stock, par value $0.001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 (2) shares of preferred stock, par value $0.001 per share, of the Company (“</w:t>
      </w:r>
      <w:r>
        <w:rPr>
          <w:rFonts w:ascii="Arial" w:cs="Arial" w:eastAsia="Arial" w:hAnsi="Arial"/>
          <w:sz w:val="16"/>
          <w:szCs w:val="16"/>
          <w:u w:val="single" w:color="auto"/>
          <w:color w:val="auto"/>
        </w:rPr>
        <w:t>Preferred Stock</w:t>
      </w:r>
      <w:r>
        <w:rPr>
          <w:rFonts w:ascii="Arial" w:cs="Arial" w:eastAsia="Arial" w:hAnsi="Arial"/>
          <w:sz w:val="16"/>
          <w:szCs w:val="16"/>
          <w:color w:val="auto"/>
        </w:rPr>
        <w:t>”), (3) warrants of the Company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Common Stock, Preferred Stock or Debt Securities (as defined below), (4) rights to purchase Common Stock (the “</w:t>
      </w:r>
      <w:r>
        <w:rPr>
          <w:rFonts w:ascii="Arial" w:cs="Arial" w:eastAsia="Arial" w:hAnsi="Arial"/>
          <w:sz w:val="16"/>
          <w:szCs w:val="16"/>
          <w:u w:val="single" w:color="auto"/>
          <w:color w:val="auto"/>
        </w:rPr>
        <w:t>Subscription Rights</w:t>
      </w:r>
      <w:r>
        <w:rPr>
          <w:rFonts w:ascii="Arial" w:cs="Arial" w:eastAsia="Arial" w:hAnsi="Arial"/>
          <w:sz w:val="16"/>
          <w:szCs w:val="16"/>
          <w:color w:val="auto"/>
        </w:rPr>
        <w:t>”) and (5) debt securities (“</w:t>
      </w:r>
      <w:r>
        <w:rPr>
          <w:rFonts w:ascii="Arial" w:cs="Arial" w:eastAsia="Arial" w:hAnsi="Arial"/>
          <w:sz w:val="16"/>
          <w:szCs w:val="16"/>
          <w:u w:val="single" w:color="auto"/>
          <w:color w:val="auto"/>
        </w:rPr>
        <w:t>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to be issued pursuant to an indenture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The Warrants, Subscription Rights and Debt Securities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1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ectPr>
          <w:pgSz w:w="11900" w:h="16838" w:orient="portrait"/>
          <w:cols w:equalWidth="0" w:num="1">
            <w:col w:w="11420"/>
          </w:cols>
          <w:pgMar w:left="240" w:top="125" w:right="239" w:bottom="1440" w:gutter="0" w:footer="0" w:header="0"/>
        </w:sectPr>
      </w:pPr>
    </w:p>
    <w:bookmarkStart w:id="90" w:name="page91"/>
    <w:bookmarkEnd w:id="90"/>
    <w:p>
      <w:pPr>
        <w:ind w:left="7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49350" cy="4457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49350" cy="44577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35" w:lineRule="exact"/>
        <w:rPr>
          <w:sz w:val="20"/>
          <w:szCs w:val="20"/>
          <w:color w:val="auto"/>
        </w:rPr>
      </w:pPr>
    </w:p>
    <w:p>
      <w:pPr>
        <w:ind w:left="1820" w:hanging="569"/>
        <w:spacing w:after="0"/>
        <w:tabs>
          <w:tab w:leader="none" w:pos="1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1820" w:hanging="569"/>
        <w:spacing w:after="0"/>
        <w:tabs>
          <w:tab w:leader="none" w:pos="1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form of warrant agreement (as may be amended or supplemented from time to time,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820" w:hanging="569"/>
        <w:spacing w:after="0"/>
        <w:tabs>
          <w:tab w:leader="none" w:pos="18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form of indenture governing the Debt Securities (as may be amended or supplemented from time to time, the “Indenture”);</w:t>
      </w:r>
    </w:p>
    <w:p>
      <w:pPr>
        <w:spacing w:after="0" w:line="113" w:lineRule="exact"/>
        <w:rPr>
          <w:rFonts w:ascii="Arial" w:cs="Arial" w:eastAsia="Arial" w:hAnsi="Arial"/>
          <w:sz w:val="16"/>
          <w:szCs w:val="16"/>
          <w:color w:val="auto"/>
        </w:rPr>
      </w:pPr>
    </w:p>
    <w:p>
      <w:pPr>
        <w:ind w:left="1820" w:right="80" w:hanging="569"/>
        <w:spacing w:after="0" w:line="268" w:lineRule="auto"/>
        <w:tabs>
          <w:tab w:leader="none" w:pos="1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State Department of Assessments and Taxation of Maryland as of a recent date; and</w:t>
      </w:r>
    </w:p>
    <w:p>
      <w:pPr>
        <w:spacing w:after="0" w:line="50" w:lineRule="exact"/>
        <w:rPr>
          <w:rFonts w:ascii="Arial" w:cs="Arial" w:eastAsia="Arial" w:hAnsi="Arial"/>
          <w:sz w:val="18"/>
          <w:szCs w:val="18"/>
          <w:color w:val="auto"/>
        </w:rPr>
      </w:pPr>
    </w:p>
    <w:p>
      <w:pPr>
        <w:ind w:left="1820" w:right="240" w:hanging="569"/>
        <w:spacing w:after="0" w:line="268" w:lineRule="auto"/>
        <w:tabs>
          <w:tab w:leader="none" w:pos="1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relating to, among other things, the authorization and approval of the preparation and filing of the Registration Statement.</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to the facts upon which this opinion is based, we have relied upon certificates of public officials and certificates and written statements of agents, officers, directors and representatives of the Company without having independently verified such factual matters.</w:t>
      </w:r>
    </w:p>
    <w:p>
      <w:pPr>
        <w:spacing w:after="0" w:line="13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qualifications and limitations set forth in this letter, we are of the opinion that:</w:t>
      </w:r>
    </w:p>
    <w:p>
      <w:pPr>
        <w:spacing w:after="0" w:line="90" w:lineRule="exact"/>
        <w:rPr>
          <w:sz w:val="20"/>
          <w:szCs w:val="20"/>
          <w:color w:val="auto"/>
        </w:rPr>
      </w:pPr>
    </w:p>
    <w:p>
      <w:pPr>
        <w:ind w:left="1820" w:right="20" w:hanging="569"/>
        <w:spacing w:after="0" w:line="294" w:lineRule="auto"/>
        <w:tabs>
          <w:tab w:leader="none" w:pos="18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34" w:lineRule="exact"/>
        <w:rPr>
          <w:rFonts w:ascii="Arial" w:cs="Arial" w:eastAsia="Arial" w:hAnsi="Arial"/>
          <w:sz w:val="16"/>
          <w:szCs w:val="16"/>
          <w:color w:val="auto"/>
        </w:rPr>
      </w:pPr>
    </w:p>
    <w:p>
      <w:pPr>
        <w:ind w:left="1820" w:hanging="569"/>
        <w:spacing w:after="0" w:line="256" w:lineRule="auto"/>
        <w:tabs>
          <w:tab w:leader="none" w:pos="1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Subscription Rights, when duly authorized by the Company and issued in accordance with the Registration Statement and applicable Prospectus Supplement and the provisions of an applicable subscription certificate and any applicable, valid and binding subscription agreement, will be valid and binding obligations of the Company enforceable against the Company in accordance with their respective terms.</w:t>
      </w:r>
    </w:p>
    <w:p>
      <w:pPr>
        <w:sectPr>
          <w:pgSz w:w="11900" w:h="16838" w:orient="portrait"/>
          <w:cols w:equalWidth="0" w:num="1">
            <w:col w:w="11420"/>
          </w:cols>
          <w:pgMar w:left="240" w:top="428" w:right="239" w:bottom="1440" w:gutter="0" w:footer="0" w:header="0"/>
        </w:sectPr>
      </w:pPr>
    </w:p>
    <w:bookmarkStart w:id="91" w:name="page92"/>
    <w:bookmarkEnd w:id="91"/>
    <w:p>
      <w:pPr>
        <w:ind w:left="7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49350"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9350" cy="44577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35" w:lineRule="exact"/>
        <w:rPr>
          <w:sz w:val="20"/>
          <w:szCs w:val="20"/>
          <w:color w:val="auto"/>
        </w:rPr>
      </w:pPr>
    </w:p>
    <w:p>
      <w:pPr>
        <w:ind w:left="1820" w:hanging="569"/>
        <w:spacing w:after="0" w:line="290" w:lineRule="auto"/>
        <w:tabs>
          <w:tab w:leader="none" w:pos="18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Debt Securities, when (a) duly authorized and executed by the Company and authenticated by the Trustee in accordance with the provisions of the Indenture and (x) issued and sold in accordance with the Registration Statement and applicable Prospectus Supplement or (y)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51" w:lineRule="exact"/>
        <w:rPr>
          <w:sz w:val="20"/>
          <w:szCs w:val="20"/>
          <w:color w:val="auto"/>
        </w:rPr>
      </w:pPr>
    </w:p>
    <w:p>
      <w:pPr>
        <w:ind w:left="1260" w:hanging="685"/>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90" w:lineRule="exact"/>
        <w:rPr>
          <w:rFonts w:ascii="Arial" w:cs="Arial" w:eastAsia="Arial" w:hAnsi="Arial"/>
          <w:sz w:val="18"/>
          <w:szCs w:val="18"/>
          <w:color w:val="auto"/>
        </w:rPr>
      </w:pPr>
    </w:p>
    <w:p>
      <w:pPr>
        <w:ind w:left="1260" w:hanging="685"/>
        <w:spacing w:after="0"/>
        <w:tabs>
          <w:tab w:leader="none" w:pos="1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Board of Directors, including any appropriate committee appointed thereby, and/or appropriate officers of the Company shall have duly</w:t>
      </w:r>
    </w:p>
    <w:p>
      <w:pPr>
        <w:spacing w:after="0" w:line="38" w:lineRule="exact"/>
        <w:rPr>
          <w:rFonts w:ascii="Arial" w:cs="Arial" w:eastAsia="Arial" w:hAnsi="Arial"/>
          <w:sz w:val="16"/>
          <w:szCs w:val="16"/>
          <w:color w:val="auto"/>
        </w:rPr>
      </w:pPr>
    </w:p>
    <w:p>
      <w:pPr>
        <w:ind w:left="1260" w:right="140" w:hanging="9"/>
        <w:spacing w:after="0" w:line="261" w:lineRule="auto"/>
        <w:tabs>
          <w:tab w:leader="none" w:pos="1509" w:val="left"/>
        </w:tabs>
        <w:numPr>
          <w:ilvl w:val="1"/>
          <w:numId w:val="79"/>
        </w:numPr>
        <w:rPr>
          <w:rFonts w:ascii="Arial" w:cs="Arial" w:eastAsia="Arial" w:hAnsi="Arial"/>
          <w:sz w:val="18"/>
          <w:szCs w:val="18"/>
          <w:color w:val="auto"/>
        </w:rPr>
      </w:pPr>
      <w:r>
        <w:rPr>
          <w:rFonts w:ascii="Arial" w:cs="Arial" w:eastAsia="Arial" w:hAnsi="Arial"/>
          <w:sz w:val="18"/>
          <w:szCs w:val="18"/>
          <w:color w:val="auto"/>
        </w:rPr>
        <w:t>established the terms of the Securities and (y) authorized and taken any other necessary corporate or other action to approve the creation, if applicable, issuance and sale of the Securities and related matters;</w:t>
      </w:r>
    </w:p>
    <w:p>
      <w:pPr>
        <w:spacing w:after="0" w:line="56" w:lineRule="exact"/>
        <w:rPr>
          <w:rFonts w:ascii="Arial" w:cs="Arial" w:eastAsia="Arial" w:hAnsi="Arial"/>
          <w:sz w:val="18"/>
          <w:szCs w:val="18"/>
          <w:color w:val="auto"/>
        </w:rPr>
      </w:pPr>
    </w:p>
    <w:p>
      <w:pPr>
        <w:ind w:left="1260" w:right="240" w:hanging="685"/>
        <w:spacing w:after="0" w:line="332" w:lineRule="auto"/>
        <w:tabs>
          <w:tab w:leader="none" w:pos="1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resolutions establishing the definitive terms of and authorizing the Company to register, offer, sell and issue the Securities shall remain in effect and unchanged at all times during which the Securities are offered, sold or issued by the Company;</w:t>
      </w:r>
    </w:p>
    <w:p>
      <w:pPr>
        <w:spacing w:after="0" w:line="4" w:lineRule="exact"/>
        <w:rPr>
          <w:rFonts w:ascii="Arial" w:cs="Arial" w:eastAsia="Arial" w:hAnsi="Arial"/>
          <w:sz w:val="16"/>
          <w:szCs w:val="16"/>
          <w:color w:val="auto"/>
        </w:rPr>
      </w:pPr>
    </w:p>
    <w:p>
      <w:pPr>
        <w:ind w:left="1260" w:hanging="685"/>
        <w:spacing w:after="0" w:line="283" w:lineRule="auto"/>
        <w:tabs>
          <w:tab w:leader="none" w:pos="1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definitive terms of each class and series of the Securities not presently provided for in the Registration Statement or the Articles Incorporation of the Company and the terms of the issuance and sale of the Securities (x) shall have been duly established in accordance with all applicable law and the Articles of Incorporation and Bylaws of the Company, any Indenture, underwriting agreement, Warrant Agreement and subscription agreement and any other relevant agreement relating to the terms and the offer and sale of the Securities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 and the authorizing resolutions of the Board of Directors, and reflected in appropriate documentation reviewed by us and</w:t>
      </w:r>
    </w:p>
    <w:p>
      <w:pPr>
        <w:spacing w:after="0" w:line="2" w:lineRule="exact"/>
        <w:rPr>
          <w:rFonts w:ascii="Arial" w:cs="Arial" w:eastAsia="Arial" w:hAnsi="Arial"/>
          <w:sz w:val="16"/>
          <w:szCs w:val="16"/>
          <w:color w:val="auto"/>
        </w:rPr>
      </w:pPr>
    </w:p>
    <w:p>
      <w:pPr>
        <w:ind w:left="1500" w:hanging="249"/>
        <w:spacing w:after="0"/>
        <w:tabs>
          <w:tab w:leader="none" w:pos="15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shall not</w:t>
      </w:r>
    </w:p>
    <w:p>
      <w:pPr>
        <w:sectPr>
          <w:pgSz w:w="11900" w:h="16838" w:orient="portrait"/>
          <w:cols w:equalWidth="0" w:num="1">
            <w:col w:w="11400"/>
          </w:cols>
          <w:pgMar w:left="240" w:top="428" w:right="259" w:bottom="1440" w:gutter="0" w:footer="0" w:header="0"/>
        </w:sectPr>
      </w:pPr>
    </w:p>
    <w:bookmarkStart w:id="92" w:name="page93"/>
    <w:bookmarkEnd w:id="92"/>
    <w:p>
      <w:pPr>
        <w:ind w:left="708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-125730</wp:posOffset>
            </wp:positionV>
            <wp:extent cx="1149350" cy="4457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49350" cy="445770"/>
                    </a:xfrm>
                    <a:prstGeom prst="rect">
                      <a:avLst/>
                    </a:prstGeom>
                    <a:noFill/>
                  </pic:spPr>
                </pic:pic>
              </a:graphicData>
            </a:graphic>
          </wp:anchor>
        </w:drawing>
      </w:r>
    </w:p>
    <w:p>
      <w:pPr>
        <w:ind w:left="7085"/>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35" w:lineRule="exact"/>
        <w:rPr>
          <w:sz w:val="20"/>
          <w:szCs w:val="20"/>
          <w:color w:val="auto"/>
        </w:rPr>
      </w:pPr>
    </w:p>
    <w:p>
      <w:pPr>
        <w:ind w:left="685" w:right="20"/>
        <w:spacing w:after="0" w:line="255" w:lineRule="auto"/>
        <w:rPr>
          <w:sz w:val="20"/>
          <w:szCs w:val="20"/>
          <w:color w:val="auto"/>
        </w:rPr>
      </w:pPr>
      <w:r>
        <w:rPr>
          <w:rFonts w:ascii="Arial" w:cs="Arial" w:eastAsia="Arial" w:hAnsi="Arial"/>
          <w:sz w:val="18"/>
          <w:szCs w:val="18"/>
          <w:color w:val="auto"/>
        </w:rPr>
        <w:t>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pacing w:after="0" w:line="62" w:lineRule="exact"/>
        <w:rPr>
          <w:sz w:val="20"/>
          <w:szCs w:val="20"/>
          <w:color w:val="auto"/>
        </w:rPr>
      </w:pPr>
    </w:p>
    <w:p>
      <w:pPr>
        <w:ind w:left="685" w:hanging="685"/>
        <w:spacing w:after="0"/>
        <w:tabs>
          <w:tab w:leader="none" w:pos="6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interest rate on the Debt Securities shall not be higher than the maximum lawful rate permitted from time to time under applicable law;</w:t>
      </w:r>
    </w:p>
    <w:p>
      <w:pPr>
        <w:spacing w:after="0" w:line="113" w:lineRule="exact"/>
        <w:rPr>
          <w:rFonts w:ascii="Arial" w:cs="Arial" w:eastAsia="Arial" w:hAnsi="Arial"/>
          <w:sz w:val="16"/>
          <w:szCs w:val="16"/>
          <w:color w:val="auto"/>
        </w:rPr>
      </w:pPr>
    </w:p>
    <w:p>
      <w:pPr>
        <w:ind w:left="685" w:hanging="685"/>
        <w:spacing w:after="0" w:line="255"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pacing w:after="0" w:line="61" w:lineRule="exact"/>
        <w:rPr>
          <w:rFonts w:ascii="Arial" w:cs="Arial" w:eastAsia="Arial" w:hAnsi="Arial"/>
          <w:sz w:val="18"/>
          <w:szCs w:val="18"/>
          <w:color w:val="auto"/>
        </w:rPr>
      </w:pPr>
    </w:p>
    <w:p>
      <w:pPr>
        <w:ind w:left="685" w:right="420" w:hanging="685"/>
        <w:spacing w:after="0" w:line="332" w:lineRule="auto"/>
        <w:tabs>
          <w:tab w:leader="none" w:pos="6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Indenture, Warrant Agreement and subscription agreement and any other relevant agreement has been duly authorized, executed and delivered by, and will constitute a valid and binding obligation of, each party thereto (other than the Company);</w:t>
      </w:r>
    </w:p>
    <w:p>
      <w:pPr>
        <w:spacing w:after="0" w:line="4" w:lineRule="exact"/>
        <w:rPr>
          <w:rFonts w:ascii="Arial" w:cs="Arial" w:eastAsia="Arial" w:hAnsi="Arial"/>
          <w:sz w:val="16"/>
          <w:szCs w:val="16"/>
          <w:color w:val="auto"/>
        </w:rPr>
      </w:pPr>
    </w:p>
    <w:p>
      <w:pPr>
        <w:ind w:left="685" w:right="200" w:hanging="685"/>
        <w:spacing w:after="0" w:line="259"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Statement, as amended (including all necessary post-effective amendments), and any additional registration statement filed under Rule 462 under the Securities Act, shall be effective under the Securities Act, and such effectiveness shall not have been terminated or rescinded;</w:t>
      </w:r>
    </w:p>
    <w:p>
      <w:pPr>
        <w:spacing w:after="0" w:line="59" w:lineRule="exact"/>
        <w:rPr>
          <w:rFonts w:ascii="Arial" w:cs="Arial" w:eastAsia="Arial" w:hAnsi="Arial"/>
          <w:sz w:val="18"/>
          <w:szCs w:val="18"/>
          <w:color w:val="auto"/>
        </w:rPr>
      </w:pPr>
    </w:p>
    <w:p>
      <w:pPr>
        <w:ind w:left="685" w:right="200" w:hanging="685"/>
        <w:spacing w:after="0" w:line="268"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appropriate Prospectus Supplement shall have been prepared, delivered and filed in compliance with the Securities Act and the applicable rules and regulations thereunder describing the Securities offered thereby;</w:t>
      </w:r>
    </w:p>
    <w:p>
      <w:pPr>
        <w:spacing w:after="0" w:line="50" w:lineRule="exact"/>
        <w:rPr>
          <w:rFonts w:ascii="Arial" w:cs="Arial" w:eastAsia="Arial" w:hAnsi="Arial"/>
          <w:sz w:val="18"/>
          <w:szCs w:val="18"/>
          <w:color w:val="auto"/>
        </w:rPr>
      </w:pPr>
    </w:p>
    <w:p>
      <w:pPr>
        <w:ind w:left="685" w:right="100" w:hanging="685"/>
        <w:spacing w:after="0" w:line="259" w:lineRule="auto"/>
        <w:tabs>
          <w:tab w:leader="none" w:pos="6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59" w:lineRule="exact"/>
        <w:rPr>
          <w:rFonts w:ascii="Arial" w:cs="Arial" w:eastAsia="Arial" w:hAnsi="Arial"/>
          <w:sz w:val="18"/>
          <w:szCs w:val="18"/>
          <w:color w:val="auto"/>
        </w:rPr>
      </w:pPr>
    </w:p>
    <w:p>
      <w:pPr>
        <w:ind w:left="685" w:right="60" w:hanging="685"/>
        <w:spacing w:after="0" w:line="306" w:lineRule="auto"/>
        <w:tabs>
          <w:tab w:leader="none" w:pos="6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 and</w:t>
      </w:r>
    </w:p>
    <w:p>
      <w:pPr>
        <w:sectPr>
          <w:pgSz w:w="11900" w:h="16838" w:orient="portrait"/>
          <w:cols w:equalWidth="0" w:num="1">
            <w:col w:w="10765"/>
          </w:cols>
          <w:pgMar w:left="815" w:top="428" w:right="319" w:bottom="1440" w:gutter="0" w:footer="0" w:header="0"/>
        </w:sectPr>
      </w:pPr>
    </w:p>
    <w:bookmarkStart w:id="93" w:name="page94"/>
    <w:bookmarkEnd w:id="93"/>
    <w:p>
      <w:pPr>
        <w:ind w:left="7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49350" cy="445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49350" cy="44577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316" w:lineRule="exact"/>
        <w:rPr>
          <w:sz w:val="20"/>
          <w:szCs w:val="20"/>
          <w:color w:val="auto"/>
        </w:rPr>
      </w:pPr>
    </w:p>
    <w:p>
      <w:pPr>
        <w:ind w:left="1260" w:right="360" w:hanging="685"/>
        <w:spacing w:after="0" w:line="268" w:lineRule="auto"/>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an agreement or instrument pursuant to which any Securities are to be issued, there shall be no terms or provisions contained therein which would affect the validity of any of the opinions rendered herein.</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w:t>
      </w:r>
    </w:p>
    <w:p>
      <w:pPr>
        <w:spacing w:after="0" w:line="1" w:lineRule="exact"/>
        <w:rPr>
          <w:sz w:val="20"/>
          <w:szCs w:val="20"/>
          <w:color w:val="auto"/>
        </w:rPr>
      </w:pPr>
    </w:p>
    <w:p>
      <w:pPr>
        <w:ind w:right="80" w:firstLine="8"/>
        <w:spacing w:after="0" w:line="290" w:lineRule="auto"/>
        <w:tabs>
          <w:tab w:leader="none" w:pos="25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1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opinions are limited to the laws of the State of New York and the General Corporation Law of the State of Delaware.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effectiveness of the Registration Statement.</w:t>
      </w:r>
    </w:p>
    <w:p>
      <w:pPr>
        <w:sectPr>
          <w:pgSz w:w="11900" w:h="16838" w:orient="portrait"/>
          <w:cols w:equalWidth="0" w:num="1">
            <w:col w:w="11340"/>
          </w:cols>
          <w:pgMar w:left="240" w:top="428" w:right="319" w:bottom="1440" w:gutter="0" w:footer="0" w:header="0"/>
        </w:sectPr>
      </w:pPr>
    </w:p>
    <w:bookmarkStart w:id="94" w:name="page95"/>
    <w:bookmarkEnd w:id="94"/>
    <w:p>
      <w:pPr>
        <w:ind w:left="7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December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149350" cy="445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49350" cy="44577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180"/>
          </w:cols>
          <w:pgMar w:left="240" w:top="428" w:right="4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(n)(1)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on Form N-2 of PennantPark Floating Rate Capital Ltd. of our reports dated November 20, 2019 relating to our audit of the consolidated financial statements and internal control over financial reporting of PennantPark Floating Rate Capital Ltd. and its Subsidiaries, which appear in the September 30, 2019 Annual Report to Stockholders, which is also incorporated by reference into the Prospectus, which is part of this Registration Statement. We also consent to use in this Registration Statement of our report dated November 20, 2019 relating to the senior securities table appearing elsewhere in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our firm under the caption “Independent Registered Public Accounting Firm” in such Registration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2019</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Subsidiaries</w:t>
      </w:r>
    </w:p>
    <w:p>
      <w:pPr>
        <w:spacing w:after="0" w:line="21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audit of the consolidated financial statements and internal control over financial reporting referred to in our reports dated November 20, 2019, (incorporated by reference in the accompanying registration statement on Form N-2) also included an audit of the senior securities table of PennantPark Floating Rate Capital Ltd. and its Subsidiaries appearing in this Registration Statement on Form N-2. This table is the responsibility of PennantPark Floating Rate Capital Ltd. and its Subsidiaries’ management. Our responsibility is to express an opinion based on our audit of the consolidated financial statements.</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opinion, the senior securities table,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decimal"/>
      <w:start w:val="1"/>
    </w:lvl>
  </w:abstractNum>
  <w:abstractNum w:abstractNumId="2">
    <w:nsid w:val="2A487CB0"/>
    <w:multiLevelType w:val="hybridMultilevel"/>
    <w:lvl w:ilvl="0">
      <w:lvlJc w:val="left"/>
      <w:lvlText w:val="(%1)"/>
      <w:numFmt w:val="lowerRoman"/>
      <w:start w:val="1"/>
    </w:lvl>
  </w:abstractNum>
  <w:abstractNum w:abstractNumId="3">
    <w:nsid w:val="1D4ED43B"/>
    <w:multiLevelType w:val="hybridMultilevel"/>
    <w:lvl w:ilvl="0">
      <w:lvlJc w:val="left"/>
      <w:lvlText w:val="(%1)"/>
      <w:numFmt w:val="decimal"/>
      <w:start w:val="212"/>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1)"/>
      <w:numFmt w:val="decimal"/>
      <w:start w:val="7"/>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lvl w:ilvl="1">
      <w:lvlJc w:val="left"/>
      <w:lvlText w:val="%2)"/>
      <w:numFmt w:val="decimal"/>
      <w:start w:val="1"/>
    </w:lvl>
  </w:abstractNum>
  <w:abstractNum w:abstractNumId="46">
    <w:nsid w:val="2F305DEF"/>
    <w:multiLevelType w:val="hybridMultilevel"/>
    <w:lvl w:ilvl="0">
      <w:lvlJc w:val="left"/>
      <w:lvlText w:val="(%1)"/>
      <w:numFmt w:val="decimal"/>
      <w:start w:val="2"/>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bullet"/>
      <w:start w:val="1"/>
    </w:lvl>
  </w:abstractNum>
  <w:abstractNum w:abstractNumId="50">
    <w:nsid w:val="1F48EAA1"/>
    <w:multiLevelType w:val="hybridMultilevel"/>
    <w:lvl w:ilvl="0">
      <w:lvlJc w:val="left"/>
      <w:lvlText w:val="2"/>
      <w:numFmt w:val="bullet"/>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7"/>
    </w:lvl>
  </w:abstractNum>
  <w:abstractNum w:abstractNumId="53">
    <w:nsid w:val="100F8FCA"/>
    <w:multiLevelType w:val="hybridMultilevel"/>
    <w:lvl w:ilvl="0">
      <w:lvlJc w:val="left"/>
      <w:lvlText w:val="(%1)"/>
      <w:numFmt w:val="lowerLetter"/>
      <w:start w:val="10"/>
    </w:lvl>
  </w:abstractNum>
  <w:abstractNum w:abstractNumId="54">
    <w:nsid w:val="6590700B"/>
    <w:multiLevelType w:val="hybridMultilevel"/>
    <w:lvl w:ilvl="0">
      <w:lvlJc w:val="left"/>
      <w:lvlText w:val="2"/>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lowerRoman"/>
      <w:start w:val="1"/>
    </w:lvl>
  </w:abstractNum>
  <w:abstractNum w:abstractNumId="60">
    <w:nsid w:val="42C296BD"/>
    <w:multiLevelType w:val="hybridMultilevel"/>
    <w:lvl w:ilvl="0">
      <w:lvlJc w:val="left"/>
      <w:lvlText w:val="(%1)"/>
      <w:numFmt w:val="lowerRoman"/>
      <w:start w:val="3"/>
    </w:lvl>
  </w:abstractNum>
  <w:abstractNum w:abstractNumId="61">
    <w:nsid w:val="168E121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2">
    <w:nsid w:val="1EBA5D2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63">
    <w:nsid w:val="661E3F1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4">
    <w:nsid w:val="5DC79EA8"/>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65">
    <w:nsid w:val="540A471C"/>
    <w:multiLevelType w:val="hybridMultilevel"/>
    <w:lvl w:ilvl="0">
      <w:lvlJc w:val="left"/>
      <w:lvlText w:val="%1"/>
      <w:numFmt w:val="decimal"/>
      <w:start w:val="1"/>
    </w:lvl>
    <w:lvl w:ilvl="1">
      <w:lvlJc w:val="left"/>
      <w:lvlText w:val="(%2)"/>
      <w:numFmt w:val="lowerRoman"/>
      <w:start w:val="1"/>
    </w:lvl>
  </w:abstractNum>
  <w:abstractNum w:abstractNumId="66">
    <w:nsid w:val="7BD3EE7B"/>
    <w:multiLevelType w:val="hybridMultilevel"/>
    <w:lvl w:ilvl="0">
      <w:lvlJc w:val="left"/>
      <w:lvlText w:val="(%1)"/>
      <w:numFmt w:val="decimal"/>
      <w:start w:val="5"/>
    </w:lvl>
    <w:lvl w:ilvl="1">
      <w:lvlJc w:val="left"/>
      <w:lvlText w:val="%2"/>
      <w:numFmt w:val="lowerRoman"/>
      <w:start w:val="1"/>
    </w:lvl>
  </w:abstractNum>
  <w:abstractNum w:abstractNumId="67">
    <w:nsid w:val="51D9C564"/>
    <w:multiLevelType w:val="hybridMultilevel"/>
    <w:lvl w:ilvl="0">
      <w:lvlJc w:val="left"/>
      <w:lvlText w:val="(%1)"/>
      <w:numFmt w:val="decimal"/>
      <w:start w:val="7"/>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5"/>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2"/>
    </w:lvl>
  </w:abstractNum>
  <w:abstractNum w:abstractNumId="72">
    <w:nsid w:val="A0382C5"/>
    <w:multiLevelType w:val="hybridMultilevel"/>
    <w:lvl w:ilvl="0">
      <w:lvlJc w:val="left"/>
      <w:lvlText w:val="%1."/>
      <w:numFmt w:val="decimal"/>
      <w:start w:val="6"/>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6"/>
    </w:lvl>
  </w:abstractNum>
  <w:abstractNum w:abstractNumId="75">
    <w:nsid w:val="3B0FD379"/>
    <w:multiLevelType w:val="hybridMultilevel"/>
    <w:lvl w:ilvl="0">
      <w:lvlJc w:val="left"/>
      <w:lvlText w:val="(%1)"/>
      <w:numFmt w:val="lowerRoman"/>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3"/>
    </w:lvl>
  </w:abstractNum>
  <w:abstractNum w:abstractNumId="78">
    <w:nsid w:val="60B6DF70"/>
    <w:multiLevelType w:val="hybridMultilevel"/>
    <w:lvl w:ilvl="0">
      <w:lvlJc w:val="left"/>
      <w:lvlText w:val="(%1)"/>
      <w:numFmt w:val="lowerRoman"/>
      <w:start w:val="1"/>
    </w:lvl>
    <w:lvl w:ilvl="1">
      <w:lvlJc w:val="left"/>
      <w:lvlText w:val="(%2)"/>
      <w:numFmt w:val="lowerLetter"/>
      <w:start w:val="24"/>
    </w:lvl>
  </w:abstractNum>
  <w:abstractNum w:abstractNumId="79">
    <w:nsid w:val="6A5EE64"/>
    <w:multiLevelType w:val="hybridMultilevel"/>
    <w:lvl w:ilvl="0">
      <w:lvlJc w:val="left"/>
      <w:lvlText w:val="%1"/>
      <w:numFmt w:val="lowerRoman"/>
      <w:start w:val="1"/>
    </w:lvl>
    <w:lvl w:ilvl="1">
      <w:lvlJc w:val="left"/>
      <w:lvlText w:val="(%2)"/>
      <w:numFmt w:val="lowerLetter"/>
      <w:start w:val="25"/>
    </w:lvl>
  </w:abstractNum>
  <w:abstractNum w:abstractNumId="80">
    <w:nsid w:val="14330624"/>
    <w:multiLevelType w:val="hybridMultilevel"/>
    <w:lvl w:ilvl="0">
      <w:lvlJc w:val="left"/>
      <w:lvlText w:val="(%1)"/>
      <w:numFmt w:val="lowerRoman"/>
      <w:start w:val="5"/>
    </w:lvl>
  </w:abstractNum>
  <w:abstractNum w:abstractNumId="81">
    <w:nsid w:val="7FFFCA11"/>
    <w:multiLevelType w:val="hybridMultilevel"/>
    <w:lvl w:ilvl="0">
      <w:lvlJc w:val="left"/>
      <w:lvlText w:val="(%1)"/>
      <w:numFmt w:val="lowerRoman"/>
      <w:start w:val="12"/>
    </w:lvl>
  </w:abstractNum>
  <w:abstractNum w:abstractNumId="82">
    <w:nsid w:val="1A27709E"/>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2019-12-16T20:47:27Z</dcterms:created>
  <dcterms:modified xsi:type="dcterms:W3CDTF">2019-12-16T20:47:27Z</dcterms:modified>
</cp:coreProperties>
</file>