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ind w:left="4220"/>
        <w:spacing w:after="0"/>
        <w:rPr>
          <w:sz w:val="20"/>
          <w:szCs w:val="20"/>
          <w:color w:val="auto"/>
        </w:rPr>
      </w:pPr>
      <w:r>
        <w:rPr>
          <w:rFonts w:ascii="Arial" w:cs="Arial" w:eastAsia="Arial" w:hAnsi="Arial"/>
          <w:sz w:val="22"/>
          <w:szCs w:val="22"/>
          <w:b w:val="1"/>
          <w:bCs w:val="1"/>
          <w:color w:val="auto"/>
        </w:rPr>
        <w:t>Date of Report: April 02, 2015</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100"/>
        <w:spacing w:after="0" w:line="250" w:lineRule="auto"/>
        <w:rPr>
          <w:sz w:val="20"/>
          <w:szCs w:val="20"/>
          <w:color w:val="auto"/>
        </w:rPr>
      </w:pPr>
      <w:r>
        <w:rPr>
          <w:rFonts w:ascii="Arial" w:cs="Arial" w:eastAsia="Arial" w:hAnsi="Arial"/>
          <w:sz w:val="22"/>
          <w:szCs w:val="22"/>
          <w:color w:val="auto"/>
        </w:rPr>
        <w:t>On April 2, 2015, PennantPark Floating Rate Capital Ltd. issued a press release announcing monthly distribution. A copy of the press release is furnished as Exhibit 99.1 to this Form 8-K.</w:t>
      </w:r>
    </w:p>
    <w:p>
      <w:pPr>
        <w:spacing w:after="0" w:line="202" w:lineRule="exact"/>
        <w:rPr>
          <w:sz w:val="24"/>
          <w:szCs w:val="24"/>
          <w:color w:val="auto"/>
        </w:rPr>
      </w:pPr>
    </w:p>
    <w:p>
      <w:pPr>
        <w:ind w:left="40" w:right="8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(the "Exchange Act"), or otherwise subject to the liabilities of such section. The information in this Current Report on Form 8-K shall not be deemed incorporated by reference in any filing under the Securities Act of 1933, as amended, or the Exchange Act except as shall be expressly set forth by specific reference in such filing.</w:t>
      </w:r>
    </w:p>
    <w:p>
      <w:pPr>
        <w:spacing w:after="0" w:line="214"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120"/>
        <w:spacing w:after="0" w:line="277" w:lineRule="auto"/>
        <w:rPr>
          <w:sz w:val="20"/>
          <w:szCs w:val="20"/>
          <w:color w:val="auto"/>
        </w:rPr>
      </w:pPr>
      <w:r>
        <w:rPr>
          <w:rFonts w:ascii="Arial" w:cs="Arial" w:eastAsia="Arial" w:hAnsi="Arial"/>
          <w:sz w:val="19"/>
          <w:szCs w:val="19"/>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All forward-looking statements speak only as of the date of this Current Report on Form 8-K.</w:t>
      </w:r>
    </w:p>
    <w:p>
      <w:pPr>
        <w:spacing w:after="0" w:line="14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ectPr>
          <w:pgSz w:w="11900" w:h="16838" w:orient="portrait"/>
          <w:cols w:equalWidth="0" w:num="1">
            <w:col w:w="11200"/>
          </w:cols>
          <w:pgMar w:left="320" w:top="828" w:right="379" w:bottom="154" w:gutter="0" w:footer="0" w:header="0"/>
        </w:sectPr>
      </w:pPr>
    </w:p>
    <w:bookmarkStart w:id="1" w:name="page2"/>
    <w:bookmarkEnd w:id="1"/>
    <w:p>
      <w:pPr>
        <w:ind w:left="660" w:right="88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7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April 02,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40" w:firstLine="324"/>
        <w:spacing w:after="0" w:line="250" w:lineRule="auto"/>
        <w:rPr>
          <w:sz w:val="20"/>
          <w:szCs w:val="20"/>
          <w:color w:val="auto"/>
        </w:rPr>
      </w:pPr>
      <w:r>
        <w:rPr>
          <w:rFonts w:ascii="Arial" w:cs="Arial" w:eastAsia="Arial" w:hAnsi="Arial"/>
          <w:sz w:val="22"/>
          <w:szCs w:val="22"/>
          <w:color w:val="auto"/>
        </w:rPr>
        <w:t>Pursuant to the requirements of the Exchange Act,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760" w:type="dxa"/>
            <w:vAlign w:val="bottom"/>
          </w:tcPr>
          <w:p>
            <w:pPr>
              <w:spacing w:after="0"/>
              <w:rPr>
                <w:sz w:val="20"/>
                <w:szCs w:val="20"/>
                <w:color w:val="auto"/>
              </w:rPr>
            </w:pPr>
            <w:r>
              <w:rPr>
                <w:rFonts w:ascii="Arial" w:cs="Arial" w:eastAsia="Arial" w:hAnsi="Arial"/>
                <w:sz w:val="22"/>
                <w:szCs w:val="22"/>
                <w:color w:val="auto"/>
              </w:rPr>
              <w:t>Dated: April 02, 2015</w:t>
            </w:r>
          </w:p>
        </w:tc>
        <w:tc>
          <w:tcPr>
            <w:tcW w:w="6860" w:type="dxa"/>
            <w:vAlign w:val="bottom"/>
            <w:gridSpan w:val="3"/>
          </w:tcPr>
          <w:p>
            <w:pPr>
              <w:ind w:left="186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760" w:type="dxa"/>
            <w:vAlign w:val="bottom"/>
          </w:tcPr>
          <w:p>
            <w:pPr>
              <w:spacing w:after="0"/>
              <w:rPr>
                <w:sz w:val="24"/>
                <w:szCs w:val="24"/>
                <w:color w:val="auto"/>
              </w:rPr>
            </w:pPr>
          </w:p>
        </w:tc>
        <w:tc>
          <w:tcPr>
            <w:tcW w:w="6860" w:type="dxa"/>
            <w:vAlign w:val="bottom"/>
            <w:gridSpan w:val="3"/>
          </w:tcPr>
          <w:p>
            <w:pPr>
              <w:ind w:left="1860"/>
              <w:spacing w:after="0"/>
              <w:rPr>
                <w:sz w:val="20"/>
                <w:szCs w:val="20"/>
                <w:color w:val="auto"/>
              </w:rPr>
            </w:pPr>
            <w:r>
              <w:rPr>
                <w:rFonts w:ascii="Arial" w:cs="Arial" w:eastAsia="Arial" w:hAnsi="Arial"/>
                <w:sz w:val="22"/>
                <w:szCs w:val="22"/>
                <w:color w:val="auto"/>
              </w:rPr>
              <w:t>By: /s/ Aviv Efrat</w:t>
            </w:r>
          </w:p>
        </w:tc>
      </w:tr>
      <w:tr>
        <w:trPr>
          <w:trHeight w:val="20"/>
        </w:trPr>
        <w:tc>
          <w:tcPr>
            <w:tcW w:w="37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760" w:type="dxa"/>
            <w:vAlign w:val="bottom"/>
          </w:tcPr>
          <w:p>
            <w:pPr>
              <w:spacing w:after="0"/>
              <w:rPr>
                <w:sz w:val="21"/>
                <w:szCs w:val="21"/>
                <w:color w:val="auto"/>
              </w:rPr>
            </w:pPr>
          </w:p>
        </w:tc>
        <w:tc>
          <w:tcPr>
            <w:tcW w:w="6860" w:type="dxa"/>
            <w:vAlign w:val="bottom"/>
            <w:gridSpan w:val="3"/>
          </w:tcPr>
          <w:p>
            <w:pPr>
              <w:ind w:left="210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760" w:type="dxa"/>
            <w:vAlign w:val="bottom"/>
          </w:tcPr>
          <w:p>
            <w:pPr>
              <w:spacing w:after="0"/>
              <w:rPr>
                <w:sz w:val="23"/>
                <w:szCs w:val="23"/>
                <w:color w:val="auto"/>
              </w:rPr>
            </w:pPr>
          </w:p>
        </w:tc>
        <w:tc>
          <w:tcPr>
            <w:tcW w:w="6860" w:type="dxa"/>
            <w:vAlign w:val="bottom"/>
            <w:gridSpan w:val="3"/>
          </w:tcPr>
          <w:p>
            <w:pPr>
              <w:ind w:left="218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52"/>
              <w:spacing w:after="0"/>
              <w:rPr>
                <w:sz w:val="20"/>
                <w:szCs w:val="20"/>
                <w:color w:val="auto"/>
              </w:rPr>
            </w:pPr>
            <w:r>
              <w:rPr>
                <w:rFonts w:ascii="Arial" w:cs="Arial" w:eastAsia="Arial" w:hAnsi="Arial"/>
                <w:sz w:val="22"/>
                <w:szCs w:val="22"/>
                <w:color w:val="auto"/>
                <w:w w:val="92"/>
              </w:rPr>
              <w:t>April 02, 2015</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1" w:right="45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PennantPark Floating Rate Capital Ltd. Announces Monthly Distribution of $0.095 per Share</w:t>
      </w:r>
    </w:p>
    <w:p>
      <w:pPr>
        <w:spacing w:after="0" w:line="212" w:lineRule="exact"/>
        <w:rPr>
          <w:sz w:val="20"/>
          <w:szCs w:val="20"/>
          <w:color w:val="auto"/>
        </w:rPr>
      </w:pPr>
    </w:p>
    <w:p>
      <w:pPr>
        <w:ind w:right="60"/>
        <w:spacing w:after="0" w:line="249" w:lineRule="auto"/>
        <w:rPr>
          <w:sz w:val="20"/>
          <w:szCs w:val="20"/>
          <w:color w:val="auto"/>
        </w:rPr>
      </w:pPr>
      <w:r>
        <w:rPr>
          <w:rFonts w:ascii="Arial" w:cs="Arial" w:eastAsia="Arial" w:hAnsi="Arial"/>
          <w:sz w:val="21"/>
          <w:szCs w:val="21"/>
          <w:color w:val="auto"/>
        </w:rPr>
        <w:t>NEW YORK, NY -- (Marketwired - April 02, 2015) - PennantPark Floating Rate Capital Ltd. (the "Company") (NASDAQ: PFLT) declares monthly distribution for April 2015 of $0.095 per share, payable on May 1, 2015 to stockholders of record as of April 20, 2015. Distributions are paid from taxable earnings and may include a return of capital and/or capital gains. The specific tax characteristics of the distributions will be reported to stockholders on Form 1099 after the end of the calendar year and in the Company's periodic report filed with the Securities and Exchange Commission.</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60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60"/>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24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2020-05-05T12:04:47Z</dcterms:created>
  <dcterms:modified xsi:type="dcterms:W3CDTF">2020-05-05T12:04:47Z</dcterms:modified>
</cp:coreProperties>
</file>