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886460</wp:posOffset>
            </wp:positionV>
            <wp:extent cx="2040890"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40890" cy="4375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Filed pursuant to Rule 497(a)(1)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Prices Public Offering</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New York, NY — February 14, 2017 — PennantPark Floating Rate Capital Ltd. (the "Company") (Nasdaq: PFLT) announced that it has entered into an agreement to sell 5,000,000 shares of common stock resulting in net proceeds exclusive of offering expenses to the Company of approximately $70.4 million, or $14.08 per share.</w:t>
      </w:r>
    </w:p>
    <w:p>
      <w:pPr>
        <w:spacing w:after="0" w:line="18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 adviser, PennantPark Investment Advisers, LLC (the "Investment Adviser"), has agreed to pay the underwriters a supplemental payment of $0.46 per share, which reflects the difference between the actual public offering price of $13.62 and the net proceeds of $14.08 per share to be received by the Company in this offering. In addition, the Investment Adviser has agreed to bear the sales load payable to the underwriters. The Company is not obligated to repay the supplemental payment and sales load paid by our Investment Adviser.</w:t>
      </w:r>
    </w:p>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the shares are expected to be delivered on February 17, 2017. The Company also has granted the underwriters an option to purchase up to an additional 750,000 shares of common stock.</w:t>
      </w:r>
    </w:p>
    <w:p>
      <w:pPr>
        <w:spacing w:after="0" w:line="14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debt obligations, to invest in new or existing portfolio companies, to capitalize a subsidiary or for other general corporate or strategic purposes.</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Morgan Stanley &amp; Co. LLC, Goldman, Sachs &amp; Co., J.P. Morgan Securities LLC,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RBC Capital Markets, LLC and SunTrust Robinson Humphrey are acting as joint bookrunning underwriters. Comerica Securities, Inc., Janney Montgomery Scott LLC, JMP Securities LLC, Ladenburg Thalmann &amp; Co. Inc. and Maxim Group LLC are acting as co-managers.</w:t>
      </w:r>
    </w:p>
    <w:p>
      <w:pPr>
        <w:spacing w:after="0" w:line="177"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prospectus supplement dated February 13, 2017 and the accompanying prospectus dated January 19, 2017, which have been filed with the Securities and Exchange Commission, contain this and other information about the Company and should be read carefully before investing.</w:t>
      </w:r>
    </w:p>
    <w:p>
      <w:pPr>
        <w:spacing w:after="0" w:line="16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ind w:right="200"/>
        <w:spacing w:after="0" w:line="238" w:lineRule="auto"/>
        <w:rPr>
          <w:sz w:val="20"/>
          <w:szCs w:val="20"/>
          <w:color w:val="auto"/>
        </w:rPr>
      </w:pPr>
      <w:r>
        <w:rPr>
          <w:rFonts w:ascii="Arial" w:cs="Arial" w:eastAsia="Arial" w:hAnsi="Arial"/>
          <w:sz w:val="17"/>
          <w:szCs w:val="17"/>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200 West Street, New York, NY 10282; J.P. Morgan Securities LLC, c/o Broadridge Financial Solutions, 1155 Long Island Avenue, Edgewood, NY 11717; Keefe, Bruyette &amp; Woods, Inc., 787 Seventh Avenue, 4</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 New York, NY 10019; RBC Capital Markets, LLC, 200 Vesey Street, New York, NY 10281; and SunTrust Robinson Humphrey, Inc., 3333 Peachtree Road NE, Atlanta, GA 30326.</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US2692559/3  107536-0119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FLOATING RATE CAPITAL LTD.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right="9320" w:firstLine="8"/>
        <w:spacing w:after="0" w:line="754" w:lineRule="auto"/>
        <w:tabs>
          <w:tab w:leader="none" w:pos="435" w:val="left"/>
        </w:tabs>
        <w:numPr>
          <w:ilvl w:val="0"/>
          <w:numId w:val="1"/>
        </w:numPr>
        <w:rPr>
          <w:rFonts w:ascii="Arial" w:cs="Arial" w:eastAsia="Arial" w:hAnsi="Arial"/>
          <w:sz w:val="17"/>
          <w:szCs w:val="17"/>
          <w:color w:val="auto"/>
        </w:rPr>
      </w:pPr>
      <w:r>
        <w:rPr>
          <w:rFonts w:ascii="Arial" w:cs="Arial" w:eastAsia="Arial" w:hAnsi="Arial"/>
          <w:sz w:val="17"/>
          <w:szCs w:val="17"/>
          <w:color w:val="auto"/>
        </w:rPr>
        <w:t>905-1000 US2692559/3 107536-0119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2019-12-07T14:12:19Z</dcterms:created>
  <dcterms:modified xsi:type="dcterms:W3CDTF">2019-12-07T14:12:19Z</dcterms:modified>
</cp:coreProperties>
</file>