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2,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360" w:right="9340" w:hanging="352"/>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360" w:right="8440" w:hanging="352"/>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360" w:right="8820" w:hanging="352"/>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3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July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400" w:type="dxa"/>
            <w:vAlign w:val="bottom"/>
          </w:tcPr>
          <w:p>
            <w:pPr>
              <w:spacing w:after="0"/>
              <w:rPr>
                <w:sz w:val="20"/>
                <w:szCs w:val="20"/>
                <w:color w:val="auto"/>
              </w:rPr>
            </w:pPr>
            <w:r>
              <w:rPr>
                <w:rFonts w:ascii="Arial" w:cs="Arial" w:eastAsia="Arial" w:hAnsi="Arial"/>
                <w:sz w:val="18"/>
                <w:szCs w:val="18"/>
                <w:color w:val="auto"/>
              </w:rPr>
              <w:t>Date: July 2, 2021</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Richard Cheung</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July 02, 2021 (GLOBE NEWSWIRE) -- PennantPark Floating Rate Capital Ltd. (the "Company") (NASDAQ: PFLT) (TASE: PFLT) declares its monthly distribution for July 2021 of $0.095 per share, payable on August 2, 2021 to stockholders of record as of July 19,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2021-07-02T15:25:52Z</dcterms:created>
  <dcterms:modified xsi:type="dcterms:W3CDTF">2021-07-02T15:25:52Z</dcterms:modified>
</cp:coreProperties>
</file>