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9,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New York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May 9, 2017, PennantPark Floating Rate Capital Ltd. issued a press release announcing financial results for the second fiscal quarter ended March 31, 2017.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May 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9, 2017</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May 9, 2017</w:t>
      </w:r>
    </w:p>
    <w:p>
      <w:pPr>
        <w:sectPr>
          <w:pgSz w:w="11900" w:h="16838" w:orient="portrait"/>
          <w:cols w:equalWidth="0" w:num="1">
            <w:col w:w="10139"/>
          </w:cols>
          <w:pgMar w:left="320" w:top="337" w:right="1440"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PennantPark Floating Rate Capital Ltd. Announces Financial Results for the Quarter Ended March 31, 2017</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NEW YORK, May 09, 2017 (GLOBE NEWSWIRE) -- PennantPark Floating Rate Capital Ltd. (NASDAQ:PFLT) announced today financial results for the second fiscal quarter ended March 31, 2017.</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HIGHLIGHTS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March 31, 2017</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3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4380" w:type="dxa"/>
            <w:vAlign w:val="bottom"/>
          </w:tcPr>
          <w:p>
            <w:pPr>
              <w:ind w:left="100"/>
              <w:spacing w:after="0"/>
              <w:rPr>
                <w:sz w:val="20"/>
                <w:szCs w:val="20"/>
                <w:color w:val="auto"/>
              </w:rPr>
            </w:pPr>
            <w:r>
              <w:rPr>
                <w:rFonts w:ascii="Arial" w:cs="Arial" w:eastAsia="Arial" w:hAnsi="Arial"/>
                <w:sz w:val="22"/>
                <w:szCs w:val="22"/>
                <w:color w:val="auto"/>
              </w:rPr>
              <w:t>Investment portfolio</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731.5</w:t>
            </w:r>
          </w:p>
        </w:tc>
      </w:tr>
      <w:tr>
        <w:trPr>
          <w:trHeight w:val="270"/>
        </w:trPr>
        <w:tc>
          <w:tcPr>
            <w:tcW w:w="438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456.2</w:t>
            </w:r>
          </w:p>
        </w:tc>
      </w:tr>
      <w:tr>
        <w:trPr>
          <w:trHeight w:val="270"/>
        </w:trPr>
        <w:tc>
          <w:tcPr>
            <w:tcW w:w="438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14.05</w:t>
            </w:r>
          </w:p>
        </w:tc>
      </w:tr>
      <w:tr>
        <w:trPr>
          <w:trHeight w:val="274"/>
        </w:trPr>
        <w:tc>
          <w:tcPr>
            <w:tcW w:w="4380" w:type="dxa"/>
            <w:vAlign w:val="bottom"/>
          </w:tcPr>
          <w:p>
            <w:pPr>
              <w:ind w:left="100"/>
              <w:spacing w:after="0"/>
              <w:rPr>
                <w:sz w:val="20"/>
                <w:szCs w:val="20"/>
                <w:color w:val="auto"/>
              </w:rPr>
            </w:pPr>
            <w:r>
              <w:rPr>
                <w:rFonts w:ascii="Arial" w:cs="Arial" w:eastAsia="Arial" w:hAnsi="Arial"/>
                <w:sz w:val="22"/>
                <w:szCs w:val="22"/>
                <w:color w:val="auto"/>
              </w:rPr>
              <w:t>Credit Facility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300.4</w:t>
            </w:r>
          </w:p>
        </w:tc>
      </w:tr>
      <w:tr>
        <w:trPr>
          <w:trHeight w:val="540"/>
        </w:trPr>
        <w:tc>
          <w:tcPr>
            <w:tcW w:w="438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536"/>
        </w:trPr>
        <w:tc>
          <w:tcPr>
            <w:tcW w:w="4380" w:type="dxa"/>
            <w:vAlign w:val="bottom"/>
          </w:tcPr>
          <w:p>
            <w:pPr>
              <w:spacing w:after="0"/>
              <w:rPr>
                <w:sz w:val="20"/>
                <w:szCs w:val="20"/>
                <w:color w:val="auto"/>
              </w:rPr>
            </w:pPr>
            <w:r>
              <w:rPr>
                <w:rFonts w:ascii="Arial" w:cs="Arial" w:eastAsia="Arial" w:hAnsi="Arial"/>
                <w:sz w:val="22"/>
                <w:szCs w:val="22"/>
                <w:color w:val="auto"/>
              </w:rPr>
              <w:t>Operating Results: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4380" w:type="dxa"/>
            <w:vAlign w:val="bottom"/>
          </w:tcPr>
          <w:p>
            <w:pPr>
              <w:ind w:left="100"/>
              <w:spacing w:after="0"/>
              <w:rPr>
                <w:sz w:val="20"/>
                <w:szCs w:val="20"/>
                <w:color w:val="auto"/>
              </w:rPr>
            </w:pPr>
            <w:r>
              <w:rPr>
                <w:rFonts w:ascii="Arial" w:cs="Arial" w:eastAsia="Arial" w:hAnsi="Arial"/>
                <w:sz w:val="22"/>
                <w:szCs w:val="22"/>
                <w:color w:val="auto"/>
              </w:rPr>
              <w:t>Net investment income</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8.0</w:t>
            </w:r>
          </w:p>
        </w:tc>
      </w:tr>
      <w:tr>
        <w:trPr>
          <w:trHeight w:val="270"/>
        </w:trPr>
        <w:tc>
          <w:tcPr>
            <w:tcW w:w="4380" w:type="dxa"/>
            <w:vAlign w:val="bottom"/>
          </w:tcPr>
          <w:p>
            <w:pPr>
              <w:ind w:left="100"/>
              <w:spacing w:after="0"/>
              <w:rPr>
                <w:sz w:val="20"/>
                <w:szCs w:val="20"/>
                <w:color w:val="auto"/>
              </w:rPr>
            </w:pPr>
            <w:r>
              <w:rPr>
                <w:rFonts w:ascii="Arial" w:cs="Arial" w:eastAsia="Arial" w:hAnsi="Arial"/>
                <w:sz w:val="22"/>
                <w:szCs w:val="22"/>
                <w:color w:val="auto"/>
              </w:rPr>
              <w:t>Net investment income per share</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0.27</w:t>
            </w:r>
          </w:p>
        </w:tc>
      </w:tr>
      <w:tr>
        <w:trPr>
          <w:trHeight w:val="274"/>
        </w:trPr>
        <w:tc>
          <w:tcPr>
            <w:tcW w:w="438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0.285</w:t>
            </w:r>
          </w:p>
        </w:tc>
      </w:tr>
      <w:tr>
        <w:trPr>
          <w:trHeight w:val="536"/>
        </w:trPr>
        <w:tc>
          <w:tcPr>
            <w:tcW w:w="4380" w:type="dxa"/>
            <w:vAlign w:val="bottom"/>
          </w:tcPr>
          <w:p>
            <w:pPr>
              <w:spacing w:after="0"/>
              <w:rPr>
                <w:sz w:val="20"/>
                <w:szCs w:val="20"/>
                <w:color w:val="auto"/>
              </w:rPr>
            </w:pPr>
            <w:r>
              <w:rPr>
                <w:rFonts w:ascii="Arial" w:cs="Arial" w:eastAsia="Arial" w:hAnsi="Arial"/>
                <w:sz w:val="22"/>
                <w:szCs w:val="22"/>
                <w:color w:val="auto"/>
              </w:rPr>
              <w:t>Portfolio Activity:</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438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146.3</w:t>
            </w:r>
          </w:p>
        </w:tc>
      </w:tr>
      <w:tr>
        <w:trPr>
          <w:trHeight w:val="274"/>
        </w:trPr>
        <w:tc>
          <w:tcPr>
            <w:tcW w:w="438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71.5</w:t>
            </w:r>
          </w:p>
        </w:tc>
      </w:tr>
      <w:tr>
        <w:trPr>
          <w:trHeight w:val="536"/>
        </w:trPr>
        <w:tc>
          <w:tcPr>
            <w:tcW w:w="4380" w:type="dxa"/>
            <w:vAlign w:val="bottom"/>
          </w:tcPr>
          <w:p>
            <w:pPr>
              <w:ind w:left="100"/>
              <w:spacing w:after="0"/>
              <w:rPr>
                <w:sz w:val="20"/>
                <w:szCs w:val="20"/>
                <w:color w:val="auto"/>
              </w:rPr>
            </w:pPr>
            <w:r>
              <w:rPr>
                <w:rFonts w:ascii="Arial" w:cs="Arial" w:eastAsia="Arial" w:hAnsi="Arial"/>
                <w:sz w:val="22"/>
                <w:szCs w:val="22"/>
                <w:color w:val="auto"/>
                <w:w w:val="98"/>
              </w:rPr>
              <w:t>Number of new portfolio companies invested</w:t>
            </w:r>
          </w:p>
        </w:tc>
        <w:tc>
          <w:tcPr>
            <w:tcW w:w="14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9</w:t>
            </w:r>
          </w:p>
        </w:tc>
      </w:tr>
      <w:tr>
        <w:trPr>
          <w:trHeight w:val="270"/>
        </w:trPr>
        <w:tc>
          <w:tcPr>
            <w:tcW w:w="4380" w:type="dxa"/>
            <w:vAlign w:val="bottom"/>
          </w:tcPr>
          <w:p>
            <w:pPr>
              <w:ind w:left="100"/>
              <w:spacing w:after="0"/>
              <w:rPr>
                <w:sz w:val="20"/>
                <w:szCs w:val="20"/>
                <w:color w:val="auto"/>
              </w:rPr>
            </w:pPr>
            <w:r>
              <w:rPr>
                <w:rFonts w:ascii="Arial" w:cs="Arial" w:eastAsia="Arial" w:hAnsi="Arial"/>
                <w:sz w:val="22"/>
                <w:szCs w:val="22"/>
                <w:color w:val="auto"/>
                <w:w w:val="90"/>
              </w:rPr>
              <w:t>Number of existing portfolio companies invested</w:t>
            </w:r>
          </w:p>
        </w:tc>
        <w:tc>
          <w:tcPr>
            <w:tcW w:w="14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10</w:t>
            </w:r>
          </w:p>
        </w:tc>
      </w:tr>
      <w:tr>
        <w:trPr>
          <w:trHeight w:val="274"/>
        </w:trPr>
        <w:tc>
          <w:tcPr>
            <w:tcW w:w="4380" w:type="dxa"/>
            <w:vAlign w:val="bottom"/>
          </w:tcPr>
          <w:p>
            <w:pPr>
              <w:ind w:left="100"/>
              <w:spacing w:after="0"/>
              <w:rPr>
                <w:sz w:val="20"/>
                <w:szCs w:val="20"/>
                <w:color w:val="auto"/>
              </w:rPr>
            </w:pPr>
            <w:r>
              <w:rPr>
                <w:rFonts w:ascii="Arial" w:cs="Arial" w:eastAsia="Arial" w:hAnsi="Arial"/>
                <w:sz w:val="22"/>
                <w:szCs w:val="22"/>
                <w:color w:val="auto"/>
                <w:w w:val="95"/>
              </w:rPr>
              <w:t>Number of portfolio companies at quarter-end</w:t>
            </w:r>
          </w:p>
        </w:tc>
        <w:tc>
          <w:tcPr>
            <w:tcW w:w="14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96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10, 2017</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PennantPark Floating Rate Capital Ltd. (“we,” “our,” “us” or “Company”) will host a conference call at 10:00 a.m. (Eastern Time) on Wednesday, May 10, 2017 to discuss its financial results. All interested parties are welcome to participate. You can access the conference call by dialing (877) 857-6163 approximately 5-10 minutes prior to the call. International callers should dial (719) 325-4934. All callers should reference PennantPark Floating Rate Capital Ltd. An archived replay of the call will be available through May 24, 2017 by calling (888) 203-1112. International callers please dial (719) 457-0820. For all phone replays, please reference conference ID #3258333.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March 31, 2017, our portfolio totaled $731.5 million and consisted of $682.3 million of senior secured debt, $33.2 million of second lien secured debt and $16.0 million of subordinated debt, preferred and common equity. Our debt portfolio consisted of 98% variable-rate investments (including 98% with a floor) and 2% fixed-rate investments. As of March 31, 2017, we had one company on non-accrual, representing 0.4% and 0.2% of our overall portfolio on a cost and fair value basis, respectively. Overall, the portfolio had net unrealized appreciation of $0.8 million. Our overall portfolio consisted of 96 companies with an average investment size of $7.6 million, had a weighted average yield on debt investments of 7.9%, and was invested 93% in senior secured debt, 5% in second lien secured debt and 2% in subordinated debt, preferred and common equity.</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2017, we invested $146.3 million in nine new and 10 existing portfolio companies with a weighted average yield on debt investments of 7.8%. Sales and repayments of investments for the three months ended March 31, 2017 totaled $71.5 million. For the six months ended March 31, 2017, we invested $271.1 million in 21 new and 23 existing portfolio companies with a weighted average yield on debt investments of 7.7%. Sales and repayments of investments for the six months ended March 31, 2017 totaled $141.9 million.</w:t>
      </w:r>
    </w:p>
    <w:p>
      <w:pPr>
        <w:sectPr>
          <w:pgSz w:w="11900" w:h="16838" w:orient="portrait"/>
          <w:cols w:equalWidth="0" w:num="1">
            <w:col w:w="11240"/>
          </w:cols>
          <w:pgMar w:left="320" w:top="112" w:right="339" w:bottom="161"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1"/>
          <w:szCs w:val="21"/>
          <w:color w:val="auto"/>
        </w:rPr>
        <w:t>For the three months ended March 31, 2016, we invested $57.3 million in five new and five existing portfolio companies with a weighted average yield on debt investments of 8.7%. Sales and repayments of investments for the three months ended March 31, 2016 totaled $29.9 million. For the six months ended March 31, 2016, we invested $156.5 million in 15 new and 10 existing portfolio companies with a weighted average yield on debt investments of 8.6%. Sales and repayments of investments for the six months ended March 31, 2016 totaled $56.8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2017 and 2016.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Investment income for the three and six months ended March 31, 2017 was $13.2 million and $25.9 million, respectively, and was attributable to $12.0 million and $23.3 million from senior secured loans and $1.2 million and $2.6 million from second lien secured debt and subordinated debt. This compares to investment income for the three and six months ended March 31, 2016, which was $11.3 million and $20.1 million, respectively, and was attributable to $9.7 million and $17.0 million from senior secured loans and $1.6 million and $3.1 million from second lien secured debt and subordinated debt. The increase in investment income compared to the same periods in the prior year was primarily due to the growth of our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Expenses for the three and six months ended March 31, 2017 totaled $5.2 million and $11.0 million, respectively. Base management fee for the same periods totaled $1.7 million and $3.3 million, incentive fee totaled $0.5 million (including $(0.1) million on unrealized gains accrued but not payable) and $1.9 million (including $0.5 million on unrealized gains accrued but not payable), our multi-currency, senior secured revolving credit facility, or the Credit Facility, expenses totaled $2.0 million and $3.8 million, general and administrative expenses totaled $0.9 million and $1.9 million and provision for taxes totaled $0.1 million and $0.1 million, respectively. This compares to expenses for the three and six months ended March 31, 2016, which totaled $4.1 million and $7.8 million, respectively. Base management fee for the same periods totaled $1.2 million and $2.3 million, incentive fee totaled $0.8 million and $0.8 million, Credit Facility expenses totaled $1.1 million and $3.0 million (including $0.9 million of amendment expenses) and general and administrative expenses totaled $1.0 million and $1.7 million, respectively. The increase in expenses compared with the same periods in the prior year was primarily due to increases in base management and incentive fees as a result from the growth of our portfolio.</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$8.0 million and $14.9 million, or $0.27 and $0.53 per share, for the three and six months ended March 31, 2017, respectively. Net investment income totaled $7.3 million and $12.4 million, or $0.27 and $0.46 per share, for the three and six months ended March 31, 2016, respectively. The increase in net investment income compared to the same period in the prior year was primarily due to the growth of our portfolio.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Sales and repayments of investments for the three and six months ended March 31, 2017 totaled $71.5 million and $141.9 million and net realized gains totaled $2.0 million and $2.5 million, respectively. Sales and repayments of investments totaled $29.9 million and $56.8 million and realized gains (losses) totaled $1.1 million and $(2.2) million for the three and six months ended March 31, 2016, respectively. The change in realized gains/losses was primarily due to changes in the market conditions of our investments and the values at which they were realized.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the three and six months ended March 31, 2017, we reported a net change in unrealized depreciation on investments of $2.7 million and $0.2 million, respectively. For the three and six months ended March 31, 2016, we reported a net change in unrealized depreciation on investments of $5.5 million and $6.2 million, respectively. As of March 31, 2017 and September 30, 2016, our net unrealized appreciation on investments totaled $0.8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9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and six months ended March 31, 2017, our Credit Facility had a net change in unrealized depreciation (appreciation) of less than $0.1 million and $(1.0) million, respectively. For the three and six months ended March 31, 2016, our Credit Facility had a net change in unrealized (appreciation) depreciation of $(0.4) million and $0.2 million, respectively. As of March 31, 2017 and September 30, 2016, net unrealized (appreciation) depreciation on our Credit Facility totaled $(0.5) million and $0.5 million, respectively. The change in net unrealized depreciation compared to the same periods in the prior year was primarily due to changes in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Net change in net assets resulting from operations totaled $7.3 million and $16.1 million, or $0.25 and $0.57 per share, respectively, for the three and six months ended March 31, 2017. This compares to a net change in net assets resulting from</w:t>
      </w:r>
    </w:p>
    <w:p>
      <w:pPr>
        <w:sectPr>
          <w:pgSz w:w="11900" w:h="16838" w:orient="portrait"/>
          <w:cols w:equalWidth="0" w:num="1">
            <w:col w:w="11240"/>
          </w:cols>
          <w:pgMar w:left="320" w:top="118" w:right="339" w:bottom="0" w:gutter="0" w:footer="0" w:header="0"/>
        </w:sectPr>
      </w:pPr>
    </w:p>
    <w:bookmarkStart w:id="6" w:name="page7"/>
    <w:bookmarkEnd w:id="6"/>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operations which totaled $2.4 million and $4.2 million, or $0.09 and $0.16 per share, respectively, for the three and six months ended March 31, 2016. The increase in the net change in net assets from operations compared to the same periods in the prior year was primarily due to changes in portfolio investment values during the reporting periods.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March 31, 2017 and September 30, 2016, we had $299.9 million and $232.9 million of outstanding borrowings under the Credit Facility, respectively. The Credit Facility had an interest rate of 2.93% and 2.57%, as of March 31, 2017 and September 30, 2016, respectively, excluding the undrawn commitment fees of 0.375%. The annualized weighted average cost of debt for the six months ended March 31, 2017 and 2016, inclusive of the fee on the undrawn commitment and amendment costs on the Credit Facility, was 2.91% and 5.73%, respectively.</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March 31, 2017 and September 30, 2016, we had $50.1 million and $117.1 million of unused borrowing capacity under our Credit Facility, respectively, subject to the regulatory restrictions.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March 31, 2017 and September 30, 2016, we had cash equivalents of $44.0 million and $28.9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$116.7 million for the six months ended March 31, 2017, and our financing activities provided cash of $131.7 million for the same period. Our operating activities used cash primarily for our investment activities and our financing activities provided cash primarily from our recent equity offering and net borrowings under the Credit Facility.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$91.5 million for the six months ended March 31, 2016, and our financing activities provided cash of $83.4 million for the same period. Our operating activities used cash primarily for our investment activities and our financing activities provided cash primarily from net borrowings under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On May 9, 2017, we and Trinity Universal Insurance Company ("Trinity"), a subsidiary of Kemper Corporation (NYSE: KMPR) formed a joint venture: PennantPark Senior Secured Loan Fund I, LLC (“SSLF”). We and Trinity have committed to provide $100 million of subordinated notes and equity to the joint venture, with us providing $87.5 million and Trinity providing $12.5 million. In addition, SSLF intends to seek up to $200 million in third party financing. SSLF is expected to invest primarily in middle market and other corporate debt securities consistent with our strategy.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and six months ended March 31, 2017, we declared distributions of $0.285 and $0.570 per share, respectively, for total distributions of $8.7 million and $16.3 million, respectively. For the same periods in the prior year, we declared distributions of $0.285 and $0.570 per share, respectively, for total distributions of $7.6 million and $15.2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182"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3" w:lineRule="exact"/>
        <w:rPr>
          <w:sz w:val="20"/>
          <w:szCs w:val="20"/>
          <w:color w:val="auto"/>
        </w:rPr>
      </w:pPr>
    </w:p>
    <w:p>
      <w:pPr>
        <w:ind w:left="7600"/>
        <w:spacing w:after="0"/>
        <w:tabs>
          <w:tab w:leader="none" w:pos="9240" w:val="left"/>
        </w:tabs>
        <w:rPr>
          <w:sz w:val="20"/>
          <w:szCs w:val="20"/>
          <w:color w:val="auto"/>
        </w:rPr>
      </w:pPr>
      <w:r>
        <w:rPr>
          <w:rFonts w:ascii="Arial" w:cs="Arial" w:eastAsia="Arial" w:hAnsi="Arial"/>
          <w:sz w:val="22"/>
          <w:szCs w:val="22"/>
          <w:b w:val="1"/>
          <w:bCs w:val="1"/>
          <w:color w:val="auto"/>
        </w:rPr>
        <w:t>March 31, 2017</w:t>
      </w:r>
      <w:r>
        <w:rPr>
          <w:sz w:val="20"/>
          <w:szCs w:val="20"/>
          <w:color w:val="auto"/>
        </w:rPr>
        <w:tab/>
      </w:r>
      <w:r>
        <w:rPr>
          <w:rFonts w:ascii="Arial" w:cs="Arial" w:eastAsia="Arial" w:hAnsi="Arial"/>
          <w:sz w:val="19"/>
          <w:szCs w:val="19"/>
          <w:b w:val="1"/>
          <w:bCs w:val="1"/>
          <w:color w:val="auto"/>
        </w:rPr>
        <w:t>September 30, 2016</w:t>
      </w:r>
    </w:p>
    <w:p>
      <w:pPr>
        <w:spacing w:after="0" w:line="27" w:lineRule="exact"/>
        <w:rPr>
          <w:sz w:val="20"/>
          <w:szCs w:val="20"/>
          <w:color w:val="auto"/>
        </w:rPr>
      </w:pPr>
    </w:p>
    <w:p>
      <w:pPr>
        <w:ind w:left="778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-160020</wp:posOffset>
            </wp:positionV>
            <wp:extent cx="2211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Investments at fair value</w:t>
      </w:r>
    </w:p>
    <w:p>
      <w:pPr>
        <w:sectPr>
          <w:pgSz w:w="11900" w:h="16857" w:orient="portrait"/>
          <w:cols w:equalWidth="0" w:num="1">
            <w:col w:w="11240"/>
          </w:cols>
          <w:pgMar w:left="320" w:top="118"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7580" w:type="dxa"/>
            <w:vAlign w:val="bottom"/>
          </w:tcPr>
          <w:p>
            <w:pPr>
              <w:ind w:left="100"/>
              <w:spacing w:after="0"/>
              <w:rPr>
                <w:sz w:val="20"/>
                <w:szCs w:val="20"/>
                <w:color w:val="auto"/>
              </w:rPr>
            </w:pPr>
            <w:r>
              <w:rPr>
                <w:rFonts w:ascii="Arial" w:cs="Arial" w:eastAsia="Arial" w:hAnsi="Arial"/>
                <w:sz w:val="22"/>
                <w:szCs w:val="22"/>
                <w:color w:val="auto"/>
                <w:w w:val="92"/>
              </w:rPr>
              <w:t>Non-controlled, non-affiliated investments (cost—$730,704,555 and $597,910,267,</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spacing w:after="0"/>
              <w:rPr>
                <w:sz w:val="20"/>
                <w:szCs w:val="20"/>
                <w:color w:val="auto"/>
              </w:rPr>
            </w:pPr>
            <w:r>
              <w:rPr>
                <w:rFonts w:ascii="Arial" w:cs="Arial" w:eastAsia="Arial" w:hAnsi="Arial"/>
                <w:sz w:val="22"/>
                <w:szCs w:val="22"/>
                <w:color w:val="auto"/>
                <w:w w:val="96"/>
              </w:rPr>
              <w:t>731,482,714</w:t>
            </w:r>
          </w:p>
        </w:tc>
        <w:tc>
          <w:tcPr>
            <w:tcW w:w="180" w:type="dxa"/>
            <w:vAlign w:val="bottom"/>
          </w:tcPr>
          <w:p>
            <w:pPr>
              <w:spacing w:after="0"/>
              <w:rPr>
                <w:sz w:val="21"/>
                <w:szCs w:val="21"/>
                <w:color w:val="auto"/>
              </w:rPr>
            </w:pPr>
          </w:p>
        </w:tc>
        <w:tc>
          <w:tcPr>
            <w:tcW w:w="440" w:type="dxa"/>
            <w:vAlign w:val="bottom"/>
          </w:tcPr>
          <w:p>
            <w:pPr>
              <w:jc w:val="right"/>
              <w:ind w:right="21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598,887,525</w:t>
            </w:r>
          </w:p>
        </w:tc>
        <w:tc>
          <w:tcPr>
            <w:tcW w:w="80" w:type="dxa"/>
            <w:vAlign w:val="bottom"/>
          </w:tcPr>
          <w:p>
            <w:pPr>
              <w:spacing w:after="0"/>
              <w:rPr>
                <w:sz w:val="21"/>
                <w:szCs w:val="2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respectively)</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w w:val="98"/>
              </w:rPr>
              <w:t>Cash and cash equivalents (cost—$43,966,306 and $28,903,359, respectively)</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43,974,053</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28,910,973</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Interest receivable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3,216,920</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2,480,406</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1,421,888</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5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1,006,615</w:t>
            </w:r>
          </w:p>
        </w:tc>
        <w:tc>
          <w:tcPr>
            <w:tcW w:w="1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1,141,191</w:t>
            </w:r>
          </w:p>
        </w:tc>
        <w:tc>
          <w:tcPr>
            <w:tcW w:w="80" w:type="dxa"/>
            <w:vAlign w:val="bottom"/>
          </w:tcPr>
          <w:p>
            <w:pPr>
              <w:spacing w:after="0"/>
              <w:rPr>
                <w:sz w:val="23"/>
                <w:szCs w:val="23"/>
                <w:color w:val="auto"/>
              </w:rPr>
            </w:pPr>
          </w:p>
        </w:tc>
      </w:tr>
      <w:tr>
        <w:trPr>
          <w:trHeight w:val="267"/>
        </w:trPr>
        <w:tc>
          <w:tcPr>
            <w:tcW w:w="75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781,102,190</w:t>
            </w:r>
          </w:p>
        </w:tc>
        <w:tc>
          <w:tcPr>
            <w:tcW w:w="1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631,420,095</w:t>
            </w:r>
          </w:p>
        </w:tc>
        <w:tc>
          <w:tcPr>
            <w:tcW w:w="80" w:type="dxa"/>
            <w:vAlign w:val="bottom"/>
          </w:tcPr>
          <w:p>
            <w:pPr>
              <w:spacing w:after="0"/>
              <w:rPr>
                <w:sz w:val="23"/>
                <w:szCs w:val="23"/>
                <w:color w:val="auto"/>
              </w:rPr>
            </w:pPr>
          </w:p>
        </w:tc>
      </w:tr>
      <w:tr>
        <w:trPr>
          <w:trHeight w:val="256"/>
        </w:trPr>
        <w:tc>
          <w:tcPr>
            <w:tcW w:w="75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Distributions payable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3,085,607</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2,539,357</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16,745,000</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14,935,970</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Credit Facility payable (cost—$299,909,500 and $232,907,500, respectively)</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6"/>
              </w:rPr>
              <w:t>300,420,904</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232,389,498</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Interest payable on Credit Facility</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689,983</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531,926</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1,731,418</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1,458,625</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2,202,588</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3,454,914</w:t>
            </w:r>
          </w:p>
        </w:tc>
        <w:tc>
          <w:tcPr>
            <w:tcW w:w="80" w:type="dxa"/>
            <w:vAlign w:val="bottom"/>
          </w:tcPr>
          <w:p>
            <w:pPr>
              <w:spacing w:after="0"/>
              <w:rPr>
                <w:sz w:val="23"/>
                <w:szCs w:val="23"/>
                <w:color w:val="auto"/>
              </w:rPr>
            </w:pPr>
          </w:p>
        </w:tc>
      </w:tr>
      <w:tr>
        <w:trPr>
          <w:trHeight w:val="274"/>
        </w:trPr>
        <w:tc>
          <w:tcPr>
            <w:tcW w:w="75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24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202,977</w:t>
            </w:r>
          </w:p>
        </w:tc>
        <w:tc>
          <w:tcPr>
            <w:tcW w:w="80" w:type="dxa"/>
            <w:vAlign w:val="bottom"/>
          </w:tcPr>
          <w:p>
            <w:pPr>
              <w:spacing w:after="0"/>
              <w:rPr>
                <w:sz w:val="23"/>
                <w:szCs w:val="23"/>
                <w:color w:val="auto"/>
              </w:rPr>
            </w:pPr>
          </w:p>
        </w:tc>
      </w:tr>
      <w:tr>
        <w:trPr>
          <w:trHeight w:val="267"/>
        </w:trPr>
        <w:tc>
          <w:tcPr>
            <w:tcW w:w="75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2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324,875,500</w:t>
            </w:r>
          </w:p>
        </w:tc>
        <w:tc>
          <w:tcPr>
            <w:tcW w:w="18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255,513,267</w:t>
            </w:r>
          </w:p>
        </w:tc>
        <w:tc>
          <w:tcPr>
            <w:tcW w:w="80" w:type="dxa"/>
            <w:vAlign w:val="bottom"/>
          </w:tcPr>
          <w:p>
            <w:pPr>
              <w:spacing w:after="0"/>
              <w:rPr>
                <w:sz w:val="23"/>
                <w:szCs w:val="23"/>
                <w:color w:val="auto"/>
              </w:rPr>
            </w:pPr>
          </w:p>
        </w:tc>
      </w:tr>
      <w:tr>
        <w:trPr>
          <w:trHeight w:val="250"/>
        </w:trPr>
        <w:tc>
          <w:tcPr>
            <w:tcW w:w="75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240" w:type="dxa"/>
            <w:vAlign w:val="bottom"/>
          </w:tcPr>
          <w:p>
            <w:pPr>
              <w:spacing w:after="0"/>
              <w:rPr>
                <w:sz w:val="21"/>
                <w:szCs w:val="21"/>
                <w:color w:val="auto"/>
              </w:rPr>
            </w:pPr>
          </w:p>
        </w:tc>
        <w:tc>
          <w:tcPr>
            <w:tcW w:w="122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5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580" w:type="dxa"/>
            <w:vAlign w:val="bottom"/>
          </w:tcPr>
          <w:p>
            <w:pPr>
              <w:spacing w:after="0" w:line="243" w:lineRule="exact"/>
              <w:rPr>
                <w:sz w:val="20"/>
                <w:szCs w:val="20"/>
                <w:color w:val="auto"/>
              </w:rPr>
            </w:pPr>
            <w:r>
              <w:rPr>
                <w:rFonts w:ascii="Arial" w:cs="Arial" w:eastAsia="Arial" w:hAnsi="Arial"/>
                <w:sz w:val="22"/>
                <w:szCs w:val="22"/>
                <w:color w:val="auto"/>
              </w:rPr>
              <w:t>Common stock, 32,480,074 and 26,730,074 shares issued and outstanding,</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580" w:type="dxa"/>
            <w:vAlign w:val="bottom"/>
          </w:tcPr>
          <w:p>
            <w:pPr>
              <w:spacing w:after="0" w:line="243" w:lineRule="exact"/>
              <w:rPr>
                <w:sz w:val="20"/>
                <w:szCs w:val="20"/>
                <w:color w:val="auto"/>
              </w:rPr>
            </w:pPr>
            <w:r>
              <w:rPr>
                <w:rFonts w:ascii="Arial" w:cs="Arial" w:eastAsia="Arial" w:hAnsi="Arial"/>
                <w:sz w:val="22"/>
                <w:szCs w:val="22"/>
                <w:color w:val="auto"/>
              </w:rPr>
              <w:t>respectively</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58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32,480</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26,730</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6"/>
              </w:rPr>
              <w:t>451,705,066</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371,194,366</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3,081,419</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4,559,646</w:t>
            </w:r>
          </w:p>
        </w:tc>
        <w:tc>
          <w:tcPr>
            <w:tcW w:w="8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Accumulated net realized gain (loss) on investments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1,133,223</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(1,376,788)</w:t>
            </w: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Net unrealized appreciation on investments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785,906</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984,872</w:t>
            </w:r>
          </w:p>
        </w:tc>
        <w:tc>
          <w:tcPr>
            <w:tcW w:w="80" w:type="dxa"/>
            <w:vAlign w:val="bottom"/>
          </w:tcPr>
          <w:p>
            <w:pPr>
              <w:spacing w:after="0"/>
              <w:rPr>
                <w:sz w:val="23"/>
                <w:szCs w:val="23"/>
                <w:color w:val="auto"/>
              </w:rPr>
            </w:pPr>
          </w:p>
        </w:tc>
      </w:tr>
      <w:tr>
        <w:trPr>
          <w:trHeight w:val="274"/>
        </w:trPr>
        <w:tc>
          <w:tcPr>
            <w:tcW w:w="7580" w:type="dxa"/>
            <w:vAlign w:val="bottom"/>
          </w:tcPr>
          <w:p>
            <w:pPr>
              <w:spacing w:after="0"/>
              <w:rPr>
                <w:sz w:val="20"/>
                <w:szCs w:val="20"/>
                <w:color w:val="auto"/>
              </w:rPr>
            </w:pPr>
            <w:r>
              <w:rPr>
                <w:rFonts w:ascii="Arial" w:cs="Arial" w:eastAsia="Arial" w:hAnsi="Arial"/>
                <w:sz w:val="22"/>
                <w:szCs w:val="22"/>
                <w:color w:val="auto"/>
              </w:rPr>
              <w:t>Net unrealized (appreciation) depreciation on Credit Facility</w:t>
            </w:r>
          </w:p>
        </w:tc>
        <w:tc>
          <w:tcPr>
            <w:tcW w:w="24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(511,404)</w:t>
            </w: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518,002</w:t>
            </w:r>
          </w:p>
        </w:tc>
        <w:tc>
          <w:tcPr>
            <w:tcW w:w="80" w:type="dxa"/>
            <w:vAlign w:val="bottom"/>
          </w:tcPr>
          <w:p>
            <w:pPr>
              <w:spacing w:after="0"/>
              <w:rPr>
                <w:sz w:val="23"/>
                <w:szCs w:val="23"/>
                <w:color w:val="auto"/>
              </w:rPr>
            </w:pPr>
          </w:p>
        </w:tc>
      </w:tr>
      <w:tr>
        <w:trPr>
          <w:trHeight w:val="267"/>
        </w:trPr>
        <w:tc>
          <w:tcPr>
            <w:tcW w:w="75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456,226,690</w:t>
            </w:r>
          </w:p>
        </w:tc>
        <w:tc>
          <w:tcPr>
            <w:tcW w:w="18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375,906,828</w:t>
            </w:r>
          </w:p>
        </w:tc>
        <w:tc>
          <w:tcPr>
            <w:tcW w:w="80" w:type="dxa"/>
            <w:vAlign w:val="bottom"/>
          </w:tcPr>
          <w:p>
            <w:pPr>
              <w:spacing w:after="0"/>
              <w:rPr>
                <w:sz w:val="23"/>
                <w:szCs w:val="23"/>
                <w:color w:val="auto"/>
              </w:rPr>
            </w:pPr>
          </w:p>
        </w:tc>
      </w:tr>
      <w:tr>
        <w:trPr>
          <w:trHeight w:val="263"/>
        </w:trPr>
        <w:tc>
          <w:tcPr>
            <w:tcW w:w="75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781,102,190</w:t>
            </w:r>
          </w:p>
        </w:tc>
        <w:tc>
          <w:tcPr>
            <w:tcW w:w="18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631,420,095</w:t>
            </w:r>
          </w:p>
        </w:tc>
        <w:tc>
          <w:tcPr>
            <w:tcW w:w="80" w:type="dxa"/>
            <w:vAlign w:val="bottom"/>
          </w:tcPr>
          <w:p>
            <w:pPr>
              <w:spacing w:after="0"/>
              <w:rPr>
                <w:sz w:val="22"/>
                <w:szCs w:val="22"/>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58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14.05</w:t>
            </w:r>
          </w:p>
        </w:tc>
        <w:tc>
          <w:tcPr>
            <w:tcW w:w="18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14.06</w:t>
            </w:r>
          </w:p>
        </w:tc>
        <w:tc>
          <w:tcPr>
            <w:tcW w:w="80" w:type="dxa"/>
            <w:vAlign w:val="bottom"/>
          </w:tcPr>
          <w:p>
            <w:pPr>
              <w:spacing w:after="0"/>
              <w:rPr>
                <w:sz w:val="22"/>
                <w:szCs w:val="22"/>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60" w:type="dxa"/>
            <w:vAlign w:val="bottom"/>
          </w:tcPr>
          <w:p>
            <w:pPr>
              <w:spacing w:after="0"/>
              <w:rPr>
                <w:sz w:val="21"/>
                <w:szCs w:val="21"/>
                <w:color w:val="auto"/>
              </w:rPr>
            </w:pPr>
          </w:p>
        </w:tc>
        <w:tc>
          <w:tcPr>
            <w:tcW w:w="2480" w:type="dxa"/>
            <w:vAlign w:val="bottom"/>
            <w:gridSpan w:val="4"/>
          </w:tcPr>
          <w:p>
            <w:pPr>
              <w:jc w:val="center"/>
              <w:ind w:right="120"/>
              <w:spacing w:after="0"/>
              <w:rPr>
                <w:sz w:val="20"/>
                <w:szCs w:val="20"/>
                <w:color w:val="auto"/>
              </w:rPr>
            </w:pPr>
            <w:r>
              <w:rPr>
                <w:rFonts w:ascii="Arial" w:cs="Arial" w:eastAsia="Arial" w:hAnsi="Arial"/>
                <w:sz w:val="22"/>
                <w:szCs w:val="22"/>
                <w:b w:val="1"/>
                <w:bCs w:val="1"/>
                <w:color w:val="auto"/>
                <w:w w:val="90"/>
              </w:rPr>
              <w:t>Three Months Ended</w:t>
            </w:r>
          </w:p>
        </w:tc>
        <w:tc>
          <w:tcPr>
            <w:tcW w:w="2460" w:type="dxa"/>
            <w:vAlign w:val="bottom"/>
            <w:gridSpan w:val="4"/>
          </w:tcPr>
          <w:p>
            <w:pPr>
              <w:jc w:val="right"/>
              <w:ind w:right="420"/>
              <w:spacing w:after="0"/>
              <w:rPr>
                <w:sz w:val="20"/>
                <w:szCs w:val="20"/>
                <w:color w:val="auto"/>
              </w:rPr>
            </w:pPr>
            <w:r>
              <w:rPr>
                <w:rFonts w:ascii="Arial" w:cs="Arial" w:eastAsia="Arial" w:hAnsi="Arial"/>
                <w:sz w:val="22"/>
                <w:szCs w:val="22"/>
                <w:b w:val="1"/>
                <w:bCs w:val="1"/>
                <w:color w:val="auto"/>
              </w:rPr>
              <w:t>Six Months Ended</w:t>
            </w:r>
          </w:p>
        </w:tc>
      </w:tr>
      <w:tr>
        <w:trPr>
          <w:trHeight w:val="282"/>
        </w:trPr>
        <w:tc>
          <w:tcPr>
            <w:tcW w:w="6260" w:type="dxa"/>
            <w:vAlign w:val="bottom"/>
          </w:tcPr>
          <w:p>
            <w:pPr>
              <w:spacing w:after="0"/>
              <w:rPr>
                <w:sz w:val="24"/>
                <w:szCs w:val="24"/>
                <w:color w:val="auto"/>
              </w:rPr>
            </w:pPr>
          </w:p>
        </w:tc>
        <w:tc>
          <w:tcPr>
            <w:tcW w:w="2480" w:type="dxa"/>
            <w:vAlign w:val="bottom"/>
            <w:gridSpan w:val="4"/>
          </w:tcPr>
          <w:p>
            <w:pPr>
              <w:jc w:val="center"/>
              <w:ind w:right="120"/>
              <w:spacing w:after="0"/>
              <w:rPr>
                <w:sz w:val="20"/>
                <w:szCs w:val="20"/>
                <w:color w:val="auto"/>
              </w:rPr>
            </w:pPr>
            <w:r>
              <w:rPr>
                <w:rFonts w:ascii="Arial" w:cs="Arial" w:eastAsia="Arial" w:hAnsi="Arial"/>
                <w:sz w:val="22"/>
                <w:szCs w:val="22"/>
                <w:b w:val="1"/>
                <w:bCs w:val="1"/>
                <w:color w:val="auto"/>
                <w:w w:val="94"/>
              </w:rPr>
              <w:t>March 31,</w:t>
            </w:r>
          </w:p>
        </w:tc>
        <w:tc>
          <w:tcPr>
            <w:tcW w:w="2460" w:type="dxa"/>
            <w:vAlign w:val="bottom"/>
            <w:gridSpan w:val="4"/>
          </w:tcPr>
          <w:p>
            <w:pPr>
              <w:jc w:val="right"/>
              <w:ind w:right="800"/>
              <w:spacing w:after="0"/>
              <w:rPr>
                <w:sz w:val="20"/>
                <w:szCs w:val="20"/>
                <w:color w:val="auto"/>
              </w:rPr>
            </w:pPr>
            <w:r>
              <w:rPr>
                <w:rFonts w:ascii="Arial" w:cs="Arial" w:eastAsia="Arial" w:hAnsi="Arial"/>
                <w:sz w:val="22"/>
                <w:szCs w:val="22"/>
                <w:b w:val="1"/>
                <w:bCs w:val="1"/>
                <w:color w:val="auto"/>
              </w:rPr>
              <w:t>March 31,</w:t>
            </w:r>
          </w:p>
        </w:tc>
      </w:tr>
      <w:tr>
        <w:trPr>
          <w:trHeight w:val="265"/>
        </w:trPr>
        <w:tc>
          <w:tcPr>
            <w:tcW w:w="626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2016</w:t>
            </w:r>
          </w:p>
        </w:tc>
        <w:tc>
          <w:tcPr>
            <w:tcW w:w="12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Interest</w:t>
            </w:r>
          </w:p>
        </w:tc>
        <w:tc>
          <w:tcPr>
            <w:tcW w:w="1120" w:type="dxa"/>
            <w:vAlign w:val="bottom"/>
          </w:tcPr>
          <w:p>
            <w:pPr>
              <w:jc w:val="right"/>
              <w:spacing w:after="0"/>
              <w:rPr>
                <w:sz w:val="20"/>
                <w:szCs w:val="20"/>
                <w:color w:val="auto"/>
              </w:rPr>
            </w:pPr>
            <w:r>
              <w:rPr>
                <w:rFonts w:ascii="Arial" w:cs="Arial" w:eastAsia="Arial" w:hAnsi="Arial"/>
                <w:sz w:val="22"/>
                <w:szCs w:val="22"/>
                <w:color w:val="auto"/>
                <w:w w:val="85"/>
              </w:rPr>
              <w:t>$ 12,917,094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4"/>
              </w:rPr>
              <w:t>$ 9,626,583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85"/>
              </w:rPr>
              <w:t>$ 24,868,929</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w w:val="85"/>
              </w:rPr>
              <w:t>$ 18,239,445</w:t>
            </w:r>
          </w:p>
        </w:tc>
        <w:tc>
          <w:tcPr>
            <w:tcW w:w="80" w:type="dxa"/>
            <w:vAlign w:val="bottom"/>
          </w:tcPr>
          <w:p>
            <w:pPr>
              <w:spacing w:after="0"/>
              <w:rPr>
                <w:sz w:val="23"/>
                <w:szCs w:val="23"/>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Other income</w:t>
            </w:r>
          </w:p>
        </w:tc>
        <w:tc>
          <w:tcPr>
            <w:tcW w:w="1120" w:type="dxa"/>
            <w:vAlign w:val="bottom"/>
          </w:tcPr>
          <w:p>
            <w:pPr>
              <w:jc w:val="right"/>
              <w:spacing w:after="0"/>
              <w:rPr>
                <w:sz w:val="20"/>
                <w:szCs w:val="20"/>
                <w:color w:val="auto"/>
              </w:rPr>
            </w:pPr>
            <w:r>
              <w:rPr>
                <w:rFonts w:ascii="Arial" w:cs="Arial" w:eastAsia="Arial" w:hAnsi="Arial"/>
                <w:sz w:val="22"/>
                <w:szCs w:val="22"/>
                <w:color w:val="auto"/>
              </w:rPr>
              <w:t>303,804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1,676,582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983,237</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1,779,267</w:t>
            </w:r>
          </w:p>
        </w:tc>
        <w:tc>
          <w:tcPr>
            <w:tcW w:w="80" w:type="dxa"/>
            <w:vAlign w:val="bottom"/>
          </w:tcPr>
          <w:p>
            <w:pPr>
              <w:spacing w:after="0"/>
              <w:rPr>
                <w:sz w:val="23"/>
                <w:szCs w:val="23"/>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4"/>
        </w:trPr>
        <w:tc>
          <w:tcPr>
            <w:tcW w:w="6260" w:type="dxa"/>
            <w:vAlign w:val="bottom"/>
          </w:tcPr>
          <w:p>
            <w:pPr>
              <w:ind w:left="320"/>
              <w:spacing w:after="0"/>
              <w:rPr>
                <w:sz w:val="20"/>
                <w:szCs w:val="20"/>
                <w:color w:val="auto"/>
              </w:rPr>
            </w:pPr>
            <w:r>
              <w:rPr>
                <w:rFonts w:ascii="Arial" w:cs="Arial" w:eastAsia="Arial" w:hAnsi="Arial"/>
                <w:sz w:val="22"/>
                <w:szCs w:val="22"/>
                <w:color w:val="auto"/>
              </w:rPr>
              <w:t>Interest</w:t>
            </w:r>
          </w:p>
        </w:tc>
        <w:tc>
          <w:tcPr>
            <w:tcW w:w="12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43,140</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84,073</w:t>
            </w:r>
          </w:p>
        </w:tc>
        <w:tc>
          <w:tcPr>
            <w:tcW w:w="80" w:type="dxa"/>
            <w:vAlign w:val="bottom"/>
          </w:tcPr>
          <w:p>
            <w:pPr>
              <w:spacing w:after="0"/>
              <w:rPr>
                <w:sz w:val="23"/>
                <w:szCs w:val="23"/>
                <w:color w:val="auto"/>
              </w:rPr>
            </w:pPr>
          </w:p>
        </w:tc>
      </w:tr>
      <w:tr>
        <w:trPr>
          <w:trHeight w:val="267"/>
        </w:trPr>
        <w:tc>
          <w:tcPr>
            <w:tcW w:w="6260" w:type="dxa"/>
            <w:vAlign w:val="bottom"/>
          </w:tcPr>
          <w:p>
            <w:pPr>
              <w:ind w:left="320"/>
              <w:spacing w:after="0"/>
              <w:rPr>
                <w:sz w:val="20"/>
                <w:szCs w:val="20"/>
                <w:color w:val="auto"/>
              </w:rPr>
            </w:pPr>
            <w:r>
              <w:rPr>
                <w:rFonts w:ascii="Arial" w:cs="Arial" w:eastAsia="Arial" w:hAnsi="Arial"/>
                <w:sz w:val="22"/>
                <w:szCs w:val="22"/>
                <w:b w:val="1"/>
                <w:bCs w:val="1"/>
                <w:color w:val="auto"/>
              </w:rPr>
              <w:t>Total investment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13,220,898</w:t>
            </w:r>
          </w:p>
        </w:tc>
        <w:tc>
          <w:tcPr>
            <w:tcW w:w="12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11,346,305</w:t>
            </w:r>
          </w:p>
        </w:tc>
        <w:tc>
          <w:tcPr>
            <w:tcW w:w="12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25,852,166</w:t>
            </w:r>
          </w:p>
        </w:tc>
        <w:tc>
          <w:tcPr>
            <w:tcW w:w="120" w:type="dxa"/>
            <w:vAlign w:val="bottom"/>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20,102,785</w:t>
            </w:r>
          </w:p>
        </w:tc>
        <w:tc>
          <w:tcPr>
            <w:tcW w:w="80" w:type="dxa"/>
            <w:vAlign w:val="bottom"/>
          </w:tcPr>
          <w:p>
            <w:pPr>
              <w:spacing w:after="0"/>
              <w:rPr>
                <w:sz w:val="23"/>
                <w:szCs w:val="23"/>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Base management fee</w:t>
            </w:r>
          </w:p>
        </w:tc>
        <w:tc>
          <w:tcPr>
            <w:tcW w:w="1120" w:type="dxa"/>
            <w:vAlign w:val="bottom"/>
          </w:tcPr>
          <w:p>
            <w:pPr>
              <w:jc w:val="right"/>
              <w:spacing w:after="0"/>
              <w:rPr>
                <w:sz w:val="20"/>
                <w:szCs w:val="20"/>
                <w:color w:val="auto"/>
              </w:rPr>
            </w:pPr>
            <w:r>
              <w:rPr>
                <w:rFonts w:ascii="Arial" w:cs="Arial" w:eastAsia="Arial" w:hAnsi="Arial"/>
                <w:sz w:val="22"/>
                <w:szCs w:val="22"/>
                <w:color w:val="auto"/>
              </w:rPr>
              <w:t>1,731,417</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1,181,116</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3,327,144</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2,258,856</w:t>
            </w:r>
          </w:p>
        </w:tc>
        <w:tc>
          <w:tcPr>
            <w:tcW w:w="80" w:type="dxa"/>
            <w:vAlign w:val="bottom"/>
          </w:tcPr>
          <w:p>
            <w:pPr>
              <w:spacing w:after="0"/>
              <w:rPr>
                <w:sz w:val="23"/>
                <w:szCs w:val="23"/>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Performance-based incentive fee</w:t>
            </w:r>
          </w:p>
        </w:tc>
        <w:tc>
          <w:tcPr>
            <w:tcW w:w="1120" w:type="dxa"/>
            <w:vAlign w:val="bottom"/>
          </w:tcPr>
          <w:p>
            <w:pPr>
              <w:jc w:val="right"/>
              <w:spacing w:after="0"/>
              <w:rPr>
                <w:sz w:val="20"/>
                <w:szCs w:val="20"/>
                <w:color w:val="auto"/>
              </w:rPr>
            </w:pPr>
            <w:r>
              <w:rPr>
                <w:rFonts w:ascii="Arial" w:cs="Arial" w:eastAsia="Arial" w:hAnsi="Arial"/>
                <w:sz w:val="22"/>
                <w:szCs w:val="22"/>
                <w:color w:val="auto"/>
              </w:rPr>
              <w:t>453,666</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841,880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1,923,035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838,944</w:t>
            </w:r>
          </w:p>
        </w:tc>
        <w:tc>
          <w:tcPr>
            <w:tcW w:w="80" w:type="dxa"/>
            <w:vAlign w:val="bottom"/>
          </w:tcPr>
          <w:p>
            <w:pPr>
              <w:spacing w:after="0"/>
              <w:rPr>
                <w:sz w:val="23"/>
                <w:szCs w:val="23"/>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Interest and expenses on the Credit Facility</w:t>
            </w:r>
          </w:p>
        </w:tc>
        <w:tc>
          <w:tcPr>
            <w:tcW w:w="1120" w:type="dxa"/>
            <w:vAlign w:val="bottom"/>
          </w:tcPr>
          <w:p>
            <w:pPr>
              <w:jc w:val="right"/>
              <w:spacing w:after="0"/>
              <w:rPr>
                <w:sz w:val="20"/>
                <w:szCs w:val="20"/>
                <w:color w:val="auto"/>
              </w:rPr>
            </w:pPr>
            <w:r>
              <w:rPr>
                <w:rFonts w:ascii="Arial" w:cs="Arial" w:eastAsia="Arial" w:hAnsi="Arial"/>
                <w:sz w:val="22"/>
                <w:szCs w:val="22"/>
                <w:color w:val="auto"/>
              </w:rPr>
              <w:t>1,998,347</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1,122,893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3,799,072</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2,062,575</w:t>
            </w:r>
          </w:p>
        </w:tc>
        <w:tc>
          <w:tcPr>
            <w:tcW w:w="80" w:type="dxa"/>
            <w:vAlign w:val="bottom"/>
          </w:tcPr>
          <w:p>
            <w:pPr>
              <w:spacing w:after="0"/>
              <w:rPr>
                <w:sz w:val="23"/>
                <w:szCs w:val="23"/>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Administrative services expenses</w:t>
            </w:r>
          </w:p>
        </w:tc>
        <w:tc>
          <w:tcPr>
            <w:tcW w:w="1120" w:type="dxa"/>
            <w:vAlign w:val="bottom"/>
          </w:tcPr>
          <w:p>
            <w:pPr>
              <w:jc w:val="right"/>
              <w:spacing w:after="0"/>
              <w:rPr>
                <w:sz w:val="20"/>
                <w:szCs w:val="20"/>
                <w:color w:val="auto"/>
              </w:rPr>
            </w:pPr>
            <w:r>
              <w:rPr>
                <w:rFonts w:ascii="Arial" w:cs="Arial" w:eastAsia="Arial" w:hAnsi="Arial"/>
                <w:sz w:val="22"/>
                <w:szCs w:val="22"/>
                <w:color w:val="auto"/>
              </w:rPr>
              <w:t>561,250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200,001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1,122,500</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400,001</w:t>
            </w:r>
          </w:p>
        </w:tc>
        <w:tc>
          <w:tcPr>
            <w:tcW w:w="80" w:type="dxa"/>
            <w:vAlign w:val="bottom"/>
          </w:tcPr>
          <w:p>
            <w:pPr>
              <w:spacing w:after="0"/>
              <w:rPr>
                <w:sz w:val="23"/>
                <w:szCs w:val="23"/>
                <w:color w:val="auto"/>
              </w:rPr>
            </w:pPr>
          </w:p>
        </w:tc>
      </w:tr>
      <w:tr>
        <w:trPr>
          <w:trHeight w:val="274"/>
        </w:trPr>
        <w:tc>
          <w:tcPr>
            <w:tcW w:w="6260" w:type="dxa"/>
            <w:vAlign w:val="bottom"/>
          </w:tcPr>
          <w:p>
            <w:pPr>
              <w:ind w:left="320"/>
              <w:spacing w:after="0"/>
              <w:rPr>
                <w:sz w:val="20"/>
                <w:szCs w:val="20"/>
                <w:color w:val="auto"/>
              </w:rPr>
            </w:pPr>
            <w:r>
              <w:rPr>
                <w:rFonts w:ascii="Arial" w:cs="Arial" w:eastAsia="Arial" w:hAnsi="Arial"/>
                <w:sz w:val="22"/>
                <w:szCs w:val="22"/>
                <w:color w:val="auto"/>
              </w:rPr>
              <w:t>Other general and administrative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357,500</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735,698</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715,000</w:t>
            </w:r>
          </w:p>
        </w:tc>
        <w:tc>
          <w:tcPr>
            <w:tcW w:w="12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1,284,012</w:t>
            </w:r>
          </w:p>
        </w:tc>
        <w:tc>
          <w:tcPr>
            <w:tcW w:w="80" w:type="dxa"/>
            <w:vAlign w:val="bottom"/>
          </w:tcPr>
          <w:p>
            <w:pPr>
              <w:spacing w:after="0"/>
              <w:rPr>
                <w:sz w:val="23"/>
                <w:szCs w:val="23"/>
                <w:color w:val="auto"/>
              </w:rPr>
            </w:pPr>
          </w:p>
        </w:tc>
      </w:tr>
      <w:tr>
        <w:trPr>
          <w:trHeight w:val="259"/>
        </w:trPr>
        <w:tc>
          <w:tcPr>
            <w:tcW w:w="6260" w:type="dxa"/>
            <w:vAlign w:val="bottom"/>
          </w:tcPr>
          <w:p>
            <w:pPr>
              <w:ind w:left="320"/>
              <w:spacing w:after="0"/>
              <w:rPr>
                <w:sz w:val="20"/>
                <w:szCs w:val="20"/>
                <w:color w:val="auto"/>
              </w:rPr>
            </w:pPr>
            <w:r>
              <w:rPr>
                <w:rFonts w:ascii="Arial" w:cs="Arial" w:eastAsia="Arial" w:hAnsi="Arial"/>
                <w:sz w:val="22"/>
                <w:szCs w:val="22"/>
                <w:b w:val="1"/>
                <w:bCs w:val="1"/>
                <w:color w:val="auto"/>
                <w:w w:val="95"/>
              </w:rPr>
              <w:t>Expenses before provision for taxes and amendment costs</w:t>
            </w:r>
          </w:p>
        </w:tc>
        <w:tc>
          <w:tcPr>
            <w:tcW w:w="1120" w:type="dxa"/>
            <w:vAlign w:val="bottom"/>
          </w:tcPr>
          <w:p>
            <w:pPr>
              <w:jc w:val="right"/>
              <w:spacing w:after="0"/>
              <w:rPr>
                <w:sz w:val="20"/>
                <w:szCs w:val="20"/>
                <w:color w:val="auto"/>
              </w:rPr>
            </w:pPr>
            <w:r>
              <w:rPr>
                <w:rFonts w:ascii="Arial" w:cs="Arial" w:eastAsia="Arial" w:hAnsi="Arial"/>
                <w:sz w:val="22"/>
                <w:szCs w:val="22"/>
                <w:color w:val="auto"/>
              </w:rPr>
              <w:t>5,102,180</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4,081,588</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9"/>
              </w:rPr>
              <w:t>10,886,751</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6,844,388</w:t>
            </w:r>
          </w:p>
        </w:tc>
        <w:tc>
          <w:tcPr>
            <w:tcW w:w="80" w:type="dxa"/>
            <w:vAlign w:val="bottom"/>
          </w:tcPr>
          <w:p>
            <w:pPr>
              <w:spacing w:after="0"/>
              <w:rPr>
                <w:sz w:val="22"/>
                <w:szCs w:val="22"/>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Provision for taxes</w:t>
            </w:r>
          </w:p>
        </w:tc>
        <w:tc>
          <w:tcPr>
            <w:tcW w:w="1120" w:type="dxa"/>
            <w:vAlign w:val="bottom"/>
          </w:tcPr>
          <w:p>
            <w:pPr>
              <w:jc w:val="right"/>
              <w:spacing w:after="0"/>
              <w:rPr>
                <w:sz w:val="20"/>
                <w:szCs w:val="20"/>
                <w:color w:val="auto"/>
              </w:rPr>
            </w:pPr>
            <w:r>
              <w:rPr>
                <w:rFonts w:ascii="Arial" w:cs="Arial" w:eastAsia="Arial" w:hAnsi="Arial"/>
                <w:sz w:val="22"/>
                <w:szCs w:val="22"/>
                <w:color w:val="auto"/>
              </w:rPr>
              <w:t>90,000</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115,000</w:t>
            </w:r>
          </w:p>
        </w:tc>
        <w:tc>
          <w:tcPr>
            <w:tcW w:w="12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6260" w:type="dxa"/>
            <w:vAlign w:val="bottom"/>
          </w:tcPr>
          <w:p>
            <w:pPr>
              <w:ind w:left="320"/>
              <w:spacing w:after="0"/>
              <w:rPr>
                <w:sz w:val="20"/>
                <w:szCs w:val="20"/>
                <w:color w:val="auto"/>
              </w:rPr>
            </w:pPr>
            <w:r>
              <w:rPr>
                <w:rFonts w:ascii="Arial" w:cs="Arial" w:eastAsia="Arial" w:hAnsi="Arial"/>
                <w:sz w:val="22"/>
                <w:szCs w:val="22"/>
                <w:color w:val="auto"/>
              </w:rPr>
              <w:t>Credit Facility amendment costs</w:t>
            </w:r>
          </w:p>
        </w:tc>
        <w:tc>
          <w:tcPr>
            <w:tcW w:w="12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907,722</w:t>
            </w:r>
          </w:p>
        </w:tc>
        <w:tc>
          <w:tcPr>
            <w:tcW w:w="80" w:type="dxa"/>
            <w:vAlign w:val="bottom"/>
          </w:tcPr>
          <w:p>
            <w:pPr>
              <w:spacing w:after="0"/>
              <w:rPr>
                <w:sz w:val="23"/>
                <w:szCs w:val="23"/>
                <w:color w:val="auto"/>
              </w:rPr>
            </w:pPr>
          </w:p>
        </w:tc>
      </w:tr>
      <w:tr>
        <w:trPr>
          <w:trHeight w:val="267"/>
        </w:trPr>
        <w:tc>
          <w:tcPr>
            <w:tcW w:w="6260" w:type="dxa"/>
            <w:vAlign w:val="bottom"/>
          </w:tcPr>
          <w:p>
            <w:pPr>
              <w:ind w:left="320"/>
              <w:spacing w:after="0"/>
              <w:rPr>
                <w:sz w:val="20"/>
                <w:szCs w:val="20"/>
                <w:color w:val="auto"/>
              </w:rPr>
            </w:pPr>
            <w:r>
              <w:rPr>
                <w:rFonts w:ascii="Arial" w:cs="Arial" w:eastAsia="Arial" w:hAnsi="Arial"/>
                <w:sz w:val="22"/>
                <w:szCs w:val="22"/>
                <w:b w:val="1"/>
                <w:bCs w:val="1"/>
                <w:color w:val="auto"/>
              </w:rPr>
              <w:t>Total expenses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5,192,180</w:t>
            </w:r>
          </w:p>
        </w:tc>
        <w:tc>
          <w:tcPr>
            <w:tcW w:w="12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4,081,588</w:t>
            </w:r>
          </w:p>
        </w:tc>
        <w:tc>
          <w:tcPr>
            <w:tcW w:w="12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11,001,751</w:t>
            </w:r>
          </w:p>
        </w:tc>
        <w:tc>
          <w:tcPr>
            <w:tcW w:w="120" w:type="dxa"/>
            <w:vAlign w:val="bottom"/>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7,752,110</w:t>
            </w:r>
          </w:p>
        </w:tc>
        <w:tc>
          <w:tcPr>
            <w:tcW w:w="80" w:type="dxa"/>
            <w:vAlign w:val="bottom"/>
          </w:tcPr>
          <w:p>
            <w:pPr>
              <w:spacing w:after="0"/>
              <w:rPr>
                <w:sz w:val="23"/>
                <w:szCs w:val="23"/>
                <w:color w:val="auto"/>
              </w:rPr>
            </w:pPr>
          </w:p>
        </w:tc>
      </w:tr>
      <w:tr>
        <w:trPr>
          <w:trHeight w:val="264"/>
        </w:trPr>
        <w:tc>
          <w:tcPr>
            <w:tcW w:w="6260" w:type="dxa"/>
            <w:vAlign w:val="bottom"/>
          </w:tcPr>
          <w:p>
            <w:pPr>
              <w:ind w:left="320"/>
              <w:spacing w:after="0"/>
              <w:rPr>
                <w:sz w:val="20"/>
                <w:szCs w:val="20"/>
                <w:color w:val="auto"/>
              </w:rPr>
            </w:pPr>
            <w:r>
              <w:rPr>
                <w:rFonts w:ascii="Arial" w:cs="Arial" w:eastAsia="Arial" w:hAnsi="Arial"/>
                <w:sz w:val="22"/>
                <w:szCs w:val="22"/>
                <w:b w:val="1"/>
                <w:bCs w:val="1"/>
                <w:color w:val="auto"/>
              </w:rPr>
              <w:t>Net investment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8,028,718</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7,264,717</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14,850,415</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12,350,675</w:t>
            </w:r>
          </w:p>
        </w:tc>
        <w:tc>
          <w:tcPr>
            <w:tcW w:w="80" w:type="dxa"/>
            <w:vAlign w:val="bottom"/>
          </w:tcPr>
          <w:p>
            <w:pPr>
              <w:spacing w:after="0"/>
              <w:rPr>
                <w:sz w:val="22"/>
                <w:szCs w:val="22"/>
                <w:color w:val="auto"/>
              </w:rPr>
            </w:pPr>
          </w:p>
        </w:tc>
      </w:tr>
      <w:tr>
        <w:trPr>
          <w:trHeight w:val="209"/>
        </w:trPr>
        <w:tc>
          <w:tcPr>
            <w:tcW w:w="6260" w:type="dxa"/>
            <w:vAlign w:val="bottom"/>
          </w:tcPr>
          <w:p>
            <w:pPr>
              <w:spacing w:after="0" w:line="209" w:lineRule="exact"/>
              <w:rPr>
                <w:sz w:val="20"/>
                <w:szCs w:val="20"/>
                <w:color w:val="auto"/>
              </w:rPr>
            </w:pPr>
            <w:r>
              <w:rPr>
                <w:rFonts w:ascii="Arial" w:cs="Arial" w:eastAsia="Arial" w:hAnsi="Arial"/>
                <w:sz w:val="22"/>
                <w:szCs w:val="22"/>
                <w:b w:val="1"/>
                <w:bCs w:val="1"/>
                <w:color w:val="auto"/>
                <w:w w:val="96"/>
              </w:rPr>
              <w:t>Realized and unrealized (loss) gain on investments and Credit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22"/>
                <w:szCs w:val="22"/>
                <w:b w:val="1"/>
                <w:bCs w:val="1"/>
                <w:color w:val="auto"/>
              </w:rPr>
              <w:t>Facility:</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4"/>
        </w:trPr>
        <w:tc>
          <w:tcPr>
            <w:tcW w:w="626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1,960,610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1,068,288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2,510,011</w:t>
            </w:r>
          </w:p>
        </w:tc>
        <w:tc>
          <w:tcPr>
            <w:tcW w:w="12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(2,163,720)</w:t>
            </w:r>
          </w:p>
        </w:tc>
      </w:tr>
    </w:tbl>
    <w:p>
      <w:pPr>
        <w:sectPr>
          <w:pgSz w:w="11900" w:h="16838" w:orient="portrait"/>
          <w:cols w:equalWidth="0" w:num="1">
            <w:col w:w="11200"/>
          </w:cols>
          <w:pgMar w:left="340" w:top="10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6260" w:type="dxa"/>
            <w:vAlign w:val="bottom"/>
          </w:tcPr>
          <w:p>
            <w:pPr>
              <w:spacing w:after="0"/>
              <w:rPr>
                <w:sz w:val="20"/>
                <w:szCs w:val="20"/>
                <w:color w:val="auto"/>
              </w:rPr>
            </w:pPr>
            <w:r>
              <w:rPr>
                <w:rFonts w:ascii="Arial" w:cs="Arial" w:eastAsia="Arial" w:hAnsi="Arial"/>
                <w:sz w:val="22"/>
                <w:szCs w:val="22"/>
                <w:color w:val="auto"/>
              </w:rPr>
              <w:t>Net change in unrealized depreciation on:</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260" w:type="dxa"/>
            <w:vAlign w:val="bottom"/>
          </w:tcPr>
          <w:p>
            <w:pPr>
              <w:ind w:left="32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(2,744,991)</w:t>
            </w:r>
          </w:p>
        </w:tc>
        <w:tc>
          <w:tcPr>
            <w:tcW w:w="14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(5,510,037)</w:t>
            </w:r>
          </w:p>
        </w:tc>
        <w:tc>
          <w:tcPr>
            <w:tcW w:w="14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(198,966)</w:t>
            </w:r>
          </w:p>
        </w:tc>
        <w:tc>
          <w:tcPr>
            <w:tcW w:w="16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w w:val="92"/>
              </w:rPr>
              <w:t>(6,218,983)</w:t>
            </w:r>
          </w:p>
        </w:tc>
      </w:tr>
      <w:tr>
        <w:trPr>
          <w:trHeight w:val="274"/>
        </w:trPr>
        <w:tc>
          <w:tcPr>
            <w:tcW w:w="6260" w:type="dxa"/>
            <w:vAlign w:val="bottom"/>
          </w:tcPr>
          <w:p>
            <w:pPr>
              <w:ind w:left="320"/>
              <w:spacing w:after="0"/>
              <w:rPr>
                <w:sz w:val="20"/>
                <w:szCs w:val="20"/>
                <w:color w:val="auto"/>
              </w:rPr>
            </w:pPr>
            <w:r>
              <w:rPr>
                <w:rFonts w:ascii="Arial" w:cs="Arial" w:eastAsia="Arial" w:hAnsi="Arial"/>
                <w:sz w:val="22"/>
                <w:szCs w:val="22"/>
                <w:color w:val="auto"/>
              </w:rPr>
              <w:t>Credit Facility depreciation (appreciation)</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38,808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(386,792)</w:t>
            </w:r>
          </w:p>
        </w:tc>
        <w:tc>
          <w:tcPr>
            <w:tcW w:w="14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(1,029,406)</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215,083</w:t>
            </w:r>
          </w:p>
        </w:tc>
        <w:tc>
          <w:tcPr>
            <w:tcW w:w="80" w:type="dxa"/>
            <w:vAlign w:val="bottom"/>
          </w:tcPr>
          <w:p>
            <w:pPr>
              <w:spacing w:after="0"/>
              <w:rPr>
                <w:sz w:val="23"/>
                <w:szCs w:val="23"/>
                <w:color w:val="auto"/>
              </w:rPr>
            </w:pPr>
          </w:p>
        </w:tc>
      </w:tr>
      <w:tr>
        <w:trPr>
          <w:trHeight w:val="213"/>
        </w:trPr>
        <w:tc>
          <w:tcPr>
            <w:tcW w:w="6260" w:type="dxa"/>
            <w:vAlign w:val="bottom"/>
          </w:tcPr>
          <w:p>
            <w:pPr>
              <w:ind w:left="320"/>
              <w:spacing w:after="0" w:line="212" w:lineRule="exact"/>
              <w:rPr>
                <w:sz w:val="20"/>
                <w:szCs w:val="20"/>
                <w:color w:val="auto"/>
              </w:rPr>
            </w:pPr>
            <w:r>
              <w:rPr>
                <w:rFonts w:ascii="Arial" w:cs="Arial" w:eastAsia="Arial" w:hAnsi="Arial"/>
                <w:sz w:val="22"/>
                <w:szCs w:val="22"/>
                <w:b w:val="1"/>
                <w:bCs w:val="1"/>
                <w:color w:val="auto"/>
                <w:w w:val="97"/>
              </w:rPr>
              <w:t>Net change in unrealized depreciation on investments and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6260" w:type="dxa"/>
            <w:vAlign w:val="bottom"/>
          </w:tcPr>
          <w:p>
            <w:pPr>
              <w:ind w:left="320"/>
              <w:spacing w:after="0"/>
              <w:rPr>
                <w:sz w:val="20"/>
                <w:szCs w:val="20"/>
                <w:color w:val="auto"/>
              </w:rPr>
            </w:pPr>
            <w:r>
              <w:rPr>
                <w:rFonts w:ascii="Arial" w:cs="Arial" w:eastAsia="Arial" w:hAnsi="Arial"/>
                <w:sz w:val="22"/>
                <w:szCs w:val="22"/>
                <w:b w:val="1"/>
                <w:bCs w:val="1"/>
                <w:color w:val="auto"/>
              </w:rPr>
              <w:t>Credit Facility</w:t>
            </w:r>
          </w:p>
        </w:tc>
        <w:tc>
          <w:tcPr>
            <w:tcW w:w="1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(2,706,183)</w:t>
            </w:r>
          </w:p>
        </w:tc>
        <w:tc>
          <w:tcPr>
            <w:tcW w:w="1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(5,896,829)</w:t>
            </w:r>
          </w:p>
        </w:tc>
        <w:tc>
          <w:tcPr>
            <w:tcW w:w="1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(1,228,372)</w:t>
            </w: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w w:val="92"/>
              </w:rPr>
              <w:t>(6,003,900)</w:t>
            </w:r>
          </w:p>
        </w:tc>
      </w:tr>
      <w:tr>
        <w:trPr>
          <w:trHeight w:val="213"/>
        </w:trPr>
        <w:tc>
          <w:tcPr>
            <w:tcW w:w="6260" w:type="dxa"/>
            <w:vAlign w:val="bottom"/>
          </w:tcPr>
          <w:p>
            <w:pPr>
              <w:spacing w:after="0" w:line="212" w:lineRule="exact"/>
              <w:rPr>
                <w:sz w:val="20"/>
                <w:szCs w:val="20"/>
                <w:color w:val="auto"/>
              </w:rPr>
            </w:pPr>
            <w:r>
              <w:rPr>
                <w:rFonts w:ascii="Arial" w:cs="Arial" w:eastAsia="Arial" w:hAnsi="Arial"/>
                <w:sz w:val="22"/>
                <w:szCs w:val="22"/>
                <w:b w:val="1"/>
                <w:bCs w:val="1"/>
                <w:color w:val="auto"/>
                <w:w w:val="88"/>
              </w:rPr>
              <w:t>Net realized and unrealized (loss) gain from investments and Credit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2"/>
        </w:trPr>
        <w:tc>
          <w:tcPr>
            <w:tcW w:w="6260" w:type="dxa"/>
            <w:vAlign w:val="bottom"/>
          </w:tcPr>
          <w:p>
            <w:pPr>
              <w:spacing w:after="0"/>
              <w:rPr>
                <w:sz w:val="20"/>
                <w:szCs w:val="20"/>
                <w:color w:val="auto"/>
              </w:rPr>
            </w:pPr>
            <w:r>
              <w:rPr>
                <w:rFonts w:ascii="Arial" w:cs="Arial" w:eastAsia="Arial" w:hAnsi="Arial"/>
                <w:sz w:val="22"/>
                <w:szCs w:val="22"/>
                <w:b w:val="1"/>
                <w:bCs w:val="1"/>
                <w:color w:val="auto"/>
              </w:rPr>
              <w:t>Facility</w:t>
            </w:r>
          </w:p>
        </w:tc>
        <w:tc>
          <w:tcPr>
            <w:tcW w:w="1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(745,573)</w:t>
            </w:r>
          </w:p>
        </w:tc>
        <w:tc>
          <w:tcPr>
            <w:tcW w:w="1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(4,828,541)</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98"/>
              </w:rPr>
              <w:t>1,281,639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w w:val="92"/>
              </w:rPr>
              <w:t>(8,167,620)</w:t>
            </w:r>
          </w:p>
        </w:tc>
      </w:tr>
      <w:tr>
        <w:trPr>
          <w:trHeight w:val="265"/>
        </w:trPr>
        <w:tc>
          <w:tcPr>
            <w:tcW w:w="626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7,283,145</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2,436,176</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16,132,054</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4,183,055</w:t>
            </w:r>
          </w:p>
        </w:tc>
        <w:tc>
          <w:tcPr>
            <w:tcW w:w="80" w:type="dxa"/>
            <w:vAlign w:val="bottom"/>
          </w:tcPr>
          <w:p>
            <w:pPr>
              <w:spacing w:after="0"/>
              <w:rPr>
                <w:sz w:val="23"/>
                <w:szCs w:val="23"/>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6260" w:type="dxa"/>
            <w:vAlign w:val="bottom"/>
          </w:tcPr>
          <w:p>
            <w:pPr>
              <w:spacing w:after="0"/>
              <w:rPr>
                <w:sz w:val="20"/>
                <w:szCs w:val="20"/>
                <w:color w:val="auto"/>
              </w:rPr>
            </w:pPr>
            <w:r>
              <w:rPr>
                <w:rFonts w:ascii="Arial" w:cs="Arial" w:eastAsia="Arial" w:hAnsi="Arial"/>
                <w:sz w:val="22"/>
                <w:szCs w:val="22"/>
                <w:color w:val="auto"/>
                <w:w w:val="90"/>
              </w:rPr>
              <w:t>Net increase in net assets resulting from operations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0.09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0.16</w:t>
            </w:r>
          </w:p>
        </w:tc>
        <w:tc>
          <w:tcPr>
            <w:tcW w:w="80" w:type="dxa"/>
            <w:vAlign w:val="bottom"/>
          </w:tcPr>
          <w:p>
            <w:pPr>
              <w:spacing w:after="0"/>
              <w:rPr>
                <w:sz w:val="22"/>
                <w:szCs w:val="22"/>
                <w:color w:val="auto"/>
              </w:rPr>
            </w:pP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626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0.46</w:t>
            </w:r>
          </w:p>
        </w:tc>
        <w:tc>
          <w:tcPr>
            <w:tcW w:w="80" w:type="dxa"/>
            <w:vAlign w:val="bottom"/>
          </w:tcPr>
          <w:p>
            <w:pPr>
              <w:spacing w:after="0"/>
              <w:rPr>
                <w:sz w:val="22"/>
                <w:szCs w:val="22"/>
                <w:color w:val="auto"/>
              </w:rPr>
            </w:pP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PennantPark Floating Rate Capital Ltd. is a business development company which primarily invests in U.S. middle-market companies in the form of floating rate loans, which may consist of senior secured debt, mezzanine debt, and, to a lesser extent, equity investments. PennantPark Floating Rate Capital Ltd. is managed by PennantPark Investment Advisers, LLC.</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2020-05-05T12:04:36Z</dcterms:created>
  <dcterms:modified xsi:type="dcterms:W3CDTF">2020-05-05T12:04:36Z</dcterms:modified>
</cp:coreProperties>
</file>