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2960"/>
        <w:spacing w:after="0"/>
        <w:rPr>
          <w:sz w:val="20"/>
          <w:szCs w:val="20"/>
          <w:color w:val="auto"/>
        </w:rPr>
      </w:pPr>
      <w:r>
        <w:rPr>
          <w:rFonts w:ascii="Arial" w:cs="Arial" w:eastAsia="Arial" w:hAnsi="Arial"/>
          <w:sz w:val="18"/>
          <w:szCs w:val="18"/>
          <w:b w:val="1"/>
          <w:bCs w:val="1"/>
          <w:color w:val="auto"/>
        </w:rPr>
        <w:t>As filed with the Securities and Exchange Commission on March 29, 2011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Registration No. 333-170243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Investment Company Registration No. 811-22489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Pre-Effective Amendment No. 3 </w:t>
      </w:r>
      <w:r>
        <w:rPr>
          <w:rFonts w:ascii="MS PGothic" w:cs="MS PGothic" w:eastAsia="MS PGothic" w:hAnsi="MS PGothic"/>
          <w:sz w:val="18"/>
          <w:szCs w:val="18"/>
          <w:color w:val="auto"/>
        </w:rPr>
        <w:t>☒</w:t>
      </w:r>
    </w:p>
    <w:p>
      <w:pPr>
        <w:spacing w:after="0" w:line="4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Post-Effective Amendment No. </w:t>
      </w:r>
      <w:r>
        <w:rPr>
          <w:rFonts w:ascii="MS PGothic" w:cs="MS PGothic" w:eastAsia="MS PGothic" w:hAnsi="MS PGothic"/>
          <w:sz w:val="18"/>
          <w:szCs w:val="18"/>
          <w:color w:val="auto"/>
        </w:rPr>
        <w:t>☐</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THE INVESTMENT COMPANY ACT OF 1940 </w:t>
      </w:r>
      <w:r>
        <w:rPr>
          <w:rFonts w:ascii="MS PGothic" w:cs="MS PGothic" w:eastAsia="MS PGothic" w:hAnsi="MS PGothic"/>
          <w:sz w:val="18"/>
          <w:szCs w:val="18"/>
          <w:color w:val="auto"/>
        </w:rPr>
        <w: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tbl>
      <w:tblPr>
        <w:tblLayout w:type="fixed"/>
        <w:tblInd w:w="190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6"/>
              </w:rPr>
              <w:t>590 Madison Avenue</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15th Floor</w:t>
            </w:r>
          </w:p>
        </w:tc>
      </w:tr>
      <w:tr>
        <w:trPr>
          <w:trHeight w:val="218"/>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New York, New York 10022</w:t>
            </w:r>
          </w:p>
        </w:tc>
      </w:tr>
      <w:tr>
        <w:trPr>
          <w:trHeight w:val="174"/>
        </w:trPr>
        <w:tc>
          <w:tcPr>
            <w:tcW w:w="2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4"/>
                <w:szCs w:val="14"/>
                <w:b w:val="1"/>
                <w:bCs w:val="1"/>
                <w:color w:val="auto"/>
                <w:w w:val="86"/>
              </w:rPr>
              <w:t>(Address of Principal Executive Offices)</w:t>
            </w:r>
          </w:p>
        </w:tc>
      </w:tr>
      <w:tr>
        <w:trPr>
          <w:trHeight w:val="352"/>
        </w:trPr>
        <w:tc>
          <w:tcPr>
            <w:tcW w:w="2020" w:type="dxa"/>
            <w:vAlign w:val="bottom"/>
          </w:tcPr>
          <w:p>
            <w:pPr>
              <w:spacing w:after="0"/>
              <w:rPr>
                <w:sz w:val="24"/>
                <w:szCs w:val="24"/>
                <w:color w:val="auto"/>
              </w:rPr>
            </w:pPr>
          </w:p>
        </w:tc>
        <w:tc>
          <w:tcPr>
            <w:tcW w:w="2980" w:type="dxa"/>
            <w:vAlign w:val="bottom"/>
            <w:gridSpan w:val="2"/>
          </w:tcPr>
          <w:p>
            <w:pPr>
              <w:jc w:val="center"/>
              <w:ind w:left="517"/>
              <w:spacing w:after="0"/>
              <w:rPr>
                <w:sz w:val="20"/>
                <w:szCs w:val="20"/>
                <w:color w:val="auto"/>
              </w:rPr>
            </w:pPr>
            <w:r>
              <w:rPr>
                <w:rFonts w:ascii="Arial" w:cs="Arial" w:eastAsia="Arial" w:hAnsi="Arial"/>
                <w:sz w:val="18"/>
                <w:szCs w:val="18"/>
                <w:b w:val="1"/>
                <w:bCs w:val="1"/>
                <w:color w:val="auto"/>
                <w:w w:val="89"/>
              </w:rPr>
              <w:t>(212) 905-1000</w:t>
            </w:r>
          </w:p>
        </w:tc>
        <w:tc>
          <w:tcPr>
            <w:tcW w:w="3480" w:type="dxa"/>
            <w:vAlign w:val="bottom"/>
          </w:tcPr>
          <w:p>
            <w:pPr>
              <w:spacing w:after="0"/>
              <w:rPr>
                <w:sz w:val="24"/>
                <w:szCs w:val="24"/>
                <w:color w:val="auto"/>
              </w:rPr>
            </w:pPr>
          </w:p>
        </w:tc>
      </w:tr>
      <w:tr>
        <w:trPr>
          <w:trHeight w:val="174"/>
        </w:trPr>
        <w:tc>
          <w:tcPr>
            <w:tcW w:w="2020" w:type="dxa"/>
            <w:vAlign w:val="bottom"/>
          </w:tcPr>
          <w:p>
            <w:pPr>
              <w:spacing w:after="0"/>
              <w:rPr>
                <w:sz w:val="15"/>
                <w:szCs w:val="15"/>
                <w:color w:val="auto"/>
              </w:rPr>
            </w:pPr>
          </w:p>
        </w:tc>
        <w:tc>
          <w:tcPr>
            <w:tcW w:w="6460" w:type="dxa"/>
            <w:vAlign w:val="bottom"/>
            <w:gridSpan w:val="3"/>
          </w:tcPr>
          <w:p>
            <w:pPr>
              <w:jc w:val="center"/>
              <w:ind w:right="2792"/>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r>
        <w:trPr>
          <w:trHeight w:val="351"/>
        </w:trPr>
        <w:tc>
          <w:tcPr>
            <w:tcW w:w="2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92"/>
              </w:rPr>
              <w:t>Arthur H. Penn</w:t>
            </w:r>
          </w:p>
        </w:tc>
      </w:tr>
      <w:tr>
        <w:trPr>
          <w:trHeight w:val="216"/>
        </w:trPr>
        <w:tc>
          <w:tcPr>
            <w:tcW w:w="2020" w:type="dxa"/>
            <w:vAlign w:val="bottom"/>
          </w:tcPr>
          <w:p>
            <w:pPr>
              <w:spacing w:after="0"/>
              <w:rPr>
                <w:sz w:val="18"/>
                <w:szCs w:val="18"/>
                <w:color w:val="auto"/>
              </w:rPr>
            </w:pPr>
          </w:p>
        </w:tc>
        <w:tc>
          <w:tcPr>
            <w:tcW w:w="6460" w:type="dxa"/>
            <w:vAlign w:val="bottom"/>
            <w:gridSpan w:val="3"/>
          </w:tcPr>
          <w:p>
            <w:pPr>
              <w:jc w:val="center"/>
              <w:ind w:right="2792"/>
              <w:spacing w:after="0"/>
              <w:rPr>
                <w:sz w:val="20"/>
                <w:szCs w:val="20"/>
                <w:color w:val="auto"/>
              </w:rPr>
            </w:pPr>
            <w:r>
              <w:rPr>
                <w:rFonts w:ascii="Arial" w:cs="Arial" w:eastAsia="Arial" w:hAnsi="Arial"/>
                <w:sz w:val="18"/>
                <w:szCs w:val="18"/>
                <w:b w:val="1"/>
                <w:bCs w:val="1"/>
                <w:color w:val="auto"/>
                <w:w w:val="90"/>
              </w:rPr>
              <w:t>PennantPark Floating Rate Capital Ltd.</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72"/>
              <w:spacing w:after="0"/>
              <w:rPr>
                <w:sz w:val="20"/>
                <w:szCs w:val="20"/>
                <w:color w:val="auto"/>
              </w:rPr>
            </w:pPr>
            <w:r>
              <w:rPr>
                <w:rFonts w:ascii="Arial" w:cs="Arial" w:eastAsia="Arial" w:hAnsi="Arial"/>
                <w:sz w:val="18"/>
                <w:szCs w:val="18"/>
                <w:b w:val="1"/>
                <w:bCs w:val="1"/>
                <w:color w:val="auto"/>
                <w:w w:val="87"/>
              </w:rPr>
              <w:t>590 Madison Avenue</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15th Floor</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New York, New York 10022</w:t>
            </w:r>
          </w:p>
        </w:tc>
      </w:tr>
      <w:tr>
        <w:trPr>
          <w:trHeight w:val="218"/>
        </w:trPr>
        <w:tc>
          <w:tcPr>
            <w:tcW w:w="2020" w:type="dxa"/>
            <w:vAlign w:val="bottom"/>
          </w:tcPr>
          <w:p>
            <w:pPr>
              <w:spacing w:after="0"/>
              <w:rPr>
                <w:sz w:val="18"/>
                <w:szCs w:val="18"/>
                <w:color w:val="auto"/>
              </w:rPr>
            </w:pPr>
          </w:p>
        </w:tc>
        <w:tc>
          <w:tcPr>
            <w:tcW w:w="2980" w:type="dxa"/>
            <w:vAlign w:val="bottom"/>
            <w:gridSpan w:val="2"/>
          </w:tcPr>
          <w:p>
            <w:pPr>
              <w:jc w:val="center"/>
              <w:ind w:left="517"/>
              <w:spacing w:after="0"/>
              <w:rPr>
                <w:sz w:val="20"/>
                <w:szCs w:val="20"/>
                <w:color w:val="auto"/>
              </w:rPr>
            </w:pPr>
            <w:r>
              <w:rPr>
                <w:rFonts w:ascii="Arial" w:cs="Arial" w:eastAsia="Arial" w:hAnsi="Arial"/>
                <w:sz w:val="18"/>
                <w:szCs w:val="18"/>
                <w:b w:val="1"/>
                <w:bCs w:val="1"/>
                <w:color w:val="auto"/>
                <w:w w:val="89"/>
              </w:rPr>
              <w:t>(212) 905-1000</w:t>
            </w:r>
          </w:p>
        </w:tc>
        <w:tc>
          <w:tcPr>
            <w:tcW w:w="3480" w:type="dxa"/>
            <w:vAlign w:val="bottom"/>
          </w:tcPr>
          <w:p>
            <w:pPr>
              <w:spacing w:after="0"/>
              <w:rPr>
                <w:sz w:val="18"/>
                <w:szCs w:val="18"/>
                <w:color w:val="auto"/>
              </w:rPr>
            </w:pPr>
          </w:p>
        </w:tc>
      </w:tr>
      <w:tr>
        <w:trPr>
          <w:trHeight w:val="174"/>
        </w:trPr>
        <w:tc>
          <w:tcPr>
            <w:tcW w:w="2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4"/>
                <w:szCs w:val="14"/>
                <w:b w:val="1"/>
                <w:bCs w:val="1"/>
                <w:color w:val="auto"/>
                <w:w w:val="86"/>
              </w:rPr>
              <w:t>(Name and address of Agent for Service)</w:t>
            </w:r>
          </w:p>
        </w:tc>
      </w:tr>
      <w:tr>
        <w:trPr>
          <w:trHeight w:val="163"/>
        </w:trPr>
        <w:tc>
          <w:tcPr>
            <w:tcW w:w="2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3480" w:type="dxa"/>
            <w:vAlign w:val="bottom"/>
          </w:tcPr>
          <w:p>
            <w:pPr>
              <w:spacing w:after="0"/>
              <w:rPr>
                <w:sz w:val="14"/>
                <w:szCs w:val="14"/>
                <w:color w:val="auto"/>
              </w:rPr>
            </w:pPr>
          </w:p>
        </w:tc>
      </w:tr>
      <w:tr>
        <w:trPr>
          <w:trHeight w:val="276"/>
        </w:trPr>
        <w:tc>
          <w:tcPr>
            <w:tcW w:w="2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60" w:type="dxa"/>
            <w:vAlign w:val="bottom"/>
            <w:gridSpan w:val="2"/>
          </w:tcPr>
          <w:p>
            <w:pPr>
              <w:jc w:val="center"/>
              <w:ind w:right="3372"/>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228"/>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Thomas J. Friedmann</w:t>
            </w:r>
          </w:p>
        </w:tc>
        <w:tc>
          <w:tcPr>
            <w:tcW w:w="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1"/>
              </w:rPr>
              <w:t>Stuart H. Gelfond</w:t>
            </w:r>
          </w:p>
        </w:tc>
      </w:tr>
      <w:tr>
        <w:trPr>
          <w:trHeight w:val="217"/>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93"/>
              </w:rPr>
              <w:t>David J. Harris</w:t>
            </w:r>
          </w:p>
        </w:tc>
        <w:tc>
          <w:tcPr>
            <w:tcW w:w="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0"/>
              </w:rPr>
              <w:t>Paul D. Tropp</w:t>
            </w:r>
          </w:p>
        </w:tc>
      </w:tr>
      <w:tr>
        <w:trPr>
          <w:trHeight w:val="228"/>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92"/>
              </w:rPr>
              <w:t>Dechert LLP</w:t>
            </w:r>
          </w:p>
        </w:tc>
        <w:tc>
          <w:tcPr>
            <w:tcW w:w="600" w:type="dxa"/>
            <w:vAlign w:val="bottom"/>
          </w:tcPr>
          <w:p>
            <w:pPr>
              <w:spacing w:after="0"/>
              <w:rPr>
                <w:sz w:val="19"/>
                <w:szCs w:val="19"/>
                <w:color w:val="auto"/>
              </w:rPr>
            </w:pPr>
          </w:p>
        </w:tc>
        <w:tc>
          <w:tcPr>
            <w:tcW w:w="5860" w:type="dxa"/>
            <w:vAlign w:val="bottom"/>
            <w:gridSpan w:val="2"/>
          </w:tcPr>
          <w:p>
            <w:pPr>
              <w:jc w:val="center"/>
              <w:ind w:left="2256"/>
              <w:spacing w:after="0"/>
              <w:rPr>
                <w:sz w:val="20"/>
                <w:szCs w:val="20"/>
                <w:color w:val="auto"/>
              </w:rPr>
            </w:pPr>
            <w:r>
              <w:rPr>
                <w:rFonts w:ascii="Arial" w:cs="Arial" w:eastAsia="Arial" w:hAnsi="Arial"/>
                <w:sz w:val="18"/>
                <w:szCs w:val="18"/>
                <w:b w:val="1"/>
                <w:bCs w:val="1"/>
                <w:color w:val="auto"/>
                <w:w w:val="91"/>
              </w:rPr>
              <w:t>Fried, Frank, Harris, Shriver &amp; Jacobson LLP</w:t>
            </w:r>
          </w:p>
        </w:tc>
      </w:tr>
      <w:tr>
        <w:trPr>
          <w:trHeight w:val="230"/>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90"/>
              </w:rPr>
              <w:t>1775 I Street, N.W.</w:t>
            </w:r>
          </w:p>
        </w:tc>
        <w:tc>
          <w:tcPr>
            <w:tcW w:w="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0"/>
              </w:rPr>
              <w:t>One New York Plaza</w:t>
            </w:r>
          </w:p>
        </w:tc>
      </w:tr>
      <w:tr>
        <w:trPr>
          <w:trHeight w:val="230"/>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Washington, D.C. 20006</w:t>
            </w:r>
          </w:p>
        </w:tc>
        <w:tc>
          <w:tcPr>
            <w:tcW w:w="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NY 10004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113030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As soon as practicable after the effective date of this Registration Statement.</w:t>
      </w:r>
    </w:p>
    <w:p>
      <w:pPr>
        <w:spacing w:after="0" w:line="177"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171" w:lineRule="exact"/>
        <w:rPr>
          <w:sz w:val="24"/>
          <w:szCs w:val="24"/>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366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6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1"/>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6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6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7"/>
              <w:spacing w:after="0" w:line="148" w:lineRule="exact"/>
              <w:rPr>
                <w:sz w:val="20"/>
                <w:szCs w:val="20"/>
                <w:color w:val="auto"/>
              </w:rPr>
            </w:pPr>
            <w:r>
              <w:rPr>
                <w:rFonts w:ascii="Arial" w:cs="Arial" w:eastAsia="Arial" w:hAnsi="Arial"/>
                <w:sz w:val="14"/>
                <w:szCs w:val="14"/>
                <w:b w:val="1"/>
                <w:bCs w:val="1"/>
                <w:color w:val="auto"/>
                <w:w w:val="82"/>
              </w:rPr>
              <w:t>Being</w:t>
            </w:r>
          </w:p>
        </w:tc>
        <w:tc>
          <w:tcPr>
            <w:tcW w:w="1600" w:type="dxa"/>
            <w:vAlign w:val="bottom"/>
            <w:tcBorders>
              <w:right w:val="single" w:sz="8" w:color="auto"/>
            </w:tcBorders>
          </w:tcPr>
          <w:p>
            <w:pPr>
              <w:jc w:val="center"/>
              <w:ind w:left="10"/>
              <w:spacing w:after="0" w:line="148"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1"/>
              <w:spacing w:after="0" w:line="148"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7"/>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Title of Securities Being Registered</w:t>
            </w:r>
          </w:p>
        </w:tc>
        <w:tc>
          <w:tcPr>
            <w:tcW w:w="184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0"/>
              </w:rPr>
              <w:t>per Unit</w:t>
            </w:r>
          </w:p>
        </w:tc>
        <w:tc>
          <w:tcPr>
            <w:tcW w:w="1600" w:type="dxa"/>
            <w:vAlign w:val="bottom"/>
            <w:tcBorders>
              <w:bottom w:val="single" w:sz="8" w:color="auto"/>
              <w:right w:val="single" w:sz="8" w:color="auto"/>
            </w:tcBorders>
          </w:tcPr>
          <w:p>
            <w:pPr>
              <w:jc w:val="center"/>
              <w:ind w:left="11"/>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560" w:type="dxa"/>
            <w:vAlign w:val="bottom"/>
            <w:tcBorders>
              <w:bottom w:val="single" w:sz="8" w:color="auto"/>
            </w:tcBorders>
          </w:tcPr>
          <w:p>
            <w:pPr>
              <w:jc w:val="center"/>
              <w:ind w:left="7"/>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(2)</w:t>
            </w:r>
          </w:p>
        </w:tc>
      </w:tr>
      <w:tr>
        <w:trPr>
          <w:trHeight w:val="210"/>
        </w:trPr>
        <w:tc>
          <w:tcPr>
            <w:tcW w:w="20" w:type="dxa"/>
            <w:vAlign w:val="bottom"/>
          </w:tcPr>
          <w:p>
            <w:pPr>
              <w:spacing w:after="0"/>
              <w:rPr>
                <w:sz w:val="18"/>
                <w:szCs w:val="18"/>
                <w:color w:val="auto"/>
              </w:rPr>
            </w:pPr>
          </w:p>
        </w:tc>
        <w:tc>
          <w:tcPr>
            <w:tcW w:w="48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Stock, ($0.001 par value per share)</w:t>
            </w:r>
          </w:p>
        </w:tc>
        <w:tc>
          <w:tcPr>
            <w:tcW w:w="184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5"/>
              </w:rPr>
              <w:t>11,500,000 shares</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$15.00</w:t>
            </w:r>
          </w:p>
        </w:tc>
        <w:tc>
          <w:tcPr>
            <w:tcW w:w="160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8"/>
                <w:szCs w:val="18"/>
                <w:color w:val="auto"/>
                <w:w w:val="87"/>
              </w:rPr>
              <w:t>$172,500,000</w:t>
            </w:r>
          </w:p>
        </w:tc>
        <w:tc>
          <w:tcPr>
            <w:tcW w:w="1560" w:type="dxa"/>
            <w:vAlign w:val="bottom"/>
            <w:tcBorders>
              <w:bottom w:val="single" w:sz="8" w:color="auto"/>
            </w:tcBorders>
          </w:tcPr>
          <w:p>
            <w:pPr>
              <w:jc w:val="center"/>
              <w:ind w:left="7"/>
              <w:spacing w:after="0"/>
              <w:rPr>
                <w:sz w:val="20"/>
                <w:szCs w:val="20"/>
                <w:color w:val="auto"/>
              </w:rPr>
            </w:pPr>
            <w:r>
              <w:rPr>
                <w:rFonts w:ascii="Arial" w:cs="Arial" w:eastAsia="Arial" w:hAnsi="Arial"/>
                <w:sz w:val="18"/>
                <w:szCs w:val="18"/>
                <w:color w:val="auto"/>
                <w:w w:val="86"/>
              </w:rPr>
              <w:t>$20,027</w:t>
            </w: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560" w:type="dxa"/>
            <w:vAlign w:val="bottom"/>
          </w:tcPr>
          <w:p>
            <w:pPr>
              <w:spacing w:after="0"/>
              <w:rPr>
                <w:sz w:val="8"/>
                <w:szCs w:val="8"/>
                <w:color w:val="auto"/>
              </w:rPr>
            </w:pPr>
          </w:p>
        </w:tc>
      </w:tr>
    </w:tbl>
    <w:p>
      <w:pPr>
        <w:spacing w:after="0" w:line="19"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457(o) under the Securities Act of 1933 solely for purpose of calculating the registration fee.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filing fee of $71 was previously paid in connection with the initial filing.</w:t>
      </w:r>
    </w:p>
    <w:p>
      <w:pPr>
        <w:spacing w:after="0" w:line="159" w:lineRule="exact"/>
        <w:rPr>
          <w:sz w:val="24"/>
          <w:szCs w:val="24"/>
          <w:color w:val="auto"/>
        </w:rPr>
      </w:pPr>
    </w:p>
    <w:p>
      <w:pPr>
        <w:jc w:val="both"/>
        <w:ind w:right="4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73"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Subject to Completion, dated March 29,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118110</wp:posOffset>
            </wp:positionV>
            <wp:extent cx="171513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51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10,000,000 Shares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PennantPark Floating Rate Capital Ltd. is a newly organized, externally managed, non-diversified, closed-end management investment company that intends to file an election to be treated as a business development company under the Investment Company Act of 1940, as amended, or the “1940 Act.” We were formed on October 28, 2010 as a Maryland corporation. We will be managed by PennantPark Investment Advisers, LLC, and PennantPark Investment Administration, LLC will provide the administrative services necessary for us to operate.</w:t>
      </w:r>
    </w:p>
    <w:p>
      <w:pPr>
        <w:spacing w:after="0" w:line="11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investment objective is to seek current income. We can offer no assurance that we will achieve our investment objective or be able to structure our investment portfolio as anticipated. We will seek to achieve our investment objective by investing primarily in floating rate loans made to private middle-market companies whose debt is rated below investment grade. We may also invest in thinly traded or small market-cap public middle-market U.S. companies.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Floating Rate Loans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forms of non-investment grade debt, Floating Rate Loans typically have more robust capital-preserving qualities, such as less credit risk, and have historically had lower default rates than junk bonds. Floating Rate Loans are typically the most senior source of capital in a borrower’s capital structure and often have certain of the borrower’s assets pledged as collateral. Floating Rate Loans feature rates that reset regularly, maintaining a fixed spread over the London InterBank Offered Rate (“LIBOR”) or the prime rates of large money-center banks. Floating Rate Loans typically have terms of three to ten years. Floating Rate Loans are typically made to U.S. and, to a limited extent, non-U.S. corporations, partnerships and other business entities which operate in various industries and geographical regions. Under normal market conditions, at least 80% of the value of our “Managed Assets,” which means our net assets plus any borrowings for investment purposes, will be invested in Floating Rate Loans.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prospectus is our initial public offering, for which we have applied for listing on the NASDAQ Global Select Market under the ticker symbol “PFLT”.</w:t>
      </w:r>
    </w:p>
    <w:p>
      <w:pPr>
        <w:spacing w:after="0" w:line="188" w:lineRule="exact"/>
        <w:rPr>
          <w:sz w:val="20"/>
          <w:szCs w:val="20"/>
          <w:color w:val="auto"/>
        </w:rPr>
      </w:pPr>
    </w:p>
    <w:p>
      <w:pPr>
        <w:jc w:val="both"/>
        <w:ind w:right="140" w:firstLine="456"/>
        <w:spacing w:after="0" w:line="258" w:lineRule="auto"/>
        <w:rPr>
          <w:sz w:val="20"/>
          <w:szCs w:val="20"/>
          <w:color w:val="auto"/>
        </w:rPr>
      </w:pPr>
      <w:r>
        <w:rPr>
          <w:rFonts w:ascii="Arial" w:cs="Arial" w:eastAsia="Arial" w:hAnsi="Arial"/>
          <w:sz w:val="18"/>
          <w:szCs w:val="18"/>
          <w:b w:val="1"/>
          <w:bCs w:val="1"/>
          <w:color w:val="auto"/>
        </w:rPr>
        <w:t>Shares of closed-end investment companies that are listed on an exchange, including business development companies, frequently trade at prices that reflect a discount from their net asset values. If you purchase shares in the initial public offering or otherwise and sell the shares on the NASDAQ Global Select Market or otherwise, you may receive an amount that is less than (1) the amount you paid for the shares and/or (2) the net asset value of the shares at the time of sale.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We are a newly formed entity and have no previous operating or trading history upon which you can evaluate our performance.</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contains important information you should know before investing in our securities. Please read it before you invest and keep it for future reference. We will file annual, quarterly and current reports, proxy statements and other information with the Securities and Exchange Commission, or “SEC.” This information is available free of charge by contacting us in writing at 590 Madison Avenue, New York, NY 10022 or by telephone at (212) 905-1000 or on our website at www.pennantpark.com. The information on our website is not incorporated by reference into this prospectus. The SEC also maintains a website at www.sec.gov that contains such information free of charge.</w:t>
      </w:r>
    </w:p>
    <w:p>
      <w:pPr>
        <w:spacing w:after="0" w:line="124" w:lineRule="exact"/>
        <w:rPr>
          <w:sz w:val="20"/>
          <w:szCs w:val="20"/>
          <w:color w:val="auto"/>
        </w:rPr>
      </w:pPr>
    </w:p>
    <w:p>
      <w:pPr>
        <w:jc w:val="both"/>
        <w:ind w:right="8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1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 of this prospectus.</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4"/>
                <w:szCs w:val="14"/>
                <w:b w:val="1"/>
                <w:bCs w:val="1"/>
                <w:color w:val="auto"/>
              </w:rPr>
              <w:t>Per</w:t>
            </w:r>
          </w:p>
        </w:tc>
        <w:tc>
          <w:tcPr>
            <w:tcW w:w="118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1"/>
        </w:trPr>
        <w:tc>
          <w:tcPr>
            <w:tcW w:w="5860" w:type="dxa"/>
            <w:vAlign w:val="bottom"/>
          </w:tcPr>
          <w:p>
            <w:pPr>
              <w:spacing w:after="0"/>
              <w:rPr>
                <w:sz w:val="14"/>
                <w:szCs w:val="14"/>
                <w:color w:val="auto"/>
              </w:rPr>
            </w:pPr>
          </w:p>
        </w:tc>
        <w:tc>
          <w:tcPr>
            <w:tcW w:w="720" w:type="dxa"/>
            <w:vAlign w:val="bottom"/>
            <w:gridSpan w:val="2"/>
          </w:tcPr>
          <w:p>
            <w:pPr>
              <w:ind w:left="380"/>
              <w:spacing w:after="0"/>
              <w:rPr>
                <w:sz w:val="20"/>
                <w:szCs w:val="20"/>
                <w:color w:val="auto"/>
              </w:rPr>
            </w:pPr>
            <w:r>
              <w:rPr>
                <w:rFonts w:ascii="Arial" w:cs="Arial" w:eastAsia="Arial" w:hAnsi="Arial"/>
                <w:sz w:val="14"/>
                <w:szCs w:val="14"/>
                <w:b w:val="1"/>
                <w:bCs w:val="1"/>
                <w:color w:val="auto"/>
                <w:w w:val="82"/>
              </w:rPr>
              <w:t>Share</w:t>
            </w: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Underwriting discounts and commissions (Sales load)(2)</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w w:val="93"/>
              </w:rPr>
              <w:t>Proceeds to PennantPark Floating Rate Capital Ltd., before estimated offering</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 to us(3)</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305"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have granted the underwriters an option to purchase up to 1,500,000 additional shares of common stock at the public offering price, less the sales load, within 30 days of the date of this prospectus solely to cover overallotments, if any. If such option is exercised in full, the total public offering price, sales</w:t>
      </w:r>
    </w:p>
    <w:p>
      <w:pPr>
        <w:ind w:left="460"/>
        <w:spacing w:after="0"/>
        <w:tabs>
          <w:tab w:leader="none" w:pos="5180" w:val="left"/>
          <w:tab w:leader="none" w:pos="5960" w:val="left"/>
          <w:tab w:leader="none" w:pos="6880" w:val="left"/>
        </w:tabs>
        <w:rPr>
          <w:sz w:val="20"/>
          <w:szCs w:val="20"/>
          <w:color w:val="auto"/>
        </w:rPr>
      </w:pPr>
      <w:r>
        <w:rPr>
          <w:rFonts w:ascii="Arial" w:cs="Arial" w:eastAsia="Arial" w:hAnsi="Arial"/>
          <w:sz w:val="18"/>
          <w:szCs w:val="18"/>
          <w:color w:val="auto"/>
        </w:rPr>
        <w:t>load, and proceeds, before offering expenses, to us will be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 respectively. See “Underwriting.”</w:t>
      </w:r>
    </w:p>
    <w:p>
      <w:pPr>
        <w:spacing w:after="0" w:line="9" w:lineRule="exact"/>
        <w:rPr>
          <w:sz w:val="20"/>
          <w:szCs w:val="20"/>
          <w:color w:val="auto"/>
        </w:rPr>
      </w:pPr>
    </w:p>
    <w:p>
      <w:pPr>
        <w:spacing w:after="0"/>
        <w:tabs>
          <w:tab w:leader="none" w:pos="440" w:val="left"/>
          <w:tab w:leader="none" w:pos="8880" w:val="left"/>
        </w:tabs>
        <w:rPr>
          <w:sz w:val="20"/>
          <w:szCs w:val="20"/>
          <w:color w:val="auto"/>
        </w:rPr>
      </w:pPr>
      <w:r>
        <w:rPr>
          <w:rFonts w:ascii="Arial" w:cs="Arial" w:eastAsia="Arial" w:hAnsi="Arial"/>
          <w:sz w:val="18"/>
          <w:szCs w:val="18"/>
          <w:color w:val="auto"/>
        </w:rPr>
        <w:t>(2)</w:t>
        <w:tab/>
        <w:t>PennantPark Investment Advisers LLC will pay to the underwriters an additional sales load of $3.0 million, or $</w:t>
      </w:r>
      <w:r>
        <w:rPr>
          <w:sz w:val="20"/>
          <w:szCs w:val="20"/>
          <w:color w:val="auto"/>
        </w:rPr>
        <w:tab/>
      </w:r>
      <w:r>
        <w:rPr>
          <w:rFonts w:ascii="Arial" w:cs="Arial" w:eastAsia="Arial" w:hAnsi="Arial"/>
          <w:sz w:val="15"/>
          <w:szCs w:val="15"/>
          <w:color w:val="auto"/>
        </w:rPr>
        <w:t>per share, for a total sales load of</w:t>
      </w:r>
    </w:p>
    <w:p>
      <w:pPr>
        <w:spacing w:after="0" w:line="9" w:lineRule="exact"/>
        <w:rPr>
          <w:sz w:val="20"/>
          <w:szCs w:val="20"/>
          <w:color w:val="auto"/>
        </w:rPr>
      </w:pPr>
    </w:p>
    <w:p>
      <w:pPr>
        <w:ind w:left="460" w:right="20"/>
        <w:spacing w:after="0" w:line="250" w:lineRule="auto"/>
        <w:rPr>
          <w:sz w:val="20"/>
          <w:szCs w:val="20"/>
          <w:color w:val="auto"/>
        </w:rPr>
      </w:pPr>
      <w:r>
        <w:rPr>
          <w:rFonts w:ascii="Arial" w:cs="Arial" w:eastAsia="Arial" w:hAnsi="Arial"/>
          <w:sz w:val="18"/>
          <w:szCs w:val="18"/>
          <w:color w:val="auto"/>
        </w:rPr>
        <w:t>$ per share. We (and indirectly our stockholders) will be obligated to repay this amount together with accrued interest (a) if during any four calendar quarter-period ending on or after the one year anniversary of the date of the closing of the offering, our Pre-Incentive Fee Net Investment Income equals or exceeds 1.75% (7.0% annualized) of our net assets at the beginning of such period (as adjusted for any issuances or repurchases of shares of our common stock) or (b) upon our liquidation.</w:t>
      </w:r>
    </w:p>
    <w:p>
      <w:pPr>
        <w:spacing w:after="0" w:line="1" w:lineRule="exact"/>
        <w:rPr>
          <w:sz w:val="20"/>
          <w:szCs w:val="20"/>
          <w:color w:val="auto"/>
        </w:rPr>
      </w:pPr>
    </w:p>
    <w:p>
      <w:pPr>
        <w:ind w:left="460" w:right="80" w:hanging="452"/>
        <w:spacing w:after="0" w:line="30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estimate that we will incur approximately $1,000,000 in offering expenses in connection with this offering. Stockholders will indirectly bear such expenses as investors in PennantPark Floating Rate Capital Ltd. The total underwriting discount paid by the Investment Adviser (subject to reimbursement as described in note (1) above) will be $3.0 million ($3.45 million if the over-allotment option is exercised in full).</w:t>
      </w:r>
    </w:p>
    <w:p>
      <w:pPr>
        <w:spacing w:after="0" w:line="10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Our shares of common stock do not represent a deposit or obligation of, and are not guaranteed or endorsed by, any bank or other insured depository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institution, and are not federally insured by the Federal Deposit Insurance Corporation, the Federal Reserve Board or any other government agency.</w:t>
      </w:r>
    </w:p>
    <w:p>
      <w:pPr>
        <w:spacing w:after="0" w:line="182"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5920" w:type="dxa"/>
            <w:vAlign w:val="bottom"/>
          </w:tcPr>
          <w:p>
            <w:pPr>
              <w:spacing w:after="0"/>
              <w:rPr>
                <w:sz w:val="20"/>
                <w:szCs w:val="20"/>
                <w:color w:val="auto"/>
              </w:rPr>
            </w:pPr>
            <w:r>
              <w:rPr>
                <w:rFonts w:ascii="Arial" w:cs="Arial" w:eastAsia="Arial" w:hAnsi="Arial"/>
                <w:sz w:val="18"/>
                <w:szCs w:val="18"/>
                <w:color w:val="auto"/>
                <w:w w:val="91"/>
              </w:rPr>
              <w:t>The underwriters expect to deliver the common shares to purchasers on or about</w:t>
            </w:r>
          </w:p>
        </w:tc>
        <w:tc>
          <w:tcPr>
            <w:tcW w:w="760" w:type="dxa"/>
            <w:vAlign w:val="bottom"/>
          </w:tcPr>
          <w:p>
            <w:pPr>
              <w:jc w:val="right"/>
              <w:spacing w:after="0"/>
              <w:rPr>
                <w:sz w:val="20"/>
                <w:szCs w:val="20"/>
                <w:color w:val="auto"/>
              </w:rPr>
            </w:pPr>
            <w:r>
              <w:rPr>
                <w:rFonts w:ascii="Arial" w:cs="Arial" w:eastAsia="Arial" w:hAnsi="Arial"/>
                <w:sz w:val="18"/>
                <w:szCs w:val="18"/>
                <w:color w:val="auto"/>
              </w:rPr>
              <w:t>, 2011.</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Morgan Stanley</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SunTrust Robinson Humphrey</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UBS Investment Bank</w:t>
      </w:r>
    </w:p>
    <w:p>
      <w:pPr>
        <w:spacing w:after="0" w:line="200" w:lineRule="exact"/>
        <w:rPr>
          <w:sz w:val="20"/>
          <w:szCs w:val="20"/>
          <w:color w:val="auto"/>
        </w:rPr>
      </w:pPr>
    </w:p>
    <w:p>
      <w:pPr>
        <w:sectPr>
          <w:pgSz w:w="11900" w:h="16838" w:orient="portrait"/>
          <w:cols w:equalWidth="0" w:num="3">
            <w:col w:w="3180" w:space="720"/>
            <w:col w:w="4500" w:space="720"/>
            <w:col w:w="2300"/>
          </w:cols>
          <w:pgMar w:left="240" w:top="459" w:right="239" w:bottom="1440" w:gutter="0" w:footer="0" w:header="0"/>
          <w:type w:val="continuous"/>
        </w:sectPr>
      </w:pPr>
    </w:p>
    <w:p>
      <w:pPr>
        <w:spacing w:after="0" w:line="34"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2011.</w:t>
      </w:r>
    </w:p>
    <w:p>
      <w:pPr>
        <w:sectPr>
          <w:pgSz w:w="11900" w:h="16838" w:orient="portrait"/>
          <w:cols w:equalWidth="0" w:num="2">
            <w:col w:w="6280" w:space="580"/>
            <w:col w:w="456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You should rely only on the information contained in this prospectus. We have not, and the underwriters have not, authorized any other person to provide you with different information or to make representations as to matters not stated in this prospectus.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 We will update these documents to reflect material changes only as required by law.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380"/>
        </w:trPr>
        <w:tc>
          <w:tcPr>
            <w:tcW w:w="8860" w:type="dxa"/>
            <w:vAlign w:val="bottom"/>
            <w:gridSpan w:val="2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FEES AND EXPENSES</w:t>
              </w:r>
            </w:hyperlink>
          </w:p>
        </w:tc>
        <w:tc>
          <w:tcPr>
            <w:tcW w:w="7100" w:type="dxa"/>
            <w:vAlign w:val="bottom"/>
            <w:gridSpan w:val="1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8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FORWARD-LOOKING STATEMENTS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8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6000" w:type="dxa"/>
            <w:vAlign w:val="bottom"/>
            <w:gridSpan w:val="1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5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CAPITALIZATION</w:t>
              </w:r>
            </w:hyperlink>
          </w:p>
        </w:tc>
        <w:tc>
          <w:tcPr>
            <w:tcW w:w="7320" w:type="dxa"/>
            <w:vAlign w:val="bottom"/>
            <w:gridSpan w:val="1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DILUTION</w:t>
              </w:r>
            </w:hyperlink>
          </w:p>
        </w:tc>
        <w:tc>
          <w:tcPr>
            <w:tcW w:w="520" w:type="dxa"/>
            <w:vAlign w:val="bottom"/>
            <w:tcBorders>
              <w:top w:val="single" w:sz="8" w:color="0000EE"/>
            </w:tcBorders>
            <w:gridSpan w:val="7"/>
          </w:tcPr>
          <w:p>
            <w:pPr>
              <w:spacing w:after="0"/>
              <w:rPr>
                <w:sz w:val="17"/>
                <w:szCs w:val="17"/>
                <w:color w:val="auto"/>
              </w:rPr>
            </w:pPr>
          </w:p>
        </w:tc>
        <w:tc>
          <w:tcPr>
            <w:tcW w:w="7440" w:type="dxa"/>
            <w:vAlign w:val="bottom"/>
            <w:gridSpan w:val="1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34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DISCUSSION OF MANAGEMENT’S EXPECTED OPERATING PLANS</w:t>
              </w:r>
            </w:hyperlink>
          </w:p>
        </w:tc>
        <w:tc>
          <w:tcPr>
            <w:tcW w:w="352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8860" w:type="dxa"/>
            <w:vAlign w:val="bottom"/>
            <w:gridSpan w:val="27"/>
          </w:tcPr>
          <w:p>
            <w:pPr>
              <w:spacing w:after="0" w:line="196" w:lineRule="exact"/>
              <w:rPr>
                <w:sz w:val="20"/>
                <w:szCs w:val="20"/>
                <w:color w:val="auto"/>
              </w:rPr>
            </w:pPr>
            <w:r>
              <w:rPr>
                <w:rFonts w:ascii="Arial" w:cs="Arial" w:eastAsia="Arial" w:hAnsi="Arial"/>
                <w:sz w:val="18"/>
                <w:szCs w:val="18"/>
                <w:color w:val="0000EE"/>
              </w:rPr>
              <w:t>OBLIGATIONS AND INDEBTEDNESS</w:t>
            </w: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DISTRIBUTIONS</w:t>
              </w:r>
            </w:hyperlink>
          </w:p>
        </w:tc>
        <w:tc>
          <w:tcPr>
            <w:tcW w:w="1600" w:type="dxa"/>
            <w:vAlign w:val="bottom"/>
            <w:tcBorders>
              <w:top w:val="single" w:sz="8" w:color="0000EE"/>
            </w:tcBorders>
            <w:gridSpan w:val="9"/>
          </w:tcPr>
          <w:p>
            <w:pPr>
              <w:spacing w:after="0"/>
              <w:rPr>
                <w:sz w:val="17"/>
                <w:szCs w:val="17"/>
                <w:color w:val="auto"/>
              </w:rPr>
            </w:pPr>
          </w:p>
        </w:tc>
        <w:tc>
          <w:tcPr>
            <w:tcW w:w="5920" w:type="dxa"/>
            <w:vAlign w:val="bottom"/>
            <w:gridSpan w:val="1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BUSINESS</w:t>
              </w:r>
            </w:hyperlink>
          </w:p>
        </w:tc>
        <w:tc>
          <w:tcPr>
            <w:tcW w:w="8020" w:type="dxa"/>
            <w:vAlign w:val="bottom"/>
            <w:gridSpan w:val="2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59">
              <w:r>
                <w:rPr>
                  <w:rFonts w:ascii="Arial" w:cs="Arial" w:eastAsia="Arial" w:hAnsi="Arial"/>
                  <w:sz w:val="18"/>
                  <w:szCs w:val="18"/>
                  <w:color w:val="0000EE"/>
                  <w:w w:val="97"/>
                </w:rPr>
                <w:t>MANAGEMENT</w:t>
              </w:r>
            </w:hyperlink>
          </w:p>
        </w:tc>
        <w:tc>
          <w:tcPr>
            <w:tcW w:w="7580" w:type="dxa"/>
            <w:vAlign w:val="bottom"/>
            <w:gridSpan w:val="2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44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CONTROL PERSONS AND PRINCIPAL STOCKHOLDERS</w:t>
              </w:r>
            </w:hyperlink>
          </w:p>
        </w:tc>
        <w:tc>
          <w:tcPr>
            <w:tcW w:w="4420" w:type="dxa"/>
            <w:vAlign w:val="bottom"/>
            <w:gridSpan w:val="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CERTAIN RELATIONSHIPS AND TRANSACTIONS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33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4"/>
              </w:rPr>
            </w:pPr>
            <w:hyperlink w:anchor="page75">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tcPr>
          <w:p>
            <w:pPr>
              <w:spacing w:after="0"/>
              <w:rPr>
                <w:sz w:val="17"/>
                <w:szCs w:val="17"/>
                <w:color w:val="auto"/>
              </w:rPr>
            </w:pPr>
          </w:p>
        </w:tc>
        <w:tc>
          <w:tcPr>
            <w:tcW w:w="494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27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78">
              <w:r>
                <w:rPr>
                  <w:rFonts w:ascii="Arial" w:cs="Arial" w:eastAsia="Arial" w:hAnsi="Arial"/>
                  <w:sz w:val="18"/>
                  <w:szCs w:val="18"/>
                  <w:color w:val="0000EE"/>
                  <w:w w:val="96"/>
                </w:rPr>
                <w:t>DIVIDEND REINVESTMENT PLAN</w:t>
              </w:r>
            </w:hyperlink>
          </w:p>
        </w:tc>
        <w:tc>
          <w:tcPr>
            <w:tcW w:w="6100" w:type="dxa"/>
            <w:vAlign w:val="bottom"/>
            <w:gridSpan w:val="1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32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DESCRIPTION OF OUR CAPITAL STOCK</w:t>
              </w:r>
            </w:hyperlink>
          </w:p>
        </w:tc>
        <w:tc>
          <w:tcPr>
            <w:tcW w:w="5640" w:type="dxa"/>
            <w:vAlign w:val="bottom"/>
            <w:gridSpan w:val="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85">
              <w:r>
                <w:rPr>
                  <w:rFonts w:ascii="Arial" w:cs="Arial" w:eastAsia="Arial" w:hAnsi="Arial"/>
                  <w:sz w:val="18"/>
                  <w:szCs w:val="18"/>
                  <w:color w:val="0000EE"/>
                  <w:w w:val="93"/>
                </w:rPr>
                <w:t>REGULATION</w:t>
              </w:r>
            </w:hyperlink>
          </w:p>
        </w:tc>
        <w:tc>
          <w:tcPr>
            <w:tcW w:w="7740" w:type="dxa"/>
            <w:vAlign w:val="bottom"/>
            <w:gridSpan w:val="2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438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BROKERAGE ALLOCATIONS AND OTHER PRACTICES</w:t>
              </w:r>
            </w:hyperlink>
          </w:p>
        </w:tc>
        <w:tc>
          <w:tcPr>
            <w:tcW w:w="448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476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90">
              <w:r>
                <w:rPr>
                  <w:rFonts w:ascii="Arial" w:cs="Arial" w:eastAsia="Arial" w:hAnsi="Arial"/>
                  <w:sz w:val="18"/>
                  <w:szCs w:val="18"/>
                  <w:color w:val="0000EE"/>
                  <w:w w:val="94"/>
                </w:rPr>
                <w:t>MATERIAL U.S. FEDERAL INCOME TAX CONSIDERATIONS</w:t>
              </w:r>
            </w:hyperlink>
          </w:p>
        </w:tc>
        <w:tc>
          <w:tcPr>
            <w:tcW w:w="410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UNDERWRITING</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20"/>
        </w:trPr>
        <w:tc>
          <w:tcPr>
            <w:tcW w:w="114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CUSTODIAN AND TRANSFER AGENT</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30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LEGAL OPINIONS</w:t>
              </w:r>
            </w:hyperlink>
          </w:p>
        </w:tc>
        <w:tc>
          <w:tcPr>
            <w:tcW w:w="5840" w:type="dxa"/>
            <w:vAlign w:val="bottom"/>
            <w:gridSpan w:val="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w:anchor="page99">
              <w:r>
                <w:rPr>
                  <w:rFonts w:ascii="Arial" w:cs="Arial" w:eastAsia="Arial" w:hAnsi="Arial"/>
                  <w:sz w:val="18"/>
                  <w:szCs w:val="18"/>
                  <w:color w:val="0000EE"/>
                  <w:w w:val="95"/>
                </w:rPr>
                <w:t>FISCAL YEAR</w:t>
              </w:r>
            </w:hyperlink>
          </w:p>
        </w:tc>
        <w:tc>
          <w:tcPr>
            <w:tcW w:w="300" w:type="dxa"/>
            <w:vAlign w:val="bottom"/>
            <w:tcBorders>
              <w:top w:val="single" w:sz="8" w:color="0000EE"/>
            </w:tcBorders>
            <w:gridSpan w:val="6"/>
          </w:tcPr>
          <w:p>
            <w:pPr>
              <w:spacing w:after="0"/>
              <w:rPr>
                <w:sz w:val="17"/>
                <w:szCs w:val="17"/>
                <w:color w:val="auto"/>
              </w:rPr>
            </w:pPr>
          </w:p>
        </w:tc>
        <w:tc>
          <w:tcPr>
            <w:tcW w:w="7420" w:type="dxa"/>
            <w:vAlign w:val="bottom"/>
            <w:gridSpan w:val="1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INDEPENDENT REGISTERED PUBLIC ACCOUNTING FIRM</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46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AVAILABLE INFORMATION</w:t>
              </w:r>
            </w:hyperlink>
          </w:p>
        </w:tc>
        <w:tc>
          <w:tcPr>
            <w:tcW w:w="418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2220" w:type="dxa"/>
            <w:vAlign w:val="bottom"/>
            <w:gridSpan w:val="13"/>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880" w:type="dxa"/>
            <w:vAlign w:val="bottom"/>
            <w:gridSpan w:val="1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5"/>
              </w:rPr>
              <w:t>INDEX TO FINANCIAL STATEMENTS</w:t>
            </w:r>
          </w:p>
        </w:tc>
        <w:tc>
          <w:tcPr>
            <w:tcW w:w="5880" w:type="dxa"/>
            <w:vAlign w:val="bottom"/>
            <w:gridSpan w:val="1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9977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9977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and relate to future events, future performance or future financial condition. The forward-looking statements involve risks and uncertainties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except where the context suggests otherwise, the terms “we,” “us,” “our” and “PennantPark Floating Rate Capital” refer to PennantPark Floating Rate Capital Ltd.; “PennantPark Investment Advisers” or the “Investment Adviser” refers to PennantPark Investment Advisers, LLC; “PennantPark Investment Administration” or the “Administrator” refers to PennantPark Investment Administration, LLC.</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left="200" w:right="100" w:firstLine="443"/>
        <w:spacing w:after="0" w:line="255" w:lineRule="auto"/>
        <w:rPr>
          <w:sz w:val="20"/>
          <w:szCs w:val="20"/>
          <w:color w:val="auto"/>
        </w:rPr>
      </w:pPr>
      <w:r>
        <w:rPr>
          <w:rFonts w:ascii="Arial" w:cs="Arial" w:eastAsia="Arial" w:hAnsi="Arial"/>
          <w:sz w:val="18"/>
          <w:szCs w:val="18"/>
          <w:color w:val="auto"/>
        </w:rPr>
        <w:t>PennantPark Floating Rate Capital Ltd. is a newly organized, externally managed, closed-end, non-diversified management investment company that intends to file an election to be treated as a business development company under the 1940 Act. We were formed on October 28, 2010 as a Maryland Corporation. In addition, for tax purposes we intend to elect to be treated, and intend to qualify annually, as a regulated investment company, or RIC, under Subchapter M of the Internal Revenue Code of 1986, as amended, which we refer to as the “Code,” commencing with our first taxable year ending after completion of this offering.</w:t>
      </w:r>
    </w:p>
    <w:p>
      <w:pPr>
        <w:spacing w:after="0" w:line="143" w:lineRule="exact"/>
        <w:rPr>
          <w:sz w:val="20"/>
          <w:szCs w:val="20"/>
          <w:color w:val="auto"/>
        </w:rPr>
      </w:pPr>
    </w:p>
    <w:p>
      <w:pPr>
        <w:jc w:val="both"/>
        <w:ind w:left="200" w:right="500" w:firstLine="443"/>
        <w:spacing w:after="0" w:line="259" w:lineRule="auto"/>
        <w:rPr>
          <w:sz w:val="20"/>
          <w:szCs w:val="20"/>
          <w:color w:val="auto"/>
        </w:rPr>
      </w:pPr>
      <w:r>
        <w:rPr>
          <w:rFonts w:ascii="Arial" w:cs="Arial" w:eastAsia="Arial" w:hAnsi="Arial"/>
          <w:sz w:val="18"/>
          <w:szCs w:val="18"/>
          <w:color w:val="auto"/>
        </w:rPr>
        <w:t>Our investment objective is to seek high current income. We can offer no assurance that we will achieve our investment objectives or be able to structure our investment portfolio as anticipated. We are managed by PennantPark Investment Advisers, and PennantPark Investment Administration provides the administrative services necessary for us to operate.</w:t>
      </w:r>
    </w:p>
    <w:p>
      <w:pPr>
        <w:spacing w:after="0" w:line="140" w:lineRule="exact"/>
        <w:rPr>
          <w:sz w:val="20"/>
          <w:szCs w:val="20"/>
          <w:color w:val="auto"/>
        </w:rPr>
      </w:pPr>
    </w:p>
    <w:p>
      <w:pPr>
        <w:ind w:left="200" w:right="60" w:firstLine="443"/>
        <w:spacing w:after="0" w:line="286" w:lineRule="auto"/>
        <w:rPr>
          <w:sz w:val="20"/>
          <w:szCs w:val="20"/>
          <w:color w:val="auto"/>
        </w:rPr>
      </w:pPr>
      <w:r>
        <w:rPr>
          <w:rFonts w:ascii="Arial" w:cs="Arial" w:eastAsia="Arial" w:hAnsi="Arial"/>
          <w:sz w:val="16"/>
          <w:szCs w:val="16"/>
          <w:color w:val="auto"/>
        </w:rPr>
        <w:t>We believe that Floating Rate Loans to middle-market companies offer attractive risk adjusted returns due to a limited amount of capital available for such companies and the potential for rising rates. In this prospectus, we use the term “middle-market” to refer to companies with annual revenues between $50 million and $1 billion. Floating Rate Loans will typically pay interest at rates which are determined periodically on the basis of a floating base lending rate such as LIBOR, plus a spread over it. We will seek to achieve our investment objectives by investing primarily in Floating Rate Loans and other instruments made to private middle-market companies whose debt is rated below investment grade. We may also invest in thinly traded or small market-cap public middle-market U.S. companies. Under normal market conditions, we expect that at least 80% of the value of our Managed Assets will be invested in Floating Rate Loans. We expect that senior secured loans will represent at least 65% of our overall portfolio. We expect to invest up to 35% of our overall portfolio opportunistically in other types of investments, including second-lien, high yield, mezzanine and distressed debt securities and equity investments. In focusing on Floating Rate Loans, our primary investment focus differs from that of PennantPark Investment Corporation, a business development company for which the Investment Adviser also acts as investment adviser, although there may be overlap in terms of our targeted investments and those of such other entity. Floating Rate Loans are typically made to U.S. and, to a limited extent, non-U.S. corporations, partnerships and other business entities which operate in various industries and geographical regions. Companies may obtain Floating Rate Loans to refinance existing debt and for acquisitions, dividends and leveraged buyouts as well as for general corporate purposes.</w:t>
      </w:r>
    </w:p>
    <w:p>
      <w:pPr>
        <w:spacing w:after="0" w:line="121" w:lineRule="exact"/>
        <w:rPr>
          <w:sz w:val="20"/>
          <w:szCs w:val="20"/>
          <w:color w:val="auto"/>
        </w:rPr>
      </w:pPr>
    </w:p>
    <w:p>
      <w:pPr>
        <w:ind w:left="200" w:right="40" w:firstLine="443"/>
        <w:spacing w:after="0" w:line="253" w:lineRule="auto"/>
        <w:rPr>
          <w:sz w:val="20"/>
          <w:szCs w:val="20"/>
          <w:color w:val="auto"/>
        </w:rPr>
      </w:pPr>
      <w:r>
        <w:rPr>
          <w:rFonts w:ascii="Arial" w:cs="Arial" w:eastAsia="Arial" w:hAnsi="Arial"/>
          <w:sz w:val="18"/>
          <w:szCs w:val="18"/>
          <w:color w:val="auto"/>
        </w:rPr>
        <w:t>We intend to use borrowings under a senior secured revolving credit facility to invest in portfolio companies. The use of borrowings to make investments is considered a speculative investment practice and increases the risk of your investment in us. We have received a commitment to arrange a senior secured revolving credit facility for a wholly owned special purpose entity that we will establish, or the “Credit Facility,” by SunTrust Robinson Humphrey, Inc. (“STRH”) which is expected to be provided by SunTrust Bank, an affiliate of STRH, and to become effective shortly after this offering is completed. The Credit Facility is expected to initially provide for borrowings up to $200 million and is expected to expire in 2016. The Credit Facility is expected to include an accordion feature whereby we will be allowed to increase the amount of the Credit Facility up to $600.0 million. The annual base lending rate for borrowings under the Credit Facility is expected to be LIBOR plus (1) 2.25% while the Credit Facility is in its revolving period and (2) 4.25 % thereafter.</w:t>
      </w:r>
    </w:p>
    <w:p>
      <w:pPr>
        <w:sectPr>
          <w:pgSz w:w="11900" w:h="16838" w:orient="portrait"/>
          <w:cols w:equalWidth="0" w:num="1">
            <w:col w:w="11220"/>
          </w:cols>
          <w:pgMar w:left="240" w:top="459" w:right="439" w:bottom="1440" w:gutter="0" w:footer="0" w:header="0"/>
        </w:sectPr>
      </w:pPr>
    </w:p>
    <w:bookmarkStart w:id="5" w:name="page6"/>
    <w:bookmarkEnd w:id="5"/>
    <w:p>
      <w:pPr>
        <w:ind w:firstLine="443"/>
        <w:spacing w:after="0" w:line="254" w:lineRule="auto"/>
        <w:rPr>
          <w:sz w:val="20"/>
          <w:szCs w:val="20"/>
          <w:color w:val="auto"/>
        </w:rPr>
      </w:pPr>
      <w:r>
        <w:rPr>
          <w:rFonts w:ascii="Arial" w:cs="Arial" w:eastAsia="Arial" w:hAnsi="Arial"/>
          <w:sz w:val="18"/>
          <w:szCs w:val="18"/>
          <w:color w:val="auto"/>
        </w:rPr>
        <w:t>In seeking to achieve our investment objective, the Investment Adviser intends to construct and actively manage a portfolio of Floating Rate Loans and other investments utilizing the strategies discussed below. The Investment Adviser will seek to utilize a disciplined approach to its credit analysis and investment selection process. The criteria used by the Investment Adviser in credit selection may include an evaluation of whether a Floating Rate Loan is adequately collateralized or over-collateralized and whether it is covered by sufficient earnings and cash flow to service a portfolio company’s indebtedness on a timely basis. The Investment Adviser expects to gain exposure to portfolio companies across a broad range of industries and of varying characteristics and return profiles.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-828675</wp:posOffset>
            </wp:positionV>
            <wp:extent cx="7276465" cy="2411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2411730"/>
                    </a:xfrm>
                    <a:prstGeom prst="rect">
                      <a:avLst/>
                    </a:prstGeom>
                    <a:noFill/>
                  </pic:spPr>
                </pic:pic>
              </a:graphicData>
            </a:graphic>
          </wp:anchor>
        </w:drawing>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When identifying prospective investment opportunities, the Investment Adviser currently intends to focus primarily on the following attributes:</w:t>
      </w:r>
    </w:p>
    <w:p>
      <w:pPr>
        <w:spacing w:after="0" w:line="113" w:lineRule="exact"/>
        <w:rPr>
          <w:sz w:val="20"/>
          <w:szCs w:val="20"/>
          <w:color w:val="auto"/>
        </w:rPr>
      </w:pPr>
    </w:p>
    <w:p>
      <w:pPr>
        <w:ind w:left="1420" w:right="40" w:hanging="437"/>
        <w:spacing w:after="0" w:line="298" w:lineRule="auto"/>
        <w:tabs>
          <w:tab w:leader="none" w:pos="14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Leading, defensible market positions</w:t>
      </w:r>
      <w:r>
        <w:rPr>
          <w:rFonts w:ascii="Arial" w:cs="Arial" w:eastAsia="Arial" w:hAnsi="Arial"/>
          <w:sz w:val="16"/>
          <w:szCs w:val="16"/>
          <w:color w:val="auto"/>
        </w:rPr>
        <w:t>. The Investment Adviser intends to invest in portfolio companies that it believes have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31" w:lineRule="exact"/>
        <w:rPr>
          <w:rFonts w:ascii="Arial" w:cs="Arial" w:eastAsia="Arial" w:hAnsi="Arial"/>
          <w:sz w:val="16"/>
          <w:szCs w:val="16"/>
          <w:color w:val="auto"/>
        </w:rPr>
      </w:pPr>
    </w:p>
    <w:p>
      <w:pPr>
        <w:ind w:left="1420" w:right="280" w:hanging="437"/>
        <w:spacing w:after="0" w:line="255"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Investing in stable portfolio companies with positive cash flow</w:t>
      </w:r>
      <w:r>
        <w:rPr>
          <w:rFonts w:ascii="Arial" w:cs="Arial" w:eastAsia="Arial" w:hAnsi="Arial"/>
          <w:sz w:val="18"/>
          <w:szCs w:val="18"/>
          <w:color w:val="auto"/>
        </w:rPr>
        <w:t>. The Investment Adviser intends to invest in portfolio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believed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w:t>
      </w:r>
    </w:p>
    <w:p>
      <w:pPr>
        <w:sectPr>
          <w:pgSz w:w="11900" w:h="16838" w:orient="portrait"/>
          <w:cols w:equalWidth="0" w:num="1">
            <w:col w:w="10940"/>
          </w:cols>
          <w:pgMar w:left="440" w:top="131"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9977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99771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companies, companies in turnaround situations or companies with speculative business plans, although we are permitted to do so.</w:t>
      </w:r>
    </w:p>
    <w:p>
      <w:pPr>
        <w:spacing w:after="0" w:line="113" w:lineRule="exact"/>
        <w:rPr>
          <w:sz w:val="20"/>
          <w:szCs w:val="20"/>
          <w:color w:val="auto"/>
        </w:rPr>
      </w:pPr>
    </w:p>
    <w:p>
      <w:pPr>
        <w:ind w:left="1620" w:hanging="437"/>
        <w:spacing w:after="0" w:line="259"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Proven management teams</w:t>
      </w:r>
      <w:r>
        <w:rPr>
          <w:rFonts w:ascii="Arial" w:cs="Arial" w:eastAsia="Arial" w:hAnsi="Arial"/>
          <w:sz w:val="18"/>
          <w:szCs w:val="18"/>
          <w:color w:val="auto"/>
        </w:rPr>
        <w:t>. The Investment Adviser intends to focus on investments in which the portfolio company has an experienced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with an established track record of success. The Investment Adviser typically will require that portfolio companies have in place proper incentives to align management’s goals with our goals.</w:t>
      </w:r>
    </w:p>
    <w:p>
      <w:pPr>
        <w:spacing w:after="0" w:line="59" w:lineRule="exact"/>
        <w:rPr>
          <w:rFonts w:ascii="Arial" w:cs="Arial" w:eastAsia="Arial" w:hAnsi="Arial"/>
          <w:sz w:val="18"/>
          <w:szCs w:val="18"/>
          <w:color w:val="auto"/>
        </w:rPr>
      </w:pPr>
    </w:p>
    <w:p>
      <w:pPr>
        <w:ind w:left="1620" w:right="100" w:hanging="437"/>
        <w:spacing w:after="0" w:line="294" w:lineRule="auto"/>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Private equity sponsorship</w:t>
      </w:r>
      <w:r>
        <w:rPr>
          <w:rFonts w:ascii="Arial" w:cs="Arial" w:eastAsia="Arial" w:hAnsi="Arial"/>
          <w:sz w:val="16"/>
          <w:szCs w:val="16"/>
          <w:color w:val="auto"/>
        </w:rPr>
        <w:t>. The Investment Adviser may seek to cause us to participate in transactions sponsored by what it believes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high-quality private equity firms. The Investment Adviser believes that a private equity sponsor’s willingness to invest significant equity capital in a company is an implicit endorsement of the quality of that company. Further, private equity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34" w:lineRule="exact"/>
        <w:rPr>
          <w:rFonts w:ascii="Arial" w:cs="Arial" w:eastAsia="Arial" w:hAnsi="Arial"/>
          <w:sz w:val="16"/>
          <w:szCs w:val="16"/>
          <w:color w:val="auto"/>
        </w:rPr>
      </w:pPr>
    </w:p>
    <w:p>
      <w:pPr>
        <w:jc w:val="both"/>
        <w:ind w:left="1620" w:right="380" w:hanging="437"/>
        <w:spacing w:after="0" w:line="306" w:lineRule="auto"/>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Investments in different portfolio companies and industries</w:t>
      </w:r>
      <w:r>
        <w:rPr>
          <w:rFonts w:ascii="Arial" w:cs="Arial" w:eastAsia="Arial" w:hAnsi="Arial"/>
          <w:sz w:val="16"/>
          <w:szCs w:val="16"/>
          <w:color w:val="auto"/>
        </w:rPr>
        <w:t>. The Investment Adviser will seek to invest our assets broadly among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companies and across industries. The Investment Adviser believes that this diversified approach may reduce the risk that a downturn in any one company or industry will have a disproportionate impact on the value of our portfolio.</w:t>
      </w:r>
    </w:p>
    <w:p>
      <w:pPr>
        <w:spacing w:after="0" w:line="107"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The Investment Adviser intends to monitor credit risk of each portfolio company regularly and periodically with a goal toward identifying early, and selling, Floating Rate Loans and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left="200" w:right="260" w:firstLine="443"/>
        <w:spacing w:after="0" w:line="259" w:lineRule="auto"/>
        <w:rPr>
          <w:sz w:val="20"/>
          <w:szCs w:val="20"/>
          <w:color w:val="auto"/>
        </w:rPr>
      </w:pPr>
      <w:r>
        <w:rPr>
          <w:rFonts w:ascii="Arial" w:cs="Arial" w:eastAsia="Arial" w:hAnsi="Arial"/>
          <w:sz w:val="18"/>
          <w:szCs w:val="18"/>
          <w:color w:val="auto"/>
        </w:rPr>
        <w:t>Under normal market conditions, we expect that at least 80% of our Managed Assets will be invested in Floating Rate Loans. This policy is not fundamental and may be changed by our board of directors with at least 60 days’ prior written notice provided to stockholders to the extent such a change would not affect our ability to maintain our election as a business development company.</w:t>
      </w:r>
    </w:p>
    <w:p>
      <w:pPr>
        <w:spacing w:after="0" w:line="140" w:lineRule="exact"/>
        <w:rPr>
          <w:sz w:val="20"/>
          <w:szCs w:val="20"/>
          <w:color w:val="auto"/>
        </w:rPr>
      </w:pPr>
    </w:p>
    <w:p>
      <w:pPr>
        <w:ind w:left="200" w:right="20" w:firstLine="443"/>
        <w:spacing w:after="0" w:line="288" w:lineRule="auto"/>
        <w:rPr>
          <w:sz w:val="20"/>
          <w:szCs w:val="20"/>
          <w:color w:val="auto"/>
        </w:rPr>
      </w:pPr>
      <w:r>
        <w:rPr>
          <w:rFonts w:ascii="Arial" w:cs="Arial" w:eastAsia="Arial" w:hAnsi="Arial"/>
          <w:sz w:val="16"/>
          <w:szCs w:val="16"/>
          <w:color w:val="auto"/>
        </w:rPr>
        <w:t>The Investment Adviser will seek to achieve our investment objective through a disciplined approach to the selection of credit investments and its evaluation of portfolio companies. The Investment Adviser also expects to gain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ectPr>
          <w:pgSz w:w="11900" w:h="16838" w:orient="portrait"/>
          <w:cols w:equalWidth="0" w:num="1">
            <w:col w:w="11260"/>
          </w:cols>
          <w:pgMar w:left="240" w:top="459"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-121920</wp:posOffset>
            </wp:positionV>
            <wp:extent cx="7276465" cy="1631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1631315"/>
                    </a:xfrm>
                    <a:prstGeom prst="rect">
                      <a:avLst/>
                    </a:prstGeom>
                    <a:noFill/>
                  </pic:spPr>
                </pic:pic>
              </a:graphicData>
            </a:graphic>
          </wp:anchor>
        </w:drawing>
      </w:r>
    </w:p>
    <w:p>
      <w:pPr>
        <w:spacing w:after="0" w:line="76" w:lineRule="exact"/>
        <w:rPr>
          <w:sz w:val="20"/>
          <w:szCs w:val="20"/>
          <w:color w:val="auto"/>
        </w:rPr>
      </w:pPr>
    </w:p>
    <w:p>
      <w:pPr>
        <w:ind w:firstLine="443"/>
        <w:spacing w:after="0" w:line="312" w:lineRule="auto"/>
        <w:rPr>
          <w:sz w:val="20"/>
          <w:szCs w:val="20"/>
          <w:color w:val="auto"/>
        </w:rPr>
      </w:pPr>
      <w:r>
        <w:rPr>
          <w:rFonts w:ascii="Arial" w:cs="Arial" w:eastAsia="Arial" w:hAnsi="Arial"/>
          <w:sz w:val="15"/>
          <w:szCs w:val="15"/>
          <w:color w:val="auto"/>
        </w:rPr>
        <w:t>We will seek to utilize the investing experience and contacts of the Investment Adviser to develop what we believe will be an attractive and diversified portfolio. The senior investment professionals of the Investment Adviser have worked together for many years, and average over 20 years of experience in mezzanine lending, leveraged finance, distressed debt and private equity businesses. In addition, the Investment Adviser’s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will provide us with access to substantial investment opportunities across the capital markets. The Investment Adviser has a rigorous investment approach, which is based upon intensive financial analysis with a focus on capital preservation, diversification and active management.</w:t>
      </w:r>
    </w:p>
    <w:p>
      <w:pPr>
        <w:spacing w:after="0" w:line="105" w:lineRule="exact"/>
        <w:rPr>
          <w:sz w:val="20"/>
          <w:szCs w:val="20"/>
          <w:color w:val="auto"/>
        </w:rPr>
      </w:pPr>
    </w:p>
    <w:p>
      <w:pPr>
        <w:ind w:right="200" w:firstLine="443"/>
        <w:spacing w:after="0" w:line="268" w:lineRule="auto"/>
        <w:rPr>
          <w:sz w:val="20"/>
          <w:szCs w:val="20"/>
          <w:color w:val="auto"/>
        </w:rPr>
      </w:pPr>
      <w:r>
        <w:rPr>
          <w:rFonts w:ascii="Arial" w:cs="Arial" w:eastAsia="Arial" w:hAnsi="Arial"/>
          <w:sz w:val="18"/>
          <w:szCs w:val="18"/>
          <w:color w:val="auto"/>
        </w:rPr>
        <w:t>The Administrator has experienced professionals with substantial backgrounds in finance and administration of registered investment companies. In addition to furnishing us with clerical, bookkeeping and record keeping services, the Administrator also</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440" w:top="125"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5939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75939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spacing w:after="0" w:line="298" w:lineRule="auto"/>
        <w:rPr>
          <w:sz w:val="20"/>
          <w:szCs w:val="20"/>
          <w:color w:val="auto"/>
        </w:rPr>
      </w:pPr>
      <w:r>
        <w:rPr>
          <w:rFonts w:ascii="Arial" w:cs="Arial" w:eastAsia="Arial" w:hAnsi="Arial"/>
          <w:sz w:val="16"/>
          <w:szCs w:val="16"/>
          <w:color w:val="auto"/>
        </w:rPr>
        <w:t>oversees our financial records as well as the preparation of our reports to stockholders and reports filed with the SEC. The Administrator oversees the determination and publication of our net asset value, oversees the preparation and filing of our tax returns, and monitors the payment of our expenses as well as the performance of administrative and professional services rendered to us by others. Furthermore, the Administrator will provide, on our behalf, managerial assistance to those portfolio companies to which we provide assistance. See “Risk Factors—Risks Relating to our Business and Structure.”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540" w:firstLine="443"/>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Floating Rate Capital.</w:t>
      </w:r>
    </w:p>
    <w:p>
      <w:pPr>
        <w:spacing w:after="0" w:line="126" w:lineRule="exact"/>
        <w:rPr>
          <w:sz w:val="20"/>
          <w:szCs w:val="20"/>
          <w:color w:val="auto"/>
        </w:rPr>
      </w:pPr>
    </w:p>
    <w:p>
      <w:pPr>
        <w:ind w:left="640" w:right="160"/>
        <w:spacing w:after="0" w:line="258" w:lineRule="auto"/>
        <w:rPr>
          <w:sz w:val="20"/>
          <w:szCs w:val="20"/>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formerly were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bonds.</w:t>
      </w:r>
    </w:p>
    <w:p>
      <w:pPr>
        <w:spacing w:after="0" w:line="136" w:lineRule="exact"/>
        <w:rPr>
          <w:sz w:val="20"/>
          <w:szCs w:val="20"/>
          <w:color w:val="auto"/>
        </w:rPr>
      </w:pPr>
    </w:p>
    <w:p>
      <w:pPr>
        <w:ind w:left="640" w:right="20"/>
        <w:spacing w:after="0" w:line="339" w:lineRule="auto"/>
        <w:rPr>
          <w:sz w:val="20"/>
          <w:szCs w:val="20"/>
          <w:color w:val="auto"/>
        </w:rPr>
      </w:pPr>
      <w:r>
        <w:rPr>
          <w:rFonts w:ascii="Arial" w:cs="Arial" w:eastAsia="Arial" w:hAnsi="Arial"/>
          <w:sz w:val="16"/>
          <w:szCs w:val="16"/>
          <w:b w:val="1"/>
          <w:bCs w:val="1"/>
          <w:color w:val="auto"/>
        </w:rPr>
        <w:t xml:space="preserve">We believe middle-market companies have faced difficulty raising debt in private markets. </w:t>
      </w:r>
      <w:r>
        <w:rPr>
          <w:rFonts w:ascii="Arial" w:cs="Arial" w:eastAsia="Arial" w:hAnsi="Arial"/>
          <w:sz w:val="16"/>
          <w:szCs w:val="16"/>
          <w:color w:val="auto"/>
        </w:rPr>
        <w:t>Banks, finance companies, hedge funds and</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collateralized loan obligation (“CLO”) funds have withdrawn capital from the middle-market resulting in opportunities for alternative funding sources.</w:t>
      </w:r>
    </w:p>
    <w:p>
      <w:pPr>
        <w:spacing w:after="0" w:line="74" w:lineRule="exact"/>
        <w:rPr>
          <w:sz w:val="20"/>
          <w:szCs w:val="20"/>
          <w:color w:val="auto"/>
        </w:rPr>
      </w:pPr>
    </w:p>
    <w:p>
      <w:pPr>
        <w:ind w:left="640" w:right="80"/>
        <w:spacing w:after="0" w:line="310" w:lineRule="auto"/>
        <w:rPr>
          <w:sz w:val="20"/>
          <w:szCs w:val="20"/>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w:t>
      </w:r>
      <w:r>
        <w:rPr>
          <w:rFonts w:ascii="Arial" w:cs="Arial" w:eastAsia="Arial" w:hAnsi="Arial"/>
          <w:sz w:val="16"/>
          <w:szCs w:val="16"/>
          <w:b w:val="1"/>
          <w:bCs w:val="1"/>
          <w:color w:val="auto"/>
        </w:rPr>
        <w:t xml:space="preserve"> </w:t>
      </w:r>
      <w:r>
        <w:rPr>
          <w:rFonts w:ascii="Arial" w:cs="Arial" w:eastAsia="Arial" w:hAnsi="Arial"/>
          <w:sz w:val="16"/>
          <w:szCs w:val="16"/>
          <w:color w:val="auto"/>
        </w:rPr>
        <w:t>the current credit environment, market participants have reduced lending to middle-market and non-investment grade borrowers. As a result, we believe there is less competition in our market, more conservative capital structures, higher yields and stronger covenants.</w:t>
      </w:r>
    </w:p>
    <w:p>
      <w:pPr>
        <w:spacing w:after="0" w:line="97" w:lineRule="exact"/>
        <w:rPr>
          <w:sz w:val="20"/>
          <w:szCs w:val="20"/>
          <w:color w:val="auto"/>
        </w:rPr>
      </w:pPr>
    </w:p>
    <w:p>
      <w:pPr>
        <w:ind w:left="640" w:right="300"/>
        <w:spacing w:after="0" w:line="296" w:lineRule="auto"/>
        <w:rPr>
          <w:sz w:val="20"/>
          <w:szCs w:val="20"/>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Floating Rate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108" w:lineRule="exact"/>
        <w:rPr>
          <w:sz w:val="20"/>
          <w:szCs w:val="20"/>
          <w:color w:val="auto"/>
        </w:rPr>
      </w:pPr>
    </w:p>
    <w:p>
      <w:pPr>
        <w:ind w:left="640"/>
        <w:spacing w:after="0" w:line="262" w:lineRule="auto"/>
        <w:rPr>
          <w:sz w:val="20"/>
          <w:szCs w:val="20"/>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 years</w:t>
      </w:r>
      <w:r>
        <w:rPr>
          <w:rFonts w:ascii="Arial" w:cs="Arial" w:eastAsia="Arial" w:hAnsi="Arial"/>
          <w:sz w:val="18"/>
          <w:szCs w:val="18"/>
          <w:b w:val="1"/>
          <w:bCs w:val="1"/>
          <w:color w:val="auto"/>
        </w:rPr>
        <w:t xml:space="preserve"> </w:t>
      </w:r>
      <w:r>
        <w:rPr>
          <w:rFonts w:ascii="Arial" w:cs="Arial" w:eastAsia="Arial" w:hAnsi="Arial"/>
          <w:sz w:val="18"/>
          <w:szCs w:val="18"/>
          <w:color w:val="auto"/>
        </w:rPr>
        <w:t>2004 and 2007, which will come due in the next few years. We believe this supply of opportunities coupled with a lack of demand offers attractive risk-adjusted returns to investors.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90"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jc w:val="both"/>
        <w:ind w:left="200" w:right="180" w:firstLine="443"/>
        <w:spacing w:after="0" w:line="323" w:lineRule="auto"/>
        <w:rPr>
          <w:sz w:val="20"/>
          <w:szCs w:val="20"/>
          <w:color w:val="auto"/>
        </w:rPr>
      </w:pPr>
      <w:r>
        <w:rPr>
          <w:rFonts w:ascii="Arial" w:cs="Arial" w:eastAsia="Arial" w:hAnsi="Arial"/>
          <w:sz w:val="15"/>
          <w:szCs w:val="15"/>
          <w:color w:val="auto"/>
        </w:rPr>
        <w:t>We will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will be highly selective in deploying our capital. We believe our approach will enable us to build an attractive investment portfolio that meets our return and value criteria over the long-term.</w:t>
      </w:r>
    </w:p>
    <w:p>
      <w:pPr>
        <w:spacing w:after="0" w:line="98"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the Investment Adviser, will conduct a rigorous due diligence process that draws from the Investment Adviser’s experience, industry expertise and network of contacts. Among other things, our due diligence is designed to ensure that each prospective portfolio company will be able to meet its debt service obligations. See “Business – Investment Selection Criteria” for more information.</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the Investment Adviser will seek to reduce risk by focusing on businesses with:</w:t>
      </w:r>
    </w:p>
    <w:p>
      <w:pPr>
        <w:spacing w:after="0" w:line="90" w:lineRule="exact"/>
        <w:rPr>
          <w:sz w:val="20"/>
          <w:szCs w:val="20"/>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9480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94805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Ability to Source and Evaluate Transactions through the Investment Adviser’s Research Capability and Established Network</w:t>
      </w:r>
    </w:p>
    <w:p>
      <w:pPr>
        <w:spacing w:after="0" w:line="9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will enable us to evaluate investment opportunities effectively in numerous industries, as well as provide us access to substantial information concerning those industries. We will identify potential investments both through active origination and through dialogue with numerous financial sponsors, management teams, members of the financial community and corporate partners with whom the professionals of the Investment Adviser have long-term relationships.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We intend to be flexible in structuring investments and tailoring investments to meet the financial needs of a company while also generating attractive risk-adjusted returns. We can invest in any part of a capital structure and the Investment Adviser has extensive experience in making investments in a wide variety of securities for leveraged companies throughout economic and market cycles.</w:t>
      </w:r>
    </w:p>
    <w:p>
      <w:pPr>
        <w:spacing w:after="0" w:line="140"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The Investment Adviser will seek to minimize the risk of capital loss without foregoing potential for capital appreciation. In making investment decisions, we will seek to invest in companies that we believe can generate positive risk-adjusted returns.</w:t>
      </w:r>
    </w:p>
    <w:p>
      <w:pPr>
        <w:spacing w:after="0" w:line="132"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We believe that the in-depth coverage and experience of the Investment Adviser will enable us to invest throughout various stages of the economic and market cycles and provide us with ongoing market insights in addition to a significant investment sourcing engine.</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left="200" w:right="160" w:firstLine="443"/>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will enable us to generate attractive returns on invested capital and to be a better long-term partner for our portfolio companies.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160" w:firstLine="443"/>
        <w:spacing w:after="0" w:line="318" w:lineRule="auto"/>
        <w:rPr>
          <w:sz w:val="20"/>
          <w:szCs w:val="20"/>
          <w:color w:val="auto"/>
        </w:rPr>
      </w:pPr>
      <w:r>
        <w:rPr>
          <w:rFonts w:ascii="Arial" w:cs="Arial" w:eastAsia="Arial" w:hAnsi="Arial"/>
          <w:sz w:val="15"/>
          <w:szCs w:val="15"/>
          <w:color w:val="auto"/>
        </w:rPr>
        <w:t>Our primary competitors provide financing to middle-market companies and include other business development companies and closed-end funds,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00"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w:t>
      </w:r>
    </w:p>
    <w:p>
      <w:pPr>
        <w:spacing w:after="0" w:line="143"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For additional information concerning the competitive risks we face, please see “Risk Factors—Risks Relating to our Business and Structure—We will operate in a highly competitive market for investment opportunities.”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6"/>
          <w:szCs w:val="16"/>
          <w:color w:val="auto"/>
        </w:rPr>
        <w:t>We currently anticipate utilizing leverage. The use of leverage is generally considered a speculative investment technique. The Credit Facility is expected to be entered into shortly after completing this offering, and we expect it to provide up to $200 million in available borrowing capacity. We intend to form a wholly owned subsidiary to make borrowings under the Credit Facility and to hold our portfolio investments that will serve as collateral under the Credit Facility. We may seek to securitize such loans to generate cash for funding new investments. This could include the sale of interests in the subsidiary on a non-recourse basis to purchasers whom we would expect to be willing to accept a lower interest rate to invest in investment grade loan pools, and we would retain a portion of the equity in the securitized pool of loans. To the extent that we securitize loans in connection with the Credit Facility, we intend to consolidate any indebtedness incurred by any subsidiary in connection with its contemplated securitization facility for financial reporting purposes and, in addition, any such indebtedness will be included in our determination of our compliance with the asset coverage test under the 1940 Act. In order to make additional investments, we may incur leverage in an aggregate amount of up to 50% of our Managed Assets at the time such leverage is incurred (which would be equivalent to 100% of our net assets). We may also issue preferred stock and/or notes, enter into total return swaps or other derivatives, and borrow funds from banks and other financial institutions.</w:t>
      </w:r>
    </w:p>
    <w:p>
      <w:pPr>
        <w:spacing w:after="0" w:line="127" w:lineRule="exact"/>
        <w:rPr>
          <w:sz w:val="20"/>
          <w:szCs w:val="20"/>
          <w:color w:val="auto"/>
        </w:rPr>
      </w:pPr>
    </w:p>
    <w:p>
      <w:pPr>
        <w:ind w:left="200" w:right="100" w:firstLine="443"/>
        <w:spacing w:after="0" w:line="254" w:lineRule="auto"/>
        <w:rPr>
          <w:sz w:val="20"/>
          <w:szCs w:val="20"/>
          <w:color w:val="auto"/>
        </w:rPr>
      </w:pPr>
      <w:r>
        <w:rPr>
          <w:rFonts w:ascii="Arial" w:cs="Arial" w:eastAsia="Arial" w:hAnsi="Arial"/>
          <w:sz w:val="18"/>
          <w:szCs w:val="18"/>
          <w:color w:val="auto"/>
        </w:rPr>
        <w:t>All costs and expenses related to any form of leverage will be borne entirely by our common stockholders. The use of debt to leverage common stock can create risks. Increases or decreases in the value of our portfolio will be magnified if we use leverage. Changes in the value of the portfolio, including securities bought with the proceeds of leverage, will be borne entirely by the holders of common stock. During periods when we use leverage, the fees paid to the Investment Adviser for advisory services will be higher than if we did not use leverage because the fees paid will be calculated on the basis of our Managed Assets, which includes assets purchased using leverage. As such, the Investment Adviser may have a financial incentive to increase the use of leverage, which</w:t>
      </w:r>
    </w:p>
    <w:p>
      <w:pPr>
        <w:sectPr>
          <w:pgSz w:w="11900" w:h="16838" w:orient="portrait"/>
          <w:cols w:equalWidth="0" w:num="1">
            <w:col w:w="11260"/>
          </w:cols>
          <w:pgMar w:left="240" w:top="459" w:right="399" w:bottom="59" w:gutter="0" w:footer="0" w:header="0"/>
        </w:sectPr>
      </w:pP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60"/>
          </w:cols>
          <w:pgMar w:left="240" w:top="459" w:right="399" w:bottom="59"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18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67189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constitutes an inherent conflict of interest. In addition, the fees we pay to the Investment Adviser are borne exclusively by our common stockholders. It is expected that preferred stockholders, noteholders and any lenders will not bear any of our expenses. Our leveraging strategy, if utilized, may not be successful.</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160" w:firstLine="443"/>
        <w:spacing w:after="0" w:line="298" w:lineRule="auto"/>
        <w:rPr>
          <w:sz w:val="20"/>
          <w:szCs w:val="20"/>
          <w:color w:val="auto"/>
        </w:rPr>
      </w:pPr>
      <w:r>
        <w:rPr>
          <w:rFonts w:ascii="Arial" w:cs="Arial" w:eastAsia="Arial" w:hAnsi="Arial"/>
          <w:sz w:val="16"/>
          <w:szCs w:val="16"/>
          <w:color w:val="auto"/>
        </w:rPr>
        <w:t>Our investment activities will be managed by PennantPark Investment Advisers and supervised by our board of directors, a majority of whom are independent of the Investment Adviser. Under our investment management agreement (the “Investment Management Agreement”), we have agreed to pay the Investment Adviser an annual base management fee based on our average adjusted gross assets as well as an incentive fee based on our investment performance. See “Certain Relationships and Transactions – Investment Management Agreement” for more information.</w:t>
      </w:r>
    </w:p>
    <w:p>
      <w:pPr>
        <w:spacing w:after="0" w:line="113" w:lineRule="exact"/>
        <w:rPr>
          <w:sz w:val="20"/>
          <w:szCs w:val="20"/>
          <w:color w:val="auto"/>
        </w:rPr>
      </w:pPr>
    </w:p>
    <w:p>
      <w:pPr>
        <w:ind w:left="200" w:right="100" w:firstLine="443"/>
        <w:spacing w:after="0" w:line="255" w:lineRule="auto"/>
        <w:rPr>
          <w:sz w:val="20"/>
          <w:szCs w:val="20"/>
          <w:color w:val="auto"/>
        </w:rPr>
      </w:pPr>
      <w:r>
        <w:rPr>
          <w:rFonts w:ascii="Arial" w:cs="Arial" w:eastAsia="Arial" w:hAnsi="Arial"/>
          <w:sz w:val="18"/>
          <w:szCs w:val="18"/>
          <w:color w:val="auto"/>
        </w:rPr>
        <w:t>We will also enter into an administration agreement (the “Administration Agreement”) with the Administrator. Under the Administration Agreement, we will agree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See “Certain Relationships and Transactions – Administration Agreement” for more information.</w:t>
      </w:r>
    </w:p>
    <w:p>
      <w:pPr>
        <w:spacing w:after="0" w:line="143" w:lineRule="exact"/>
        <w:rPr>
          <w:sz w:val="20"/>
          <w:szCs w:val="20"/>
          <w:color w:val="auto"/>
        </w:rPr>
      </w:pPr>
    </w:p>
    <w:p>
      <w:pPr>
        <w:ind w:left="200" w:right="40" w:firstLine="443"/>
        <w:spacing w:after="0" w:line="298" w:lineRule="auto"/>
        <w:rPr>
          <w:sz w:val="20"/>
          <w:szCs w:val="20"/>
          <w:color w:val="auto"/>
        </w:rPr>
      </w:pPr>
      <w:r>
        <w:rPr>
          <w:rFonts w:ascii="Arial" w:cs="Arial" w:eastAsia="Arial" w:hAnsi="Arial"/>
          <w:sz w:val="16"/>
          <w:szCs w:val="16"/>
          <w:color w:val="auto"/>
        </w:rPr>
        <w:t>As a business development company, we will be required to comply with certain regulatory requirements. Also, while we will be permitted to finance investments using debt, our ability to use debt will be limited in certain significant respects. See “Regulation” for more information. We intend to elect to be treated, and intend to qualify annually, as a RIC for federal income tax purposes under the Code, commencing with our first taxable year ending after completion of this offering. See “Material U.S. Federal Income Tax Considerations” for more information.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120" w:firstLine="443"/>
        <w:spacing w:after="0" w:line="291" w:lineRule="auto"/>
        <w:rPr>
          <w:sz w:val="20"/>
          <w:szCs w:val="20"/>
          <w:color w:val="auto"/>
        </w:rPr>
      </w:pPr>
      <w:r>
        <w:rPr>
          <w:rFonts w:ascii="Arial" w:cs="Arial" w:eastAsia="Arial" w:hAnsi="Arial"/>
          <w:sz w:val="16"/>
          <w:szCs w:val="16"/>
          <w:color w:val="auto"/>
        </w:rPr>
        <w:t>We plan to use the net proceeds of this offering for investments in portfolio companies in accordance with our investment objectives and strategies described in this prospectus and for general working capital purposes. We will also pay operating expenses, including management and administrative fees, and may pay other expenses, such as due diligence expenses of potential new investments, from the net proceeds of this offering. We anticipate that substantially all of the net proceeds of this offering will be invested for the above purposes within three to six months from the consummation of this offering, depending on the availability of appropriate investment opportunities consistent with our investment objectives and market conditions. We cannot assure you that we will achieve our targeted investment pace.</w:t>
      </w:r>
    </w:p>
    <w:p>
      <w:pPr>
        <w:spacing w:after="0" w:line="120"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Pending such investments, we will invest the net proceeds primarily in cash, cash equivalents, U.S. government securities and other high-quality investments that mature in one year or less from the date of investment. The Investment Adviser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See “Regulation — Temporary Investments” for additional information about temporary investments we may make while waiting to make longer-term investments in pursuit of our investment objectives.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We intend to distribute monthly dividends to our common stockholders to the extent permitted under the 1940 Act. Our monthly dividends, if any, will be determined by our board of directors. See “Distributions” for more information.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may range from weekly to quarterly and could be subject to extension. We expect the dividend rate to be variable and determined for each dividend period. See “Risk Factors—Risks Relating to Our Business Structure” for more information.</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002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20021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dividend distributions on behalf of our common stockholders unless a stockholder elects to receive cash. As a result, if our board of directors authorizes, and we declare, a cash dividend, then our common stockholders who have not ‘opted out’ of our dividend reinvestment plan will have their cash dividends automatically reinvested in additional shares of our common stock rather than receiving the cash dividends. Registered common stockholders must notify our transfer agent in writing if they wish to ‘opt-out’ of the dividend reinvestment plan. See “Dividend Reinvestment Plan” for more information.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left="200" w:right="100" w:firstLine="443"/>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We have applied to have our common stock listed on the NASDAQ Global Select Market under the symbol “PFLT”.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and you should not consider information contained on our website to be part of this prospectus.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2" w:name="page13"/>
    <w:bookmarkEnd w:id="12"/>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99771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9977120"/>
                    </a:xfrm>
                    <a:prstGeom prst="rect">
                      <a:avLst/>
                    </a:prstGeom>
                    <a:noFill/>
                  </pic:spPr>
                </pic:pic>
              </a:graphicData>
            </a:graphic>
          </wp:anchor>
        </w:drawing>
      </w:r>
    </w:p>
    <w:p>
      <w:pPr>
        <w:sectPr>
          <w:pgSz w:w="11900" w:h="16844" w:orient="portrait"/>
          <w:cols w:equalWidth="0" w:num="1">
            <w:col w:w="11260"/>
          </w:cols>
          <w:pgMar w:left="240" w:top="45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offered by us</w:t>
      </w: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Additional Sales Load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Proposed NASDAQ Global Market symbol</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Trading at a discount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Distributions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Taxation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Dividend reinvestment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OFFERING</w:t>
      </w:r>
    </w:p>
    <w:p>
      <w:pPr>
        <w:spacing w:after="0" w:line="2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10,000,000, excluding 1,500,000 shares of common stock issuable pursuant to the over-allotment option granted to the underwriters.</w:t>
      </w:r>
    </w:p>
    <w:p>
      <w:pPr>
        <w:spacing w:after="0" w:line="1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10,000,667, excluding 1,500,000 shares of common stock issuable pursuant to the over-allotment option granted to the underwriters.</w:t>
      </w:r>
    </w:p>
    <w:p>
      <w:pPr>
        <w:spacing w:after="0" w:line="17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plan to use the net proceeds of this offering for investments primarily in Floating Rate Loans in accordance with our investment objective and strategies described in this prospectus and for general working capital purposes. We will also pay operating expenses, including management and administrative fees, and may pay other expenses such as due diligence expenses of potential new investments, from the net proceeds of this offering. We anticipate that substantially all of the net proceeds of this offering will be used for the above purposes within three to six months from the consummation of this offering, depending on the availability of appropriate investment opportunities consistent with our investment objective and market conditions. We cannot assure you that we will achieve our targeted investment pace.</w:t>
      </w:r>
    </w:p>
    <w:p>
      <w:pPr>
        <w:spacing w:after="0" w:line="12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Pending such investments, we will invest the net proceeds primarily in cash, cash equivalents, U.S. government securities and other high-quality investments that mature in one year or less from the date of investment. The Investment Adviser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See “Regulation—Temporary Investments” for additional information about temporary investments we may make while waiting to make longer-term investments in pursuit of our investment objective.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Adviser has agreed to pay the underwriters an additional sales load of</w:t>
      </w:r>
    </w:p>
    <w:p>
      <w:pPr>
        <w:spacing w:after="0" w:line="1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$3,000,000 ($3,450,000 if the underwriters exercise their overallotment option in full). This amount will accrue interest at a variable rate (adjusted quarterly) equal to an annual rate of the three-month LIBOR plus 2.25%. As of March 24, 2011, three-month LIBOR was approximately 0.31%. We (and indirectly our stockholders) will be obligated to repay this amount together with accrued interest (a) if during any four calendar quarter-period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If we are then permitted to do so, we will repay such amount and any interest on such amount through the issuance of shares of our common stock to the Investment Adviser. If we cannot then issue such shares pursuant to the 1940 Act or otherwise, we will pay such amount to the Investment Adviser in cash, and the Investment Adviser has agreed to use such payment to purchase shares of our common stock in the secondary market.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“PFLT”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Shares of closed-end investment companies frequently trade at a discount to their net asset value.</w:t>
      </w:r>
    </w:p>
    <w:p>
      <w:pPr>
        <w:spacing w:after="0" w:line="26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intend to distribute monthly dividends to our common stockholders to the extent permitted under the 1940 Act. Our monthly dividends, if any, will be determined by our board of directors. See “Distributions” for more information.</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intend to elect to be treated, and intend to qualify annually, for federal income tax purposes as a RIC commencing with our first taxable year ending after completion of this offering. As a RIC, we generally will not have to pay corporate-level federal income taxes on any ordinary income or capital gains that we distribute to our stockholders as distributions. To obtain and maintain RIC status and the associated tax benefits, we must meet specified source-of-income and asset diversification requirements and distribute annually at least 90% of our ordinary income and realized net short-term capital gains in excess of realized net long-term capital losses, if any, to our stockholders. See “Material U.S. Federal Income Tax Considerations.”</w:t>
      </w:r>
    </w:p>
    <w:p>
      <w:pPr>
        <w:spacing w:after="0" w:line="15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currently anticipate utilizing leverage. The use of leverage is generally considered a speculative investment technique. We have received a commitment to arrange a Credit Facility by STRH, which is expected to be provided by SunTrust Bank, an affiliate of STRH and to become effective shortly after this offering is completed. The Credit Facility is expected to initially provide for borrowings up to $200 million and is expected to expire in 2016. The Credit Facility is expected to include an accordion feature whereby we will be allowed to increase the amount of the Credit Facility up to $600 million with the consent of the SunTrust Bank and/or add new committed lenders with such parties’ consent. See “Business—Leverage” for more information.</w:t>
      </w:r>
    </w:p>
    <w:p>
      <w:pPr>
        <w:spacing w:after="0" w:line="16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We have adopted a dividend reinvestment plan for our stockholders. This will be an “opt out” dividend reinvestment plan. As a result, if we declare a dividend or other distribution, then</w:t>
      </w:r>
    </w:p>
    <w:p>
      <w:pPr>
        <w:sectPr>
          <w:pgSz w:w="11900" w:h="16844" w:orient="portrait"/>
          <w:cols w:equalWidth="0" w:num="2">
            <w:col w:w="3780" w:space="620"/>
            <w:col w:w="6860"/>
          </w:cols>
          <w:pgMar w:left="240" w:top="459" w:right="399" w:bottom="0" w:gutter="0" w:footer="0" w:header="0"/>
          <w:type w:val="continuous"/>
        </w:sectPr>
      </w:pPr>
    </w:p>
    <w:bookmarkStart w:id="13" w:name="page14"/>
    <w:bookmarkEnd w:id="13"/>
    <w:p>
      <w:pPr>
        <w:ind w:left="4200" w:right="80"/>
        <w:spacing w:after="0" w:line="254" w:lineRule="auto"/>
        <w:rPr>
          <w:sz w:val="20"/>
          <w:szCs w:val="20"/>
          <w:color w:val="auto"/>
        </w:rPr>
      </w:pPr>
      <w:r>
        <w:rPr>
          <w:rFonts w:ascii="Arial" w:cs="Arial" w:eastAsia="Arial" w:hAnsi="Arial"/>
          <w:sz w:val="18"/>
          <w:szCs w:val="18"/>
          <w:color w:val="auto"/>
        </w:rPr>
        <w:t>stockholders’ cash distributions will be reinvested automatically in additional shares of our common stock, unless our stockholders specifically “opt out” of the dividend reinvestment plan, so as to receive cash dividends or other distributions. Stockholders who receive distributions in the form of shares of common stock will be subject to the same federal, state and local tax consequences as stockholders who elect to receive their distributions in cash. See “Dividend Reinvestment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-828675</wp:posOffset>
            </wp:positionV>
            <wp:extent cx="1270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10515600"/>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-828675</wp:posOffset>
            </wp:positionV>
            <wp:extent cx="1270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10515600"/>
                    </a:xfrm>
                    <a:prstGeom prst="rect">
                      <a:avLst/>
                    </a:prstGeom>
                    <a:noFill/>
                  </pic:spPr>
                </pic:pic>
              </a:graphicData>
            </a:graphic>
          </wp:anchor>
        </w:drawing>
      </w:r>
    </w:p>
    <w:p>
      <w:pPr>
        <w:sectPr>
          <w:pgSz w:w="11900" w:h="16838" w:orient="portrait"/>
          <w:cols w:equalWidth="0" w:num="1">
            <w:col w:w="11040"/>
          </w:cols>
          <w:pgMar w:left="440" w:top="131" w:right="419" w:bottom="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Investment advisory fees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will pay PennantPark Investment Advisers a fee for its services under the Investment Management Agreement consisting of two components—a base management fee and an incentive fee. The base management fee will be calculated at an annual rate of 1.00 percent of our gross assets. PennantPark Investment Advisers, however, has agreed to waive the portion of the base management fee payable on any net proceeds of this offering that have not yet been invested in portfolio investments, exclusive of any temporary investments in cash, cash equivalents, U.S. government securities and other high-quality investment grade debt investments that mature in 12 months or less from the date of investment.</w:t>
      </w:r>
    </w:p>
    <w:p>
      <w:pPr>
        <w:spacing w:after="0" w:line="118" w:lineRule="exact"/>
        <w:rPr>
          <w:sz w:val="20"/>
          <w:szCs w:val="20"/>
          <w:color w:val="auto"/>
        </w:rPr>
      </w:pPr>
    </w:p>
    <w:p>
      <w:pPr>
        <w:sectPr>
          <w:pgSz w:w="11900" w:h="16838" w:orient="portrait"/>
          <w:cols w:equalWidth="0" w:num="2">
            <w:col w:w="3480" w:space="720"/>
            <w:col w:w="6840"/>
          </w:cols>
          <w:pgMar w:left="440" w:top="131" w:right="419" w:bottom="0" w:gutter="0" w:footer="0" w:header="0"/>
          <w:type w:val="continuous"/>
        </w:sectPr>
      </w:pPr>
    </w:p>
    <w:p>
      <w:pPr>
        <w:ind w:left="4200" w:right="40"/>
        <w:spacing w:after="0" w:line="287" w:lineRule="auto"/>
        <w:rPr>
          <w:sz w:val="20"/>
          <w:szCs w:val="20"/>
          <w:color w:val="auto"/>
        </w:rPr>
      </w:pPr>
      <w:r>
        <w:rPr>
          <w:rFonts w:ascii="Arial" w:cs="Arial" w:eastAsia="Arial" w:hAnsi="Arial"/>
          <w:sz w:val="16"/>
          <w:szCs w:val="16"/>
          <w:color w:val="auto"/>
        </w:rPr>
        <w:t>The incentive fee will consist of two parts. The first part will be calculated and payable quarterly in arrears based upon our “Pre-Incentive Fee Net Investment Income” for the immediately preceding quarter, and will be subject to a Hurdle (as defined under “Fees and Expenses”) and a “catch-up” feature. The second part will be determined and payable in arrears as of the end of each calendar year (or upon termination of the Investment Management Agreement, as of the termination date) and will equal our realized capital gains on a cumulative basis from inception through the end of each calendar year, computed net of all realized capital losses and net unrealized capital depreciation on a cumulative basis, less the aggregate amount of any previously paid capital gain incentive fees. See “Certain Relationships and Transactions— Investment Management Agreement.”</w:t>
      </w:r>
    </w:p>
    <w:p>
      <w:pPr>
        <w:sectPr>
          <w:pgSz w:w="11900" w:h="16838" w:orient="portrait"/>
          <w:cols w:equalWidth="0" w:num="1">
            <w:col w:w="11040"/>
          </w:cols>
          <w:pgMar w:left="440" w:top="131" w:right="419" w:bottom="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Administration Agreement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will reimburse PennantPark Administration for the allocable portion of overhead and other expenses incurred by PennantPark Administration in performing its obligations under the Administration Agreement, including furnishing us with office facilities, equipment and clerical, bookkeeping and record keeping services at such facilities, as well as providing us with other administrative services. To the extent that our administrator outsources any of its functions, we will pay the fees associated with such functions on a direct basis without profit to the administrator. See “Management—Administration Agreement.”</w:t>
      </w:r>
    </w:p>
    <w:p>
      <w:pPr>
        <w:spacing w:after="0" w:line="159" w:lineRule="exact"/>
        <w:rPr>
          <w:sz w:val="20"/>
          <w:szCs w:val="20"/>
          <w:color w:val="auto"/>
        </w:rPr>
      </w:pPr>
    </w:p>
    <w:p>
      <w:pPr>
        <w:sectPr>
          <w:pgSz w:w="11900" w:h="16838" w:orient="portrait"/>
          <w:cols w:equalWidth="0" w:num="2">
            <w:col w:w="3480" w:space="720"/>
            <w:col w:w="6840"/>
          </w:cols>
          <w:pgMar w:left="440" w:top="131" w:right="419" w:bottom="0" w:gutter="0" w:footer="0" w:header="0"/>
          <w:type w:val="continuous"/>
        </w:sectPr>
      </w:pPr>
    </w:p>
    <w:p>
      <w:pPr>
        <w:spacing w:after="0"/>
        <w:rPr>
          <w:sz w:val="20"/>
          <w:szCs w:val="20"/>
          <w:color w:val="auto"/>
        </w:rPr>
      </w:pPr>
      <w:r>
        <w:rPr>
          <w:rFonts w:ascii="Arial" w:cs="Arial" w:eastAsia="Arial" w:hAnsi="Arial"/>
          <w:sz w:val="15"/>
          <w:szCs w:val="15"/>
          <w:color w:val="auto"/>
        </w:rPr>
        <w:t>License arrangements</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We have entered into a license agreement with PennantPark Investment Advisers, which we refer to as the “License Agreement,” pursuant to which PennantPark Investment Advisers has agreed to grant us a non-exclusive license to use the name “PennantPark.” For a description of PennantPark Investment Advisers, PennantPark Administration and our contractual arrangements with these companies, see “Certain Relationships and Transactions—Investment Management Agreement,” “—Administration Agreement” and “—License Agreement.”</w:t>
      </w:r>
    </w:p>
    <w:p>
      <w:pPr>
        <w:spacing w:after="0" w:line="161" w:lineRule="exact"/>
        <w:rPr>
          <w:sz w:val="20"/>
          <w:szCs w:val="20"/>
          <w:color w:val="auto"/>
        </w:rPr>
      </w:pPr>
    </w:p>
    <w:p>
      <w:pPr>
        <w:sectPr>
          <w:pgSz w:w="11900" w:h="16838" w:orient="portrait"/>
          <w:cols w:equalWidth="0" w:num="2">
            <w:col w:w="3480" w:space="720"/>
            <w:col w:w="6840"/>
          </w:cols>
          <w:pgMar w:left="440" w:top="131" w:right="419" w:bottom="0" w:gutter="0" w:footer="0" w:header="0"/>
          <w:type w:val="continuous"/>
        </w:sectPr>
      </w:pPr>
    </w:p>
    <w:p>
      <w:pPr>
        <w:spacing w:after="0"/>
        <w:rPr>
          <w:sz w:val="20"/>
          <w:szCs w:val="20"/>
          <w:color w:val="auto"/>
        </w:rPr>
      </w:pPr>
      <w:r>
        <w:rPr>
          <w:rFonts w:ascii="Arial" w:cs="Arial" w:eastAsia="Arial" w:hAnsi="Arial"/>
          <w:sz w:val="16"/>
          <w:szCs w:val="16"/>
          <w:color w:val="auto"/>
        </w:rPr>
        <w:t>Anti-takeover provisions</w:t>
      </w:r>
    </w:p>
    <w:p>
      <w:pPr>
        <w:spacing w:after="0" w:line="20" w:lineRule="exact"/>
        <w:rPr>
          <w:sz w:val="20"/>
          <w:szCs w:val="20"/>
          <w:color w:val="auto"/>
        </w:rPr>
      </w:pPr>
      <w:r>
        <w:rPr>
          <w:sz w:val="20"/>
          <w:szCs w:val="20"/>
          <w:color w:val="auto"/>
        </w:rPr>
        <w:br w:type="column"/>
      </w:r>
    </w:p>
    <w:p>
      <w:pPr>
        <w:ind w:right="180"/>
        <w:spacing w:after="0" w:line="294"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This structure is intended to increase the likelihood of continuity of management, which may be necessary for us to realize the full value of our investments. A staggered board of directors also may serve to deter hostile takeovers or proxy contests, as may certain other measures adopted by us. See “Description of Our Capital Stock.”</w:t>
      </w:r>
    </w:p>
    <w:p>
      <w:pPr>
        <w:spacing w:after="0" w:line="156" w:lineRule="exact"/>
        <w:rPr>
          <w:sz w:val="20"/>
          <w:szCs w:val="20"/>
          <w:color w:val="auto"/>
        </w:rPr>
      </w:pPr>
    </w:p>
    <w:p>
      <w:pPr>
        <w:sectPr>
          <w:pgSz w:w="11900" w:h="16838" w:orient="portrait"/>
          <w:cols w:equalWidth="0" w:num="2">
            <w:col w:w="3480" w:space="720"/>
            <w:col w:w="6840"/>
          </w:cols>
          <w:pgMar w:left="440" w:top="131" w:right="419" w:bottom="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The value of our assets, as well as the market price of our shares, will fluctuate. You may lose all or part of your investment. Investing in PennantPark Floating Rate Capital involves other risks, including the following:</w:t>
      </w:r>
    </w:p>
    <w:p>
      <w:pPr>
        <w:spacing w:after="0" w:line="59" w:lineRule="exact"/>
        <w:rPr>
          <w:sz w:val="20"/>
          <w:szCs w:val="20"/>
          <w:color w:val="auto"/>
        </w:rPr>
      </w:pPr>
    </w:p>
    <w:p>
      <w:pPr>
        <w:sectPr>
          <w:pgSz w:w="11900" w:h="16838" w:orient="portrait"/>
          <w:cols w:equalWidth="0" w:num="2">
            <w:col w:w="3480" w:space="720"/>
            <w:col w:w="6840"/>
          </w:cols>
          <w:pgMar w:left="440" w:top="131" w:right="419" w:bottom="0" w:gutter="0" w:footer="0" w:header="0"/>
          <w:type w:val="continuous"/>
        </w:sectPr>
      </w:pPr>
    </w:p>
    <w:p>
      <w:pPr>
        <w:ind w:left="4240"/>
        <w:spacing w:after="0"/>
        <w:rPr>
          <w:sz w:val="20"/>
          <w:szCs w:val="20"/>
          <w:color w:val="auto"/>
        </w:rPr>
      </w:pPr>
      <w:r>
        <w:rPr>
          <w:rFonts w:ascii="Arial" w:cs="Arial" w:eastAsia="Arial" w:hAnsi="Arial"/>
          <w:sz w:val="18"/>
          <w:szCs w:val="18"/>
          <w:color w:val="auto"/>
        </w:rPr>
        <w:t>• We are a new company with a limited operating history.</w:t>
      </w:r>
    </w:p>
    <w:p>
      <w:pPr>
        <w:spacing w:after="0" w:line="90" w:lineRule="exact"/>
        <w:rPr>
          <w:sz w:val="20"/>
          <w:szCs w:val="20"/>
          <w:color w:val="auto"/>
        </w:rPr>
      </w:pPr>
    </w:p>
    <w:p>
      <w:pPr>
        <w:ind w:left="4420" w:right="100" w:hanging="179"/>
        <w:spacing w:after="0" w:line="256" w:lineRule="auto"/>
        <w:tabs>
          <w:tab w:leader="none" w:pos="4400" w:val="left"/>
        </w:tabs>
        <w:rPr>
          <w:sz w:val="20"/>
          <w:szCs w:val="20"/>
          <w:color w:val="auto"/>
        </w:rPr>
      </w:pPr>
      <w:r>
        <w:rPr>
          <w:rFonts w:ascii="Arial" w:cs="Arial" w:eastAsia="Arial" w:hAnsi="Arial"/>
          <w:sz w:val="18"/>
          <w:szCs w:val="18"/>
          <w:color w:val="auto"/>
        </w:rPr>
        <w:t>•</w:t>
        <w:tab/>
        <w:t>We are dependent upon the Investment Adviser’s key personnel for our future success, and if the Investment Adviser is unable to hire and retain qualified personnel or if we lose any member of our management team, our ability to achieve our investment objective could be significantly harmed.</w:t>
      </w:r>
    </w:p>
    <w:p>
      <w:pPr>
        <w:spacing w:after="0" w:line="6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We will operate in a highly competitive market for investment opportunities.</w:t>
      </w:r>
    </w:p>
    <w:p>
      <w:pPr>
        <w:spacing w:after="0" w:line="90" w:lineRule="exact"/>
        <w:rPr>
          <w:sz w:val="20"/>
          <w:szCs w:val="20"/>
          <w:color w:val="auto"/>
        </w:rPr>
      </w:pPr>
    </w:p>
    <w:p>
      <w:pPr>
        <w:ind w:left="4420" w:right="40" w:hanging="179"/>
        <w:spacing w:after="0" w:line="268" w:lineRule="auto"/>
        <w:tabs>
          <w:tab w:leader="none" w:pos="4400" w:val="left"/>
        </w:tabs>
        <w:rPr>
          <w:sz w:val="20"/>
          <w:szCs w:val="20"/>
          <w:color w:val="auto"/>
        </w:rPr>
      </w:pPr>
      <w:r>
        <w:rPr>
          <w:rFonts w:ascii="Arial" w:cs="Arial" w:eastAsia="Arial" w:hAnsi="Arial"/>
          <w:sz w:val="18"/>
          <w:szCs w:val="18"/>
          <w:color w:val="auto"/>
        </w:rPr>
        <w:t>•</w:t>
        <w:tab/>
        <w:t>We intend to elect to be treated as a RIC, and we will be subject to corporate-level income tax if we are unable to qualify as a RIC.</w:t>
      </w:r>
    </w:p>
    <w:p>
      <w:pPr>
        <w:spacing w:after="0" w:line="5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We are a non-diversified fund.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The lack of liquidity in our investments may adversely affect our business.</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Investing in our shares may involve an above average degree of risk.</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 We will need to raise additional capital to grow because we must distribute most of our</w:t>
      </w:r>
    </w:p>
    <w:p>
      <w:pPr>
        <w:spacing w:after="0" w:line="329" w:lineRule="exact"/>
        <w:rPr>
          <w:sz w:val="20"/>
          <w:szCs w:val="20"/>
          <w:color w:val="auto"/>
        </w:rPr>
      </w:pPr>
    </w:p>
    <w:p>
      <w:pPr>
        <w:ind w:left="4420" w:right="160" w:hanging="179"/>
        <w:spacing w:after="0" w:line="332" w:lineRule="auto"/>
        <w:tabs>
          <w:tab w:leader="none" w:pos="4400" w:val="left"/>
        </w:tabs>
        <w:rPr>
          <w:sz w:val="20"/>
          <w:szCs w:val="20"/>
          <w:color w:val="auto"/>
        </w:rPr>
      </w:pPr>
      <w:r>
        <w:rPr>
          <w:rFonts w:ascii="Arial" w:cs="Arial" w:eastAsia="Arial" w:hAnsi="Arial"/>
          <w:sz w:val="16"/>
          <w:szCs w:val="16"/>
          <w:color w:val="auto"/>
        </w:rPr>
        <w:t>•</w:t>
        <w:tab/>
        <w:t>Prior to this offering, there has been no public market for our common stock, and we cannot assure you that the market price of our shares will not decline following the offering.</w:t>
      </w:r>
    </w:p>
    <w:p>
      <w:pPr>
        <w:spacing w:after="0" w:line="126" w:lineRule="exact"/>
        <w:rPr>
          <w:sz w:val="20"/>
          <w:szCs w:val="20"/>
          <w:color w:val="auto"/>
        </w:rPr>
      </w:pPr>
    </w:p>
    <w:p>
      <w:pPr>
        <w:ind w:left="4200" w:right="420"/>
        <w:spacing w:after="0" w:line="332" w:lineRule="auto"/>
        <w:rPr>
          <w:sz w:val="20"/>
          <w:szCs w:val="20"/>
          <w:color w:val="auto"/>
        </w:rPr>
      </w:pPr>
      <w:r>
        <w:rPr>
          <w:rFonts w:ascii="Arial" w:cs="Arial" w:eastAsia="Arial" w:hAnsi="Arial"/>
          <w:sz w:val="16"/>
          <w:szCs w:val="16"/>
          <w:color w:val="auto"/>
        </w:rPr>
        <w:t>See “Risk Factors” beginning on page 11 for more information on these and other risks you should carefully consider before deciding to invest in shares of our common stock.</w:t>
      </w:r>
    </w:p>
    <w:p>
      <w:pPr>
        <w:sectPr>
          <w:pgSz w:w="11900" w:h="16838" w:orient="portrait"/>
          <w:cols w:equalWidth="0" w:num="1">
            <w:col w:w="11040"/>
          </w:cols>
          <w:pgMar w:left="440" w:top="131" w:right="419" w:bottom="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Available information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have filed with the SEC a registration statement on Form N-2 under the Securities Act of 1933, as amended, or the “Securities Act,” which contains additional information about us and the shares of our common stock being offered by this prospectus. After completion of this</w:t>
      </w:r>
    </w:p>
    <w:p>
      <w:pPr>
        <w:sectPr>
          <w:pgSz w:w="11900" w:h="16838" w:orient="portrait"/>
          <w:cols w:equalWidth="0" w:num="2">
            <w:col w:w="3480" w:space="720"/>
            <w:col w:w="6840"/>
          </w:cols>
          <w:pgMar w:left="440" w:top="131" w:right="419" w:bottom="0" w:gutter="0" w:footer="0" w:header="0"/>
          <w:type w:val="continuous"/>
        </w:sectPr>
      </w:pPr>
    </w:p>
    <w:bookmarkStart w:id="14" w:name="page15"/>
    <w:bookmarkEnd w:id="14"/>
    <w:p>
      <w:pPr>
        <w:ind w:left="3200" w:right="20"/>
        <w:spacing w:after="0" w:line="256" w:lineRule="auto"/>
        <w:rPr>
          <w:sz w:val="20"/>
          <w:szCs w:val="20"/>
          <w:color w:val="auto"/>
        </w:rPr>
      </w:pPr>
      <w:r>
        <w:rPr>
          <w:rFonts w:ascii="Arial" w:cs="Arial" w:eastAsia="Arial" w:hAnsi="Arial"/>
          <w:sz w:val="18"/>
          <w:szCs w:val="18"/>
          <w:color w:val="auto"/>
        </w:rPr>
        <w:t xml:space="preserve">offering, we will be required to file periodic reports, proxy statements and other information with the Securities and Exchange Commission, or the SEC. This information will be available at the SEC’s public reference room in Washington, D.C. and on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-554990</wp:posOffset>
            </wp:positionV>
            <wp:extent cx="7276465" cy="1545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1545590"/>
                    </a:xfrm>
                    <a:prstGeom prst="rect">
                      <a:avLst/>
                    </a:prstGeom>
                    <a:noFill/>
                  </pic:spPr>
                </pic:pic>
              </a:graphicData>
            </a:graphic>
          </wp:anchor>
        </w:drawing>
      </w:r>
    </w:p>
    <w:p>
      <w:pPr>
        <w:spacing w:after="0" w:line="123" w:lineRule="exact"/>
        <w:rPr>
          <w:sz w:val="20"/>
          <w:szCs w:val="20"/>
          <w:color w:val="auto"/>
        </w:rPr>
      </w:pPr>
    </w:p>
    <w:p>
      <w:pPr>
        <w:ind w:left="3200"/>
        <w:spacing w:after="0" w:line="284"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http://www.pennantpark.com</w:t>
      </w:r>
      <w:r>
        <w:rPr>
          <w:rFonts w:ascii="Arial" w:cs="Arial" w:eastAsia="Arial" w:hAnsi="Arial"/>
          <w:sz w:val="16"/>
          <w:szCs w:val="16"/>
          <w:color w:val="auto"/>
        </w:rPr>
        <w:t xml:space="preserve"> and intend to make all of our annual, quarterly and current reports, proxy statements and other information available, free of charge, on or through our website. You may also obtain such information by contacting us, in writing at:</w:t>
      </w:r>
    </w:p>
    <w:p>
      <w:pPr>
        <w:spacing w:after="0" w:line="1" w:lineRule="exact"/>
        <w:rPr>
          <w:sz w:val="20"/>
          <w:szCs w:val="20"/>
          <w:color w:val="auto"/>
        </w:rPr>
      </w:pPr>
    </w:p>
    <w:p>
      <w:pPr>
        <w:ind w:left="3200" w:right="100"/>
        <w:spacing w:after="0" w:line="261" w:lineRule="auto"/>
        <w:rPr>
          <w:sz w:val="20"/>
          <w:szCs w:val="20"/>
          <w:color w:val="auto"/>
        </w:rPr>
      </w:pPr>
      <w:r>
        <w:rPr>
          <w:rFonts w:ascii="Arial" w:cs="Arial" w:eastAsia="Arial" w:hAnsi="Arial"/>
          <w:sz w:val="18"/>
          <w:szCs w:val="18"/>
          <w:color w:val="auto"/>
        </w:rPr>
        <w:t>590 Madison Avenue, 15th Floor, New York, New York 10022, Attn: Chief Financial Officer, or by telephone at (212) 905-1000.</w:t>
      </w:r>
    </w:p>
    <w:p>
      <w:pPr>
        <w:spacing w:after="0" w:line="200" w:lineRule="exact"/>
        <w:rPr>
          <w:sz w:val="20"/>
          <w:szCs w:val="20"/>
          <w:color w:val="auto"/>
        </w:rPr>
      </w:pPr>
    </w:p>
    <w:p>
      <w:pPr>
        <w:spacing w:after="0" w:line="2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60"/>
          </w:cols>
          <w:pgMar w:left="1440" w:top="131"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following table is intended to assist you in understanding the costs and expenses that an investor in our common stock will bear directly or indirectly. Stockholders should understand that some of the percentages indicated in the table below are estimates and may vary. The expenses shown in the table under “Other Expenses” and “Total Annual Expenses” are based on estimated amounts for our annual operations and assume that the company issues approximately 10,000,000 shares of common stock in this offering. If we issue fewer common shares, all other things being equal, these expenses would increase as a percentage of net assets attributable to common stock. The following tables do not include the underwriters’ overallotment option of 1,500,000 shares of our common stock.</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w w:val="90"/>
              </w:rPr>
              <w:t>Stockholder Transaction Expenses (as a percentage of common share offering price)</w:t>
            </w:r>
          </w:p>
        </w:tc>
        <w:tc>
          <w:tcPr>
            <w:tcW w:w="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load paid by us</w:t>
            </w:r>
          </w:p>
        </w:tc>
        <w:tc>
          <w:tcPr>
            <w:tcW w:w="3520" w:type="dxa"/>
            <w:vAlign w:val="bottom"/>
            <w:gridSpan w:val="4"/>
            <w:shd w:val="clear" w:color="auto" w:fill="CCEEFF"/>
          </w:tcPr>
          <w:p>
            <w:pPr>
              <w:ind w:left="2740"/>
              <w:spacing w:after="0"/>
              <w:rPr>
                <w:sz w:val="20"/>
                <w:szCs w:val="20"/>
                <w:color w:val="auto"/>
              </w:rPr>
            </w:pPr>
            <w:r>
              <w:rPr>
                <w:rFonts w:ascii="Arial" w:cs="Arial" w:eastAsia="Arial" w:hAnsi="Arial"/>
                <w:sz w:val="18"/>
                <w:szCs w:val="18"/>
                <w:color w:val="auto"/>
              </w:rPr>
              <w:t>5.00%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Offering Expenses</w:t>
            </w:r>
          </w:p>
        </w:tc>
        <w:tc>
          <w:tcPr>
            <w:tcW w:w="3520" w:type="dxa"/>
            <w:vAlign w:val="bottom"/>
            <w:gridSpan w:val="4"/>
          </w:tcPr>
          <w:p>
            <w:pPr>
              <w:ind w:left="2740"/>
              <w:spacing w:after="0"/>
              <w:rPr>
                <w:sz w:val="20"/>
                <w:szCs w:val="20"/>
                <w:color w:val="auto"/>
              </w:rPr>
            </w:pPr>
            <w:r>
              <w:rPr>
                <w:rFonts w:ascii="Arial" w:cs="Arial" w:eastAsia="Arial" w:hAnsi="Arial"/>
                <w:sz w:val="18"/>
                <w:szCs w:val="18"/>
                <w:color w:val="auto"/>
              </w:rPr>
              <w:t>0.67%</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Dividend reinvestment plan fees</w:t>
            </w:r>
          </w:p>
        </w:tc>
        <w:tc>
          <w:tcPr>
            <w:tcW w:w="3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xml:space="preserve">None </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Arial" w:cs="Arial" w:eastAsia="Arial" w:hAnsi="Arial"/>
                <w:sz w:val="18"/>
                <w:szCs w:val="18"/>
                <w:color w:val="auto"/>
              </w:rPr>
              <w:t>Total stockholder transaction expenses paid by us</w:t>
            </w:r>
          </w:p>
        </w:tc>
        <w:tc>
          <w:tcPr>
            <w:tcW w:w="2700" w:type="dxa"/>
            <w:vAlign w:val="bottom"/>
            <w:gridSpan w:val="2"/>
          </w:tcPr>
          <w:p>
            <w:pPr>
              <w:spacing w:after="0"/>
              <w:rPr>
                <w:sz w:val="19"/>
                <w:szCs w:val="19"/>
                <w:color w:val="auto"/>
              </w:rPr>
            </w:pPr>
          </w:p>
        </w:tc>
        <w:tc>
          <w:tcPr>
            <w:tcW w:w="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6"/>
              </w:rPr>
              <w:t>5.67%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Sales load paid by the Investment Adviser</w:t>
            </w:r>
          </w:p>
        </w:tc>
        <w:tc>
          <w:tcPr>
            <w:tcW w:w="2700" w:type="dxa"/>
            <w:vAlign w:val="bottom"/>
            <w:gridSpan w:val="2"/>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Arial" w:cs="Arial" w:eastAsia="Arial" w:hAnsi="Arial"/>
                <w:sz w:val="18"/>
                <w:szCs w:val="18"/>
                <w:color w:val="auto"/>
              </w:rPr>
              <w:t>Total stockholder transaction expenses</w:t>
            </w:r>
          </w:p>
        </w:tc>
        <w:tc>
          <w:tcPr>
            <w:tcW w:w="2700" w:type="dxa"/>
            <w:vAlign w:val="bottom"/>
            <w:gridSpan w:val="2"/>
          </w:tcPr>
          <w:p>
            <w:pPr>
              <w:spacing w:after="0"/>
              <w:rPr>
                <w:sz w:val="19"/>
                <w:szCs w:val="19"/>
                <w:color w:val="auto"/>
              </w:rPr>
            </w:pPr>
          </w:p>
        </w:tc>
        <w:tc>
          <w:tcPr>
            <w:tcW w:w="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6"/>
              </w:rPr>
              <w:t>7.67%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w w:val="85"/>
              </w:rPr>
              <w:t>Estimated Annual Expenses (as a percentage of net assets attributable to common stock):</w:t>
            </w:r>
          </w:p>
        </w:tc>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300" w:type="dxa"/>
            <w:vAlign w:val="bottom"/>
            <w:tcBorders>
              <w:top w:val="single" w:sz="8" w:color="auto"/>
            </w:tcBorders>
            <w:shd w:val="clear" w:color="auto" w:fill="CCEEFF"/>
          </w:tcPr>
          <w:p>
            <w:pPr>
              <w:spacing w:after="0"/>
              <w:rPr>
                <w:sz w:val="18"/>
                <w:szCs w:val="18"/>
                <w:color w:val="auto"/>
              </w:rPr>
            </w:pPr>
          </w:p>
        </w:tc>
        <w:tc>
          <w:tcPr>
            <w:tcW w:w="3220" w:type="dxa"/>
            <w:vAlign w:val="bottom"/>
            <w:gridSpan w:val="3"/>
            <w:shd w:val="clear" w:color="auto" w:fill="CCEEFF"/>
          </w:tcPr>
          <w:p>
            <w:pPr>
              <w:ind w:left="2440"/>
              <w:spacing w:after="0"/>
              <w:rPr>
                <w:sz w:val="20"/>
                <w:szCs w:val="20"/>
                <w:color w:val="auto"/>
              </w:rPr>
            </w:pPr>
            <w:r>
              <w:rPr>
                <w:rFonts w:ascii="Arial" w:cs="Arial" w:eastAsia="Arial" w:hAnsi="Arial"/>
                <w:sz w:val="18"/>
                <w:szCs w:val="18"/>
                <w:color w:val="auto"/>
              </w:rPr>
              <w:t>1.80%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2"/>
              </w:rPr>
              <w:t>Incentive fees payable under the Investment Management Agreement</w:t>
            </w:r>
          </w:p>
        </w:tc>
        <w:tc>
          <w:tcPr>
            <w:tcW w:w="3520" w:type="dxa"/>
            <w:vAlign w:val="bottom"/>
            <w:gridSpan w:val="4"/>
          </w:tcPr>
          <w:p>
            <w:pPr>
              <w:ind w:left="2740"/>
              <w:spacing w:after="0"/>
              <w:rPr>
                <w:sz w:val="20"/>
                <w:szCs w:val="20"/>
                <w:color w:val="auto"/>
              </w:rPr>
            </w:pPr>
            <w:r>
              <w:rPr>
                <w:rFonts w:ascii="Arial" w:cs="Arial" w:eastAsia="Arial" w:hAnsi="Arial"/>
                <w:sz w:val="18"/>
                <w:szCs w:val="18"/>
                <w:color w:val="auto"/>
              </w:rPr>
              <w:t>0.00%</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borrowed funds</w:t>
            </w:r>
          </w:p>
        </w:tc>
        <w:tc>
          <w:tcPr>
            <w:tcW w:w="3520" w:type="dxa"/>
            <w:vAlign w:val="bottom"/>
            <w:gridSpan w:val="4"/>
            <w:shd w:val="clear" w:color="auto" w:fill="CCEEFF"/>
          </w:tcPr>
          <w:p>
            <w:pPr>
              <w:ind w:left="2740"/>
              <w:spacing w:after="0"/>
              <w:rPr>
                <w:sz w:val="20"/>
                <w:szCs w:val="20"/>
                <w:color w:val="auto"/>
              </w:rPr>
            </w:pPr>
            <w:r>
              <w:rPr>
                <w:rFonts w:ascii="Arial" w:cs="Arial" w:eastAsia="Arial" w:hAnsi="Arial"/>
                <w:sz w:val="18"/>
                <w:szCs w:val="18"/>
                <w:color w:val="auto"/>
              </w:rPr>
              <w:t>2.05%</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expenses</w:t>
            </w:r>
          </w:p>
        </w:tc>
        <w:tc>
          <w:tcPr>
            <w:tcW w:w="2700" w:type="dxa"/>
            <w:vAlign w:val="bottom"/>
            <w:gridSpan w:val="2"/>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1.77%</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annual expenses</w:t>
            </w:r>
          </w:p>
        </w:tc>
        <w:tc>
          <w:tcPr>
            <w:tcW w:w="2700" w:type="dxa"/>
            <w:vAlign w:val="bottom"/>
            <w:gridSpan w:val="2"/>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5.62%</w:t>
            </w:r>
            <w:r>
              <w:rPr>
                <w:rFonts w:ascii="Arial" w:cs="Arial" w:eastAsia="Arial" w:hAnsi="Arial"/>
                <w:sz w:val="11"/>
                <w:szCs w:val="11"/>
                <w:color w:val="auto"/>
                <w:w w:val="97"/>
              </w:rPr>
              <w:t>(4)(8)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our common stock, assuming (1) a 5.00% net sales load (underwriting discounts and commissions) and offering expenses totaling 0.67%, (2) total estimated annual expenses of 5.62% of net assets attributable to our common stock as set forth in the table above (other than performance-based incentive fees) and (3) a 5% annual return.</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0"/>
              </w:rPr>
              <w:t>1 Year</w:t>
            </w:r>
          </w:p>
        </w:tc>
        <w:tc>
          <w:tcPr>
            <w:tcW w:w="48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0"/>
              </w:rPr>
              <w:t>3 Years</w:t>
            </w:r>
          </w:p>
        </w:tc>
        <w:tc>
          <w:tcPr>
            <w:tcW w:w="48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0"/>
              </w:rPr>
              <w:t>5 Years</w:t>
            </w:r>
          </w:p>
        </w:tc>
        <w:tc>
          <w:tcPr>
            <w:tcW w:w="48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9"/>
              </w:rPr>
              <w:t>10 Years</w:t>
            </w:r>
          </w:p>
        </w:tc>
        <w:tc>
          <w:tcPr>
            <w:tcW w:w="100" w:type="dxa"/>
            <w:vAlign w:val="bottom"/>
          </w:tcPr>
          <w:p>
            <w:pPr>
              <w:spacing w:after="0"/>
              <w:rPr>
                <w:sz w:val="14"/>
                <w:szCs w:val="14"/>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79"/>
              </w:rPr>
              <w:t>$ 110</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3"/>
              </w:rPr>
              <w:t>$ 214</w:t>
            </w:r>
          </w:p>
        </w:tc>
        <w:tc>
          <w:tcPr>
            <w:tcW w:w="14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$ 318</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  571</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While the example assumes, as required by the SEC, a 5% annual return, our performance will vary and may result in a return greater or less than 5%. The incentive fee under the Investment Management Agreement, which, assuming a 5% annual return, would either not be payable or would have an insignificant impact on the expense amounts shown above, is not included in the example. This illustration assumes that we will not realize any capital gains (computed net of all realized capital losses and unrealized capital depreciation) in any of the indicated time periods. If we achieve sufficient returns on our investments, including through the realization of capital gains, to trigger an incentive fee of a material amount, our expenses and returns to our investors would be higher. In addition, the example assumes inclusion of the net sales load of 5.00% in the first year and reinvestment of all dividends and other distributions at net asset value. Participants in our dividend reinvestment plan will receive a number of shares of our common stock determined by dividing the total dollar amount of the distribution payable to a participant by the market price per share of our common stock at the close of trading on the valuation date for the distribution. See “Dividend Reinvestment Plan” for more information.</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This Example and the expenses in the table above should not be considered a representation of our future expenses; actual expenses may be greater or less than those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underwriting discount and commission (the sales load) with respect to shares to be sold in this offering, which is a one-time fee, is the only sales load payable by us in connection with this offering.</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$1,000,000.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w:t>
      </w:r>
    </w:p>
    <w:p>
      <w:pPr>
        <w:spacing w:after="0" w:line="9"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Investment Adviser has agreed to pay the underwriters an additional sales load of $3,000,000 ($3,450,000 if the underwriters exercise their overallotment option in full). This amount will accrue interest at a variable rate (adjusted quarterly) equal to an annual rate of the three-month LIBOR plus 2.25%. As of March 24, 2011, three-month LIBOR was approximately 0.31%. We (and indirectly our stockholders) will be obligated to repay this amount together with accrued interest (a) if during any four calendar quarter-period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If we are then permitted to do so, we will repay such amount and any interest on such amount through the issuance of shares of our common stock to the Investment Adviser. If we cannot then issue such shares pursuant to the 1940 Act or otherwise, we will pay such amount to the Investment Adviser in cash, and the Investment Adviser has agreed to use such payment to purchase shares of our common stock in the secondary market.</w:t>
      </w:r>
    </w:p>
    <w:p>
      <w:pPr>
        <w:spacing w:after="0" w:line="6" w:lineRule="exact"/>
        <w:rPr>
          <w:rFonts w:ascii="Arial" w:cs="Arial" w:eastAsia="Arial" w:hAnsi="Arial"/>
          <w:sz w:val="16"/>
          <w:szCs w:val="16"/>
          <w:color w:val="auto"/>
        </w:rPr>
      </w:pPr>
    </w:p>
    <w:p>
      <w:pPr>
        <w:ind w:left="460" w:right="8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management fee under the Investment Management Agreement is based on our adjusted average gross assets, including those assets acquired using borrowings for investment purposes. PennantPark Investment Advisers, however,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See “Certain Relationships and Transactions—Investment Management Agreement” for more information.</w:t>
      </w:r>
    </w:p>
    <w:p>
      <w:pPr>
        <w:spacing w:after="0" w:line="3" w:lineRule="exact"/>
        <w:rPr>
          <w:rFonts w:ascii="Arial" w:cs="Arial" w:eastAsia="Arial" w:hAnsi="Arial"/>
          <w:sz w:val="16"/>
          <w:szCs w:val="16"/>
          <w:color w:val="auto"/>
        </w:rPr>
      </w:pPr>
    </w:p>
    <w:p>
      <w:pPr>
        <w:ind w:left="460" w:right="100" w:hanging="452"/>
        <w:spacing w:after="0" w:line="29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Reflects the aggregate amount of incentive fees we estimate will be payable under the Investment Management Agreement during our first year of operations following consummation of this offering up to one year. During our first year of operations following consummation of this offering, we expect that we will not have any capital gains and will only have interest income that exceeds our quarterly hurdle rate discussed below during the second half of our first year of operations following consummation of this offering. The incentive fee consists of two parts:</w:t>
      </w:r>
    </w:p>
    <w:p>
      <w:pPr>
        <w:spacing w:after="0" w:line="34" w:lineRule="exact"/>
        <w:rPr>
          <w:rFonts w:ascii="Arial" w:cs="Arial" w:eastAsia="Arial" w:hAnsi="Arial"/>
          <w:sz w:val="16"/>
          <w:szCs w:val="16"/>
          <w:color w:val="auto"/>
        </w:rPr>
      </w:pPr>
    </w:p>
    <w:p>
      <w:pPr>
        <w:ind w:left="460" w:right="140"/>
        <w:spacing w:after="0" w:line="323" w:lineRule="auto"/>
        <w:rPr>
          <w:rFonts w:ascii="Arial" w:cs="Arial" w:eastAsia="Arial" w:hAnsi="Arial"/>
          <w:sz w:val="16"/>
          <w:szCs w:val="16"/>
          <w:color w:val="auto"/>
        </w:rPr>
      </w:pPr>
      <w:r>
        <w:rPr>
          <w:rFonts w:ascii="Arial" w:cs="Arial" w:eastAsia="Arial" w:hAnsi="Arial"/>
          <w:sz w:val="15"/>
          <w:szCs w:val="15"/>
          <w:color w:val="auto"/>
        </w:rPr>
        <w:t>The first part, which will be payable quarterly in arrears, commencing with the period ending June 30, 2011, will equal 20% of the excess, if any, of our “Pre-Incentive Fee Net Investment Income” (as defined below) that exceeds a 1.75% quarterly (7.00% annualized) hurdle rate, which we refer to as the Hurdle, subject to a “catch-up” provision, measured at the end of each calendar quarter. The first part of the incentive fee is computed and paid on income that may include interest that is accrued but not yet received in cash. The operation of the first part of the incentive fee for each quarter is as follows:</w:t>
      </w:r>
    </w:p>
    <w:p>
      <w:pPr>
        <w:spacing w:after="0" w:line="16" w:lineRule="exact"/>
        <w:rPr>
          <w:rFonts w:ascii="Arial" w:cs="Arial" w:eastAsia="Arial" w:hAnsi="Arial"/>
          <w:sz w:val="16"/>
          <w:szCs w:val="16"/>
          <w:color w:val="auto"/>
        </w:rPr>
      </w:pPr>
    </w:p>
    <w:p>
      <w:pPr>
        <w:ind w:left="1480" w:hanging="446"/>
        <w:spacing w:after="0" w:line="268"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 incentive fee is payable to the Investment Adviser in any calendar quarter in which our Pre-Incentive Fee Net Investment Income does not exceed the Hurdle of 1.75%;</w:t>
      </w:r>
    </w:p>
    <w:p>
      <w:pPr>
        <w:spacing w:after="0" w:line="50" w:lineRule="exact"/>
        <w:rPr>
          <w:rFonts w:ascii="Arial" w:cs="Arial" w:eastAsia="Arial" w:hAnsi="Arial"/>
          <w:sz w:val="18"/>
          <w:szCs w:val="18"/>
          <w:color w:val="auto"/>
        </w:rPr>
      </w:pPr>
    </w:p>
    <w:p>
      <w:pPr>
        <w:ind w:left="1480" w:right="40" w:hanging="446"/>
        <w:spacing w:after="0" w:line="294" w:lineRule="auto"/>
        <w:tabs>
          <w:tab w:leader="none" w:pos="1480" w:val="left"/>
        </w:tabs>
        <w:numPr>
          <w:ilvl w:val="1"/>
          <w:numId w:val="9"/>
        </w:numPr>
        <w:rPr>
          <w:rFonts w:ascii="Arial" w:cs="Arial" w:eastAsia="Arial" w:hAnsi="Arial"/>
          <w:sz w:val="16"/>
          <w:szCs w:val="16"/>
          <w:color w:val="auto"/>
        </w:rPr>
      </w:pPr>
      <w:r>
        <w:rPr>
          <w:rFonts w:ascii="Arial" w:cs="Arial" w:eastAsia="Arial" w:hAnsi="Arial"/>
          <w:sz w:val="16"/>
          <w:szCs w:val="16"/>
          <w:color w:val="auto"/>
        </w:rPr>
        <w:t>50.0% of our Pre-Incentive Fee Net Investment Income with respect to that portion of such Pre-Incentive Fee Net Investment Income, if any, that exceeds the Hurdle but is less than 2.9167% in any calendar quarter (11.67% annualized) is payable to the Investment Adviser. We refer to this portion of our Pre-Incentive Fee Net Investment Income (which exceeds the Hurdle but is less than 2.9167%) as the “catch-up.” The “catch-up” is meant to provide the Investment Adviser with 20% of our Pre-Incentive Fee Net Investment Income, as if a Hurdle did not apply when our Pre-Incentive Fee Net Investment Income exceeds 2.9167% in any calendar quarter; and</w:t>
      </w:r>
    </w:p>
    <w:p>
      <w:pPr>
        <w:spacing w:after="0" w:line="34" w:lineRule="exact"/>
        <w:rPr>
          <w:rFonts w:ascii="Arial" w:cs="Arial" w:eastAsia="Arial" w:hAnsi="Arial"/>
          <w:sz w:val="16"/>
          <w:szCs w:val="16"/>
          <w:color w:val="auto"/>
        </w:rPr>
      </w:pPr>
    </w:p>
    <w:p>
      <w:pPr>
        <w:ind w:left="1480" w:right="260" w:hanging="446"/>
        <w:spacing w:after="0" w:line="259"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20.0% of the amount of our Pre-Incentive Fee Net Investment Income, if any, that exceeds 2.9167% in any calendar quarter (11.67% annualized) is payable to the Investment Adviser (once the Hurdle is reached and the catch-up is achieved, 20.0% of all Pre-Incentive Fee Investment Income thereafter is allocated to the Investment Adviser).</w:t>
      </w:r>
    </w:p>
    <w:p>
      <w:pPr>
        <w:spacing w:after="0" w:line="59"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second part of the incentive fee will equal 20% of our “Incentive Fee Capital Gains,” if any, which will equal our realized capital gains on a cumulative basis from inception through the end of each calendar year, computed net of all realized capital losses and net unrealized capital depreciation on a cumulative basis, less the aggregate amount of any previously paid capital gain incentive fees. The second part of the incentive fee will be payable, in arrears, at the end of each calendar year (or upon termination of the Investment Management Agreement, as of the termination date), commencing with the period ending December 31, 2011. See “Certain Relationships and Transactions–Investment Management Agreement” for more information.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borrow funds from time to time to make investments to the extent we determine that the economic situation is conducive to doing so. The costs associated with our outstanding borrowings will be indirectly borne by our investors. We have a commitment for up to $200.0 million available to us under the Credit Facility, which we expect to become effective shortly after the completion of this offering. For purposes of this section, we have estimated that our wholly owned subsidiary will borrow an amount equal to 80% of our net assets under the Credit Facility at an assumed interest rate of 2.56%, which is calculated based upon the LIBOR rate as of March 24, 2011 and the expected base lending rate under the Credit Facility of LIBOR plus (i) 2.25% while the Credit Facility is in its revolving period and (ii) 4.25% thereafter. Although we do not presently expect to do so during the 12 months following completion of this offering, we may also issue preferred stock subject to our compliance with applicable requirements under the 1940 Act.</w:t>
      </w:r>
    </w:p>
    <w:p>
      <w:pPr>
        <w:ind w:left="460" w:right="56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expenses” includes estimated costs and expenses associated with our formation and organization and estimated costs for our first full year of operations.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Before you invest in our shares you should be aware of various risks, including those described below. You should carefully consider these risk factors, together with all of the other information included in this prospectus before you decide whether to make an investment in our common stock. The risks set out below are not the only risks we face. Additional risks and uncertainties not currently known to us or that we currently deem to be immaterial also may materially adversely affect our business, financial condition and/or results of operations. If any of the following events occur, our business, financial condition and results of operations could be materially adversely affected. In such case, our net asset value and the trading price of our common stock could decline and you may lose all or part of your investment.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new company with a limited operating history.</w:t>
      </w:r>
    </w:p>
    <w:p>
      <w:pPr>
        <w:spacing w:after="0" w:line="177"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We were incorporated in October 2010. We are subject to all of the business risks and uncertainties associated with any new business, including the risk that we will not achieve our investment objective and that the value of your investment could decline substantially. It could take us three to six months to invest substantially all of the net proceeds of this offering in accordance with our investment objective, depending on the availability of appropriate investment opportunities consistent with our investment objective and market conditions. We expect that it may take up to one year to invest all of the net proceeds of this offering, in part because privately negotiated investments in illiquid securities or private middle-market companies require substantial due diligence and structuring. During this period, we will invest the net proceeds of this offering in short-term investments, such as cash and cash equivalents, and we expect we will earn yields substantially lower than the interest income that we anticipate receiving in respect of investments in Floating Rate Loans. As a result, any distributions we make during this period may be substantially lower than the distributions that we expect to pay when our portfolio is fully invested.</w:t>
      </w:r>
    </w:p>
    <w:p>
      <w:pPr>
        <w:spacing w:after="0" w:line="11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Global capital markets could enter a period of severe disruption and instability. These market conditions have historically and could again materially and adversely affect debt and equity capital markets in the United States, which could have a materially negative impact on our business, financial condition and results of operations.</w:t>
      </w:r>
    </w:p>
    <w:p>
      <w:pPr>
        <w:spacing w:after="0" w:line="34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even materially worsen in the future. While current conditions have improved, we may have difficulty accessing debt and equity capital in order to grow. A return of severe disruption and instability in the global financial markets or deterioration in credit and financing conditions could have a material adverse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materially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business development company, we will generally not be able to issue additional shares of our common stock at a price less than our net asset value without first obtaining approval for such issuance from our stockholders and our independent directors. Additionally, our ability to incur indebtedness will be limited by applicable regulations, such that our asset coverage under the 1940 Act must equal at least 200% of our total indebtedness immediately after each time we incur indebtedness. Shrinking portfolio values negatively impact our ability to borrow additional funds under the Credit Facility because our net asset value is reduced for purposes of the 200% asset coverage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significant disruption in the capital markets experienced in the past had and may in the future have a negative effect on the valuations of our investments, and on the potential for liquidity events involving our investments. The debt capital that will be available to us, if at all, may be at a higher cost and on less favorable terms and conditions than those estimated within this prospectus. A prolonged inability to raise capital will require us to reduce the volume of Floating Rate Loans we invest in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139"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we are required to repay in cash the amount paid to the underwriters by the Investment Adviser, we may have to realize losses, and the amount that we have available for investment may be reduced.</w:t>
      </w:r>
    </w:p>
    <w:p>
      <w:pPr>
        <w:spacing w:after="0" w:line="12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Investment Adviser has agreed to pay to the underwriters an additional 2% sales load, or $3,000,000 ($3,450,000 if the underwriters exercise their overallotment option in full) in the aggregate, with respect to this offering of shares of our common stock. We (and indirectly our stockholders) will be obligated to repay this amount, together with accrued interest on such amount (a) if during any four calendar quarter-period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If we are then permitted to do so, we will repay such amount and any interest on such amount through the issuance of shares of our common stock to the Investment Adviser. If we cannot then issue such shares pursuant to the 1940 Act or otherwise, we will pay such amount to the Investment Adviser in cash, and the Investment Adviser has agreed to use such payment to purchase shares of our common stock in the secondary market. If we are obligated to repay this amount to the Investment Adviser in cash while making distributions to our stockholders necessary to maintain our RIC status and avoid the imposition of federal income and excise taxes, we may have to dispose of a portion of our investments. Any such disposition could result in our realizing losses and reduce the amount that we have available for investment.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will incur credit risk when it loans money or commits to loan money to a portfolio company.</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primary business will expose us to credit risk, and the quality of our portfolio will have a significant impact on our earnings. Credit risk is a component part of our fair valuation of our Floating Rate Loans and other investments we may purchase. Negative credit events will lead to a decrease in the fair value of our</w:t>
      </w:r>
    </w:p>
    <w:p>
      <w:pPr>
        <w:sectPr>
          <w:pgSz w:w="11900" w:h="16838" w:orient="portrait"/>
          <w:cols w:equalWidth="0" w:num="1">
            <w:col w:w="11420"/>
          </w:cols>
          <w:pgMar w:left="240" w:top="459" w:right="239" w:bottom="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Floating Rate Loans and other investments.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current market conditions have affected consumer confidence levels, which may result in adverse changes in payment patterns. Increased delinquencies and default rates would impact our results of operations. Deterioration in the credit quality of our portfolio could have a material adverse effect on our capital, financial condition and results of operations.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131"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12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 business development company, we will be required to carry our investments at market value or, if no market value is ascertainable or if market value does not reflect the fair value of such investment in the bona fide determination of our board of directors, then, at fair value as determined in good faith by or under the direction of our board of directors. Decreases in the market values or fair values of our investments will be recorded as unrealized depreciation.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114"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Following periods of volatility in the market price of a company’s securities, securities class action litigation has often been brought against that company.</w:t>
      </w:r>
    </w:p>
    <w:p>
      <w:pPr>
        <w:spacing w:after="0" w:line="12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intend to invest in Floating Rate Loans, which may involve a high degree of repayment risk. We intend to invest in companies that may have limited financial resources, may be highly leveraged and may be unable to obtain financing from traditional sources. Accordingly, a general economic downturn or severe tightening in the credit markets could materially negatively impact the ability of our borrowers to repay their loans, which could materially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17" w:lineRule="exact"/>
        <w:rPr>
          <w:sz w:val="20"/>
          <w:szCs w:val="20"/>
          <w:color w:val="auto"/>
        </w:rPr>
      </w:pPr>
    </w:p>
    <w:p>
      <w:pPr>
        <w:ind w:right="180"/>
        <w:spacing w:after="0" w:line="378" w:lineRule="auto"/>
        <w:rPr>
          <w:sz w:val="20"/>
          <w:szCs w:val="20"/>
          <w:color w:val="auto"/>
        </w:rPr>
      </w:pPr>
      <w:r>
        <w:rPr>
          <w:rFonts w:ascii="Arial" w:cs="Arial" w:eastAsia="Arial" w:hAnsi="Arial"/>
          <w:sz w:val="15"/>
          <w:szCs w:val="15"/>
          <w:b w:val="1"/>
          <w:bCs w:val="1"/>
          <w:color w:val="auto"/>
        </w:rPr>
        <w:t>We are dependent upon the Investment Adviser’s key personnel for our future success, and if the Investment Adviser is unable to hire and retain qualified personnel or if we lose any member of our management team, our ability to achieve our investment objectives could be significantly harmed.</w:t>
      </w:r>
    </w:p>
    <w:p>
      <w:pPr>
        <w:spacing w:after="0" w:line="5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will depend on the diligence, skill and network of business contacts of the investment professionals of the Investment Adviser. We will also depend, to a significant extent, on PennantPark Investment Advisers’ access to the investment information and deal flow generated by these investment professionals and any others that may be hired by the Investment Adviser. Managers of the Investment Adviser will evaluate, negotiate, structure, close and monitor our investments. Our future success depends on the continued service of management personnel of the Investment Adviser. The departure of managers of the Investment Adviser could have a material adverse effect on our ability to achieve our investment objectives. In addition, we can offer no assurance that PennantPark Investment Advisers will remain the Investment Adviser.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the Investment Adviser’s ability to identify, invest in and monitor companies that meet our investment criteria. Accomplishing this result on a cost-effective basis will be largely a function of the Investment Adviser’s structuring of the investment process, its ability to provide competent, attentive and efficient services to us and our access to financing on acceptable terms. The management team of PennantPark Investment Advisers will have substantial responsibilities under the Investment Management Agreement. In order to grow, the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business development companies,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operate in a highly competitive market for investment opportunities.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 number of entities will compete with us to make the types of investments that we will make in middle-market companies. We will compete with public and private funds, including other business development companies and closed-end funds, commercial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will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4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While PennantPark Investment Advisers has identified an initial group of potential investments for our portfolio, we have not identified the entire portfolio that we will acquire with the proceeds of the offering. Also, the Investment Adviser will evaluate investments consistent with its selection process and may take up to one year to fully deploy such proceeds from an offering. As a result, we will invest our funds in temporary investments such as cash, cash equivalents, U.S. government securities and other high-quality investment grade securities that mature in one year or less from the date of investment. The income earned on such investments will be significantly less than what we would earn on investments in Floating Rate Loans and other investments contemplated within this prospectus.</w:t>
      </w:r>
    </w:p>
    <w:p>
      <w:pPr>
        <w:spacing w:after="0" w:line="94" w:lineRule="exact"/>
        <w:rPr>
          <w:sz w:val="20"/>
          <w:szCs w:val="20"/>
          <w:color w:val="auto"/>
        </w:rPr>
      </w:pPr>
    </w:p>
    <w:p>
      <w:pPr>
        <w:ind w:right="1000"/>
        <w:spacing w:after="0" w:line="275" w:lineRule="auto"/>
        <w:rPr>
          <w:sz w:val="20"/>
          <w:szCs w:val="20"/>
          <w:color w:val="auto"/>
        </w:rPr>
      </w:pPr>
      <w:r>
        <w:rPr>
          <w:rFonts w:ascii="Arial" w:cs="Arial" w:eastAsia="Arial" w:hAnsi="Arial"/>
          <w:sz w:val="18"/>
          <w:szCs w:val="18"/>
          <w:b w:val="1"/>
          <w:bCs w:val="1"/>
          <w:color w:val="auto"/>
        </w:rPr>
        <w:t>PennantPark Floating Rate Capital may not replicate the historical performance of other investment companies with which our investment professionals have been affiliated.</w:t>
      </w:r>
    </w:p>
    <w:p>
      <w:pPr>
        <w:spacing w:after="0" w:line="12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112"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 which could have a material adverse effect on our business, financial condition and results of operations.</w:t>
      </w:r>
    </w:p>
    <w:p>
      <w:pPr>
        <w:spacing w:after="0" w:line="4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intend to file an election to be treated as a business development company. After doing so, if we do not remain a business development company,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have current tax liabilities on distributions you reinvest in our common stock.</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“Dividend Reinvestment Plan”.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corporate-level income tax if we are unable to qualify as a RIC.</w:t>
      </w:r>
    </w:p>
    <w:p>
      <w:pPr>
        <w:spacing w:after="0" w:line="96" w:lineRule="exact"/>
        <w:rPr>
          <w:sz w:val="20"/>
          <w:szCs w:val="20"/>
          <w:color w:val="auto"/>
        </w:rPr>
      </w:pPr>
    </w:p>
    <w:p>
      <w:pPr>
        <w:ind w:right="200" w:firstLine="456"/>
        <w:spacing w:after="0" w:line="252" w:lineRule="auto"/>
        <w:rPr>
          <w:sz w:val="20"/>
          <w:szCs w:val="20"/>
          <w:color w:val="auto"/>
        </w:rPr>
      </w:pPr>
      <w:r>
        <w:rPr>
          <w:rFonts w:ascii="Arial" w:cs="Arial" w:eastAsia="Arial" w:hAnsi="Arial"/>
          <w:sz w:val="18"/>
          <w:szCs w:val="18"/>
          <w:color w:val="auto"/>
        </w:rPr>
        <w:t>To qualify as a RIC under the Code, we must meet certain source-of-income, asset diversification and annual distribution requirements. The annual distribution requirement for a RIC is satisfied if we distribute at least 90% of our ordinary income and realized net short-term capital gains in excess of realized net long-term capital losses, if any, to our stockholders on an annual basis. To the extent we use debt financing, we are subject to certain asset coverage ratio requirements under the 1940 Act and financial</w:t>
      </w:r>
    </w:p>
    <w:p>
      <w:pPr>
        <w:spacing w:after="0" w:line="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covenants under loan and credit agreements that could, under certain circumstances, restrict us from making distributions necessary to qualify as a RIC. If we are unable to obtain cash from other sources, we may fail to qualify as a RIC and, thus, may be subject to corporate-level income tax. To qualify as a RIC, we must also meet certain asset diversification requirements at the end of each calendar quarter. Failure to meet these tests may result in having to dispose of certain investments quickly in order to prevent the loss of RIC status. Because most of our investments are in private companies, any such dispositions could be made at disadvantageous prices and may result in substantial losses. If we fail to qualify as a RIC, we will have to pay corporate-level taxes on all of our income whether or not we distribute it, which would substantially reduce our net assets and the amount of income available for debt service as well as reduce and/or affect the character and amount of our distributions to our stockholders. Such a failure would have a material adverse effect on us and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12-month period ending on October 31), we generally will be required to pay an excise tax on amounts carried over and distributed to stockholders in the next year equal to 4% of the undistributed amount.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200" w:lineRule="exact"/>
        <w:rPr>
          <w:sz w:val="20"/>
          <w:szCs w:val="20"/>
          <w:color w:val="auto"/>
        </w:rPr>
      </w:pPr>
    </w:p>
    <w:p>
      <w:pPr>
        <w:ind w:right="380" w:firstLine="456"/>
        <w:spacing w:after="0" w:line="335" w:lineRule="auto"/>
        <w:rPr>
          <w:sz w:val="20"/>
          <w:szCs w:val="20"/>
          <w:color w:val="auto"/>
        </w:rPr>
      </w:pPr>
      <w:r>
        <w:rPr>
          <w:rFonts w:ascii="Arial" w:cs="Arial" w:eastAsia="Arial" w:hAnsi="Arial"/>
          <w:sz w:val="15"/>
          <w:szCs w:val="15"/>
          <w:color w:val="auto"/>
        </w:rPr>
        <w:t>For federal income tax purposes, we will include in income certain amounts that we have not yet received in cash, such as original issue discount, or “OID,” or contracted payment-in-kind, or “PIK,” interest, which represents contractual interest added to the loan balance and due at the end of the loan term. Such original issue discount, which could be significant relative to our overall investment assets, and increases in loan balances as a result of contracted PIK</w:t>
      </w:r>
    </w:p>
    <w:p>
      <w:pPr>
        <w:sectPr>
          <w:pgSz w:w="11900" w:h="16838" w:orient="portrait"/>
          <w:cols w:equalWidth="0" w:num="1">
            <w:col w:w="11420"/>
          </w:cols>
          <w:pgMar w:left="240" w:top="459" w:right="239" w:bottom="0" w:gutter="0" w:footer="0" w:header="0"/>
        </w:sectPr>
      </w:pPr>
    </w:p>
    <w:bookmarkStart w:id="22" w:name="page23"/>
    <w:bookmarkEnd w:id="22"/>
    <w:p>
      <w:pPr>
        <w:ind w:right="60"/>
        <w:spacing w:after="0" w:line="268" w:lineRule="auto"/>
        <w:rPr>
          <w:sz w:val="20"/>
          <w:szCs w:val="20"/>
          <w:color w:val="auto"/>
        </w:rPr>
      </w:pPr>
      <w:r>
        <w:rPr>
          <w:rFonts w:ascii="Arial" w:cs="Arial" w:eastAsia="Arial" w:hAnsi="Arial"/>
          <w:sz w:val="18"/>
          <w:szCs w:val="18"/>
          <w:color w:val="auto"/>
        </w:rPr>
        <w:t>interest will be included in income before we receive any corresponding cash payments. We also may be required to include in income certain other amounts that we will not receive in cash.</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will be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raise additional capital to grow because we must distribute most of our income.</w:t>
      </w:r>
    </w:p>
    <w:p>
      <w:pPr>
        <w:spacing w:after="0" w:line="177"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We may need additional capital to fund the growth of our investments. We have issued equity securities and have borrowed from financial institutions.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as a business development company, we are generally required to maintain a ratio of total assets to total borrowings of at least 200%. This may restrict our ability to borrow in certain circumstances.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2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incur additional indebtedness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or redeem a portion of our senior securities, as applicable, at a time when such sales may be disadvantageous, which could materially damage our business.</w:t>
      </w:r>
    </w:p>
    <w:p>
      <w:pPr>
        <w:spacing w:after="0" w:line="39"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i w:val="1"/>
          <w:iCs w:val="1"/>
          <w:color w:val="auto"/>
        </w:rPr>
        <w:t>Senior Securities</w:t>
      </w:r>
      <w:r>
        <w:rPr>
          <w:rFonts w:ascii="Arial" w:cs="Arial" w:eastAsia="Arial" w:hAnsi="Arial"/>
          <w:sz w:val="18"/>
          <w:szCs w:val="18"/>
          <w:color w:val="auto"/>
        </w:rPr>
        <w:t>. As a result of issuing senior securities, we would also be exposed to typical risks associated with leverage, including an increased risk of</w:t>
      </w:r>
      <w:r>
        <w:rPr>
          <w:rFonts w:ascii="Arial" w:cs="Arial" w:eastAsia="Arial" w:hAnsi="Arial"/>
          <w:sz w:val="18"/>
          <w:szCs w:val="18"/>
          <w:i w:val="1"/>
          <w:iCs w:val="1"/>
          <w:color w:val="auto"/>
        </w:rPr>
        <w:t xml:space="preserve"> </w:t>
      </w:r>
      <w:r>
        <w:rPr>
          <w:rFonts w:ascii="Arial" w:cs="Arial" w:eastAsia="Arial" w:hAnsi="Arial"/>
          <w:sz w:val="18"/>
          <w:szCs w:val="18"/>
          <w:color w:val="auto"/>
        </w:rPr>
        <w:t>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62" w:lineRule="exact"/>
        <w:rPr>
          <w:sz w:val="20"/>
          <w:szCs w:val="20"/>
          <w:color w:val="auto"/>
        </w:rPr>
      </w:pPr>
    </w:p>
    <w:p>
      <w:pPr>
        <w:ind w:left="460" w:right="60"/>
        <w:spacing w:after="0" w:line="306" w:lineRule="auto"/>
        <w:rPr>
          <w:sz w:val="20"/>
          <w:szCs w:val="20"/>
          <w:color w:val="auto"/>
        </w:rPr>
      </w:pPr>
      <w:r>
        <w:rPr>
          <w:rFonts w:ascii="Arial" w:cs="Arial" w:eastAsia="Arial" w:hAnsi="Arial"/>
          <w:sz w:val="15"/>
          <w:szCs w:val="15"/>
          <w:i w:val="1"/>
          <w:iCs w:val="1"/>
          <w:color w:val="auto"/>
        </w:rPr>
        <w:t>Additional Common Stock</w:t>
      </w:r>
      <w:r>
        <w:rPr>
          <w:rFonts w:ascii="Arial" w:cs="Arial" w:eastAsia="Arial" w:hAnsi="Arial"/>
          <w:sz w:val="15"/>
          <w:szCs w:val="15"/>
          <w:color w:val="auto"/>
        </w:rPr>
        <w:t>. Our board of directors may decide to issue additional common stock to finance our operations rather than issuing debt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senior securities. As a business development company, we will generally 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registration statement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significant dilution.</w:t>
      </w:r>
    </w:p>
    <w:p>
      <w:pPr>
        <w:spacing w:after="0" w:line="35" w:lineRule="exact"/>
        <w:rPr>
          <w:sz w:val="20"/>
          <w:szCs w:val="20"/>
          <w:color w:val="auto"/>
        </w:rPr>
      </w:pPr>
    </w:p>
    <w:p>
      <w:pPr>
        <w:ind w:left="460" w:right="20"/>
        <w:spacing w:after="0" w:line="287" w:lineRule="auto"/>
        <w:rPr>
          <w:sz w:val="20"/>
          <w:szCs w:val="20"/>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 may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An inability to successfully securitize our loan portfolio could limit our ability to grow our business and fully execute our business strategy and materially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17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PennantPark Floating Rate Capital that may be formed in the future. The Investment Adviser and Administrator may be engaged by such funds at any time and without the prior approval of our stockholders or our board of directors. Our board of directors will monitor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serve as officers and directors of PennantPark Investment Corp., a publicly-traded business development company.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PennantPark Investment Corp., and any other affiliates that the Investment Adviser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2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Investment Adviser has agreed to pay to the underwriters an additional 2% sales load, or $3,000,000 ($3,450,000 if the underwriters exercise their overallotment option in full) in the aggregate, with respect to this offering of shares of our common stock. We (and indirectly our stockholders) must reimburse this amount under certain circumstances. See “Obligations and Indebtedness.” As a result of these arrangements,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use borrowed funds to make investments and will be exposed to the typical risks associated with leverage.</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we borrow funds to make investments we will be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will be restricted when our asset coverage ratio is not at least 200%, and any amounts that we use to service our indebtedness will not be available for distribution to our common stockholders.</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Any use of debt would be governed by the terms of a credit facility or an indenture or other instrument containing covenants restricting our operating flexibility. We, and indirectly our stockholders, will bear the cost of issuing and servicing debt. Any convertible or exchangeable securities that we issue in the future may have rights, preferences and privileges more favorable than those of our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177"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We intend to enter into the Credit Facility shortly after completing this offering, which we expect to initially provide us with up to $200.0 million in available borrowings.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business development company, we will be required to meet a coverage ratio of total assets to total borrowings and other senior securities, which include all of our borrowings and any preferred stock we may issue in the future, of at least 200% of total indebtedness.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following table is designed to illustrate the effect of leverage on the return an investor in our common stock would experience, assuming a debt to gross asset ratio of 44% and a weighted average annual interest rate of 2.56% and investment portfolio total returns (comprised of income and changes in the value of securities held in our portfolio) of –10%, –5%, 0%, 5% and 10%. These assumed investment portfolio returns are hypothetical figures and are not necessarily indicative of the investment portfolio returns that we may experience. The table assumes that we will maintain a constant level and weighted average rate of leverage. The amount of leverage that we use will vary from time to time. As can be seen, leverage generally increases the return of stockholders when the portfolio return is positive and decreases when the portfolio return is negative. Actual returns may be greater or less than those appearing in the table.</w:t>
      </w:r>
    </w:p>
    <w:p>
      <w:pPr>
        <w:sectPr>
          <w:pgSz w:w="11900" w:h="16838" w:orient="portrait"/>
          <w:cols w:equalWidth="0" w:num="1">
            <w:col w:w="11420"/>
          </w:cols>
          <w:pgMar w:left="240" w:top="459" w:right="239" w:bottom="1076"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076"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60" w:type="dxa"/>
            <w:vAlign w:val="bottom"/>
            <w:gridSpan w:val="3"/>
          </w:tcPr>
          <w:p>
            <w:pPr>
              <w:spacing w:after="0"/>
              <w:rPr>
                <w:sz w:val="20"/>
                <w:szCs w:val="20"/>
                <w:color w:val="auto"/>
              </w:rPr>
            </w:pPr>
            <w:r>
              <w:rPr>
                <w:rFonts w:ascii="Arial" w:cs="Arial" w:eastAsia="Arial" w:hAnsi="Arial"/>
                <w:sz w:val="14"/>
                <w:szCs w:val="14"/>
                <w:b w:val="1"/>
                <w:bCs w:val="1"/>
                <w:color w:val="auto"/>
              </w:rPr>
              <w:t>Assumed return on portfolio (net of expenses)</w:t>
            </w:r>
            <w:r>
              <w:rPr>
                <w:rFonts w:ascii="Arial" w:cs="Arial" w:eastAsia="Arial" w:hAnsi="Arial"/>
                <w:sz w:val="22"/>
                <w:szCs w:val="22"/>
                <w:b w:val="1"/>
                <w:bCs w:val="1"/>
                <w:color w:val="auto"/>
                <w:vertAlign w:val="superscript"/>
              </w:rPr>
              <w:t>(1)</w:t>
            </w:r>
          </w:p>
        </w:tc>
        <w:tc>
          <w:tcPr>
            <w:tcW w:w="440" w:type="dxa"/>
            <w:vAlign w:val="bottom"/>
          </w:tcPr>
          <w:p>
            <w:pPr>
              <w:ind w:left="60"/>
              <w:spacing w:after="0"/>
              <w:rPr>
                <w:sz w:val="20"/>
                <w:szCs w:val="20"/>
                <w:color w:val="auto"/>
              </w:rPr>
            </w:pPr>
            <w:r>
              <w:rPr>
                <w:rFonts w:ascii="Arial" w:cs="Arial" w:eastAsia="Arial" w:hAnsi="Arial"/>
                <w:sz w:val="14"/>
                <w:szCs w:val="14"/>
                <w:b w:val="1"/>
                <w:bCs w:val="1"/>
                <w:color w:val="auto"/>
              </w:rPr>
              <w:t>-10%</w:t>
            </w:r>
          </w:p>
        </w:tc>
        <w:tc>
          <w:tcPr>
            <w:tcW w:w="380" w:type="dxa"/>
            <w:vAlign w:val="bottom"/>
          </w:tcPr>
          <w:p>
            <w:pPr>
              <w:spacing w:after="0"/>
              <w:rPr>
                <w:sz w:val="21"/>
                <w:szCs w:val="21"/>
                <w:color w:val="auto"/>
              </w:rPr>
            </w:pPr>
          </w:p>
        </w:tc>
        <w:tc>
          <w:tcPr>
            <w:tcW w:w="420" w:type="dxa"/>
            <w:vAlign w:val="bottom"/>
          </w:tcPr>
          <w:p>
            <w:pPr>
              <w:jc w:val="right"/>
              <w:ind w:right="2"/>
              <w:spacing w:after="0"/>
              <w:rPr>
                <w:sz w:val="20"/>
                <w:szCs w:val="20"/>
                <w:color w:val="auto"/>
              </w:rPr>
            </w:pPr>
            <w:r>
              <w:rPr>
                <w:rFonts w:ascii="Arial" w:cs="Arial" w:eastAsia="Arial" w:hAnsi="Arial"/>
                <w:sz w:val="14"/>
                <w:szCs w:val="14"/>
                <w:b w:val="1"/>
                <w:bCs w:val="1"/>
                <w:color w:val="auto"/>
              </w:rPr>
              <w:t>-5%</w:t>
            </w:r>
          </w:p>
        </w:tc>
        <w:tc>
          <w:tcPr>
            <w:tcW w:w="3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4"/>
                <w:szCs w:val="14"/>
                <w:b w:val="1"/>
                <w:bCs w:val="1"/>
                <w:color w:val="auto"/>
              </w:rPr>
              <w:t>0%</w:t>
            </w:r>
          </w:p>
        </w:tc>
        <w:tc>
          <w:tcPr>
            <w:tcW w:w="38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38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rPr>
              <w:t>10%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7.0%</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16.0%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140" w:lineRule="exact"/>
        <w:rPr>
          <w:rFonts w:ascii="Arial" w:cs="Arial" w:eastAsia="Arial" w:hAnsi="Arial"/>
          <w:sz w:val="16"/>
          <w:szCs w:val="16"/>
          <w:color w:val="auto"/>
        </w:rPr>
      </w:pPr>
    </w:p>
    <w:p>
      <w:pPr>
        <w:jc w:val="both"/>
        <w:ind w:left="460" w:right="40" w:hanging="452"/>
        <w:spacing w:after="0" w:line="298"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will be exposed to risks associated with changes in interest rates that may materially adversely affect our cost of capital and net investment income.</w:t>
      </w:r>
    </w:p>
    <w:p>
      <w:pPr>
        <w:spacing w:after="0" w:line="21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Since we will borrow money to make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materially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w:t>
      </w:r>
    </w:p>
    <w:p>
      <w:pPr>
        <w:spacing w:after="0" w:line="11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particularly since we intend to invest in Floating Rate Loans. Accordingly, an increase in interest rates would make it easier for us to meet or exceed the incentive fee hurdle and may result in a substantial increase of the amount of incentive fees payable to the Investment Adviser with respect to Pre-Incentive Fee Net Investment Income.</w:t>
      </w:r>
    </w:p>
    <w:p>
      <w:pPr>
        <w:spacing w:after="0" w:line="107"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 material adverse impact on our net interest income. An increase in interest rates could decrease the value of any investments we will hold which earn fixed interest rates and will increase our interest expense on any variable rate borrowings, thereby decreasing our net income. Also, an increase in interest rates available to investors could make investment in our common stock less attractive if we are not able to increase our dividend rate, which could materially reduce the value of our common stock.</w:t>
      </w:r>
    </w:p>
    <w:p>
      <w:pPr>
        <w:spacing w:after="0" w:line="94"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12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Preferred stock, which is another form of leverage, has similar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12"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12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will ultimately be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2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1940 Act and the terms of our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and/or debt securities, which could have a material adverse effect on our business, financial condition on results of operations.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12"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12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under the 1940 Act certain matters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or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could experience fluctuations in our quarterly operating results due to a number of factors, including the interest rate payable on the Floating Rate Loans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materially adversely affect our business.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and our portfolio companies will be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20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materially adversely affect our business and impact our ability to make distributions.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intend to invest in illiquid assets, and our valuation procedures with respect to such assets may result in our recording values that are materially different than the values we ultimately receive upon disposition of such assets.</w:t>
      </w:r>
    </w:p>
    <w:p>
      <w:pPr>
        <w:spacing w:after="0" w:line="12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expect that most, if not all, of our investments will be recorded using broker/dealers quotes or at fair value as determined in good faith by our board of directors. We expect that primarily most, if not all, of our investments (other than cash and cash equivalents) and, if we elect to fair value the Credit Facility, such borrowings, will be classified as Level 3 under ASC 820, Fair Value Measurements.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45"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will generally obtain financial and other information from portfolio companies, which may represent unaudited, projected or pro forma financial information. Unlike banks, we will not be permitted to provide a general reserve for anticipated loan losses; we will instead be required by the 1940 Act to specifically fairly value each individual investment on a quarterly basis. We will record unrealized appreciation if we believe that the underlying portfolio company has appreciated in value. Likewise, we will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adjust the valuation of our portfolio quarterly to reflect our board of directors’ determination of the fair value of each investment in our portfolio.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Any changes in fair value will be recorded in the statement of operations as net change in unrealized appreciation or depreciation.</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board of directors expects to use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materially adversely affected if our determinations regarding the fair value of our investments were materially higher than the values that we ultimately realize upon the disposal of such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materially adversely affect our business.</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may exit such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in light of recent market developments in which investor appetite for illiquid securities was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susceptible to the risk of significant loss if we are forced to discount the value of our investments in order to provide liquidity to meet our liability maturities. Our borrowings under a credit facility would be collateralized by the assets in our investment portfolio. A general disruption in the credit markets could result in a diminished appetite for our securities. In addition,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with respect to over-the-counter traded securities, the continued viability of any over-the-counter secondary market depends on the continued willingness of dealers and other participants to purchase the securities.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on the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invest primarily in Floating Rate Loans of middle-market companies.</w:t>
      </w:r>
    </w:p>
    <w:p>
      <w:pPr>
        <w:spacing w:after="0" w:line="90" w:lineRule="exact"/>
        <w:rPr>
          <w:sz w:val="20"/>
          <w:szCs w:val="20"/>
          <w:color w:val="auto"/>
        </w:rPr>
      </w:pPr>
    </w:p>
    <w:p>
      <w:pPr>
        <w:ind w:left="900" w:right="160" w:hanging="446"/>
        <w:spacing w:after="0" w:line="289"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Floating Rate Loans. </w:t>
      </w:r>
      <w:r>
        <w:rPr>
          <w:rFonts w:ascii="Arial" w:cs="Arial" w:eastAsia="Arial" w:hAnsi="Arial"/>
          <w:sz w:val="16"/>
          <w:szCs w:val="16"/>
          <w:color w:val="auto"/>
        </w:rPr>
        <w:t>The Floating Rate Loans we intend to invest in will usually be rated below investment grade or may also be unrated.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Floating Rate Loans rated below investment grade are 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described elsewhere in this prospectus, including liquidity risk and the risk of investing in below investment-grade, fixed income instruments.</w:t>
      </w:r>
    </w:p>
    <w:p>
      <w:pPr>
        <w:spacing w:after="0" w:line="37"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Floating Rate Loans are subject to the risk of non-payment of scheduled interest or principal. Such non-payment would result in a reduction of income to us, a reduction in the value of the investment and a potential decrease in the net asset value of the Floating Rate Loan.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Floating Rate Loans are subject to the risk that a court, pursuant to fraudulent conveyance or other similar laws, could subordinate the rights in collateral of such Floating Rate Loans to presently existing or future indebtedness of the borrower or take other action detrimental to the holders of Floating Rate Loans including, in certain circumstances, invalidating such Floating Rate Loans or causing interest previously paid to be refunded to the borrower. Either such step could materially negatively affect our performance.</w:t>
      </w:r>
    </w:p>
    <w:p>
      <w:pPr>
        <w:spacing w:after="0" w:line="42" w:lineRule="exact"/>
        <w:rPr>
          <w:sz w:val="20"/>
          <w:szCs w:val="20"/>
          <w:color w:val="auto"/>
        </w:rPr>
      </w:pPr>
    </w:p>
    <w:p>
      <w:pPr>
        <w:ind w:left="920" w:right="60"/>
        <w:spacing w:after="0" w:line="286" w:lineRule="auto"/>
        <w:rPr>
          <w:sz w:val="20"/>
          <w:szCs w:val="20"/>
          <w:color w:val="auto"/>
        </w:rPr>
      </w:pPr>
      <w:r>
        <w:rPr>
          <w:rFonts w:ascii="Arial" w:cs="Arial" w:eastAsia="Arial" w:hAnsi="Arial"/>
          <w:sz w:val="16"/>
          <w:szCs w:val="16"/>
          <w:color w:val="auto"/>
        </w:rPr>
        <w:t>We may acquire Floating Rate Loans through assignments or participations of interests in a Floating Rate Loan.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PennantPark Floating Rate Capital being exposed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greater credit or fraud risk with respect to such Floating Rate Loans than we expected when initially purchasing the participation.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 but not limited to:</w:t>
      </w:r>
    </w:p>
    <w:p>
      <w:pPr>
        <w:spacing w:after="0" w:line="90" w:lineRule="exact"/>
        <w:rPr>
          <w:sz w:val="20"/>
          <w:szCs w:val="20"/>
          <w:color w:val="auto"/>
        </w:rPr>
      </w:pPr>
    </w:p>
    <w:p>
      <w:pPr>
        <w:ind w:left="9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6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the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not yet identified all of the portfolio companies we will invest in using the proceeds of this offering.</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While the Investment Adviser’s investment team has identified an initial group of potential investments for our portfolio, we have not yet identified all of the additional potential investments for our portfolio that we will acquire with the proceeds of the offering. Additionally, the Investment Adviser will select our investments subsequent to the closing of this offering, and our stockholders will have no input with respect to such investment decisions. These factors increase the uncertainty, and thus the risk, of investing in our common stock. In addition, pending such investments, we will invest the net proceeds primarily in cash, cash equivalents, U.S. government securities and other high-quality investment grade investments that mature in one year or less from the date of investment. The income we earn on such temporary investments will generally be significantly less than what we would expect to receive from investments in the types of senior loans we intend to target for investment, and if we are not able to identify or gain access to suitable investments, our income may be limited.</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 the 1940 Act we will be allowed invest up to 30% of our assets in investments that are not qualifying assets for business development companies.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do not invest a sufficient portion of our assets in qualifying assets, we could be precluded from investing in assets that we deem to be attractive.</w:t>
      </w:r>
    </w:p>
    <w:p>
      <w:pPr>
        <w:spacing w:after="0" w:line="19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business development company, we will not be allowed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that most of our Floating Rate Loan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1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will not be limited with respect to the proportion of our assets that may be invested in securities of a single issuer.</w:t>
      </w:r>
    </w:p>
    <w:p>
      <w:pPr>
        <w:sectPr>
          <w:pgSz w:w="11900" w:h="16838" w:orient="portrait"/>
          <w:cols w:equalWidth="0" w:num="1">
            <w:col w:w="11420"/>
          </w:cols>
          <w:pgMar w:left="240" w:top="459" w:right="239" w:bottom="1440" w:gutter="0" w:footer="0" w:header="0"/>
        </w:sectPr>
      </w:pPr>
    </w:p>
    <w:bookmarkStart w:id="31" w:name="page32"/>
    <w:bookmarkEnd w:id="31"/>
    <w:p>
      <w:pPr>
        <w:ind w:right="2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will not be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Many of our portfolio companies may be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31"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gains from our equity investments.</w:t>
      </w:r>
    </w:p>
    <w:p>
      <w:pPr>
        <w:spacing w:after="0" w:line="177"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When we invest in mezzanine loans or senior secured loans, we may also invest in the equity securities of the borrower or acquire warrants or other equity securities as well. In addition, we may invest directly in the equity securities of portfolio companies. Our goal is ultimately to dispose of such equity interests and realize gains upon our disposition of such interests. However, the equity interests we receive may not appreciate in value and, in fact, may decline in value.</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Accordingly, we may not be able to realize gains from our equity interests, and any gains that we do realize on the disposition of any equity interests may not be sufficient to offset any other losses we experience.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materially impair the value of our portfolio.</w:t>
      </w:r>
    </w:p>
    <w:p>
      <w:pPr>
        <w:spacing w:after="0" w:line="1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38" w:lineRule="exact"/>
        <w:rPr>
          <w:sz w:val="20"/>
          <w:szCs w:val="20"/>
          <w:color w:val="auto"/>
        </w:rPr>
      </w:pPr>
    </w:p>
    <w:p>
      <w:pPr>
        <w:ind w:right="420"/>
        <w:spacing w:after="0" w:line="378" w:lineRule="auto"/>
        <w:rPr>
          <w:sz w:val="20"/>
          <w:szCs w:val="20"/>
          <w:color w:val="auto"/>
        </w:rPr>
      </w:pPr>
      <w:r>
        <w:rPr>
          <w:rFonts w:ascii="Arial" w:cs="Arial" w:eastAsia="Arial" w:hAnsi="Arial"/>
          <w:sz w:val="15"/>
          <w:szCs w:val="15"/>
          <w:b w:val="1"/>
          <w:bCs w:val="1"/>
          <w:color w:val="auto"/>
        </w:rPr>
        <w:t>Because we will not generally hold controlling equity interests in our portfolio companies, we will not be in a position to exercise control over our portfolio companies or to prevent decisions by management of our portfolio companies that could materially decrease the value of our investments.</w:t>
      </w:r>
    </w:p>
    <w:p>
      <w:pPr>
        <w:spacing w:after="0" w:line="57"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Because we will not, generally, have controlling equity positions in our portfolio companies, we will be subject to the risk that a portfolio company may make business decisions with which we disagree, and the stockholders and management of a portfolio company may take risks or otherwise act in ways that are adverse to our interests. Due to the lack of liquidity for the Floating Rate Loans that we expect to hold in our portfolio companies, we may not be able to dispose of our investments in the event we disagree with the actions of a portfolio company, and may therefore suffer a material decrease in the value of our investments.</w:t>
      </w:r>
    </w:p>
    <w:p>
      <w:pPr>
        <w:spacing w:after="0" w:line="9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13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intend to invest primarily in privately held companies. Generally, little public information exists about these companies, and we will rely on the ability of the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global climate change may impact the operations of our portfolio companies.</w:t>
      </w:r>
    </w:p>
    <w:p>
      <w:pPr>
        <w:spacing w:after="0" w:line="17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intend to invest primarily in Floating Rate Loans issued by our portfolio companies. The portfolio companies usually will have, or may be permitted to incur, other debt that ranks equally with, or senior to, the Floating Rate Loans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w:t>
      </w:r>
    </w:p>
    <w:p>
      <w:pPr>
        <w:sectPr>
          <w:pgSz w:w="11900" w:h="16838" w:orient="portrait"/>
          <w:cols w:equalWidth="0" w:num="1">
            <w:col w:w="11400"/>
          </w:cols>
          <w:pgMar w:left="240" w:top="459" w:right="259" w:bottom="346"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459" w:right="259" w:bottom="346"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equal basis any distributions with other creditors holding such debt in the event of an insolvency, liquidation, dissolution, reorganization or bankruptcy of the relevant portfolio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the Investment Adviser is calculated based on a percentage of our return on invested capital. This may encourage the Investment Adviser to use leverage to increase the return on our investments. Under certain circumstances, the use of leverage may increase the likelihood of default, which would disfavor the holders of our common stock. In addition, the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part of our incentive fee payable by us to PennantPark Investment Advisers that relates to our investment income is computed and paid on income that may include interest that has been accrued but that has not yet been received in cash. If a portfolio company defaults on a loan structured to provide accrued interest, it is possible that the accrued interest previously used in the calculation of the incentive fee will become uncollectible.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10"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may make investments that cause our stockholders to bear investment advisory fees and other expenses on such investments in addition to our management fees and expenses.</w:t>
      </w:r>
    </w:p>
    <w:p>
      <w:pPr>
        <w:spacing w:after="0" w:line="126"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the Investment Management Agreement. With respect to any such investments, each of our stockholders will bear his or her share of the investment advisory fees of PennantPark Investment Advisers as well as indirectly bear the investment advisory fees and other expenses of any investment companies in which we invest.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the Investment Adviser incentive compensation even if we incur a loss.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Investment Adviser is entitled to incentive compensation for each fiscal quarter in an amount equal to a percentage of the excess of our income for that quarter minus our operating expenses for the quarter above a threshold return for that quarter. Our Pre-Incentive Fee Net Investment Income for incentive compensation purposes excludes realized capital losses and unrealized capital depreciation that we may incur in the fiscal quarter, even if such capital losses result in a net loss on our statement of operations for that quarter. Thus, we may be required to pay the Investment Adviser incentive compensation for a fiscal quarter even if there is a decline in the value of our portfolio or we incur a net loss for that quarter.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securities may involve significant risks in addition to the risks inherent in U.S. investments.</w:t>
      </w:r>
    </w:p>
    <w:p>
      <w:pPr>
        <w:spacing w:after="0" w:line="177" w:lineRule="exact"/>
        <w:rPr>
          <w:sz w:val="20"/>
          <w:szCs w:val="20"/>
          <w:color w:val="auto"/>
        </w:rPr>
      </w:pPr>
    </w:p>
    <w:p>
      <w:pPr>
        <w:jc w:val="both"/>
        <w:ind w:right="140" w:firstLine="456"/>
        <w:spacing w:after="0" w:line="294" w:lineRule="auto"/>
        <w:rPr>
          <w:sz w:val="20"/>
          <w:szCs w:val="20"/>
          <w:color w:val="auto"/>
        </w:rPr>
      </w:pPr>
      <w:r>
        <w:rPr>
          <w:rFonts w:ascii="Arial" w:cs="Arial" w:eastAsia="Arial" w:hAnsi="Arial"/>
          <w:sz w:val="16"/>
          <w:szCs w:val="16"/>
          <w:color w:val="auto"/>
        </w:rPr>
        <w:t>Our investment strategy contemplates potential investments in debt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0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1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12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Floating Rate Capital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operating history.</w:t>
      </w:r>
    </w:p>
    <w:p>
      <w:pPr>
        <w:spacing w:after="0" w:line="1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were formed in October 2010 and have not yet commenced investment operations. As a result of a lack of operating history, we are subject to many of the business risks and uncertainties associated with recently formed businesses, including the risk that we will not achieve our investment objective and that the value of your investment could decline substantially.</w:t>
      </w:r>
    </w:p>
    <w:p>
      <w:pPr>
        <w:spacing w:after="0" w:line="13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materially decline.</w:t>
      </w:r>
    </w:p>
    <w:p>
      <w:pPr>
        <w:spacing w:after="0" w:line="13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business development company, we generally will be required to meet a coverage ratio of total assets to total senior securities, which includes all of our borrowings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177"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that will be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w:t>
      </w:r>
    </w:p>
    <w:p>
      <w:pPr>
        <w:sectPr>
          <w:pgSz w:w="11900" w:h="16838" w:orient="portrait"/>
          <w:cols w:equalWidth="0" w:num="1">
            <w:col w:w="11400"/>
          </w:cols>
          <w:pgMar w:left="240" w:top="459" w:right="259" w:bottom="1440" w:gutter="0" w:footer="0" w:header="0"/>
        </w:sectPr>
      </w:pP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459" w:right="2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34"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There is a risk that our common stockholders may receive our stock as dividends, in which case they may be required to pay tax in excess of the cash they receive.</w:t>
      </w:r>
    </w:p>
    <w:p>
      <w:pPr>
        <w:spacing w:after="0" w:line="12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in the United States, (2) the distribution is declared with respect to a taxable year ending on or before December 31, 2011 and (3) each stockholder may elect to receive his or her entire distribution in either cash or stock of the RIC subject to a limitation on the aggregate amount of cash to be distributed to all stockholders, which must be at least 10%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10% of his or her entire distribution in cash. We currently do not intend to distribute stock as a dividend but reserve the right to do so.</w:t>
      </w:r>
    </w:p>
    <w:p>
      <w:pPr>
        <w:spacing w:after="0" w:line="11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a substantial discount from net asset value and may continue to do so over the long term.</w:t>
      </w:r>
    </w:p>
    <w:p>
      <w:pPr>
        <w:spacing w:after="0" w:line="1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Shares of business development companies have frequently traded at a market price that is less than the net asset value that is attributable to those shares. The possibility that our shares of common stock will trade at a discount from net asset value over the long term is separate and distinct from the risk that our net asset value will decrease. It is not possible to predict whether our shares will trade at, above or below net asset value in the future. If our common stock trades below its net asset value, we will generally not be able to issue additional shares or sell our common stock at its market price without first obtaining the approval for such issuance from our stockholders and our independent directors. If additional funds are not available to us, we could be forced to curtail or cease our new lending and investment activities, and our net asset value could decrease and our level of distributions could be impacted.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obtain qualification as a RIC or 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the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212"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We cannot assure you that we will be able to find enough appropriate investments that meet our investment criteria or that any investment we complete using the proceeds from an offering will produce a sufficient return.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 material adverse effect on the market price of our securities.</w:t>
      </w:r>
    </w:p>
    <w:p>
      <w:pPr>
        <w:spacing w:after="0" w:line="17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materially impair our ability to raise additional capital through the sale of securities should we desire to do so.</w:t>
      </w:r>
    </w:p>
    <w:p>
      <w:pPr>
        <w:spacing w:after="0" w:line="79"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b w:val="1"/>
          <w:bCs w:val="1"/>
          <w:color w:val="auto"/>
        </w:rPr>
        <w:t>We may obtain the approval of our stockholders to issue shares of our common stock at prices below the then current net asset value per share of our common stock. Any such issuance could materially dilute your interest in our common stock and reduce our net asset value per share.</w:t>
      </w:r>
    </w:p>
    <w:p>
      <w:pPr>
        <w:spacing w:after="0" w:line="8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w:t>
      </w:r>
    </w:p>
    <w:p>
      <w:pPr>
        <w:spacing w:after="0" w:line="114" w:lineRule="exact"/>
        <w:rPr>
          <w:sz w:val="20"/>
          <w:szCs w:val="20"/>
          <w:color w:val="auto"/>
        </w:rPr>
      </w:pPr>
    </w:p>
    <w:p>
      <w:pPr>
        <w:ind w:right="780"/>
        <w:spacing w:after="0" w:line="339" w:lineRule="auto"/>
        <w:rPr>
          <w:sz w:val="20"/>
          <w:szCs w:val="20"/>
          <w:color w:val="auto"/>
        </w:rPr>
      </w:pPr>
      <w:r>
        <w:rPr>
          <w:rFonts w:ascii="Arial" w:cs="Arial" w:eastAsia="Arial" w:hAnsi="Arial"/>
          <w:sz w:val="16"/>
          <w:szCs w:val="16"/>
          <w:b w:val="1"/>
          <w:bCs w:val="1"/>
          <w:color w:val="auto"/>
        </w:rPr>
        <w:t>The Investment Adviser can resign upon 60 days’ notice, and we may not be able to find a suitable replacement within that time, resulting in a disruption in our operations that could materially adversely affect our financial condition, business and results of operations.</w:t>
      </w:r>
    </w:p>
    <w:p>
      <w:pPr>
        <w:spacing w:after="0" w:line="8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Investment Adviser has the right, under the Investment Management Agreement, to resign at any time upon 60 days’ written notice, whether we have found a replacement or not. If the Investment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common stock may decline. In addition, the coordination of our internal management and investment activities is likely to suffer if we are unable to identify and reach an agreement with a single institution or group of executives having the expertise possessed by the Investment Adviser and its affiliates. Even if we are able to retain comparable management, whether internal or external, the integration of such management and their lack of familiarity with our investment objective may result in additional costs and time delays that may materially adversely affect our financial condition, business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incur significant costs as a result of being a publicly traded company.</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a publicly traded company, we will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of 2002, and other rules implemented by the SEC and the listing standards of the NASDAQ.</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This prospectus contains statements that constitute forward-looking statements,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7"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You should understand that, under Sections 27A(b)(2)(B) of the Securities Act and Section 21E(b)(2)(B) of the Exchange Act, the “safe harbor” provisions of the Private Securities Litigation Reform Act of 1995 do not apply to statements made in connection with any offering of securities pursuant to this prospectus or in the periodic reports we file under the Exchange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estimate that the net proceeds we will receive from the sale of 10,000,000 shares of our common stock in this offering will be approximately $141.5 million, or approximately $162.9 million if the underwriters fully exercise their over-allotment option, in each case assuming an initial public offering price of $15.00 per share after deducting the underwriting discounts and commissions of $7,500,000 payable by us ($8,625,000 if the underwriters fully exercise their over-allotment option) (excluding an additional sales load of $3,000,000 ($3,450,000 if the underwriters fully exercise their over-allotment option) that the Investment Adviser has agreed to pay to the underwriters) and estimated offering expenses of approximately $1,000,000 payable by us.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plan to use the net proceeds of this offering for investments primarily in Floating Rate Loans in accordance with our investment objectives and strategies described in this prospectus and for general working capital purposes. We will also pay operating expenses, including management and administrative fees, and may pay other expenses such as due diligence expenses of potential new investments, from the net proceeds of this offering. We anticipate that substantially all of the net proceeds of this offering will be used for the above purposes within three to six months from the consummation of this offering, depending on the availability of appropriate investment opportunities consistent with our investment objectives and market conditions. We cannot assure you that we will achieve our targeted investment pace.</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Pending such investments, we will invest the net proceeds primarily in cash, cash equivalents, U.S. government securities and other high-quality investments that mature in one year or less from the date of investment. The Investment Adviser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See “Regulation — Temporary Investments” for additional information about temporary investments we may make while waiting to make longer-term investments in pursuit of our investment objectives.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actual capitalization of PennantPark Floating Rate Capital at March 4, 2011; and</w:t>
      </w:r>
    </w:p>
    <w:p>
      <w:pPr>
        <w:spacing w:after="0" w:line="171"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capitalization of PennantPark Floating Rate Capital as-adjusted to reflect the sale of 10,000,000 shares of our common stock in this offering at a public offering price of $15.00 per share, after deducting the underwriting discounts and commissions and estimated offering expenses of approximately $1,000,000 payable by 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As of March 4,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4"/>
              </w:rPr>
              <w:t>Actual</w:t>
            </w:r>
          </w:p>
        </w:tc>
        <w:tc>
          <w:tcPr>
            <w:tcW w:w="3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As-Adjusted</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10,000</w:t>
            </w:r>
          </w:p>
        </w:tc>
        <w:tc>
          <w:tcPr>
            <w:tcW w:w="400" w:type="dxa"/>
            <w:vAlign w:val="bottom"/>
            <w:gridSpan w:val="2"/>
          </w:tcPr>
          <w:p>
            <w:pPr>
              <w:jc w:val="center"/>
              <w:ind w:left="232"/>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141,510,000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10,000</w:t>
            </w:r>
          </w:p>
        </w:tc>
        <w:tc>
          <w:tcPr>
            <w:tcW w:w="4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141,510,000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Assets: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1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Common stock, par value $0.001 per share; 100,000,000 shares authorized; 667 shares outstanding, actual; 10,000,667 shares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as adjusted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Paid-in capital in excess of par value</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9,999</w:t>
            </w:r>
          </w:p>
        </w:tc>
        <w:tc>
          <w:tcPr>
            <w:tcW w:w="400" w:type="dxa"/>
            <w:vAlign w:val="bottom"/>
            <w:gridSpan w:val="2"/>
          </w:tcPr>
          <w:p>
            <w:pPr>
              <w:jc w:val="center"/>
              <w:ind w:left="232"/>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141,499,999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10,000</w:t>
            </w:r>
          </w:p>
        </w:tc>
        <w:tc>
          <w:tcPr>
            <w:tcW w:w="4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141,510,000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Does not include the underwriters’ overallotment option of 1,500,000 shares of our common stock.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potential dilution to investors in this offering is represented by the difference between the offering price per share and the pro forma net asset value per share after this offering. Net asset value per share is determined by dividing our net asset value, which is our total tangible assets less total liabilities, by the number of outstanding shares of common stock.</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28, 2011, our net asset value was $10,000, or approximately $15.00 per share. After giving effect to the sale of the shares to be sold in this offering, and the deduction of discounts and estimated expenses of this offering, our as-adjusted net asset value would be approximately $141.5 million, or $14.15 per share, representing an immediate dilution of $0.85 per share, or 5.67%, to shares sold in this offering. The following illustration assumes no exercise of the underwriters’ over-allotment option. If the underwriters’ over-allotment is exercised in full, there would be an immediate dilution to the net asset value of $0.84 per share, or 5.58%, to the shares sold in this offering.</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The following table illustrates the dilution to the shares on a per share basis: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March 28, 2011 net asset value per share immediately prior to this offering</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38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As-adjusted net asset value per share immediately after this offering</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ind w:left="1380"/>
              <w:spacing w:after="0"/>
              <w:rPr>
                <w:sz w:val="20"/>
                <w:szCs w:val="20"/>
                <w:color w:val="auto"/>
              </w:rPr>
            </w:pPr>
            <w:r>
              <w:rPr>
                <w:rFonts w:ascii="Arial" w:cs="Arial" w:eastAsia="Arial" w:hAnsi="Arial"/>
                <w:sz w:val="18"/>
                <w:szCs w:val="18"/>
                <w:color w:val="auto"/>
                <w:w w:val="94"/>
              </w:rPr>
              <w:t>Dilution per share to stockholders participating in this offering (without exercise of the over-</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2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allotment option)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220" w:type="dxa"/>
            <w:vAlign w:val="bottom"/>
            <w:gridSpan w:val="2"/>
          </w:tcPr>
          <w:p>
            <w:pPr>
              <w:jc w:val="right"/>
              <w:ind w:right="2792"/>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DISCUSSION OF MANAGEMENT’S EXPECTED OPERATING PLANS</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The following discussion and other parts of this prospectus contain forward-looking information that involves risks and uncertainties. Our actual results could differ materially from those anticipated by such forward-looking information due to factors discussed under “Risk Factors” appearing elsewhere in the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a newly organized externally managed finance company. We were formed on October 28, 2010 as a Maryland corporation structured as an externally managed, non-diversified closed-end management investment company. We intend to elect to be treated as a business development company under the 1940 Act. In addition, for tax purposes we intend to elect to be treated, and intend to qualify annually, as a RIC under Subchapter M of the Code, commencing with our first taxable year ending after completion of this offering.</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investment objective is to seek high current income. We will seek to achieve our investment objective by investing primarily in Floating Rate Loans made to private middle-market companies whose debt is rated below investment grade. We may also invest in thinly traded or small market-cap public middle-market U.S. companies. Floating Rate Loans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forms of non-investment grade debt, Floating Rate Loans typically have more robust capital-preserving qualities such as less credit risk and have historically had lower default rates than junk bonds. Floating Rate Loans are typically the most senior source of capital in a borrower’s capital structure and often have certain of the borrower’s assets pledged as collateral. Floating Rate Loans feature rates that reset regularly, maintaining a fixed spread over the London InterBank Offered Rate (“LIBOR”) or the prime rates of large money-center banks. Floating Rate Loans typically have terms of three to ten years. Floating Rate Loans are typically made to U.S. and, to a limited extent, non-U.S. corporations, partnerships and other business entities which operate in various industries and geographical regions. Under normal market conditions, we expect that at least 80% of the value of our Managed Assets, which means our net assets plus any borrowings for investment purposes, will be invested in Floating Rate Loans. We expect that senior secured loans will represent approximately 65% of our overall portfolio. We expect to invest up to 35% of our overall portfolio opportunistically in other types of investments, including second-lien, high yield, mezzanine and distressed debt securities and private equity investments.</w:t>
      </w:r>
    </w:p>
    <w:p>
      <w:pPr>
        <w:spacing w:after="0" w:line="12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expect to invest in Floating Rate Loans made primarily to leveraged private middle-market companies. We may also invest in thinly traded or small market-cap public middle-market U.S. companies. Our investments will initially generally range between $2 million and $20 million on average, although we expect that this investment size will vary proportionately with the size of our capital base. In addition, we may invest a portion of our portfolio in other types of investments, which we refer to as opportunistic investments, which are not our primary focus but are intended to enhance our overall returns. These investments may include, but are not limited to, direct investments in public companies that are not thinly traded and securities of leveraged companies located in select countries outside of the United States.</w:t>
      </w:r>
    </w:p>
    <w:p>
      <w:pPr>
        <w:spacing w:after="0" w:line="14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will be managed by PennantPark Investment Advisers. PennantPark Investment Administration will provide the administrative services necessary for us to operate. We believe that our ability to leverage the existing investment management and administrative support platforms of the Investment Adviser and Administrator, respectively, will enable us to operate more efficiently and with lower overhead costs than other newly-formed funds of comparable size.</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consummation of each investment will, however, depend upon obtaining mutually satisfactory pricing terms, the execution and delivery of final binding agreements and the completion of final due diligence. In addition, if we do not wish to make an investment, we will not be obligated to do so. Similarly, prospective portfolio companies are not obligated to obtain Floating Rate Loan financing from us. We can offer no assurance that in the course of completing the prospective investments the Investment Adviser’s team has identified for us, we will not discover facts that would cause us to change the terms and amounts of these investments or render these investments unattractive or that any of these investments will actually be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generate revenue in the form of interest income on our portfolio investments and capital gains and distributions, if any, on our debt investments that we may acquire in portfolio companies. Our Floating Rate Loans typically will have a term of three to ten years and bear interest at a floating rate. Interest on debt investments is generally payable quarterly or semiannually. In some cases, some of our investments may provide for deferred interest payments or PIK. The principal amount of our debt investments and any accrued but unpaid interest generally will become due at the maturity date. We expect to originate portfolio investments to a greater extent over time and may generate revenue from origination or structuring fees. In addition, we may generate revenue in the form of commitment or diligence fees, fees for providing managerial assistance and possibly consulting fees. Loan origination fees, OID and market discount or premium are capitalized, and we will accrete or amortize such amounts as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income. We will record prepayment premiums on loans and debt securities as income. Dividend income, if any, will be recognized on an accrual basis on the ex-dividend date to the extent that we expect to collect such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primary operating expenses will include the payment of management fees to the Investment Adviser, our allocable portion of overhead under the Administration Agreement and other operating costs as detailed below. Our management fee will compensate the Investment Adviser for its work in identifying, evaluating, negotiating, consummating and monitoring our investments. Additionally, we would pay interest expense on any outstanding debt we may accrue under a credit facility. We will bear all other direct or indirect costs and expenses of our operations and transactions, including:</w:t>
      </w:r>
    </w:p>
    <w:p>
      <w:pPr>
        <w:spacing w:after="0" w:line="3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the Administration Agreement that will be based upon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may enter into interest rate hedging agreements. To the extent that any of our investments are denominated in a currency other than U.S. dollars, we may enter into currency hedging contracts to reduce our exposure to fluctuations in currency exchange rates. Such hedging activities, which will be subject to compliance with applicable legal requirements, may include the use of futures, options, swaps and forward contracts. Costs incurred in entering into such contracts or in settling them will be borne by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discussion of our expected operating plans is based upon our expected financial statements, which will be prepared in accordance with U.S. generally accepted accounting principles, or “GAAP.” The preparation of these financial statements will require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will describe our critical accounting policies in the notes to our future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investments will generally consist of illiquid securities including Floating Rate Loans and, to a lesser extent, equity investments of middle-market companies. Our board of directors will generally use market quotations to assess the value of our investments for which market quotations are readily available. We will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will generally be valued by an independent pricing service or at the bid prices from at least two broker/dealers (if available, otherwise by a principal market maker or a primary market dealer). Investments, of sufficient credit quality, purchased within 60 days of maturity will be valued at cost plus accreted discount, or minus amortized premium, which approximates value.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will undertake a multi-step valuation process each quarter, as described below:</w:t>
      </w:r>
    </w:p>
    <w:p>
      <w:pPr>
        <w:spacing w:after="0" w:line="51" w:lineRule="exact"/>
        <w:rPr>
          <w:sz w:val="20"/>
          <w:szCs w:val="20"/>
          <w:color w:val="auto"/>
        </w:rPr>
      </w:pPr>
    </w:p>
    <w:p>
      <w:pPr>
        <w:ind w:left="900" w:right="24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the Investment Adviser;</w:t>
      </w:r>
    </w:p>
    <w:p>
      <w:pPr>
        <w:spacing w:after="0" w:line="90" w:lineRule="exact"/>
        <w:rPr>
          <w:rFonts w:ascii="Arial" w:cs="Arial" w:eastAsia="Arial" w:hAnsi="Arial"/>
          <w:sz w:val="18"/>
          <w:szCs w:val="18"/>
          <w:color w:val="auto"/>
        </w:rPr>
      </w:pPr>
    </w:p>
    <w:p>
      <w:pPr>
        <w:ind w:left="900" w:right="180" w:hanging="446"/>
        <w:spacing w:after="0" w:line="298"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board of directors will also engage independent valuation firms to conduct independent appraisals of our investments for which market quotations are not readily available or are readily available but deemed not reflective of the fair value of the investment. The independent valuation firms will review management’s preliminary valuations in light of their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900" w:right="6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valuations of the Investment Adviser and that of the independent valuation firms and respond and supplement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board of directors will discuss these valuations and determine the fair value of each investment in our portfolio in good faith based on the input of the Investment Adviser, the respective independent valuation firms and the audit committee.</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Fair Value Measurements, as defined under ASC 820, is the price that we would receive upon selling an investment or pay to transfer a liability in an orderly transaction to a market participant in the principal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18" w:lineRule="auto"/>
        <w:rPr>
          <w:sz w:val="20"/>
          <w:szCs w:val="20"/>
          <w:color w:val="auto"/>
        </w:rPr>
      </w:pPr>
      <w:r>
        <w:rPr>
          <w:rFonts w:ascii="Arial" w:cs="Arial" w:eastAsia="Arial" w:hAnsi="Arial"/>
          <w:sz w:val="15"/>
          <w:szCs w:val="15"/>
          <w:color w:val="auto"/>
        </w:rPr>
        <w:t>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Floating Rate Capital. Unobservable inputs are inputs that reflect the assumptions market participants would use in pricing an asset or liability developed based on the best information available at the time.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will be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would result in classification as Level 3 information, assuming no additional corroborating evidence was available.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review of fair value hierarchy classifications will be conducted on a quarterly basis. Changes in the observability of valuation inputs may result in a reclassification for certain financial assets or liabilities. Reclassifications impacting Level 3 of the fair value hierarchy will be reported as transfers in or out of the Level 3 category as of the end of the quarter in which the reclassifications occur.</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and investments valuations, PennantPark Floating Rate Capital will employ the valuation policy approved by our board of directors that is consistent with ASC 820. Consistent with our valuation policy, PennantPark Floating Rate Capital will evaluate the source of inputs, including any markets in which our investments are trading, in determining fair value.</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investments will generally be structured as debt and equity investments in the form of senior secured loans, mezzanine debt and equity co-investments. The transaction price, excluding transaction costs, will typically be the best estimate of fair value at inception. When evidence supports a subsequent change to the carrying value from the original transaction price, adjustments will be made to reflect the expected exit values. Ongoing reviews by the Investment Adviser and independent valuation firms will be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will be included in Level 3 of the fair value hierarchy.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will record interest income on an accrual basis to the extent that we expect to collect such amounts. For Floating Rate Loans with contractual PIK interest, which represents contractual interest accrued and added to the loan balance that generally becomes due at maturity, we will generally not accrue PIK interest if the portfolio company valuation indicates that such PIK interest is not collectible. We will not accrue as a receivable interest on our investments if we determine that it is probable that we will not be able to collect such interest. Loan origination fees, OID, market discount or premium and deferred financing costs on our debt will be capitalized, and we then amortize such amounts as interest income or expense as applicable. We will record prepayment premiums on our investments as income. Dividend income, if any, will be recognized on an accrual basis on the ex-dividend date to the extent that we expect to collect such amounts.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We will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may have investments in our portfolio which contain a PIK interest provision. PIK interest will be added to the principal balance of the investment and recorded as income. For us to obtain and maintain our status as a RIC, substantially all of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intend to operate so as to qualify to obtain and maintain annually our election to be taxed as a RIC under Subchapter M of the Code. If we so qualify, we will not be subject to federal income tax on the portion of our taxable income and gains distributed to stockholders. To qualify as a RIC, we are required to distribute at least 90% of our investment company taxable income as defined by the Code. Although not required for us to maintain our RIC tax status, we must also distribute an amount at least equal to the sum 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98% of our ordinary income (during each calendar year) plus 98.2% of our net capital gains (during each 12 month period ending on October 31) to avoid a 4% excise tax.</w:t>
      </w:r>
    </w:p>
    <w:p>
      <w:pPr>
        <w:spacing w:after="0" w:line="132"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will be reclassified among capital accounts in our future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will generate cash primarily from the net proceeds of this offering and any future offerings of securities and cash flows from operations, including interest earned from the temporary investment of cash in U.S. government securities and other high-quality debt investments that mature in one year or less. In the future, we may obtain borrowings from banks and issuances of senior securities. We may also borrow funds subsequent to this offering, including before we have fully invested the proceeds of this offering,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us and our stockholders, though we have not decided the extent to which we will finance portfolio investment using debt. See “Material U.S. Federal Income Tax Considerations.” In the future, we may also securitize a portion of our investments. Our primary use of funds will be investments in portfolio companies and repayment of amounts owing to the advances under any borrowings we may obtain in the future, cash distributions to holders of our common stock and the payment of operating expenses, including debt service if we borrow additional amounts after completion of this offering to fund our investments. Immediately after this offering and the consummation of the related transactions, we expect to have cash resources of approximately $141.5 million or $162.9 million if the underwriters’ over-allotment option is fully exercised and no indebtedness. This amount does not take into account proceeds, if any, from the exercise of the underwriters’ overallotment option. See “Use of Proceeds.”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will enter into certain contracts under which we will have material future commitments. Under the Investment Management Agreement, PennantPark Investment Advisers will serve as our investment adviser in accordance with the terms of the Investment Management Agreement. Payments under the Investment Management Agreement in each reporting period will be equal to (1) a management fee equal to 1% of the value of our gross assets and (2) an incentive fee based on our performance. See “Certain Relationships and Transactions—Investment Management Agreement.”</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the Administration Agreement, PennantPark Investment Administration will furnish us with office facilities and administrative services necessary to conduct our day-to-day operations. If requested to provide managerial assistance to our portfolio companies, we or PennantPark Investment Administration will be paid an additional amount based on the services provided, which amount will not in any case exceed the amount we receive from the portfolio companies for such services. Payment under the Administration Agreement is based upon our allocable portion of the Administrator’s overhead in performing its obligations under the Administration Agreement, including rent, technology systems, insurance and our allocable portion of the costs of our chief compliance officer, chief financial officer and their respective staffs. See “Certain Relationships and Transactions—Administration Agreement.”</w:t>
      </w:r>
    </w:p>
    <w:p>
      <w:pPr>
        <w:spacing w:after="0" w:line="12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Investment Adviser has agreed to pay to the underwriters an additional 2% sales load, or $3,000,000 ($3,450,000 if the underwriters exercise their overallotment option in full) in the aggregate, with respect to this offering of shares of our common stock. This amount will accrue interest, and we will be obligated to repay this advance under certain circumstances. See “Obligations and Indebtedness.”</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the Investment Management Agreement and the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OBLIGATIONS AND INDEBTEDNESS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Investment Adviser has agreed to pay to the underwriters an additional 2% sales load, or $3,000,000 ($3,450,000 if the underwriters exercise their overallotment option in full) in the aggregate, with respect to this offering of shares of our common stock. We (and indirectly our stockholders) will be obligated to repay this amount, together with accrued interest on such amount (a) if during any four calendar quarter-period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 2015, we will not be obligated to repay this amount. If we are then permitted to do so, we will repay such amount and any interest on such amount through the issuance of shares of our common stock to the Investment Adviser. If we cannot then issue such shares pursuant to the 1940 Act or otherwise, we will pay such amount to the Investment Adviser in cash, and the Investment Adviser has agreed to use such payment to purchase shares of our common stock in the secondary market.</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Subsequent to the completion of this offering, and to the extent we have income available, we intend to make monthly distributions to our stockholders. Our monthly distributions, if any, will be determined by our board of directors. Any distributions to our stockholders will be declared out of assets legally available for distribution.</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intend to elect to be treated, and intend to qualify annually thereafter, as a RIC under the Code, beginning with our first taxable year ending after completion of this offering. To obtain and maintain RIC tax treatment, we must distribute at least 90% of our net ordinary income and net short-term capital gains in excess of our net long-term capital losses, if any. In order to avoid certain excise taxes imposed on RICs, we currently intend to distribute during each calendar year an amount at least equal to the sum of: (a) 98% of our net ordinary income for such calendar year; (b) 98.2% of our net capital gains in excess of capital losses for the one-year period ending on October 31 of the calendar year; and (c) any net ordinary income and net capital gains for preceding years that were not distributed during such years and on which we previously paid no U.S. federal income tax.</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currently intend to distribute net capital gains (</w:t>
      </w:r>
      <w:r>
        <w:rPr>
          <w:rFonts w:ascii="Arial" w:cs="Arial" w:eastAsia="Arial" w:hAnsi="Arial"/>
          <w:sz w:val="16"/>
          <w:szCs w:val="16"/>
          <w:i w:val="1"/>
          <w:iCs w:val="1"/>
          <w:color w:val="auto"/>
        </w:rPr>
        <w:t>i.e.</w:t>
      </w:r>
      <w:r>
        <w:rPr>
          <w:rFonts w:ascii="Arial" w:cs="Arial" w:eastAsia="Arial" w:hAnsi="Arial"/>
          <w:sz w:val="16"/>
          <w:szCs w:val="16"/>
          <w:color w:val="auto"/>
        </w:rPr>
        <w:t>, net long-term capital gains in excess of net short-term capital losses), if any, at least annually out of the assets legally available for such distributions. However, we may decide in the future to retain such capital gains for investment and elect to treat such gains as deemed distributions to you. If this happens, you will be treated for U.S. federal income tax purposes as if you had received an actual distribution of the capital gains that we retain and you had reinvested the net after tax proceeds in us. In this situation, you would be eligible to claim a tax credit (or, in certain circumstances, a tax refund) equal to your allocable share of the tax we paid on the capital gains deemed distributed to you. See “Material U.S. Federal Income Tax Considerations.” We cannot assure you that we will achieve results that will permit us to pay any cash distributions, and, if we issue senior securities, we will be prohibited from making distributions if doing so would cause us to fail to maintain the asset coverage ratios stipulated by the 1940 Act or if such distributions are limited by the terms of any of our borrowings.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Unless you elect to receive your dividends in cash, we intend to make such distributions in additional shares of our common stock under our dividend reinvestment plan. Although distributions paid in the form of additional shares of our common stock will generally be subject to U.S. federal, state and local taxes in the same manner as cash distributions, investors participating in our dividend reinvestment plan will not receive any corresponding cash distributions with which to pay any such applicable taxes. If you hold shares of our common stock in the name of a broker or financial intermediary, you should contact such broker or financial intermediary regarding your election to receive distributions in cash in lieu of shares of our common stock. Any dividends reinvested through the issuance of shares through our dividend reinvestment plan will increase our assets on which the base management fee and the incentive fee are determined and paid to PennantPark Investment Advisers. See “Dividend Reinvestment Plan.”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PennantPark Floating Rate Capital Ltd. is a newly organized, externally managed, closed-end, non-diversified management investment company that intends to file an election to be treated as a business development company under the Investment Company Act of 1940, as amended, or the “1940 Act.” In addition, for tax purposes we intend to elect to be treated, and intend to qualify annually, as a RIC under Subchapter M of the Code, commencing with our first taxable year ending after completion of this offering.</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investment objective is to seek high current income. We can offer no assurance that we will achieve our investment objectives or be able to structure our investment portfolio as anticipated.</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believe that Floating Rate Loans to private middle-market companies offer attractive risk adjusted returns due to a limited amount of capital available for such companies and the potential for rising rates. In this prospectus, we use the term “middle-market” to refer to companies with annual revenues between $50 million and $1 billion. Floating Rate Loans will typically pay interest at rates which are determined periodically on the basis of a floating base lending rate such as LIBOR, plus a spread over it. We will seek to achieve our investment objectives by investing primarily in Floating Rate Loans and other instruments made to middle-market companies whose debt is rated below investment grade. We may also invest in thinly traded or small market-cap public middle-market U.S. companies. Under normal market conditions, we expect that at least 80% of the value of our Managed Assets will be invested in Floating Rate Loans. We expect that senior secured loans will represent at least 65% of our overall portolio. We expect to invest up to 35% of our overall portfolio opportunistically in other types of investments, including second-lien, high yield, mezzanine and distressed debt securities and private equity investments. In focusing on Floating Rate Loans, our primary investment focus differs from that of PennantPark Investment Corporation, a business development company for which the Investment Adviser also acts as investment adviser, although there may be overlap in terms of targeted investments for us and such other entity. Floating Rate Loans are typically made to U.S. and, to a limited extent, non-U.S. corporations, partnerships and other business entities which operate in various industries and geographical regions. Portfolio Companies may obtain Floating Rate Loans to refinance existing debt and for acquisitions, dividends and leveraged buyouts as well as for general corporate purposes.</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addition to the types of securities and investments listed above, we also may invest in: (1) loan interests and corporate bonds that are not secured by any collateral interest in the assets or securities of the borrower; (2) other income producing securities (including U.S. Government debt securities and investment and non-investment grade, subordinated and unsubordinated corporate debt securities); (3) rights, warrants and equity securities issued by a borrower or its affiliates as part of a package of investments in the borrower or its affiliates; and (4) structured products. We may also invest in CLOs or collateralized debt obligations, or “CDOs” (including synthetic CLOs or CDOs), asset-backed securities, repurchase agreements, reverse repurchase agreements, cash and cash equivalents, swaps options, futures contracts, or other derivatives or financial instruments (including credit-linked notes, commodity-linked notes, indexed and inverse floating rate securities, convertible instruments and preferred stocks), shares of money market mutual funds or other investment companies or other pooled investment vehicles. We may also seek to gain exposure to Floating Rate Loans by investing in swaps, including single-name credit default swaps, single-name loan credit default swaps and total return swaps and other similar transactions.</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expect to use derivative instruments, if at all, generally to hedge our exposure (i.e., limit downside risk) through the use of interest rate swaps, currency swaps and credit default swaps. We may also use options, futures and forward contracts or options on futures contracts for the same purpose. Likewise, we may make judicious use of these instruments, as well as investments in collateralized debt and loan obligations and total return swaps, to obtain exposure to classes of assets which may not be easily obtained through direct market purchases of the underlying instruments, as well as to boost expected returns on investments in specific asset classes. In addition, we may from time to time enter into total return swaps, securitization transactions and other forms of derivative securities to finance its operations.</w:t>
      </w:r>
    </w:p>
    <w:p>
      <w:pPr>
        <w:spacing w:after="0" w:line="144"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 seeking to achieve our investment objectives, the Investment Adviser intends to construct and actively manage a portfolio of Floating Rate Loans and other investments utilizing the strategies discussed below. The Investment Adviser will seek to utilize a disciplined approach to its credit analysis and investment selection process. The criteria used by the Investment Adviser in credit selection may include an evaluation of whether a Floating Rate Loan is adequately collateralized or over-collateralized and whether it is covered by sufficient earnings and cash flow to service a borrower’s indebtedness on a timely basis. The Investment Adviser expects to gain exposure to portfolio companies across a broad range of industries and of varying characteristics and return profiles.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utilize the investing experience and contacts of the Investment Adviser to develop what we believe will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the Investment Adviser’s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will provide us with access to substantial investment opportunities across the capital markets. The Investment Adviser has a rigorous investment approach, which is based upon intensive financial analysis with a focus on capital preservation, diversification and active management.</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Administrator has experienced professionals with substantial backgrounds in finance and administration of registered investment companies and BDCs. In addition to furnishing us with clerical, bookkeeping and record keeping services, the Administrator will also oversee our financial records as well as the preparation of our reports to stockholders and reports filed with the SEC. The Administrator will oversee the determination and publication of our net asset value, oversee the preparation and filing of our tax returns, and monitor the payment of our expenses as well as the performance of administrative and professional services rendered to us by others. Furthermore, the Administrator will provide, on our behalf, managerial assistance to those portfolio companies to which we are required to offer such assistance. See “Risk Factors—Risks Relating to our Business and Structure.”</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executive officers and directors, as well as the current and future senior professionals of the Investment Adviser and Administrator, may serve as officers, directors or principals of entities that operate in the same or a related line of business as we do. Currently, the executive officers and directors, as well as the current senior professionals of the Investment Adviser and Administrator, serve as officers and directors of PennantPark Investment Corporation, a publicly-traded BDC. Accordingly, they may have obligations to investors in those entities, including to investors of PennantPark Investment Corporation,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may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be forced to choose which investment fund should receive the allocation.</w:t>
      </w:r>
    </w:p>
    <w:p>
      <w:pPr>
        <w:spacing w:after="0" w:line="12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co-invest on a concurrent basis with PennantPark Investment Corporation, and any other affiliates that the Investment Adviser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Floating Rate Capital.</w:t>
      </w:r>
    </w:p>
    <w:p>
      <w:pPr>
        <w:spacing w:after="0" w:line="45" w:lineRule="exact"/>
        <w:rPr>
          <w:sz w:val="20"/>
          <w:szCs w:val="20"/>
          <w:color w:val="auto"/>
        </w:rPr>
      </w:pPr>
    </w:p>
    <w:p>
      <w:pPr>
        <w:ind w:left="460" w:right="180"/>
        <w:spacing w:after="0" w:line="258" w:lineRule="auto"/>
        <w:rPr>
          <w:sz w:val="20"/>
          <w:szCs w:val="20"/>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formerly were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bonds.</w:t>
      </w:r>
    </w:p>
    <w:p>
      <w:pPr>
        <w:spacing w:after="0" w:line="55" w:lineRule="exact"/>
        <w:rPr>
          <w:sz w:val="20"/>
          <w:szCs w:val="20"/>
          <w:color w:val="auto"/>
        </w:rPr>
      </w:pPr>
    </w:p>
    <w:p>
      <w:pPr>
        <w:ind w:left="460" w:right="220"/>
        <w:spacing w:after="0" w:line="275" w:lineRule="auto"/>
        <w:rPr>
          <w:sz w:val="20"/>
          <w:szCs w:val="20"/>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Banks, finance companies, hedge funds and CLO funds</w:t>
      </w:r>
      <w:r>
        <w:rPr>
          <w:rFonts w:ascii="Arial" w:cs="Arial" w:eastAsia="Arial" w:hAnsi="Arial"/>
          <w:sz w:val="18"/>
          <w:szCs w:val="18"/>
          <w:b w:val="1"/>
          <w:bCs w:val="1"/>
          <w:color w:val="auto"/>
        </w:rPr>
        <w:t xml:space="preserve"> </w:t>
      </w:r>
      <w:r>
        <w:rPr>
          <w:rFonts w:ascii="Arial" w:cs="Arial" w:eastAsia="Arial" w:hAnsi="Arial"/>
          <w:sz w:val="18"/>
          <w:szCs w:val="18"/>
          <w:color w:val="auto"/>
        </w:rPr>
        <w:t>have withdrawn capital from the middle-market resulting in opportunities for alternative funding sources.</w:t>
      </w:r>
    </w:p>
    <w:p>
      <w:pPr>
        <w:spacing w:after="0" w:line="39" w:lineRule="exact"/>
        <w:rPr>
          <w:sz w:val="20"/>
          <w:szCs w:val="20"/>
          <w:color w:val="auto"/>
        </w:rPr>
      </w:pPr>
    </w:p>
    <w:p>
      <w:pPr>
        <w:jc w:val="both"/>
        <w:ind w:left="460" w:right="140"/>
        <w:spacing w:after="0" w:line="310" w:lineRule="auto"/>
        <w:rPr>
          <w:sz w:val="20"/>
          <w:szCs w:val="20"/>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credit environment, market participants have reduced lending to middle-market and non-investment grade borrowers. As a result, we believe there is less competition in our market, more conservative capital structures, higher yields and stronger covenants.</w:t>
      </w:r>
    </w:p>
    <w:p>
      <w:pPr>
        <w:spacing w:after="0" w:line="16"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8"/>
          <w:szCs w:val="18"/>
          <w:color w:val="auto"/>
        </w:rPr>
        <w:t>We expect that private equity firms will continue to be active investors in middle-market companies. These private equity funds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seek to leverage their investments by combining their capital with Floating Rate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8" w:lineRule="exact"/>
        <w:rPr>
          <w:sz w:val="20"/>
          <w:szCs w:val="20"/>
          <w:color w:val="auto"/>
        </w:rPr>
      </w:pPr>
    </w:p>
    <w:p>
      <w:pPr>
        <w:jc w:val="both"/>
        <w:ind w:left="460" w:right="300"/>
        <w:spacing w:after="0" w:line="262" w:lineRule="auto"/>
        <w:rPr>
          <w:sz w:val="20"/>
          <w:szCs w:val="20"/>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 years</w:t>
      </w:r>
      <w:r>
        <w:rPr>
          <w:rFonts w:ascii="Arial" w:cs="Arial" w:eastAsia="Arial" w:hAnsi="Arial"/>
          <w:sz w:val="18"/>
          <w:szCs w:val="18"/>
          <w:b w:val="1"/>
          <w:bCs w:val="1"/>
          <w:color w:val="auto"/>
        </w:rPr>
        <w:t xml:space="preserve"> </w:t>
      </w:r>
      <w:r>
        <w:rPr>
          <w:rFonts w:ascii="Arial" w:cs="Arial" w:eastAsia="Arial" w:hAnsi="Arial"/>
          <w:sz w:val="18"/>
          <w:szCs w:val="18"/>
          <w:color w:val="auto"/>
        </w:rPr>
        <w:t>2004 and 2007, which will come due in the next few years. We believe this supply of opportunities coupled with a lack of demand offers attractive risk-adjusted returns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71"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will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w:t>
      </w:r>
    </w:p>
    <w:p>
      <w:pPr>
        <w:sectPr>
          <w:pgSz w:w="11900" w:h="16838" w:orient="portrait"/>
          <w:cols w:equalWidth="0" w:num="1">
            <w:col w:w="11420"/>
          </w:cols>
          <w:pgMar w:left="240" w:top="459" w:right="239" w:bottom="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59" w:right="239" w:bottom="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according to our criteria, we will be highly selective in deploying our capital. We believe our approach will enable us to build an attractive investment portfolio that meets our return and value criteria over the long-term.</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the Investment Adviser, will conduct a rigorous due diligence process that draws from the Investment Adviser’s experience, industry expertise and network of contacts. Among other things, our due diligence is designed to ensure that each prospective portfolio company will be able to meet its debt service obligations. See “Business – Investment Selection Criteria”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the Investment Adviser will seek to reduce risk by focusing on businesses with:</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Ability to Source and Evaluate Transactions through the Investment Adviser’s Research Capability and Established Network</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will enable us to evaluate investment opportunities effectively in numerous industries, as well as provide us access to substantial information concerning those industries. We will identify potential investments both through active origination and through dialogue with numerous financial sponsors, management teams, members of the financial community and corporate partners with whom the professionals of the Investment Adviser have long-term relationships.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intend to be flexible in structuring investments and tailoring investments to meet the needs of a company while also generating attractive risk-adjusted returns. We can invest in any part of a capital structure and the Investment Adviser has extensive experience in a wide variety of securities for leveraged companies throughout economic and market cycles.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Investment Adviser will seek to minimize the risk of capital loss without foregoing potential for capital appreciation. In making investment decisions, we will seek to invest in companies that we believe can generate positive risk-adjusted returns.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believe that the in-depth coverage and experience of the Investment Adviser will enable us to invest throughout various stages of the economic and market cycles and provide us with ongoing market insights in addition to a significant investment sourcing engine.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will enable us to generate attractive returns on invested capital and to be a better long-term partner for our portfolio companies.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and closed-end funds,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Furthermore, many of our competitors are not subject to the regulatory restrictions that the 1940 Act will impose on us as a business development company.</w:t>
      </w:r>
    </w:p>
    <w:p>
      <w:pPr>
        <w:spacing w:after="0" w:line="18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For additional information concerning the competitive risks we face, please see “Risk Factors—Risks Relating to our Business and Structure—We will operate in a highly competitive market for investment opportunities.”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currently anticipate utilizing leverage. We have received a commitment to arrange the Credit Facility, which is expected to become effective shortly after this offering is completed. We intend to use borrowings under the Credit Facility to invest in portfolio companies. The Credit Facility is expected to initially provide us up to $200.0 million in available borrowings and is expected to expire in 2016. The Credit Facility is expected to include an accordion feature whereby we will be allowed to increase the amount of the Credit Facility up to $600.0 million. The base lending rate for borrowings under the Credit Facility is expected to be LIBOR plus (i) 2.25% while the Credit Facility is in its revolving period and (ii) 4.25% thereafter. We may also issue preferred stock and/or notes, enter into total return swaps, or other derivatives and borrow funds from banks and other financial institutions.</w:t>
      </w:r>
    </w:p>
    <w:p>
      <w:pPr>
        <w:spacing w:after="0" w:line="12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All costs and expenses related to any form of leverage will be borne entirely by our common stockholders. The use of debt to leverage common stock can create risks. Increases or decreases in the value of our portfolio will be magnified if we use leverage. Changes in the value of the portfolio, including securities bought with the proceeds of leverage, will be borne entirely by the holders of common stock. During periods when we use leverage, the fees paid to the Investment Adviser for advisory services will be higher than if we did not use leverage because the fees paid will be calculated on the basis of our Managed Assets, which include assets purchased using leverage. As such, the Investment Adviser may have a financial incentive to increase the use of leverage, which constitutes an inherent conflict of interest. In addition, the fees we pay to the Investment Adviser will be borne exclusively by our common stockholders. It is expected that preferred stockholders, noteholders and any lenders will not bear any of our expenses. Our leveraging strategy, if utilized, may not be successful.</w:t>
      </w:r>
    </w:p>
    <w:p>
      <w:pPr>
        <w:spacing w:after="0" w:line="105"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We expect that under the Credit Facility, we would be entitled to borrow an amount, initially up to $200.0 million, equal to approximately 50% of the company’s Managed Assets less any amounts of existing leverage, including from the issuance of preferred stock and/or notes. Any such borrowings would constitute financial leverage.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will seek to create a diversified portfolio primarily of Floating Rate Loans, by initially targeting an investment size of $2 to $20 million, on average, in Floating Rate Loans of middle-market companies. We expect this investment size to vary proportionately with the size of our capital base. The companies in which we invest will typically be highly leveraged, and, in most cases,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Over time, we expect that our portfolio will continue to consist primarily of Floating Rate Loans in qualifying assets such as private or thinly traded or small market-cap, public middle-market U.S. companies. In addition, we may invest up to 30% of our portfolio in non-qualifying assets. See “Regulation— 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 Investment selection criteria” for more information.</w:t>
      </w:r>
    </w:p>
    <w:p>
      <w:pPr>
        <w:spacing w:after="0" w:line="10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will seek to minimize the risk of capital loss without foregoing potential for capital appreciation.</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Generally, we will seek to use our experience and access to market information to identify investment candidates and to structure investments quickly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defensible market positions</w:t>
      </w:r>
    </w:p>
    <w:p>
      <w:pPr>
        <w:spacing w:after="0" w:line="9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Investment Adviser intends to invest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stable borrowers with positive cash flow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Investment Adviser intends to invest in portfolio companies believed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Investment Adviser intends to focus on investments in which the portfolio company has an experienced management team with an established track record of success. The Investment Adviser typically will require that portfolio companies have in place proper incentives to align management’s goals with our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equity sponsorship</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financial or with significant investments at risk may have an ability, and a strong incentive, to contribute additional capital in difficult economic times should financial or operational issues arise so as to maintain their ownership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different borrowers and industries</w:t>
      </w:r>
    </w:p>
    <w:p>
      <w:pPr>
        <w:spacing w:after="0" w:line="90"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Investment Adviser will seek to invest our assets broadly among portfolio companies and across industries. The Investment Adviser believes that this diversified approach may reduce the risk that a downturn in any one company or industry will have a disproportionate impact on the value of our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will seek to invest in portfolio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will also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The Investment Adviser will conduct a rigorous due diligence process that is applied to prospective portfolio companies and draws from the Investment Adviser’s experience, industry expertise and network of contacts. In conducting due diligence, the Investment Adviser will use information provided by companies, financial sponsors and publicly available information as well as information from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will include:</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review of loan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team leading the investment will present the investment opportunity to the Investment Adviser’s investment committee. This committee will determine whether to pursue the potential investment. All new investments are required to be reviewed by the investment committee of our Investment Adviser. The members of the investment committee receive no compensation from us. These members are employees of the Investment Adviser and receive compensation from the Investment Adviser.</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Investment Adviser intends to monitor credit risk of each portfolio company regularly and periodically with a goal toward identifying early, and selling, Floating Rate Loans and other investments with potential credit problems. This monitoring process may include reviewing:(1) a</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13"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Under normal market conditions, we expect that at least 80% of our Managed Assets will be invested in Floating Rate Loans. This policy is not fundamental and may be changed by our board of directors with at least 60 days’ prior written notice provided to stockholders. In this prospectus, “Managed Assets” means net assets plus any borrowings for investment purposes to the extent such a change would not affect our ability to maintain our election as a business development company.</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Investment Adviser will seek to achieve our investment objective through a disciplined approach to the selection of credit investments and its evaluation of portfolio companies. The Investment Adviser also expects to gain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While our investment objective is to seek high current income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will work with the management of that company and its other capital providers, including senior, junior and equity capital providers, to structure an investment. We will negotiate among these parties to agree on how our investment is structured relative to the other capital in the portfolio company’s capital structure.</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Certain Floating Rate Loans may have interest-only payments in the early years, payable in cash or PIK interest, with amortization of principal deferred to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case of our Floating Rate Loans, we will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will seek to limit the downside potential of our investments by:</w:t>
      </w:r>
    </w:p>
    <w:p>
      <w:pPr>
        <w:spacing w:after="0" w:line="6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Floating Rate Loans generally will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4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Investment Adviser will monitor our portfolio companies on an ongoing basis. The Investment Adviser will monitor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Assessment of success in adhering to the portfolio company’s business plan and compliance with covenants;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Comparisons to other PennantPark Floating Rate Capital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of portfolio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Our investments will generally consist of illiquid securities, including Floating Rate Loans and, to a lesser extent, equity investments of middle-market companies. Our board of directors will generally use market quotations to assess the value of our investments for which market quotations are readily available. We will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will use with respect to assets for which market quotations are not readily available. First lien secured debt, subordinated debt and other debt investments with maturities greater than 60 days generally will be valued by an independent pricing service or at the bid prices from at least two broker/dealers (if available, otherwise by a principal market maker or a primary market dealer). Investments, of sufficient credit quality, purchased within 60 days of maturity will be valued at cost plus accreted discount, or minus amortized premium, which approximates value.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will be in our portfolio, and we will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our board of directors may take into account in pricing our investments at fair value will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will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will undertake a multi-step valuation process each quarter, as described below:</w:t>
      </w:r>
    </w:p>
    <w:p>
      <w:pPr>
        <w:spacing w:after="0" w:line="51" w:lineRule="exact"/>
        <w:rPr>
          <w:sz w:val="20"/>
          <w:szCs w:val="20"/>
          <w:color w:val="auto"/>
        </w:rPr>
      </w:pPr>
    </w:p>
    <w:p>
      <w:pPr>
        <w:ind w:left="900" w:right="2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the Investment Adviser;</w:t>
      </w:r>
    </w:p>
    <w:p>
      <w:pPr>
        <w:spacing w:after="0" w:line="90" w:lineRule="exact"/>
        <w:rPr>
          <w:rFonts w:ascii="Arial" w:cs="Arial" w:eastAsia="Arial" w:hAnsi="Arial"/>
          <w:sz w:val="18"/>
          <w:szCs w:val="18"/>
          <w:color w:val="auto"/>
        </w:rPr>
      </w:pPr>
    </w:p>
    <w:p>
      <w:pPr>
        <w:ind w:left="900" w:right="180" w:hanging="446"/>
        <w:spacing w:after="0" w:line="298"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board of directors also will engage independent valuation firms to conduct independent appraisals of our investments for which market quotations are not readily available or are readily available but deemed not reflective of the fair value of the investment. The independent valuation firms will review management’s preliminary valuations in light of their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900" w:right="6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valuations of the Investment Adviser and that of the independent valuation firms and respond and supplement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board of directors will discuss these valuations and determine the fair value of each investment in our portfolio in good faith based on the input of the Investment Adviser, the respective independent valuation firms and the audit committee.</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Fair Value Measurements, as defined under ASC 820, is the price that we would receive upon selling an investment or pay to transfer a liability in an orderly transaction to a market participant in the principal or</w:t>
      </w:r>
    </w:p>
    <w:p>
      <w:pPr>
        <w:sectPr>
          <w:pgSz w:w="11900" w:h="16838" w:orient="portrait"/>
          <w:cols w:equalWidth="0" w:num="1">
            <w:col w:w="11420"/>
          </w:cols>
          <w:pgMar w:left="240" w:top="459" w:right="239" w:bottom="9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59" w:right="239" w:bottom="9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18" w:lineRule="auto"/>
        <w:rPr>
          <w:sz w:val="20"/>
          <w:szCs w:val="20"/>
          <w:color w:val="auto"/>
        </w:rPr>
      </w:pPr>
      <w:r>
        <w:rPr>
          <w:rFonts w:ascii="Arial" w:cs="Arial" w:eastAsia="Arial" w:hAnsi="Arial"/>
          <w:sz w:val="15"/>
          <w:szCs w:val="15"/>
          <w:color w:val="auto"/>
        </w:rPr>
        <w:t>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Floating Rate Capital. Unobservable inputs are inputs that reflect the assumptions market participants would use in pricing an asset or liability developed based on the best information available at the time.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will be based upon the lowest level of input that is significant to the fair value measurement. Generally, most of our investments will be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review of fair value hierarchy classifications will be conducted on a quarterly basis. Changes in the observability of valuation inputs may result in a reclassification for certain financial assets or liabilities. Reclassifications impacting Level 3 of the fair value hierarchy will be reported as transfers in or out of the Level 3 category as of the end of the quarter in which the reclassifications occur.</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and investments valuations, PennantPark Floating Rate Capital will employ the valuation policy approved by our board of directors that is consistent with ASC 820. Consistent with our valuation policy, PennantPark Floating Rate Capital will evaluate the source of inputs, including any markets in which its investments are trading, in determining fair value.</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investments will generally be structured as debt and equity investments in the form of senior secured loans, mezzanine debt and equity co-investments. The transaction price, excluding transaction costs, will typically be the best estimate of fair value at inception. When evidence supports a subsequent change to the carrying value from the original transaction price adjustments will be made to reflect the expected exit values. Ongoing reviews by the Investment Adviser and independent valuation firms will be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will be included in Level 3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We will offer managerial assistance to our portfolio companies. As a business development company, we will be required to make available such managerial assistance within the meaning of section 55 of the 1940 Act. See “Regulation”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do not currently have any employees. Our day-to-day investment operations will be managed by the Investment Adviser. The Investment Adviser and Administrator have hired and expect to continue to hire professionals with skills applicable to our business plan, including experience in middle-market investing, leveraged finance and capital markets.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do not own any real estate or other physical properties materially important to our operation. Our principal executive offices are located in at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NY 10022. The Administrator furnishes us office space and we reimburse it for such costs on an allocated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None of us, the Investment Adviser or Administrator is currently subject to any material legal proceedings, nor, to our knowledge, is any material legal proceeding threatened against us, or against the Investment Adviser or Administrator. From time to time, we, the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principal investment focus is to invest in Floating Rate Loans. We will generally seek to target companies that generate positive cash flows from the broad variety of industries in which the Investment Adviser has direct expertise. We may invest in other industries if we are presented with attractive opportunities. The following is a list of the industries in which we may invest: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20"/>
              <w:spacing w:after="0"/>
              <w:rPr>
                <w:sz w:val="20"/>
                <w:szCs w:val="20"/>
                <w:color w:val="auto"/>
              </w:rPr>
            </w:pPr>
            <w:r>
              <w:rPr>
                <w:rFonts w:ascii="Arial" w:cs="Arial" w:eastAsia="Arial" w:hAnsi="Arial"/>
                <w:sz w:val="18"/>
                <w:szCs w:val="18"/>
                <w:color w:val="auto"/>
              </w:rPr>
              <w:t>Aerospace and Defense</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Environmental Services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20"/>
              <w:spacing w:after="0"/>
              <w:rPr>
                <w:sz w:val="20"/>
                <w:szCs w:val="20"/>
                <w:color w:val="auto"/>
              </w:rPr>
            </w:pPr>
            <w:r>
              <w:rPr>
                <w:rFonts w:ascii="Arial" w:cs="Arial" w:eastAsia="Arial" w:hAnsi="Arial"/>
                <w:sz w:val="18"/>
                <w:szCs w:val="18"/>
                <w:color w:val="auto"/>
              </w:rPr>
              <w:t>Auto Sector</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Financial Services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Broadcasting and Entertainment</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Grocery</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Business Services</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Education and Childcare</w:t>
            </w:r>
          </w:p>
        </w:tc>
      </w:tr>
      <w:tr>
        <w:trPr>
          <w:trHeight w:val="31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Buildings and Real Estate</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w w:val="89"/>
              </w:rPr>
              <w:t>Home &amp; Office Furnishings, Housewares &amp; Durable Consumer</w:t>
            </w:r>
          </w:p>
        </w:tc>
      </w:tr>
      <w:tr>
        <w:trPr>
          <w:trHeight w:val="222"/>
        </w:trPr>
        <w:tc>
          <w:tcPr>
            <w:tcW w:w="2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Products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Cable Television</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Hotels, Motels, Inns and Gaming</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Cargo Transportation</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Insurance</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Chemicals, Plastics and Rubber</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Leisure, Amusement, Motion Picture, Entertainment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Logistics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Consumer Products</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Manufacturing / Basic Industries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Containers Packaging &amp; Glass</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Media</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Distribution</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Oil and Gas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Diversified/Conglomerate Services</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Other Media</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Diversified/Conglomerate Manufacturing</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Printing and Publishing</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Telecommunications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Energy / Utilities</w:t>
            </w:r>
          </w:p>
        </w:tc>
        <w:tc>
          <w:tcPr>
            <w:tcW w:w="1800" w:type="dxa"/>
            <w:vAlign w:val="bottom"/>
          </w:tcPr>
          <w:p>
            <w:pPr>
              <w:ind w:left="1620"/>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Retail Store</w:t>
            </w:r>
          </w:p>
        </w:tc>
      </w:tr>
      <w:tr>
        <w:trPr>
          <w:trHeight w:val="365"/>
        </w:trPr>
        <w:tc>
          <w:tcPr>
            <w:tcW w:w="2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00" w:type="dxa"/>
            <w:vAlign w:val="bottom"/>
          </w:tcPr>
          <w:p>
            <w:pPr>
              <w:ind w:left="1180"/>
              <w:spacing w:after="0"/>
              <w:rPr>
                <w:sz w:val="20"/>
                <w:szCs w:val="20"/>
                <w:color w:val="auto"/>
              </w:rPr>
            </w:pPr>
            <w:r>
              <w:rPr>
                <w:rFonts w:ascii="Arial" w:cs="Arial" w:eastAsia="Arial" w:hAnsi="Arial"/>
                <w:sz w:val="18"/>
                <w:szCs w:val="18"/>
                <w:color w:val="auto"/>
              </w:rPr>
              <w:t>47</w:t>
            </w:r>
          </w:p>
        </w:tc>
        <w:tc>
          <w:tcPr>
            <w:tcW w:w="462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Our board of directors is responsible for the overall supervision of our operations and will perform the various duties imposed on the directors of investment companies by the 1940 Act and applicable Maryland law.</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Biographical Information</w:t>
      </w:r>
      <w:r>
        <w:rPr>
          <w:rFonts w:ascii="Arial" w:cs="Arial" w:eastAsia="Arial" w:hAnsi="Arial"/>
          <w:sz w:val="18"/>
          <w:szCs w:val="18"/>
          <w:color w:val="auto"/>
        </w:rPr>
        <w:t>. Certain biographical and other information relating to our directors is set out below, including their ages, their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occupations for at least the last five years, the length of time served, and other public directorships, including both public operating companies and registered funds.</w:t>
      </w:r>
    </w:p>
    <w:p>
      <w:pPr>
        <w:sectPr>
          <w:pgSz w:w="11900" w:h="16838" w:orient="portrait"/>
          <w:cols w:equalWidth="0" w:num="1">
            <w:col w:w="11380"/>
          </w:cols>
          <w:pgMar w:left="240" w:top="459" w:right="279" w:bottom="1440" w:gutter="0" w:footer="0" w:header="0"/>
        </w:sectPr>
      </w:pP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85"/>
              </w:rPr>
              <w:t>Term of</w:t>
            </w:r>
          </w:p>
        </w:tc>
        <w:tc>
          <w:tcPr>
            <w:tcW w:w="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3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Position(s)</w:t>
            </w:r>
          </w:p>
        </w:tc>
        <w:tc>
          <w:tcPr>
            <w:tcW w:w="3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3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6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Held with</w:t>
            </w:r>
          </w:p>
        </w:tc>
        <w:tc>
          <w:tcPr>
            <w:tcW w:w="3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3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During Past Five</w:t>
            </w:r>
          </w:p>
        </w:tc>
        <w:tc>
          <w:tcPr>
            <w:tcW w:w="0" w:type="dxa"/>
            <w:vAlign w:val="bottom"/>
          </w:tcPr>
          <w:p>
            <w:pPr>
              <w:spacing w:after="0"/>
              <w:rPr>
                <w:sz w:val="1"/>
                <w:szCs w:val="1"/>
                <w:color w:val="auto"/>
              </w:rPr>
            </w:pPr>
          </w:p>
        </w:tc>
      </w:tr>
      <w:tr>
        <w:trPr>
          <w:trHeight w:val="175"/>
        </w:trPr>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Director</w:t>
            </w:r>
          </w:p>
        </w:tc>
        <w:tc>
          <w:tcPr>
            <w:tcW w:w="32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the Company</w:t>
            </w:r>
          </w:p>
        </w:tc>
        <w:tc>
          <w:tcPr>
            <w:tcW w:w="32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3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1"/>
        </w:trPr>
        <w:tc>
          <w:tcPr>
            <w:tcW w:w="2680" w:type="dxa"/>
            <w:vAlign w:val="bottom"/>
          </w:tcPr>
          <w:p>
            <w:pPr>
              <w:spacing w:after="0" w:line="201" w:lineRule="exact"/>
              <w:rPr>
                <w:sz w:val="20"/>
                <w:szCs w:val="20"/>
                <w:color w:val="auto"/>
              </w:rPr>
            </w:pPr>
            <w:r>
              <w:rPr>
                <w:rFonts w:ascii="Arial" w:cs="Arial" w:eastAsia="Arial" w:hAnsi="Arial"/>
                <w:sz w:val="18"/>
                <w:szCs w:val="18"/>
                <w:b w:val="1"/>
                <w:bCs w:val="1"/>
                <w:color w:val="auto"/>
              </w:rPr>
              <w:t>Interested Director</w:t>
            </w:r>
          </w:p>
        </w:tc>
        <w:tc>
          <w:tcPr>
            <w:tcW w:w="3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w w:val="99"/>
              </w:rPr>
              <w:t>Chief Executive Officer and</w:t>
            </w:r>
          </w:p>
        </w:tc>
        <w:tc>
          <w:tcPr>
            <w:tcW w:w="3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w w:val="95"/>
              </w:rPr>
              <w:t>Director since October 2010;</w:t>
            </w:r>
          </w:p>
        </w:tc>
        <w:tc>
          <w:tcPr>
            <w:tcW w:w="3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w w:val="93"/>
              </w:rPr>
              <w:t>Founder, Chairman and Chief</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Arthur H. Penn (47)</w:t>
            </w:r>
            <w:r>
              <w:rPr>
                <w:rFonts w:ascii="Arial" w:cs="Arial" w:eastAsia="Arial" w:hAnsi="Arial"/>
                <w:sz w:val="11"/>
                <w:szCs w:val="11"/>
                <w:color w:val="auto"/>
              </w:rPr>
              <w:t>(2)</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Chairman of the Board of</w:t>
            </w:r>
          </w:p>
        </w:tc>
        <w:tc>
          <w:tcPr>
            <w:tcW w:w="3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Term Expires 2014</w:t>
            </w: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Executive Officer of</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Directors</w:t>
            </w: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PennantPark Investment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2"/>
              </w:rPr>
              <w:t>Corporation since its inception</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7"/>
              </w:rPr>
              <w:t>in 2007. Mr. Penn also is the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88"/>
              </w:rPr>
              <w:t>founder and Managing Member</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of PennantPark Investment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Advisers, LLC. Before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founding PennantPark, Mr.</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Penn was the co-founder of</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Apollo Investment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2"/>
              </w:rPr>
              <w:t>Management, where he was a</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89"/>
              </w:rPr>
              <w:t>Managing Partner from 2004 to</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2"/>
              </w:rPr>
              <w:t>2007. He also served as Chief</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Operating Officer of Apollo</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7"/>
              </w:rPr>
              <w:t>Investment Corporation from</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3"/>
              </w:rPr>
              <w:t>inception in 2004 to 2006 and</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2"/>
              </w:rPr>
              <w:t>served as President and Chief</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4"/>
              </w:rPr>
              <w:t>Operating Officer in 2006. He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formerly was a Managing</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6"/>
              </w:rPr>
              <w:t>Partner of Apollo Value Fund</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L.P. (formerly Apollo</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6"/>
              </w:rPr>
              <w:t>Distressed Investment Fund,</w:t>
            </w:r>
          </w:p>
        </w:tc>
        <w:tc>
          <w:tcPr>
            <w:tcW w:w="0" w:type="dxa"/>
            <w:vAlign w:val="bottom"/>
          </w:tcPr>
          <w:p>
            <w:pPr>
              <w:spacing w:after="0"/>
              <w:rPr>
                <w:sz w:val="1"/>
                <w:szCs w:val="1"/>
                <w:color w:val="auto"/>
              </w:rPr>
            </w:pPr>
          </w:p>
        </w:tc>
      </w:tr>
      <w:tr>
        <w:trPr>
          <w:trHeight w:val="222"/>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L.P.) from 2003 to 2006.</w:t>
            </w:r>
          </w:p>
        </w:tc>
        <w:tc>
          <w:tcPr>
            <w:tcW w:w="0" w:type="dxa"/>
            <w:vAlign w:val="bottom"/>
          </w:tcPr>
          <w:p>
            <w:pPr>
              <w:spacing w:after="0"/>
              <w:rPr>
                <w:sz w:val="1"/>
                <w:szCs w:val="1"/>
                <w:color w:val="auto"/>
              </w:rPr>
            </w:pPr>
          </w:p>
        </w:tc>
      </w:tr>
      <w:tr>
        <w:trPr>
          <w:trHeight w:val="365"/>
        </w:trPr>
        <w:tc>
          <w:tcPr>
            <w:tcW w:w="2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20" w:type="dxa"/>
            <w:vAlign w:val="bottom"/>
            <w:gridSpan w:val="2"/>
          </w:tcPr>
          <w:p>
            <w:pPr>
              <w:jc w:val="right"/>
              <w:ind w:right="1846"/>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Directorships</w:t>
      </w:r>
    </w:p>
    <w:p>
      <w:pPr>
        <w:sectPr>
          <w:pgSz w:w="11900" w:h="16838" w:orient="portrait"/>
          <w:cols w:equalWidth="0" w:num="2">
            <w:col w:w="10280" w:space="320"/>
            <w:col w:w="780"/>
          </w:cols>
          <w:pgMar w:left="240" w:top="459" w:right="27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3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Position(s)</w:t>
            </w:r>
          </w:p>
        </w:tc>
        <w:tc>
          <w:tcPr>
            <w:tcW w:w="30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3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6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Held with</w:t>
            </w:r>
          </w:p>
        </w:tc>
        <w:tc>
          <w:tcPr>
            <w:tcW w:w="30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3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During Past Five</w:t>
            </w:r>
          </w:p>
        </w:tc>
        <w:tc>
          <w:tcPr>
            <w:tcW w:w="0" w:type="dxa"/>
            <w:vAlign w:val="bottom"/>
          </w:tcPr>
          <w:p>
            <w:pPr>
              <w:spacing w:after="0"/>
              <w:rPr>
                <w:sz w:val="1"/>
                <w:szCs w:val="1"/>
                <w:color w:val="auto"/>
              </w:rPr>
            </w:pPr>
          </w:p>
        </w:tc>
      </w:tr>
      <w:tr>
        <w:trPr>
          <w:trHeight w:val="175"/>
        </w:trPr>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Director</w:t>
            </w:r>
          </w:p>
        </w:tc>
        <w:tc>
          <w:tcPr>
            <w:tcW w:w="32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Company</w:t>
            </w:r>
          </w:p>
        </w:tc>
        <w:tc>
          <w:tcPr>
            <w:tcW w:w="300" w:type="dxa"/>
            <w:vAlign w:val="bottom"/>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3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1"/>
        </w:trPr>
        <w:tc>
          <w:tcPr>
            <w:tcW w:w="2680" w:type="dxa"/>
            <w:vAlign w:val="bottom"/>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320" w:type="dxa"/>
            <w:vAlign w:val="bottom"/>
          </w:tcPr>
          <w:p>
            <w:pPr>
              <w:spacing w:after="0"/>
              <w:rPr>
                <w:sz w:val="17"/>
                <w:szCs w:val="17"/>
                <w:color w:val="auto"/>
              </w:rPr>
            </w:pPr>
          </w:p>
        </w:tc>
        <w:tc>
          <w:tcPr>
            <w:tcW w:w="2200" w:type="dxa"/>
            <w:vAlign w:val="bottom"/>
          </w:tcPr>
          <w:p>
            <w:pPr>
              <w:jc w:val="right"/>
              <w:ind w:right="1547"/>
              <w:spacing w:after="0" w:line="201" w:lineRule="exact"/>
              <w:rPr>
                <w:sz w:val="20"/>
                <w:szCs w:val="20"/>
                <w:color w:val="auto"/>
              </w:rPr>
            </w:pPr>
            <w:r>
              <w:rPr>
                <w:rFonts w:ascii="Arial" w:cs="Arial" w:eastAsia="Arial" w:hAnsi="Arial"/>
                <w:sz w:val="18"/>
                <w:szCs w:val="18"/>
                <w:color w:val="auto"/>
                <w:w w:val="88"/>
              </w:rPr>
              <w:t>Director</w:t>
            </w:r>
          </w:p>
        </w:tc>
        <w:tc>
          <w:tcPr>
            <w:tcW w:w="30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w w:val="96"/>
              </w:rPr>
              <w:t>Director since October 2010;</w:t>
            </w:r>
          </w:p>
        </w:tc>
        <w:tc>
          <w:tcPr>
            <w:tcW w:w="3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Director of PennantPark</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Marshall Brozost (43)</w:t>
            </w: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520" w:type="dxa"/>
            <w:vAlign w:val="bottom"/>
            <w:gridSpan w:val="2"/>
          </w:tcPr>
          <w:p>
            <w:pPr>
              <w:ind w:left="300"/>
              <w:spacing w:after="0"/>
              <w:rPr>
                <w:sz w:val="20"/>
                <w:szCs w:val="20"/>
                <w:color w:val="auto"/>
              </w:rPr>
            </w:pPr>
            <w:r>
              <w:rPr>
                <w:rFonts w:ascii="Arial" w:cs="Arial" w:eastAsia="Arial" w:hAnsi="Arial"/>
                <w:sz w:val="18"/>
                <w:szCs w:val="18"/>
                <w:color w:val="auto"/>
              </w:rPr>
              <w:t>Term Expires 2012</w:t>
            </w: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Investment Corporation. A</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0"/>
              </w:rPr>
              <w:t>Partner at the international law</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4"/>
              </w:rPr>
              <w:t>firm of Dewey &amp; LeBoeuf LLP</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89"/>
              </w:rPr>
              <w:t>since 2007, where he practices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7"/>
              </w:rPr>
              <w:t>in the real estate and private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equity groups. Prior to his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tenure at Dewey &amp; LeBoeuf</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1"/>
              </w:rPr>
              <w:t>LLP, which began in 2005, Mr.</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Brozost practiced law at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7"/>
              </w:rPr>
              <w:t>O’Melveny &amp; Myers LLP and</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7"/>
              </w:rPr>
              <w:t>at Solomon &amp; Weinberg LLP</w:t>
            </w:r>
          </w:p>
        </w:tc>
        <w:tc>
          <w:tcPr>
            <w:tcW w:w="0" w:type="dxa"/>
            <w:vAlign w:val="bottom"/>
          </w:tcPr>
          <w:p>
            <w:pPr>
              <w:spacing w:after="0"/>
              <w:rPr>
                <w:sz w:val="1"/>
                <w:szCs w:val="1"/>
                <w:color w:val="auto"/>
              </w:rPr>
            </w:pPr>
          </w:p>
        </w:tc>
      </w:tr>
      <w:tr>
        <w:trPr>
          <w:trHeight w:val="222"/>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from 2001 to 2005.</w:t>
            </w:r>
          </w:p>
        </w:tc>
        <w:tc>
          <w:tcPr>
            <w:tcW w:w="0" w:type="dxa"/>
            <w:vAlign w:val="bottom"/>
          </w:tcPr>
          <w:p>
            <w:pPr>
              <w:spacing w:after="0"/>
              <w:rPr>
                <w:sz w:val="1"/>
                <w:szCs w:val="1"/>
                <w:color w:val="auto"/>
              </w:rPr>
            </w:pPr>
          </w:p>
        </w:tc>
      </w:tr>
      <w:tr>
        <w:trPr>
          <w:trHeight w:val="318"/>
        </w:trPr>
        <w:tc>
          <w:tcPr>
            <w:tcW w:w="2680" w:type="dxa"/>
            <w:vAlign w:val="bottom"/>
          </w:tcPr>
          <w:p>
            <w:pPr>
              <w:spacing w:after="0"/>
              <w:rPr>
                <w:sz w:val="20"/>
                <w:szCs w:val="20"/>
                <w:color w:val="auto"/>
              </w:rPr>
            </w:pPr>
            <w:r>
              <w:rPr>
                <w:rFonts w:ascii="Arial" w:cs="Arial" w:eastAsia="Arial" w:hAnsi="Arial"/>
                <w:sz w:val="18"/>
                <w:szCs w:val="18"/>
                <w:color w:val="auto"/>
              </w:rPr>
              <w:t>Samuel L. Katz (45)</w:t>
            </w:r>
          </w:p>
        </w:tc>
        <w:tc>
          <w:tcPr>
            <w:tcW w:w="2520" w:type="dxa"/>
            <w:vAlign w:val="bottom"/>
            <w:gridSpan w:val="2"/>
          </w:tcPr>
          <w:p>
            <w:pPr>
              <w:jc w:val="right"/>
              <w:ind w:right="1547"/>
              <w:spacing w:after="0"/>
              <w:rPr>
                <w:sz w:val="20"/>
                <w:szCs w:val="20"/>
                <w:color w:val="auto"/>
              </w:rPr>
            </w:pPr>
            <w:r>
              <w:rPr>
                <w:rFonts w:ascii="Arial" w:cs="Arial" w:eastAsia="Arial" w:hAnsi="Arial"/>
                <w:sz w:val="18"/>
                <w:szCs w:val="18"/>
                <w:color w:val="auto"/>
              </w:rPr>
              <w:t>Director</w:t>
            </w:r>
          </w:p>
        </w:tc>
        <w:tc>
          <w:tcPr>
            <w:tcW w:w="2520" w:type="dxa"/>
            <w:vAlign w:val="bottom"/>
            <w:gridSpan w:val="2"/>
          </w:tcPr>
          <w:p>
            <w:pPr>
              <w:ind w:left="300"/>
              <w:spacing w:after="0"/>
              <w:rPr>
                <w:sz w:val="20"/>
                <w:szCs w:val="20"/>
                <w:color w:val="auto"/>
              </w:rPr>
            </w:pPr>
            <w:r>
              <w:rPr>
                <w:rFonts w:ascii="Arial" w:cs="Arial" w:eastAsia="Arial" w:hAnsi="Arial"/>
                <w:sz w:val="18"/>
                <w:szCs w:val="18"/>
                <w:color w:val="auto"/>
                <w:w w:val="96"/>
              </w:rPr>
              <w:t>Director since October 2010;</w:t>
            </w:r>
          </w:p>
        </w:tc>
        <w:tc>
          <w:tcPr>
            <w:tcW w:w="32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Director of PennantPark</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520" w:type="dxa"/>
            <w:vAlign w:val="bottom"/>
            <w:gridSpan w:val="2"/>
          </w:tcPr>
          <w:p>
            <w:pPr>
              <w:ind w:left="300"/>
              <w:spacing w:after="0"/>
              <w:rPr>
                <w:sz w:val="20"/>
                <w:szCs w:val="20"/>
                <w:color w:val="auto"/>
              </w:rPr>
            </w:pPr>
            <w:r>
              <w:rPr>
                <w:rFonts w:ascii="Arial" w:cs="Arial" w:eastAsia="Arial" w:hAnsi="Arial"/>
                <w:sz w:val="18"/>
                <w:szCs w:val="18"/>
                <w:color w:val="auto"/>
              </w:rPr>
              <w:t>Term Expires 2012</w:t>
            </w: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7"/>
              </w:rPr>
              <w:t>Investment Corporation. The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86"/>
              </w:rPr>
              <w:t>Managing Partner since 2007 of</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TZP Group LLC, a private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equity fund. Before joining</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TZP Group, Mr. Katz was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Chief Executive Officer of</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MacAndrews &amp; Forbes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1"/>
              </w:rPr>
              <w:t>Acquisition Holdings, Inc. from</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2006 to 2007. Prior to that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position, Mr. Katz was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1"/>
              </w:rPr>
              <w:t>Chairman and Chief Executive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6"/>
              </w:rPr>
              <w:t>Officer of the Cendant Travel</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5"/>
              </w:rPr>
              <w:t>Distribution Services Division</w:t>
            </w:r>
          </w:p>
        </w:tc>
        <w:tc>
          <w:tcPr>
            <w:tcW w:w="0" w:type="dxa"/>
            <w:vAlign w:val="bottom"/>
          </w:tcPr>
          <w:p>
            <w:pPr>
              <w:spacing w:after="0"/>
              <w:rPr>
                <w:sz w:val="1"/>
                <w:szCs w:val="1"/>
                <w:color w:val="auto"/>
              </w:rPr>
            </w:pPr>
          </w:p>
        </w:tc>
      </w:tr>
      <w:tr>
        <w:trPr>
          <w:trHeight w:val="222"/>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from 2001 to 2005.</w:t>
            </w:r>
          </w:p>
        </w:tc>
        <w:tc>
          <w:tcPr>
            <w:tcW w:w="0" w:type="dxa"/>
            <w:vAlign w:val="bottom"/>
          </w:tcPr>
          <w:p>
            <w:pPr>
              <w:spacing w:after="0"/>
              <w:rPr>
                <w:sz w:val="1"/>
                <w:szCs w:val="1"/>
                <w:color w:val="auto"/>
              </w:rPr>
            </w:pPr>
          </w:p>
        </w:tc>
      </w:tr>
      <w:tr>
        <w:trPr>
          <w:trHeight w:val="318"/>
        </w:trPr>
        <w:tc>
          <w:tcPr>
            <w:tcW w:w="2680" w:type="dxa"/>
            <w:vAlign w:val="bottom"/>
          </w:tcPr>
          <w:p>
            <w:pPr>
              <w:spacing w:after="0"/>
              <w:rPr>
                <w:sz w:val="20"/>
                <w:szCs w:val="20"/>
                <w:color w:val="auto"/>
              </w:rPr>
            </w:pPr>
            <w:r>
              <w:rPr>
                <w:rFonts w:ascii="Arial" w:cs="Arial" w:eastAsia="Arial" w:hAnsi="Arial"/>
                <w:sz w:val="18"/>
                <w:szCs w:val="18"/>
                <w:color w:val="auto"/>
              </w:rPr>
              <w:t>Adam K. Bernstein (47)</w:t>
            </w:r>
          </w:p>
        </w:tc>
        <w:tc>
          <w:tcPr>
            <w:tcW w:w="2520" w:type="dxa"/>
            <w:vAlign w:val="bottom"/>
            <w:gridSpan w:val="2"/>
          </w:tcPr>
          <w:p>
            <w:pPr>
              <w:jc w:val="right"/>
              <w:ind w:right="1547"/>
              <w:spacing w:after="0"/>
              <w:rPr>
                <w:sz w:val="20"/>
                <w:szCs w:val="20"/>
                <w:color w:val="auto"/>
              </w:rPr>
            </w:pPr>
            <w:r>
              <w:rPr>
                <w:rFonts w:ascii="Arial" w:cs="Arial" w:eastAsia="Arial" w:hAnsi="Arial"/>
                <w:sz w:val="18"/>
                <w:szCs w:val="18"/>
                <w:color w:val="auto"/>
              </w:rPr>
              <w:t>Director</w:t>
            </w:r>
          </w:p>
        </w:tc>
        <w:tc>
          <w:tcPr>
            <w:tcW w:w="2520" w:type="dxa"/>
            <w:vAlign w:val="bottom"/>
            <w:gridSpan w:val="2"/>
          </w:tcPr>
          <w:p>
            <w:pPr>
              <w:ind w:left="300"/>
              <w:spacing w:after="0"/>
              <w:rPr>
                <w:sz w:val="20"/>
                <w:szCs w:val="20"/>
                <w:color w:val="auto"/>
              </w:rPr>
            </w:pPr>
            <w:r>
              <w:rPr>
                <w:rFonts w:ascii="Arial" w:cs="Arial" w:eastAsia="Arial" w:hAnsi="Arial"/>
                <w:sz w:val="18"/>
                <w:szCs w:val="18"/>
                <w:color w:val="auto"/>
                <w:w w:val="96"/>
              </w:rPr>
              <w:t>Director since October 2010;</w:t>
            </w:r>
          </w:p>
        </w:tc>
        <w:tc>
          <w:tcPr>
            <w:tcW w:w="32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Director of PennantPark</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520" w:type="dxa"/>
            <w:vAlign w:val="bottom"/>
            <w:gridSpan w:val="2"/>
          </w:tcPr>
          <w:p>
            <w:pPr>
              <w:ind w:left="300"/>
              <w:spacing w:after="0"/>
              <w:rPr>
                <w:sz w:val="20"/>
                <w:szCs w:val="20"/>
                <w:color w:val="auto"/>
              </w:rPr>
            </w:pPr>
            <w:r>
              <w:rPr>
                <w:rFonts w:ascii="Arial" w:cs="Arial" w:eastAsia="Arial" w:hAnsi="Arial"/>
                <w:sz w:val="18"/>
                <w:szCs w:val="18"/>
                <w:color w:val="auto"/>
              </w:rPr>
              <w:t>Term Expires 2013</w:t>
            </w: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Investment Corporation.</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President of The Bernstein</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Companies, a Washington,</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88"/>
              </w:rPr>
              <w:t>D.C.-based real estate firm that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he joined in 1986. Mr.</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8"/>
              </w:rPr>
              <w:t>Bernstein also serves as the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2"/>
              </w:rPr>
              <w:t>President and Chief Executive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4"/>
              </w:rPr>
              <w:t>Officer of Consortium Atlantic</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88"/>
              </w:rPr>
              <w:t>Realty Trust, Inc., a private real</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estate investment trust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9"/>
              </w:rPr>
              <w:t>operating in the Mid-Atlantic</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region since its formation in</w:t>
            </w:r>
          </w:p>
        </w:tc>
        <w:tc>
          <w:tcPr>
            <w:tcW w:w="0" w:type="dxa"/>
            <w:vAlign w:val="bottom"/>
          </w:tcPr>
          <w:p>
            <w:pPr>
              <w:spacing w:after="0"/>
              <w:rPr>
                <w:sz w:val="1"/>
                <w:szCs w:val="1"/>
                <w:color w:val="auto"/>
              </w:rPr>
            </w:pPr>
          </w:p>
        </w:tc>
      </w:tr>
      <w:tr>
        <w:trPr>
          <w:trHeight w:val="222"/>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560" w:type="dxa"/>
            <w:vAlign w:val="bottom"/>
            <w:gridSpan w:val="2"/>
          </w:tcPr>
          <w:p>
            <w:pPr>
              <w:ind w:left="3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365"/>
        </w:trPr>
        <w:tc>
          <w:tcPr>
            <w:tcW w:w="2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20" w:type="dxa"/>
            <w:vAlign w:val="bottom"/>
            <w:gridSpan w:val="2"/>
          </w:tcPr>
          <w:p>
            <w:pPr>
              <w:jc w:val="right"/>
              <w:ind w:right="1848"/>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Directorships</w:t>
      </w:r>
    </w:p>
    <w:p>
      <w:pPr>
        <w:sectPr>
          <w:pgSz w:w="11900" w:h="16838" w:orient="portrait"/>
          <w:cols w:equalWidth="0" w:num="2">
            <w:col w:w="10280" w:space="320"/>
            <w:col w:w="780"/>
          </w:cols>
          <w:pgMar w:left="240" w:top="459" w:right="27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3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Position(s)</w:t>
            </w:r>
          </w:p>
        </w:tc>
        <w:tc>
          <w:tcPr>
            <w:tcW w:w="320" w:type="dxa"/>
            <w:vAlign w:val="bottom"/>
          </w:tcPr>
          <w:p>
            <w:pPr>
              <w:spacing w:after="0"/>
              <w:rPr>
                <w:sz w:val="12"/>
                <w:szCs w:val="12"/>
                <w:color w:val="auto"/>
              </w:rPr>
            </w:pPr>
          </w:p>
        </w:tc>
        <w:tc>
          <w:tcPr>
            <w:tcW w:w="22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Office and</w:t>
            </w:r>
          </w:p>
        </w:tc>
        <w:tc>
          <w:tcPr>
            <w:tcW w:w="30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6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Held with</w:t>
            </w:r>
          </w:p>
        </w:tc>
        <w:tc>
          <w:tcPr>
            <w:tcW w:w="320" w:type="dxa"/>
            <w:vAlign w:val="bottom"/>
          </w:tcPr>
          <w:p>
            <w:pPr>
              <w:spacing w:after="0"/>
              <w:rPr>
                <w:sz w:val="12"/>
                <w:szCs w:val="12"/>
                <w:color w:val="auto"/>
              </w:rPr>
            </w:pPr>
          </w:p>
        </w:tc>
        <w:tc>
          <w:tcPr>
            <w:tcW w:w="22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Length of</w:t>
            </w:r>
          </w:p>
        </w:tc>
        <w:tc>
          <w:tcPr>
            <w:tcW w:w="30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75"/>
        </w:trPr>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Director</w:t>
            </w:r>
          </w:p>
        </w:tc>
        <w:tc>
          <w:tcPr>
            <w:tcW w:w="32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the Company</w:t>
            </w:r>
          </w:p>
        </w:tc>
        <w:tc>
          <w:tcPr>
            <w:tcW w:w="320" w:type="dxa"/>
            <w:vAlign w:val="bottom"/>
          </w:tcPr>
          <w:p>
            <w:pPr>
              <w:spacing w:after="0"/>
              <w:rPr>
                <w:sz w:val="15"/>
                <w:szCs w:val="15"/>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30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1"/>
        </w:trPr>
        <w:tc>
          <w:tcPr>
            <w:tcW w:w="2680" w:type="dxa"/>
            <w:vAlign w:val="bottom"/>
          </w:tcPr>
          <w:p>
            <w:pPr>
              <w:spacing w:after="0" w:line="201" w:lineRule="exact"/>
              <w:rPr>
                <w:sz w:val="20"/>
                <w:szCs w:val="20"/>
                <w:color w:val="auto"/>
              </w:rPr>
            </w:pPr>
            <w:r>
              <w:rPr>
                <w:rFonts w:ascii="Arial" w:cs="Arial" w:eastAsia="Arial" w:hAnsi="Arial"/>
                <w:sz w:val="18"/>
                <w:szCs w:val="18"/>
                <w:color w:val="auto"/>
              </w:rPr>
              <w:t>Jeffrey Flug (48)</w:t>
            </w:r>
          </w:p>
        </w:tc>
        <w:tc>
          <w:tcPr>
            <w:tcW w:w="3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17"/>
                <w:szCs w:val="17"/>
                <w:color w:val="auto"/>
              </w:rPr>
            </w:pPr>
          </w:p>
        </w:tc>
        <w:tc>
          <w:tcPr>
            <w:tcW w:w="2220" w:type="dxa"/>
            <w:vAlign w:val="bottom"/>
            <w:gridSpan w:val="3"/>
          </w:tcPr>
          <w:p>
            <w:pPr>
              <w:spacing w:after="0" w:line="201" w:lineRule="exact"/>
              <w:rPr>
                <w:sz w:val="20"/>
                <w:szCs w:val="20"/>
                <w:color w:val="auto"/>
              </w:rPr>
            </w:pPr>
            <w:r>
              <w:rPr>
                <w:rFonts w:ascii="Arial" w:cs="Arial" w:eastAsia="Arial" w:hAnsi="Arial"/>
                <w:sz w:val="18"/>
                <w:szCs w:val="18"/>
                <w:color w:val="auto"/>
                <w:w w:val="96"/>
              </w:rPr>
              <w:t>Director since October 2010;</w:t>
            </w:r>
          </w:p>
        </w:tc>
        <w:tc>
          <w:tcPr>
            <w:tcW w:w="30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Director of PennantPark</w:t>
            </w: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20" w:type="dxa"/>
            <w:vAlign w:val="bottom"/>
            <w:gridSpan w:val="3"/>
          </w:tcPr>
          <w:p>
            <w:pPr>
              <w:spacing w:after="0" w:line="184" w:lineRule="exact"/>
              <w:rPr>
                <w:sz w:val="20"/>
                <w:szCs w:val="20"/>
                <w:color w:val="auto"/>
              </w:rPr>
            </w:pPr>
            <w:r>
              <w:rPr>
                <w:rFonts w:ascii="Arial" w:cs="Arial" w:eastAsia="Arial" w:hAnsi="Arial"/>
                <w:sz w:val="18"/>
                <w:szCs w:val="18"/>
                <w:color w:val="auto"/>
              </w:rPr>
              <w:t>Term Expires 2013</w:t>
            </w:r>
          </w:p>
        </w:tc>
        <w:tc>
          <w:tcPr>
            <w:tcW w:w="2540" w:type="dxa"/>
            <w:vAlign w:val="bottom"/>
            <w:gridSpan w:val="2"/>
          </w:tcPr>
          <w:p>
            <w:pPr>
              <w:ind w:left="300"/>
              <w:spacing w:after="0" w:line="184" w:lineRule="exact"/>
              <w:rPr>
                <w:sz w:val="20"/>
                <w:szCs w:val="20"/>
                <w:color w:val="auto"/>
              </w:rPr>
            </w:pPr>
            <w:r>
              <w:rPr>
                <w:rFonts w:ascii="Arial" w:cs="Arial" w:eastAsia="Arial" w:hAnsi="Arial"/>
                <w:sz w:val="18"/>
                <w:szCs w:val="18"/>
                <w:color w:val="auto"/>
                <w:w w:val="91"/>
              </w:rPr>
              <w:t>Investment Corporation. Since</w:t>
            </w:r>
          </w:p>
        </w:tc>
        <w:tc>
          <w:tcPr>
            <w:tcW w:w="0" w:type="dxa"/>
            <w:vAlign w:val="bottom"/>
          </w:tcPr>
          <w:p>
            <w:pPr>
              <w:spacing w:after="0"/>
              <w:rPr>
                <w:sz w:val="1"/>
                <w:szCs w:val="1"/>
                <w:color w:val="auto"/>
              </w:rPr>
            </w:pPr>
          </w:p>
        </w:tc>
      </w:tr>
      <w:tr>
        <w:trPr>
          <w:trHeight w:val="228"/>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rPr>
              <w:t>2009, Mr. Flug has held a</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rPr>
              <w:t>variety of senior positions,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rPr>
              <w:t>including, most recently,</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rPr>
              <w:t>President of Union Square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w w:val="89"/>
              </w:rPr>
              <w:t>Hospitality Group, an exclusive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w w:val="94"/>
              </w:rPr>
              <w:t>chain of restaurants. Mr. Flug</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rPr>
              <w:t>also has served as Chief</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rPr>
              <w:t>Executive Officer and</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w w:val="95"/>
              </w:rPr>
              <w:t>Executive Director from 2006</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w w:val="91"/>
              </w:rPr>
              <w:t>to 2008 of Millennium Promise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rPr>
              <w:t>Alliance, Inc., a non-profit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w w:val="92"/>
              </w:rPr>
              <w:t>organization whose mission is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rPr>
              <w:t>to eradicate extreme global</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rPr>
              <w:t>poverty. From 2000 to 2006</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rPr>
              <w:t>Mr. Flug was a Managing</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rPr>
              <w:t>Director and Head of North</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w w:val="91"/>
              </w:rPr>
              <w:t>American Institutional Sales at</w:t>
            </w:r>
          </w:p>
        </w:tc>
        <w:tc>
          <w:tcPr>
            <w:tcW w:w="0" w:type="dxa"/>
            <w:vAlign w:val="bottom"/>
          </w:tcPr>
          <w:p>
            <w:pPr>
              <w:spacing w:after="0"/>
              <w:rPr>
                <w:sz w:val="1"/>
                <w:szCs w:val="1"/>
                <w:color w:val="auto"/>
              </w:rPr>
            </w:pPr>
          </w:p>
        </w:tc>
      </w:tr>
      <w:tr>
        <w:trPr>
          <w:trHeight w:val="222"/>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w w:val="90"/>
              </w:rPr>
              <w:t>JP Morgan’s Investment Bank.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Other</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u w:val="single" w:color="auto"/>
          <w:color w:val="auto"/>
        </w:rPr>
        <w:t>Directorships</w:t>
      </w:r>
    </w:p>
    <w:p>
      <w:pPr>
        <w:spacing w:after="0" w:line="4484" w:lineRule="exact"/>
        <w:rPr>
          <w:sz w:val="20"/>
          <w:szCs w:val="20"/>
          <w:color w:val="auto"/>
        </w:rPr>
      </w:pPr>
    </w:p>
    <w:p>
      <w:pPr>
        <w:sectPr>
          <w:pgSz w:w="11900" w:h="16838" w:orient="portrait"/>
          <w:cols w:equalWidth="0" w:num="2">
            <w:col w:w="10280" w:space="320"/>
            <w:col w:w="820"/>
          </w:cols>
          <w:pgMar w:left="240" w:top="459" w:right="239" w:bottom="1440" w:gutter="0" w:footer="0" w:header="0"/>
          <w:type w:val="continuous"/>
        </w:sect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address of each Director is c/o PennantPark Floating Rate Capital Ltd., 590 Madison Avenue, 15th Floor, New York, New York 10022.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Penn is an interested director due to his positions as an officer of PennantPark Floating Rate Capital and of PennantPark Investment Advisers, LLC.</w:t>
      </w:r>
    </w:p>
    <w:p>
      <w:pPr>
        <w:spacing w:after="0" w:line="1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Biographical Information of our Executive Officers</w:t>
      </w:r>
      <w:r>
        <w:rPr>
          <w:rFonts w:ascii="Arial" w:cs="Arial" w:eastAsia="Arial" w:hAnsi="Arial"/>
          <w:sz w:val="18"/>
          <w:szCs w:val="18"/>
          <w:color w:val="auto"/>
        </w:rPr>
        <w:t>. Certain biographical and other information relating to the executive officers of the company is set out</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120" w:type="dxa"/>
            <w:vAlign w:val="bottom"/>
          </w:tcPr>
          <w:p>
            <w:pPr>
              <w:spacing w:after="0"/>
              <w:rPr>
                <w:sz w:val="12"/>
                <w:szCs w:val="12"/>
                <w:color w:val="auto"/>
              </w:rPr>
            </w:pPr>
          </w:p>
        </w:tc>
        <w:tc>
          <w:tcPr>
            <w:tcW w:w="2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Position(s)</w:t>
            </w:r>
          </w:p>
        </w:tc>
        <w:tc>
          <w:tcPr>
            <w:tcW w:w="120" w:type="dxa"/>
            <w:vAlign w:val="bottom"/>
          </w:tcPr>
          <w:p>
            <w:pPr>
              <w:spacing w:after="0"/>
              <w:rPr>
                <w:sz w:val="12"/>
                <w:szCs w:val="12"/>
                <w:color w:val="auto"/>
              </w:rPr>
            </w:pPr>
          </w:p>
        </w:tc>
        <w:tc>
          <w:tcPr>
            <w:tcW w:w="2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10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Held with</w:t>
            </w:r>
          </w:p>
        </w:tc>
        <w:tc>
          <w:tcPr>
            <w:tcW w:w="120" w:type="dxa"/>
            <w:vAlign w:val="bottom"/>
          </w:tcPr>
          <w:p>
            <w:pPr>
              <w:spacing w:after="0"/>
              <w:rPr>
                <w:sz w:val="12"/>
                <w:szCs w:val="12"/>
                <w:color w:val="auto"/>
              </w:rPr>
            </w:pPr>
          </w:p>
        </w:tc>
        <w:tc>
          <w:tcPr>
            <w:tcW w:w="2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10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75"/>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Officer</w:t>
            </w:r>
          </w:p>
        </w:tc>
        <w:tc>
          <w:tcPr>
            <w:tcW w:w="12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Company</w:t>
            </w:r>
          </w:p>
        </w:tc>
        <w:tc>
          <w:tcPr>
            <w:tcW w:w="12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10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Arthur H. Penn (47)</w:t>
            </w: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Since October 2010</w:t>
            </w: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309"/>
        </w:trPr>
        <w:tc>
          <w:tcPr>
            <w:tcW w:w="2980" w:type="dxa"/>
            <w:vAlign w:val="bottom"/>
          </w:tcPr>
          <w:p>
            <w:pPr>
              <w:spacing w:after="0"/>
              <w:rPr>
                <w:sz w:val="20"/>
                <w:szCs w:val="20"/>
                <w:color w:val="auto"/>
              </w:rPr>
            </w:pPr>
            <w:r>
              <w:rPr>
                <w:rFonts w:ascii="Arial" w:cs="Arial" w:eastAsia="Arial" w:hAnsi="Arial"/>
                <w:sz w:val="18"/>
                <w:szCs w:val="18"/>
                <w:color w:val="auto"/>
              </w:rPr>
              <w:t>Aviv Efrat (46)</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2"/>
              </w:rPr>
              <w:t>Chief Financial Officer and Treasurer</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Since October 2010</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86"/>
              </w:rPr>
              <w:t>Treasurer of PennantPark Investment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0"/>
              </w:rPr>
              <w:t>Corporation since inception in 2007.</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4"/>
              </w:rPr>
              <w:t>Managing Director of PennantPark</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Investment Administration, LLC</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5"/>
              </w:rPr>
              <w:t>since inception in 2007. A Director</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at BlackRock, Inc. from 1997 to</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88"/>
              </w:rPr>
              <w:t>2007 where he was responsible for a</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variety of administrative,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0"/>
              </w:rPr>
              <w:t>operational, and financial aspects of</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89"/>
              </w:rPr>
              <w:t>closed-end and open-end registered</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investment companies.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1340" w:hanging="5612"/>
        <w:spacing w:after="0" w:line="440" w:lineRule="auto"/>
        <w:tabs>
          <w:tab w:leader="none" w:pos="4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address of each officer is c/o PennantPark Floating Rate Capital Ltd.,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 50</w:t>
      </w:r>
    </w:p>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As of the date of this prospectus, none of our Directors and officers owned any of our outstanding shares. As of the date of this prospectus, none of our Independent Directors or their immediate family members owned beneficially or of record any securities in the Investment Adviser, and none of the Directors owned directly or indirectly any securities in any of the Underwriters.</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Compensation of Directors</w:t>
      </w:r>
      <w:r>
        <w:rPr>
          <w:rFonts w:ascii="Arial" w:cs="Arial" w:eastAsia="Arial" w:hAnsi="Arial"/>
          <w:sz w:val="18"/>
          <w:szCs w:val="18"/>
          <w:color w:val="auto"/>
        </w:rPr>
        <w:t>. Each Independent Director receives an annual payment of $50,000 for services performed on behalf of us as a director.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Directors also receive $1,250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171"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We believe that maintaining the highest standards of corporate governance is a crucial part of our business, and we are committed to having in place the necessary controls and procedures designed to ensure compliance with applicable laws, rules and regulations, as well as our own ethical standards of conduct.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NASDAQ corporate governance rules require listed companies to have a board of directors with at least a majority of independent directors. Under NASDAQ corporate governance rules, in order for a director to be deemed independent, our board of directors must determine that the individual does not have a relationship that would interfere with the director’s exercise of independent judgment in carrying out his or her responsibilities. On an annual basis, each member of our board of directors will be required to complete an independence questionnaire designed to provide information to assist our board of directors in determining whether the director is independent under NASDAQ corporate governance rules, the 1940 Act and our corporate governance guidelines. Our board of directors has determined that each of our directors, other than Mr. Penn, is independent under the listing standards of the NASDAQ and the 1940 Act. Our governance guidelines require any director who has previously been determined to be independent to inform the Chairman of our board of directors, the Chairman of the Nominating and Corporate Governance Committee and our Corporate Secretary of any change in circumstance that may cause his or her status as an independent director to change. Our board of directors limits membership on the Audit Committee and the Nominating and Corporate Governance Committee to independent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Oversight Role in Management</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board of directors will perform its risk oversight function primarily through (1) its two standing committees,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described below in more detail under “Audit Committee” and “Nominating and Corporate Governance Committee,” the Audit Committee and the Nominating and Corporate Governance Committee will assist our board of directors in fulfilling its risk oversight responsibilities. The Audit Committee’s risk oversight responsibilities include overseeing our accounting and financial reporting processes, including the annual audit of our financial statements, our systems of internal controls regarding finance and accounting, and pre-approving the independent accountants’ engagement to render audit and/or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common stockholders, developing and recommending to our board of directors a set of corporate governance principles and overseeing the evaluation of our board of directors and our management. Both the Audit Committee and the Nominating and Corporate Governance Committee consist solely of independent directors.</w:t>
      </w:r>
    </w:p>
    <w:p>
      <w:pPr>
        <w:spacing w:after="0" w:line="113" w:lineRule="exact"/>
        <w:rPr>
          <w:sz w:val="20"/>
          <w:szCs w:val="20"/>
          <w:color w:val="auto"/>
        </w:rPr>
      </w:pPr>
    </w:p>
    <w:p>
      <w:pPr>
        <w:ind w:right="200" w:firstLine="456"/>
        <w:spacing w:after="0" w:line="302" w:lineRule="auto"/>
        <w:rPr>
          <w:sz w:val="20"/>
          <w:szCs w:val="20"/>
          <w:color w:val="auto"/>
        </w:rPr>
      </w:pPr>
      <w:r>
        <w:rPr>
          <w:rFonts w:ascii="Arial" w:cs="Arial" w:eastAsia="Arial" w:hAnsi="Arial"/>
          <w:sz w:val="15"/>
          <w:szCs w:val="15"/>
          <w:color w:val="auto"/>
        </w:rPr>
        <w:t>Our board of directors will also perform its risk oversight responsibilities with the assistance of the Chief Compliance Officer. Our Chief Compliance Officer will prepare a written report annually discussing the adequacy and effectiveness of our compliance policies and procedures and certain of our service providers. The Chief Compliance Officer’s report, which will be reviewed by our board of directors, will address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w:t>
      </w:r>
    </w:p>
    <w:p>
      <w:pPr>
        <w:spacing w:after="0" w:line="2" w:lineRule="exact"/>
        <w:rPr>
          <w:sz w:val="20"/>
          <w:szCs w:val="20"/>
          <w:color w:val="auto"/>
        </w:rPr>
      </w:pPr>
    </w:p>
    <w:p>
      <w:pPr>
        <w:ind w:right="200" w:firstLine="8"/>
        <w:spacing w:after="0" w:line="255"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compliance matter that has occurred since the date of the last report about which our board of directors would reasonably need to know to oversee our compliance activities and risks. In addition, the Chief Compliance Officer will meet separately in executive session with our independent directors at least once each year.</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believe that our board of director’s role in risk oversight will be effective and appropriate given the extensive regulation to which we will be subject as a closed-end management investment company. Specifically, as a closed-end management investment company, we must comply with certain regulatory requirements that control the levels of risk in our business and operations. In addition, we intend to elect to be treated, and intend to qualify annually, as a RIC under Subchapter M of the Code, commencing with our first taxable year ending after completion of this offering. As a RIC we must meet certain income source, asset diversification and annual distribution requirements.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the extent of our board of director’s and its committees’ roles in risk oversight will complement our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our independent auditors, Chief Compliance Officer and Chief Executive Officer, the independent directors will establish direct communication and oversight channels that our board of directors believes will foster open communication and early detection of issues of concern.</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believe that our board of director’s role in risk oversight must be evaluated on a case by case basis and that the current configuration and allocation of responsibilities among our board of directors and its committees with respect to the oversight of risk is appropriate. However, our board of directors and its committees will continually re-examine the manner in which they administer their respective risk oversight functions, including through formal annual assessments of performance, to ensure that they meet our needs.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1940 Act will require that at least a majority of our directors not be “interested persons” (as defined in the 1940 Act) of us. Currently, four of our five directors are independent directors; however the Chairman of our board of directors is an interested person of us. The independent directors believe that the combined position of Chief Executive Officer and Chairman of our board of directors will result in greater efficiencies in managing us by eliminating the need to transfer substantial information quickly and repeatedly between a separate Chief Executive Officer and Chairman, and the ability to capitalize on the specialized knowledge acquired from the duties of these roles. Our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will provide to us and the potential conflicts of interest that could arise from these relationships.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17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Below is additional information about each director (supplementing the information provided in the table above) that describes some of the specific experiences, qualifications, attributes and/or skills that each director possesses, and which our board of directors believes has prepared each director to be an effective board member. Our board of directors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our board of directors believes that directors need to have the ability to review, evaluate, question and discuss critical information provided to them, and to interact effectively with our management, service providers and counsel, in order to exercise effective business judgment in the performance of their duties. Our board of directors believes that its members satisfy this standard. Experience relevant to having this ability may be achieved through a director’s educational background, business, professional training or practice (</w:t>
      </w:r>
      <w:r>
        <w:rPr>
          <w:rFonts w:ascii="Arial" w:cs="Arial" w:eastAsia="Arial" w:hAnsi="Arial"/>
          <w:sz w:val="16"/>
          <w:szCs w:val="16"/>
          <w:i w:val="1"/>
          <w:iCs w:val="1"/>
          <w:color w:val="auto"/>
        </w:rPr>
        <w:t>e.g</w:t>
      </w:r>
      <w:r>
        <w:rPr>
          <w:rFonts w:ascii="Arial" w:cs="Arial" w:eastAsia="Arial" w:hAnsi="Arial"/>
          <w:sz w:val="16"/>
          <w:szCs w:val="16"/>
          <w:color w:val="auto"/>
        </w:rPr>
        <w:t>., finance, accounting or law); public service or academic positions, experience from service as a board member (including on our board of directors) or as an executive of investment funds, public companies or significant private or not-for-profit entities or other organizations, and/or other life experiences. To assist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them in evaluating matters under federal and state law, the independent directors will be counseled by their own independent legal counsel, who will participate in board of directors meetings and interacts with the Investment Adviser, and also may benefit from information provided by our counsel. Both independent directors’ counsel and our counsel have significant experience advising funds and fund board members. Our board of directors and its committees will have the ability to engage other experts as appropriate. Our board of directors will evaluate its performance on an annual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Chairman of our board of directors and Chief Executive Officer, Mr. Penn will assume a leading role in strategic planning and executing our initiatives. Mr. Penn will also manage our day-to-day operations, with the support of the other investment professionals and officers. As Chief Executive Officer, Mr. Penn will have general responsibility for the implementation of our policies, as determined by our board of directors, and for the management of our business and affairs.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Experience, Qualifications, Attributes and/or Skills that Led to the Board’s Conclusion that such Members Should Serve as Directors of the Company</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board of directors believes that, collectively, the directors have balanced and diverse experience, qualifications, attributes and skills, which will allow our board of directors to operate effectively in governing us and protecting the interests of our stockholders. Below is a description of the various experiences, qualifications, attributes and/or skills with respect to each director considered by our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Arthur H. Penn</w:t>
      </w:r>
    </w:p>
    <w:p>
      <w:pPr>
        <w:spacing w:after="0" w:line="90" w:lineRule="exact"/>
        <w:rPr>
          <w:sz w:val="20"/>
          <w:szCs w:val="20"/>
          <w:color w:val="auto"/>
        </w:rPr>
      </w:pPr>
    </w:p>
    <w:p>
      <w:pPr>
        <w:ind w:right="40" w:firstLine="456"/>
        <w:spacing w:after="0" w:line="282" w:lineRule="auto"/>
        <w:rPr>
          <w:sz w:val="20"/>
          <w:szCs w:val="20"/>
          <w:color w:val="auto"/>
        </w:rPr>
      </w:pPr>
      <w:r>
        <w:rPr>
          <w:rFonts w:ascii="Arial" w:cs="Arial" w:eastAsia="Arial" w:hAnsi="Arial"/>
          <w:sz w:val="16"/>
          <w:szCs w:val="16"/>
          <w:color w:val="auto"/>
        </w:rPr>
        <w:t>Our board of directors will benefit from Mr. Penn’s business leadership and experience and knowledge of senior loan, mezzanine lending, leveraged finance, distressed debt and private equity businesses, as well as a diverse knowledge of management practices. Mr. Penn is our Founder, Chairman and Chief Executive Officer and the Managing Member of PennantPark Investment Advisers, LLC and PennantPark Investment Administration, LLC. Mr. Penn co-founded Apollo Investment Management in 2004, where he was a Managing Partner from 2004 to 2006. He also served as President and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Mr. Penn’s longstanding service as Chairman and Chief Executive Officer of PennantPark Investment Corp. and Managing Member of PennantPark Investment Advisers, LLC and PennantPark Investment Administration, LLC provide him with a specific and valuable understanding of us, our operations, and the business and regulatory issues facing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K. Bernstein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Mr. Bernstein brings to our board of directors 25 years of experience in leading a real estate development, investment and management business in the Mid-Atlantic region of the United States. Mr. Bernstein affords our board of directors his vast experience in the area of strategic and financial planning and capital and risk management. Mr. Bernstein is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also is the President of the Mid-Atlantic Regional Advisory Board of the University of Pennsylvania.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Mr. Brozost brings 17 years of experience in the areas of finance, private equity, mergers and acquisitions and restructurings.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Flug</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Mr. Flug brings to our board of directors expertise in fixed income, investment banking, accounting and business operations. Since 2009, Mr. Flug has held a variety of senior positions including, most recently,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Mr. Katz brings to our board of directors a diverse knowledge of business and finance as a result of his career over the past 25 years. Mr. Katz is the Managing Partner of TZP Group, LLP a private equity fund he formed in 2007. Prior to joining TZP Group, he was CEO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he was an Associate and Vice President at The Blackstone Group, where he worked on numerous private equity transactions, including the initial LBOs of several hotel franchise brands, which created the predecessor to Cendant Corporation. From 1986 to 1988, Mr. Katz was a Financial Analyst at Drexel Burnham Lambert.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Aviv Efrat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Efrat became PennantPark Floating Rate Capital Ltd.’s Chief Financial Officer and Treasurer in October 2010. Mr. Efrat is also a Managing Director of PennantPark Investment Administration, LLC and the Chief Financial Officer and Treasurer of PennantPark Investment Corp.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Guy F. Talarico</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Mr. Talarico became PennantPark Floating Rate Capital’s Chief Compliance Officer in 2011.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board of directors has established an Audit Committee and a Nominating and Corporate Governance Committee. We will require each director to make a diligent effort to attend all board and committee meetings, and encourage directors to attend our Annual Meeting of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our board of directors. Our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our board of directors whether the audited financial statements should be included in our annual report; reviewing and discussing with management and the independent auditors our financial statements prior to the filings;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Our board of directors and Audit Committee will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our board of directors or a committee of our board of directors, developing and recommending to our board of directors a set of corporate governance principles and overseeing the evaluation of our board of directors and our management.</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our stockholders’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our board of directors and to serve if elected by the stockholders.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our board of directors will include compliance with the independence and other applicable requirements of the NASDAQ corporate governance rules and the 1940 Act, and all other applicable laws, rules, regulations and listing standards; the criteria, policies and principles set forth in the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w:t>
      </w:r>
    </w:p>
    <w:p>
      <w:pPr>
        <w:sectPr>
          <w:pgSz w:w="11900" w:h="16838" w:orient="portrait"/>
          <w:cols w:equalWidth="0" w:num="1">
            <w:col w:w="11420"/>
          </w:cols>
          <w:pgMar w:left="240" w:top="459" w:right="239" w:bottom="751"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59" w:right="239" w:bottom="751"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members of our board of directors, but the Committee will consider such factors as it may deem are in our best interests and those of our stockholders. Those factors may include a person’s differences of viewpoint, professional experience, education and skills, as well as his or her race, gender and national origin. In addition, as part of our board of director’s annual-self assessment, the members of the Nominating and Corporate Governance Committee will evaluate the membership of our board of directors and whether our board of directors maintains satisfactory policies regarding membership selection.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Investment Adviser has three experienced senior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will provide us with access to substantial investment opportunities across the capital markets. Below is a summary of their biographical information.</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December 31, 2010, our portfolio managers also managed investments on behalf of the following entities: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Entity</w:t>
            </w:r>
          </w:p>
        </w:tc>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Investment Focus</w:t>
            </w:r>
          </w:p>
        </w:tc>
        <w:tc>
          <w:tcPr>
            <w:tcW w:w="5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89"/>
              </w:rPr>
              <w:t>Gross Assets(1)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PennantPark Investment</w:t>
            </w:r>
          </w:p>
        </w:tc>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Business development</w:t>
            </w:r>
          </w:p>
        </w:tc>
        <w:tc>
          <w:tcPr>
            <w:tcW w:w="4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Primarily mezzanine debt and equity investments in</w:t>
            </w:r>
          </w:p>
        </w:tc>
        <w:tc>
          <w:tcPr>
            <w:tcW w:w="88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w:t>
            </w: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middle-market leveraged companies</w:t>
            </w: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assets are calculated as of December 31, 2010, and are rounded to the nearest million.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shows the dollar range of shares of common stock we estimate will be beneficially owned by each of our portfolio managers and each of our officers subsequent to completion of this offering.</w:t>
      </w:r>
    </w:p>
    <w:p>
      <w:pPr>
        <w:spacing w:after="0" w:line="3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Dollar</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Range of Equity</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Securities in</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PennantPark</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Floating Rate</w:t>
            </w:r>
          </w:p>
        </w:tc>
      </w:tr>
      <w:tr>
        <w:trPr>
          <w:trHeight w:val="161"/>
        </w:trPr>
        <w:tc>
          <w:tcPr>
            <w:tcW w:w="6680" w:type="dxa"/>
            <w:vAlign w:val="bottom"/>
            <w:gridSpan w:val="4"/>
          </w:tcPr>
          <w:p>
            <w:pPr>
              <w:spacing w:after="0"/>
              <w:rPr>
                <w:sz w:val="20"/>
                <w:szCs w:val="20"/>
                <w:color w:val="auto"/>
              </w:rPr>
            </w:pPr>
            <w:r>
              <w:rPr>
                <w:rFonts w:ascii="Arial" w:cs="Arial" w:eastAsia="Arial" w:hAnsi="Arial"/>
                <w:sz w:val="14"/>
                <w:szCs w:val="14"/>
                <w:b w:val="1"/>
                <w:bCs w:val="1"/>
                <w:color w:val="auto"/>
              </w:rPr>
              <w:t>Name of Portfolio Manager</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Capital Ltd.(1)</w:t>
            </w:r>
          </w:p>
        </w:tc>
      </w:tr>
      <w:tr>
        <w:trPr>
          <w:trHeight w:val="210"/>
        </w:trPr>
        <w:tc>
          <w:tcPr>
            <w:tcW w:w="20" w:type="dxa"/>
            <w:vAlign w:val="bottom"/>
          </w:tcPr>
          <w:p>
            <w:pPr>
              <w:spacing w:after="0"/>
              <w:rPr>
                <w:sz w:val="18"/>
                <w:szCs w:val="18"/>
                <w:color w:val="auto"/>
              </w:rPr>
            </w:pPr>
          </w:p>
        </w:tc>
        <w:tc>
          <w:tcPr>
            <w:tcW w:w="1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50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 – $10,000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Salvatore Giannetti III</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 Whitridge Williams, Jr.</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r>
        <w:trPr>
          <w:trHeight w:val="222"/>
        </w:trPr>
        <w:tc>
          <w:tcPr>
            <w:tcW w:w="20" w:type="dxa"/>
            <w:vAlign w:val="bottom"/>
          </w:tcPr>
          <w:p>
            <w:pPr>
              <w:spacing w:after="0"/>
              <w:rPr>
                <w:sz w:val="19"/>
                <w:szCs w:val="19"/>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Jose A. Briones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r>
      <w:tr>
        <w:trPr>
          <w:trHeight w:val="358"/>
        </w:trPr>
        <w:tc>
          <w:tcPr>
            <w:tcW w:w="6680" w:type="dxa"/>
            <w:vAlign w:val="bottom"/>
            <w:gridSpan w:val="4"/>
          </w:tcPr>
          <w:p>
            <w:pPr>
              <w:spacing w:after="0"/>
              <w:rPr>
                <w:sz w:val="20"/>
                <w:szCs w:val="20"/>
                <w:color w:val="auto"/>
              </w:rPr>
            </w:pPr>
            <w:r>
              <w:rPr>
                <w:rFonts w:ascii="Arial" w:cs="Arial" w:eastAsia="Arial" w:hAnsi="Arial"/>
                <w:sz w:val="14"/>
                <w:szCs w:val="14"/>
                <w:b w:val="1"/>
                <w:bCs w:val="1"/>
                <w:color w:val="auto"/>
              </w:rPr>
              <w:t>Name of officer</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574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r>
        <w:trPr>
          <w:trHeight w:val="222"/>
        </w:trPr>
        <w:tc>
          <w:tcPr>
            <w:tcW w:w="20" w:type="dxa"/>
            <w:vAlign w:val="bottom"/>
          </w:tcPr>
          <w:p>
            <w:pPr>
              <w:spacing w:after="0"/>
              <w:rPr>
                <w:sz w:val="19"/>
                <w:szCs w:val="19"/>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Guy F. Talarico</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r>
    </w:tbl>
    <w:p>
      <w:pPr>
        <w:sectPr>
          <w:pgSz w:w="11900" w:h="16838" w:orient="portrait"/>
          <w:cols w:equalWidth="0" w:num="1">
            <w:col w:w="11380"/>
          </w:cols>
          <w:pgMar w:left="240" w:top="459" w:right="279" w:bottom="1440" w:gutter="0" w:footer="0" w:header="0"/>
        </w:sectPr>
      </w:pPr>
    </w:p>
    <w:bookmarkStart w:id="66" w:name="page67"/>
    <w:bookmarkEnd w:id="66"/>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t>Dollar ranges are as follows: None, $1-$10,000, $10,001-$50,000, $50,001-$100,000, $100,001-$500,000, $500,001-$1,000,000, or Over $1,000,000.</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Communication with our Board of Directors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Stockholders with questions about us are encouraged to contact our Investor Relations Department at 590 Madison Avenue, 15th Floor, New York, New York 10022 or by visiting the investor relations web page on our website at www.pennantpark.com. However, if stockholders believe that their questions have not been addressed, they may communicate with our board of directors by sending their communications to: Thomas Friedmann, Secretary, c/o PennantPark Floating Rate Capital Ltd., 590 Madison Avenue, 15th Floor, New York, New York 10022. All stockholder communications received in this manner will be delivered to one or more members of our board of directors.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Immediately prior to the completion of this offering, there will be 667 shares of common stock outstanding and one stockholder of record. At that time, we will have no other shares of capital stock outstanding. The following table sets out certain ownership information with respect to our common stock for those persons who directly or indirectly own, control or hold with the power to vote 5% or more of our outstanding common stock and all officers and directors as a group.</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Immediately Prior to</w:t>
            </w:r>
          </w:p>
        </w:tc>
        <w:tc>
          <w:tcPr>
            <w:tcW w:w="1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Immediately After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Type of</w:t>
            </w:r>
          </w:p>
        </w:tc>
        <w:tc>
          <w:tcPr>
            <w:tcW w:w="226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This Offering</w:t>
            </w:r>
          </w:p>
        </w:tc>
        <w:tc>
          <w:tcPr>
            <w:tcW w:w="17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This Offering(1)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6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tcBorders>
              <w:top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Ownership</w:t>
            </w: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Owned</w:t>
            </w: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Percentage</w:t>
            </w: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Owned</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PennantPark Investment Advisers LLC(2)</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Direct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667</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Arthur H. Penn(3)</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Indirect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667</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667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officers and directors as a group(4)</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Indirect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667</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Does not reflect shares of common stock reserved for issuance upon exercise of the underwriters’ overallotment option.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address for PennantPark Investment Advisers LLC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beneficially own the 667 shares owned by PennantPark Investment Advisers LLC.</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address for all officers and directors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6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following table sets forth the dollar range of our equity securities we expect will be beneficially owned by each of our Directors immediately after this offering.</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3080" w:type="dxa"/>
            <w:vAlign w:val="bottom"/>
            <w:gridSpan w:val="2"/>
          </w:tcPr>
          <w:p>
            <w:pPr>
              <w:jc w:val="right"/>
              <w:ind w:right="920"/>
              <w:spacing w:after="0" w:line="139" w:lineRule="exact"/>
              <w:rPr>
                <w:sz w:val="20"/>
                <w:szCs w:val="20"/>
                <w:color w:val="auto"/>
              </w:rPr>
            </w:pPr>
            <w:r>
              <w:rPr>
                <w:rFonts w:ascii="Arial" w:cs="Arial" w:eastAsia="Arial" w:hAnsi="Arial"/>
                <w:sz w:val="14"/>
                <w:szCs w:val="14"/>
                <w:b w:val="1"/>
                <w:bCs w:val="1"/>
                <w:color w:val="auto"/>
              </w:rPr>
              <w:t>Dollar Range of Equity</w:t>
            </w:r>
          </w:p>
        </w:tc>
        <w:tc>
          <w:tcPr>
            <w:tcW w:w="0" w:type="dxa"/>
            <w:vAlign w:val="bottom"/>
          </w:tcPr>
          <w:p>
            <w:pPr>
              <w:spacing w:after="0"/>
              <w:rPr>
                <w:sz w:val="1"/>
                <w:szCs w:val="1"/>
                <w:color w:val="auto"/>
              </w:rPr>
            </w:pPr>
          </w:p>
        </w:tc>
      </w:tr>
      <w:tr>
        <w:trPr>
          <w:trHeight w:val="161"/>
        </w:trPr>
        <w:tc>
          <w:tcPr>
            <w:tcW w:w="8340" w:type="dxa"/>
            <w:vAlign w:val="bottom"/>
            <w:gridSpan w:val="3"/>
          </w:tcPr>
          <w:p>
            <w:pPr>
              <w:spacing w:after="0"/>
              <w:rPr>
                <w:sz w:val="20"/>
                <w:szCs w:val="20"/>
                <w:color w:val="auto"/>
              </w:rPr>
            </w:pPr>
            <w:r>
              <w:rPr>
                <w:rFonts w:ascii="Arial" w:cs="Arial" w:eastAsia="Arial" w:hAnsi="Arial"/>
                <w:sz w:val="14"/>
                <w:szCs w:val="14"/>
                <w:b w:val="1"/>
                <w:bCs w:val="1"/>
                <w:color w:val="auto"/>
              </w:rPr>
              <w:t>Name of Director</w:t>
            </w:r>
          </w:p>
        </w:tc>
        <w:tc>
          <w:tcPr>
            <w:tcW w:w="3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Securities in PennantPark Floating Rate Capital (1)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3080" w:type="dxa"/>
            <w:vAlign w:val="bottom"/>
            <w:gridSpan w:val="2"/>
          </w:tcPr>
          <w:p>
            <w:pPr>
              <w:jc w:val="right"/>
              <w:ind w:right="100"/>
              <w:spacing w:after="0"/>
              <w:rPr>
                <w:sz w:val="20"/>
                <w:szCs w:val="20"/>
                <w:color w:val="auto"/>
              </w:rPr>
            </w:pPr>
            <w:r>
              <w:rPr>
                <w:rFonts w:ascii="Arial" w:cs="Arial" w:eastAsia="Arial" w:hAnsi="Arial"/>
                <w:sz w:val="18"/>
                <w:szCs w:val="18"/>
                <w:color w:val="auto"/>
              </w:rPr>
              <w:t>$1 – $10,000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30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3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30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3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or Over $100,000.</w:t>
      </w:r>
    </w:p>
    <w:p>
      <w:pPr>
        <w:sectPr>
          <w:pgSz w:w="11900" w:h="16838" w:orient="portrait"/>
          <w:cols w:equalWidth="0" w:num="1">
            <w:col w:w="11420"/>
          </w:cols>
          <w:pgMar w:left="240" w:top="280" w:right="239" w:bottom="1440" w:gutter="0" w:footer="0" w:header="0"/>
        </w:sectPr>
      </w:pPr>
    </w:p>
    <w:bookmarkStart w:id="67" w:name="page68"/>
    <w:bookmarkEnd w:id="67"/>
    <w:p>
      <w:pPr>
        <w:jc w:val="center"/>
        <w:ind w:right="-7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We will enter into the Investment Management Agreement with the Investment Adviser under which the Investment Adviser, subject to the overall supervision of our board of directors, will manage the day-to-day operations of and provides investment advisory services to us. Under the terms of the Investment Management Agreement, the Investment Adviser will:</w:t>
      </w:r>
    </w:p>
    <w:p>
      <w:pPr>
        <w:spacing w:after="0" w:line="59"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44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 evaluate and negotiate the structure of the investments we will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close and monitor the investments we will make.</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Investment Adviser’s services under the Investment Management Agreement are not exclusive, and it is free to furnish similar services, without the prior approval of our stockholders or our board of directors, to other entities so long as its services to us are not impaired. Our board of directors will monitor any potential conflicts that may arise upon such a development. For providing these services, the Investment Adviser will receive a fee from us, consisting of two components—a base management fee and an incentive fee, which we refer to collectively as the “Management Fees.”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125"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25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Investment Management Agreement, we will agree to pay PennantPark Investment Advisers a fee for investment advisory and management services consisting of two components — a base management fee and an incentive fee.</w:t>
      </w:r>
    </w:p>
    <w:p>
      <w:pPr>
        <w:spacing w:after="0" w:line="1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base management fee will be calculated at an annual rate of 1.00% of our gross assets. PennantPark Investment Advisers, however, has agreed to waive the portion of the base management fee payable on any net proceeds of this offering that have not yet been invested in portfolio investments, exclusive of any temporary investments in cash, cash equivalents, U.S. government securities and other high-quality investment grade debt investments that mature in 12 months or less from the date of investment. For services rendered under the Investment Management Agreement, the base management fee will be payable quarterly in arrears. The base management fee will be calculated based on the average value of our gross assets at the end of the two most recently completed calendar quarters, and appropriately adjusted for any share issuances or repurchases during the current calendar quarter. Base management fees for any partial month or quarter will be appropriately pro-rated.</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incentive fee will have two parts, as follows: one part will be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will be compared to a hurdle of 1.75% per quarter (7.00% annualized). Our net investment income used to calculate this part of the incentive fee is also included in the amount of our gross assets used to calculate the 1.00% base management fee. We will pay PennantPark Investment Advisers an incentive fee with respect to our Pre-Incentive Fee Net Investment Income in each calendar quarter as follows:</w:t>
      </w:r>
    </w:p>
    <w:p>
      <w:pPr>
        <w:spacing w:after="0" w:line="43"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of 1.75%;</w:t>
      </w:r>
    </w:p>
    <w:p>
      <w:pPr>
        <w:spacing w:after="0" w:line="113" w:lineRule="exact"/>
        <w:rPr>
          <w:rFonts w:ascii="Arial" w:cs="Arial" w:eastAsia="Arial" w:hAnsi="Arial"/>
          <w:sz w:val="16"/>
          <w:szCs w:val="16"/>
          <w:color w:val="auto"/>
        </w:rPr>
      </w:pPr>
    </w:p>
    <w:p>
      <w:pPr>
        <w:ind w:left="900" w:right="100" w:hanging="325"/>
        <w:spacing w:after="0" w:line="255"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50% of our Pre-Incentive Fee Net Investment Income with respect to that portion of such Pre-Incentive Fee Net Investment Income, if any, that exceeds the hurdle but is less than 2.9167% in any calendar quarter (11.67% annualized). We refer to this portion of our Pre-Incentive Fee Net Investment Income (which exceeds the hurdle but is less than 2.9167%) as the “catch-up.” The “catch-up” is meant to provide the Investment Adviser with approximately 20% of our Pre-Incentive Fee Net Investment Income as if a hurdle did not apply if this net investment income exceeds 2.9167% in any calendar quarter; and</w:t>
      </w:r>
    </w:p>
    <w:p>
      <w:pPr>
        <w:spacing w:after="0" w:line="61"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2.9167% in any calendar quarter (11.67% annualized) will be payable to PennantPark Investment Advisers (once the hurdle is reached and the catch-up is achieved, 20% of all Pre-Incentive Fee Investment Income thereafter is allocated to PennantPark Investment Advisers).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109855</wp:posOffset>
            </wp:positionV>
            <wp:extent cx="2924175" cy="514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241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allocated to PennantPark Investment Advisers</w:t>
      </w:r>
    </w:p>
    <w:p>
      <w:pPr>
        <w:spacing w:after="0" w:line="16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These calculations will be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the Investment Adviser with respect to Pre-Incentive Fee Net Investment Income.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second part of the incentive fee will be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net unrealized capital depreciation on a cumulative basis, less the aggregate amount of any previously paid capital gain incentive fees with respect to each of the investments in our portfolio, provided that, the incentive fee determined as of December 31, 2011 will be calculated for a period of shorter than twelve calendar months to take into account any realized capital gains computed net of all realized capital losses and unrealized capital depreciation from the inception of PennantPark Floating Rate Capital.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0.80%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Net Investment Income does not exceed hurdle rate, therefore there is no incentive fee.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50% × Pre-Incentive Fee Net Investment Income, subject to the “catch-up” (4)</w:t>
      </w:r>
    </w:p>
    <w:p>
      <w:pPr>
        <w:spacing w:after="0" w:line="84" w:lineRule="exact"/>
        <w:rPr>
          <w:sz w:val="20"/>
          <w:szCs w:val="20"/>
          <w:color w:val="auto"/>
        </w:rPr>
      </w:pPr>
    </w:p>
    <w:p>
      <w:pPr>
        <w:ind w:left="2040" w:hanging="151"/>
        <w:spacing w:after="0"/>
        <w:tabs>
          <w:tab w:leader="none" w:pos="2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50% × (2.25% – 1.75%)</w:t>
      </w:r>
    </w:p>
    <w:p>
      <w:pPr>
        <w:spacing w:after="0" w:line="15" w:lineRule="exact"/>
        <w:rPr>
          <w:rFonts w:ascii="Arial" w:cs="Arial" w:eastAsia="Arial" w:hAnsi="Arial"/>
          <w:sz w:val="18"/>
          <w:szCs w:val="18"/>
          <w:color w:val="auto"/>
        </w:rPr>
      </w:pPr>
    </w:p>
    <w:p>
      <w:pPr>
        <w:ind w:left="2040" w:hanging="151"/>
        <w:spacing w:after="0"/>
        <w:tabs>
          <w:tab w:leader="none" w:pos="2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0.25%</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4.00%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3.55%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20% × Pre-Incentive Fee Net Investment Income, subject to “catch-up” (4)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50% × “catch-up” + (20% × (Pre-Incentive Fee Net Investment Income – 2.9167%))</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Catch-up = 2.9167% – 1.75%</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1.1667%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(50% × 1.1667%) + (20% × (3.55% – 2.9167%))</w:t>
      </w:r>
    </w:p>
    <w:p>
      <w:pPr>
        <w:spacing w:after="0" w:line="9" w:lineRule="exact"/>
        <w:rPr>
          <w:sz w:val="20"/>
          <w:szCs w:val="20"/>
          <w:color w:val="auto"/>
        </w:rPr>
      </w:pPr>
    </w:p>
    <w:p>
      <w:pPr>
        <w:ind w:left="2040" w:hanging="151"/>
        <w:spacing w:after="0"/>
        <w:tabs>
          <w:tab w:leader="none" w:pos="2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0.58334% + (20% × 0.6333%)</w:t>
      </w:r>
    </w:p>
    <w:p>
      <w:pPr>
        <w:spacing w:after="0" w:line="9" w:lineRule="exact"/>
        <w:rPr>
          <w:rFonts w:ascii="Arial" w:cs="Arial" w:eastAsia="Arial" w:hAnsi="Arial"/>
          <w:sz w:val="18"/>
          <w:szCs w:val="18"/>
          <w:color w:val="auto"/>
        </w:rPr>
      </w:pPr>
    </w:p>
    <w:p>
      <w:pPr>
        <w:ind w:left="2040" w:hanging="151"/>
        <w:spacing w:after="0"/>
        <w:tabs>
          <w:tab w:leader="none" w:pos="2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0.58334% + 0.12667%</w:t>
      </w:r>
    </w:p>
    <w:p>
      <w:pPr>
        <w:spacing w:after="0" w:line="9" w:lineRule="exact"/>
        <w:rPr>
          <w:rFonts w:ascii="Arial" w:cs="Arial" w:eastAsia="Arial" w:hAnsi="Arial"/>
          <w:sz w:val="18"/>
          <w:szCs w:val="18"/>
          <w:color w:val="auto"/>
        </w:rPr>
      </w:pPr>
    </w:p>
    <w:p>
      <w:pPr>
        <w:ind w:left="2040" w:hanging="151"/>
        <w:spacing w:after="0"/>
        <w:tabs>
          <w:tab w:leader="none" w:pos="2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0.71001%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7.00% annualized hurdle rate.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1.00%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right="320" w:hanging="452"/>
        <w:spacing w:after="0" w:line="323"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Year 1: $20 million investment made in Company A (“Investment A”), and $30 million investment made in Company B (“Investment B”)</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Year 3: FMV of Investment B determined to be $25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Year 4: Investment B sold for $31 million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Year 2: $6 million capital gains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$30 million realized capital gains on sale of Investment A multiplied by 20%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Year 3: None</w:t>
      </w:r>
    </w:p>
    <w:p>
      <w:pPr>
        <w:spacing w:after="0" w:line="90"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$5 million cumulative fee (20% multiplied by $25 million ($30 million cumulative capital gains less $5 million cumulative capital depreciation)) less $6 million (previous capital gains fee paid in Year 2)</w:t>
      </w:r>
    </w:p>
    <w:p>
      <w:pPr>
        <w:spacing w:after="0" w:line="51"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Year 4: $200,000 capital gains incentive fee</w:t>
      </w:r>
    </w:p>
    <w:p>
      <w:pPr>
        <w:spacing w:after="0" w:line="90"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$6.2 million cumulative fee ($31 million cumulative realized capital gains multiplied by 20%) less $6 million (previous capital gains fee paid in Year 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right="4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Year 2: Investment A sold for $50 million, FMV of Investment B determined to be $25 million and FMV of Investment C determined to be $25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Year 3: FMV of Investment B determined to be $27 million and Investment C sold for $30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Year 4: FMV of Investment B determined to be $35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Year 5: Investment B sold for $20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Year 2: $5 million capital gains incentive fee</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 multiplied by $25 million ($30 million realized capital gains on sale of Investment A less $5 million unrealized capital depreciation on Investment B)</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Year 3: $1.4 million capital gains incentive fee</w:t>
      </w:r>
      <w:r>
        <w:rPr>
          <w:rFonts w:ascii="Arial" w:cs="Arial" w:eastAsia="Arial" w:hAnsi="Arial"/>
          <w:sz w:val="11"/>
          <w:szCs w:val="11"/>
          <w:color w:val="auto"/>
        </w:rPr>
        <w:t>(1)</w:t>
      </w:r>
    </w:p>
    <w:p>
      <w:pPr>
        <w:spacing w:after="0" w:line="90" w:lineRule="exact"/>
        <w:rPr>
          <w:sz w:val="20"/>
          <w:szCs w:val="20"/>
          <w:color w:val="auto"/>
        </w:rPr>
      </w:pPr>
    </w:p>
    <w:p>
      <w:pPr>
        <w:ind w:left="920" w:right="560"/>
        <w:spacing w:after="0" w:line="268" w:lineRule="auto"/>
        <w:rPr>
          <w:sz w:val="20"/>
          <w:szCs w:val="20"/>
          <w:color w:val="auto"/>
        </w:rPr>
      </w:pPr>
      <w:r>
        <w:rPr>
          <w:rFonts w:ascii="Arial" w:cs="Arial" w:eastAsia="Arial" w:hAnsi="Arial"/>
          <w:sz w:val="18"/>
          <w:szCs w:val="18"/>
          <w:color w:val="auto"/>
        </w:rPr>
        <w:t>$6.4 million cumulative fee (20% multiplied by $32 million ($35 million cumulative realized capital gains less $3 million unrealized capital depreciation)) less $5 million (previous capital gains fee paid in Year 2)</w:t>
      </w:r>
    </w:p>
    <w:p>
      <w:pPr>
        <w:spacing w:after="0" w:line="5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Year 4: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Year 5: None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 million cumulative fee (20% multiplied by $25 million ($35 million cumulative realized capital gains less $10 million realized capital losses))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less $6.4 million (previous cumulative capital gains fee paid in Year 2 and Year 3)</w:t>
      </w:r>
    </w:p>
    <w:p>
      <w:pPr>
        <w:spacing w:after="0" w:line="84" w:lineRule="exact"/>
        <w:rPr>
          <w:sz w:val="20"/>
          <w:szCs w:val="20"/>
          <w:color w:val="auto"/>
        </w:rPr>
      </w:pPr>
    </w:p>
    <w:p>
      <w:pPr>
        <w:ind w:left="46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illustrated in Year 3 of Alternative 1 above, if PennantPark Floating Rate Capital were to be wound up on a date other than December 31 of any year, PennantPark Floating Rate Capital may have paid aggregate capital gain incentive fees that are more than the amount of such fees that would be payable if PennantPark Floating Rate Capital had been wound up on December 31 of such year.</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20"/>
          </w:cols>
          <w:pgMar w:left="24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Investment Management Agreement was approved by our board of directors, including a majority of our directors who are not interested persons of us, on March 10, 2011 and is scheduled to be executed on the date of this prospectus. Unless terminated earlier as described below, the Investment Management Agreement will continue in effect for a period of two years from its execution date.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the Investment Adviser’s key personnel for our future success, and if the Investment Adviser is unable to hire and retain qualified personnel or if we lose any member of our management team, our ability to achieve our investment objectives could be significantly harmed.”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 of PennantPark Investment Advisers is located at 590 Madison Avenue, 15th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Pursuant to the Administration Agreement, the Administrator will furnish us with office facilities, equipment and clerical, bookkeeping and record keeping services at such facilities. Under the Administration Agreement, the Administrator will perform,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will assist us in determining and publishing our net asset value, oversee the preparation and filing of our tax returns and the printing and dissemination of reports to our stockholders, and generally oversee the payment of our expenses and the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performance of administrative and professional services rendered to us by others. Payments under the Administration Agreement will be equal to an amount based upon our allocable portion of the Administrator’s overhead in performing its obligations under the Administration Agreement, including rent and our allocable portion of the cost of compensation and related expenses of our Chief Compliance Officer and Chief Financial Officer and their respective staffs. Under the Administration Agreement, the Administrator will offer, on our behalf, managerial assistance to those portfolio companies to which we are required to offer such assistance. To the extent that the Administrator outsources any of its functions, we will pay the fees associated with such functions on a direct basis without profit to the Administrator.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Administration Agreement was approved by our board of directors, including a majority of our directors who are not interested persons of PennantPark Investment, on March 10, 2011 and is scheduled to be executed on the date of this prospectus. Unless terminated earlier as described below, the Administration Agreement will continue in effect for a period of two years from its execution date. It will remain in effect if approved annually by our board of directors, including approval by a majority of our directors who are not interested persons. The Administration Agreement may not be assigned by either party without the consent of the other party. The Administration Agreement may be terminated by either party without penalty upon 60 days’ written notice to the other.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the Investment Management Agreement or Administration Agreement or otherwise as Investment Adviser or Administrator for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entered into a license agreement with PennantPark Investment Advisers pursuant to which PennantPark Investment Advisers has granted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load advance</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Investment Adviser has agreed to pay to the underwriters an additional 2% sales load, or $3,000,000 ($3,450,000 if the underwriters exercise their overallotment option in full) in the aggregate, with respect to this offering of shares of our common stock. We (and indirectly our stockholders) will be obligated to repay this amount, together with accrued interest on such amount (a) if during any four calendar quarter-period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If we are then permitted to do so, we will repay such amount and any interest on such amount through the issuance of shares of our common stock to the Investment Adviser. If we cannot then issue such shares under the 1940 Act or otherwise, we will pay such amount to the Investment Adviser in cash, and the Investment Adviser has agreed to use such payment to purchase shares of our common stock in the secondary market.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Our investments will generally consist of illiquid securities including Floating Rate Loans and, to a lesser extent equity investments in middle-market companies. The net asset value per share of our outstanding shares of common stock will be determined quarterly by dividing the value of total assets minus liabilities by the total number of shares outstanding.</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business development company, we will generally invest in illiquid securities, including debt and equity investments of middle-market companies. All of our investments will be recorded using broker/dealers quotes or using fair value as determined in good faith by our board of directors in consultation with our independent third party valuation firms. Our board of directors will generally use market quotations to assess the value of our investments for which market quotations are readily available. We will obtain these market values from an independent pricing service or at the bid prices, if available, obtained from at least two broker/dealers, or by a principal market maker or a primary market dealer. If our board of directors has a bona fide reason to believe any such market quote does not reflect the fair value of an investment, it may independently value such investments by using the valuation procedure that it will use with respect to assets for which market quotations are not readily available. Debt and equity investments that are not publicly traded or whose market prices are not readily available will be valued at fair value as determined in good faith by or under the direction of our board of directors. Such determination of fair values will involve subjective judgments and estimates. Investments, of sufficient credit quality, purchased within 60 days of maturity will be valued at cost plus accreted discount, or minus amortized premium, which approximates value. With respect to unquoted securities, our board of directors, in consultation with independent third party valuation firms, will value each investment considering, among other measures, discounted cash flow models, comparisons of financial ratios of peer companies that are public and other factors.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our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net asset value and our board of directors decides that such an offering is in the best interest of our common stockholders, we may undertake such an offering.</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our board of directors or a</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committee thereof will elect, in the case of clause (i) above, either to postpone the offering until such time that there is no longer the possibility of the occurrence of such event or to undertake to determine our net asset value within two days prior to any such sale to ensure that such sale will not be below our then current net asset value, and, in the case of clause (ii) above, to comply with such undertaking or to undertake to determine our net asset value to ensure that such undertaking has not been triggered.</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our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dividend distributions on behalf of stockholders, unless a stockholder elects to receive cash as provided below. As a result, if our board of directors authorizes, and we declare, a cash dividend, then stockholders who have not “opted out” of the dividend reinvestment plan will have their cash dividends automatically reinvested in additional shares of common stock, rather than receiving the cash dividends.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No action is required on the part of a registered stockholder to have the stockholder’s cash dividend reinvested in shares of common stock. A registered stockholder may elect to receive a dividend in cash by notifying American Stock Transfer and Trust Company, the plan administrator and transfer agent and registrar, in writing so that the notice is received by the plan administrator no later than the record date for distribution to stockholders. The plan administrator will set up an account for shares acquired through the plan for each stockholder who has not elected to receive dividends in cash.</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in cash by notifying their broker or other financial intermediary of their election.</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Generally, we intend to issue new shares to implement the plan, subject to the provisions of the 1940 Act. We reserve the right to purchase shares in the open market in connection with the implementation of the plan. The number of shares to be issued to a stockholders will be determined by dividing the total dollar amount of the dividend payable to the stockholder by the market price per share of common stock at the close of regular trading on NASDAQ Global Select Market on the valuation date for such distribution. Market price per share on that date will be the closing price for the shares on NASDAQ Global Select Market or, if no sale is reported for such day, at the average of the reported bid and asked prices. The number of shares of common stock to be outstanding after giving effect to payment of the dividend cannot be established until the value per share at which additional shares will be issued has been determined and elections of stockholders have been tabulated.</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Except as described below, the plan administrator’s fees under the plan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Stockholders who receive dividends in the form of stock are subject to the same federal, state and local tax consequences as are stockholders who elect to receive their dividends in cash. A stockholder’s basis for determining gain or loss upon the sale of stock received in a dividend will be equal to the total dollar amount of the distribution payable to the stockholder. Any stock received in a</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20"/>
          </w:cols>
          <w:pgMar w:left="24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dividend will have a new holding period for tax purposes commencing on the day following the day on which the shares are credited to the U.S. stockholder’s account.</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or by filling out the transaction request form located at the bottom of their statement and sending it to the plan administrator.</w:t>
      </w:r>
    </w:p>
    <w:p>
      <w:pPr>
        <w:sectPr>
          <w:pgSz w:w="11900" w:h="16838" w:orient="portrait"/>
          <w:cols w:equalWidth="0" w:num="1">
            <w:col w:w="11120"/>
          </w:cols>
          <w:pgMar w:left="240" w:top="459" w:right="53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March 28, 2011 our authorized capital stock consisted of 100,000,000 shares of stock, par value $0.001 per share, all of which were classified as common stock. We intend to list our common stock on the NASDAQ Global Select Market under the ticker symbol “PFLT”. On that date there were no outstanding options or warrants to purchase our capital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28, 2011, we had 1 stockholder of record.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March 28,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4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 of</w:t>
            </w:r>
          </w:p>
        </w:tc>
      </w:tr>
      <w:tr>
        <w:trPr>
          <w:trHeight w:val="149"/>
        </w:trPr>
        <w:tc>
          <w:tcPr>
            <w:tcW w:w="8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Held by</w:t>
            </w:r>
          </w:p>
        </w:tc>
        <w:tc>
          <w:tcPr>
            <w:tcW w:w="54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49"/>
        </w:trPr>
        <w:tc>
          <w:tcPr>
            <w:tcW w:w="8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Shares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Us for Our</w:t>
            </w:r>
          </w:p>
        </w:tc>
        <w:tc>
          <w:tcPr>
            <w:tcW w:w="54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Outstanding as of</w:t>
            </w:r>
          </w:p>
        </w:tc>
      </w:tr>
      <w:tr>
        <w:trPr>
          <w:trHeight w:val="16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Title of Class</w:t>
            </w:r>
          </w:p>
        </w:tc>
        <w:tc>
          <w:tcPr>
            <w:tcW w:w="450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Authorized</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5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March 28, 2011</w:t>
            </w:r>
          </w:p>
        </w:tc>
        <w:tc>
          <w:tcPr>
            <w:tcW w:w="100" w:type="dxa"/>
            <w:vAlign w:val="bottom"/>
          </w:tcPr>
          <w:p>
            <w:pPr>
              <w:spacing w:after="0"/>
              <w:rPr>
                <w:sz w:val="14"/>
                <w:szCs w:val="14"/>
                <w:color w:val="auto"/>
              </w:rPr>
            </w:pPr>
          </w:p>
        </w:tc>
      </w:tr>
      <w:tr>
        <w:trPr>
          <w:trHeight w:val="21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100,000,000 Shares</w:t>
            </w: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3"/>
              </w:rPr>
              <w:t>None</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1"/>
              </w:rPr>
              <w:t>667 Shares</w:t>
            </w:r>
          </w:p>
        </w:tc>
      </w:tr>
    </w:tbl>
    <w:p>
      <w:pPr>
        <w:spacing w:after="0" w:line="15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our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for payment.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 from (1) actual receipt of an improper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125"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benefit or profit in money, property or services or (2)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charter authorizes us and our bylaws obligate us, to the maximum extent permitted by Maryland law and subject to the requirements of the 1940 Act, to indemnify any present or former director or officer or any individual who, while a director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directors’ and officers’ rights to indemnification and advancement of expenses provided by our charter and bylaws vest immediately upon election of a director or officer.</w:t>
      </w:r>
    </w:p>
    <w:p>
      <w:pPr>
        <w:spacing w:after="0" w:line="12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such corporation and (b) a written undertaking by him or her or on his or her behalf to repay the amount paid or reimbursed by such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the negotiation of such proposals may improve their terms.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2012, 2013 and 2014, respectively, and in each case, those directors will serve until their successors are duly elected and qualified.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will hold office for the term to which he or she is elected and until his or her successor is duly elected and qualified.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charter provides that the number of directors will be set only by our board of directors in accordance with our bylaws. Our bylaws provide that a majority of our entire board of directors may at any time increase or decrease the number of directors. However, unless our bylaws are amended, the number of directors may never be less than the minimum number required by the Maryland General Corporation Law nor more than fifteen. We have elected to be subject to the provision of Subtitle 8 of Title 3 of the Maryland General Corporation Law regarding the filling of vacancies on our board of directors. Accordingly, at such time as we have three independent directors and our common stock is registered under the Exchange Act, except as may be provided by our board of directors in setting the terms of any class or series of preferred stock, any and all vacancies on our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 Our charter provides that a director may be removed only for cause, as defined in our charter, and then only by the affirmative vote of at least two-thirds of the votes entitled to be cast in the election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the chairman of the board, president or chief executive officer.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of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of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of at least 80 percent of the votes entitled to be cast on such matter. However, if such amendment or proposal is approved by at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our board of directors. Our charter and bylaws provide that our board of directors will have the exclusive power to adopt, alter or repeal any provision of our bylaws and to make new bylaws.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the affirmative vote of holders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 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2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4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our board of directors determines that it would be in our best interests based on our determination that our being subject to the Control Share Acquisition Act does not conflict with the 1940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5620" w:right="3800" w:hanging="5166"/>
        <w:spacing w:after="0" w:line="440" w:lineRule="auto"/>
        <w:tabs>
          <w:tab w:leader="none" w:pos="6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 69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20" w:hanging="206"/>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After the five-year prohibition, any such business combination must be recommended by the board of directors of the corporation and approved by the affirmative vote of at least:</w:t>
      </w:r>
    </w:p>
    <w:p>
      <w:pPr>
        <w:spacing w:after="0" w:line="51" w:lineRule="exact"/>
        <w:rPr>
          <w:sz w:val="20"/>
          <w:szCs w:val="20"/>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660" w:right="20" w:hanging="206"/>
        <w:spacing w:after="0" w:line="33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The statute provides various exemptions from its provisions, including for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our board of directors, including a majority of the directors who are not interested persons as defined in the 1940 Act. This resolution, however, may be altered or repealed in whole or in part at any time. If this resolution is repealed, or our board of directors does not otherwise approve a business combination, the statute may discourage others from trying to acquire control of us and increase the difficulty of consummating any offer.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bylaws will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intend to elect to be treated as a business development company under the 1940 Act, and we intend to elect to be treated, and intend to qualify annually, as a RIC under Subchapter M of the Code, commencing with our first taxable year ending after completion of this offering.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40" w:hanging="446"/>
        <w:spacing w:after="0" w:line="25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spacing w:after="0" w:line="59" w:lineRule="exact"/>
        <w:rPr>
          <w:rFonts w:ascii="Arial" w:cs="Arial" w:eastAsia="Arial" w:hAnsi="Arial"/>
          <w:sz w:val="18"/>
          <w:szCs w:val="18"/>
          <w:color w:val="auto"/>
        </w:rPr>
      </w:pPr>
    </w:p>
    <w:p>
      <w:pPr>
        <w:ind w:left="1480" w:right="520" w:hanging="567"/>
        <w:spacing w:after="0" w:line="259" w:lineRule="auto"/>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140" w:hanging="446"/>
        <w:spacing w:after="0" w:line="306"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a business development company, we are required to make available managerial assistance to our portfolio companies that constitute a qualifying asset within the meaning of Section 55 of the 1940 Act. However, if a business development company purchases securities in conjunction with one or more other persons acting together, one of the other persons in the group may make available such managerial assistance. Making available managerial assistance means any arrangement whereby the business development company, through its directors, officers or employees, offers to provide, and, if accepted, does provide, significant guidance and counsel concerning the management, operations or business objectives and policies of a portfolio company. The Administrator may provide such assistance on our behalf to portfolio companies that request such assistance.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investment grade debt securities maturing in one year or less from the time of investment, which we refer to, collectively, as temporary investments, so that 70% of our assets are qualifying assets. The income we earn on such temporary investments will generally be significantly less than what we would expect to receive from investments in the types of Floating Rate Loans we intend to target for investment.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The Investment Adviser will monitor the creditworthiness of the counterparties with which we enter into repurchase agreement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See “Risk Factors—Risks relating to our business and structure—Regulations governing our operation as a business development company will affect our ability to, and the way in which we, raise additional capital” for more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jc w:val="both"/>
        <w:ind w:right="280" w:firstLine="456"/>
        <w:spacing w:after="0" w:line="323" w:lineRule="auto"/>
        <w:rPr>
          <w:sz w:val="20"/>
          <w:szCs w:val="20"/>
          <w:color w:val="auto"/>
        </w:rPr>
      </w:pPr>
      <w:r>
        <w:rPr>
          <w:rFonts w:ascii="Arial" w:cs="Arial" w:eastAsia="Arial" w:hAnsi="Arial"/>
          <w:sz w:val="15"/>
          <w:szCs w:val="15"/>
          <w:color w:val="auto"/>
        </w:rPr>
        <w:t>Our board of directors has adopted a code of ethics pursuant to Rule 17j-1 under the 1940 Act and has also approved the Investment Adviser’s code of ethics that was adopted by it in accordance with Rule 17j-1 and Rule 204A-1 under the Advisers Act. These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w:t>
      </w:r>
    </w:p>
    <w:p>
      <w:pPr>
        <w:spacing w:after="0" w:line="98" w:lineRule="exact"/>
        <w:rPr>
          <w:sz w:val="20"/>
          <w:szCs w:val="20"/>
          <w:color w:val="auto"/>
        </w:rPr>
      </w:pPr>
    </w:p>
    <w:p>
      <w:pPr>
        <w:jc w:val="both"/>
        <w:ind w:right="260" w:firstLine="456"/>
        <w:spacing w:after="0" w:line="370" w:lineRule="auto"/>
        <w:rPr>
          <w:sz w:val="20"/>
          <w:szCs w:val="20"/>
          <w:color w:val="auto"/>
        </w:rPr>
      </w:pPr>
      <w:r>
        <w:rPr>
          <w:rFonts w:ascii="Arial" w:cs="Arial" w:eastAsia="Arial" w:hAnsi="Arial"/>
          <w:sz w:val="15"/>
          <w:szCs w:val="15"/>
          <w:color w:val="auto"/>
        </w:rPr>
        <w:t>Our board of directors has also adopted a code of conduct pursuant to the Sarbanes-Oxley Act and the NASDAQ listing standards. The code of conduct establishes procedures for the purpose of promoting honest and ethical conduct and compliance with applicable laws and governmental rules and regulations.</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codes of ethics and conduct will be available for viewing and copying at the SEC’s Public Reference Room in Washington, D.C. Information about the SEC’s Public Reference Room may be obtained by calling the SEC at 1-800-SEC-0330. In the future, the codes of ethics and conduct also may be available on the EDGAR Database on the SEC’s website,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or be obtained, after paying a duplicating fee, by electronic request to </w:t>
      </w:r>
      <w:r>
        <w:rPr>
          <w:rFonts w:ascii="Arial" w:cs="Arial" w:eastAsia="Arial" w:hAnsi="Arial"/>
          <w:sz w:val="16"/>
          <w:szCs w:val="16"/>
          <w:i w:val="1"/>
          <w:iCs w:val="1"/>
          <w:color w:val="auto"/>
        </w:rPr>
        <w:t>publicinfo@sec.gov</w:t>
      </w:r>
      <w:r>
        <w:rPr>
          <w:rFonts w:ascii="Arial" w:cs="Arial" w:eastAsia="Arial" w:hAnsi="Arial"/>
          <w:sz w:val="16"/>
          <w:szCs w:val="16"/>
          <w:color w:val="auto"/>
        </w:rPr>
        <w:t>, or by writing to: SEC’s Public Reference Section, 100 F Street, N.E., Washington, D.C. 20549-0102.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delegated our proxy voting responsibility to the Investment Adviser. The Proxy Voting Policies and Procedures of the Investment Adviser are set forth below. The guidelines are reviewed periodically by the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the investments our clients.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15th Floor, 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the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color w:val="auto"/>
        </w:rPr>
        <w:t>www.pennantpark.com</w:t>
      </w:r>
      <w:r>
        <w:rPr>
          <w:rFonts w:ascii="Arial" w:cs="Arial" w:eastAsia="Arial" w:hAnsi="Arial"/>
          <w:sz w:val="16"/>
          <w:szCs w:val="16"/>
          <w:color w:val="auto"/>
        </w:rPr>
        <w:t xml:space="preserve">. In addition, the privacy policy will be available on the EDGAR Database on the SEC’s Internet 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the future as an exhibit to the registration statement of which this prospectus forms a part. In the future, you may also obtain copies of our privacy policy, after paying a duplicating fee, by electronic request at the following email address: publicinfo@sec.gov,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required by law to provide and maintain a bond issued by a reputable fidelity insurance company to protect us against larceny and embezzlement. Furthermore, as a business development company, we are prohibited from protecting any director or officer against any liability to PennantPark Floating Rate Capital or our stockholders arising from willful misfeasance, bad faith, gross negligence or reckless disregard of the duties involved in the conduct of such person’s office.</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Our chief compliance officer is responsible for administering such policies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Sarbanes-Oxley Act of 2002 imposes several regulatory requirements on publicly held companies and their insiders. Many of these requirements affect us. For example:</w:t>
      </w:r>
    </w:p>
    <w:p>
      <w:pPr>
        <w:spacing w:after="0" w:line="51" w:lineRule="exact"/>
        <w:rPr>
          <w:sz w:val="20"/>
          <w:szCs w:val="20"/>
          <w:color w:val="auto"/>
        </w:rPr>
      </w:pPr>
    </w:p>
    <w:p>
      <w:pPr>
        <w:ind w:left="900" w:right="10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consolidated financial statements contained in our periodic reports;</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00"/>
          </w:cols>
          <w:pgMar w:left="240" w:top="459" w:right="25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right="100" w:hanging="325"/>
        <w:spacing w:after="0" w:line="306"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Since we will generally acquire and dispose of our investments in privately negotiated transactions, we will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will seek to obtain the best net results for PennantPark Floating Rate Capital,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will generally seek reasonably competitive trade execution costs, PennantPark Floating Rate Capital will not necessarily pay the lowest spread or commission available. Subject to applicable legal requirements, the Investment Adviser may select a broker based partly upon brokerage or research services provided to the Investment Adviser and PennantPark Floating Rate Capital and any other clients. In return for such services, we may pay a higher commission than other brokers would charge if the Investment Adviser determines in good faith that such commission is reasonable in relation to the services provided.</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Securities may be held by, or be appropriate investments for, us as well as other funds or investment advisory clients of the Investment Adviser or its affiliates. Because of different investment objectives or other factors, a particular security may be bought for one or more clients of the Investment Adviser or its affiliates when one or more clients of the Investment Adviser or its affiliates are selling the same security. If purchases or sales of securities arise for consideration at or about the same time that would involve us or other clients or funds for which the Investment Adviser or its affiliates act as investment advisers, transactions in such securities will be made, insofar as feasible, for the respective funds and clients in a manner deemed equitable to all. To the extent that transactions on behalf of more than one client of the Investment Adviser or its affiliates during the same period may increase the demand for securities being purchased or the supply of securities being sold, there may be an adverse effect on price.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our common stock.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the activities of the partnership and certain determinations made at the partnership level. A prospective stockholder that is a partnership and a partner in such partnership should consult their tax advisors with respect to the purchase, ownership and disposition of shares of our common stock.</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intend to elect to be treated, and intend to qualify annually, as a RIC under Subchapter M of the Code, commencing with our first taxable year ending after completion of this offering. To qualify and maintain RIC tax benefits, we must, among other requirements, meet certain source-of-income and quarterly asset diversification requirements (as described below). We also must annually distribute dividends of at least 90% of the sum of our ordinary income plus realized net short-term capital gains in excess of realized net long-term capital losses out of the assets legally available for distribution (the “Annual Distribution Requirement”). Although not required for us to maintain our RIC tax status, in order to preclude the imposition of a 4% nondeductible federal excise tax imposed on RICs, we currently intend to distribute during each calendar year an amount at least equal to the sum of (1) 98% of our ordinary income for the calendar year,</w:t>
      </w:r>
    </w:p>
    <w:p>
      <w:pPr>
        <w:spacing w:after="0" w:line="1" w:lineRule="exact"/>
        <w:rPr>
          <w:sz w:val="20"/>
          <w:szCs w:val="20"/>
          <w:color w:val="auto"/>
        </w:rPr>
      </w:pPr>
    </w:p>
    <w:p>
      <w:pPr>
        <w:ind w:right="20" w:firstLine="8"/>
        <w:spacing w:after="0" w:line="254" w:lineRule="auto"/>
        <w:tabs>
          <w:tab w:leader="none" w:pos="2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98.2% of our realized net capital gains for the one-year period ending on October 31 of the calendar year and (3) any ordinary income and net capital gains for preceding years that were not distributed during such years (the “Excise Tax Avoidance Requirement”). In addition, we currently intend to distribute realized net capital gains (i.e., net long-term capital gains in excess of short-term capital losses), if any, at least annually, out of the assets legally available for such distributions.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maintain an election to be treated as a business development company under the 1940 Act at all times during each taxable year;</w:t>
      </w:r>
    </w:p>
    <w:p>
      <w:pPr>
        <w:spacing w:after="0" w:line="90"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diversify our holdings so that at the end of each quarter of the taxable year:</w:t>
      </w:r>
    </w:p>
    <w:p>
      <w:pPr>
        <w:spacing w:after="0" w:line="90" w:lineRule="exact"/>
        <w:rPr>
          <w:sz w:val="20"/>
          <w:szCs w:val="20"/>
          <w:color w:val="auto"/>
        </w:rPr>
      </w:pPr>
    </w:p>
    <w:p>
      <w:pPr>
        <w:ind w:left="900" w:right="100" w:hanging="325"/>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9" w:lineRule="exact"/>
        <w:rPr>
          <w:rFonts w:ascii="Arial" w:cs="Arial" w:eastAsia="Arial" w:hAnsi="Arial"/>
          <w:sz w:val="18"/>
          <w:szCs w:val="18"/>
          <w:color w:val="auto"/>
        </w:rPr>
      </w:pPr>
    </w:p>
    <w:p>
      <w:pPr>
        <w:ind w:left="900" w:right="300" w:hanging="325"/>
        <w:spacing w:after="0" w:line="306"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realized net short-term capital losses) we distribute to stockholders. We will be subject to U.S. federal income tax at the regular corporate rates on any income or capital gain not distributed (or deemed distributed) to our stockholders.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firstLine="8"/>
        <w:spacing w:after="0" w:line="286" w:lineRule="auto"/>
        <w:tabs>
          <w:tab w:leader="none" w:pos="2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Taxable stockholders receiving such dividends will be required to include the full amount of the dividend as ordinary income (or as long-term capital gain to the extent such distribution is properly designated as a capital gain dividend) to the extent of our current and accumulated earnings and profits. In situations where this revenue procedure is not applicable, the IRS has also issued private letter rulings on cash/stock dividends paid by RICs and real estate investment trusts using a 20% cash standard (instead of the 10% cash standard of the revenue procedure) if certain requirements are satisfied.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sale. We currently do not intend to distribute stock as a dividend but reserve the right to do so.</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fail to satisfy the 90% Income Test or the Diversification Tests for any taxable year or quarter of such taxable year, we may nevertheless continue to qualify as a RIC for such year if certain relief provisions of the Code apply (which may, among other things, require us to pay certain corporate-level federal taxes or to dispose of certain assets). If we fail to qualify for treatment as a RIC in any taxable year and such relief provisions do not apply to us,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we are unable to obtain and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dividends to the extent of our current and accumulated earnings and profits, and, subject to certain limitations under the Code, distributions made in taxable years beginning before January 1, 2013 would be eligible for the 15% maximum rate applicable to non-corporate U.S. stockholders.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ectPr>
          <w:pgSz w:w="11900" w:h="16838" w:orient="portrait"/>
          <w:cols w:equalWidth="0" w:num="1">
            <w:col w:w="11420"/>
          </w:cols>
          <w:pgMar w:left="240" w:top="459" w:right="239" w:bottom="1440" w:gutter="0" w:footer="0" w:header="0"/>
        </w:sectPr>
      </w:pPr>
    </w:p>
    <w:bookmarkStart w:id="92" w:name="page93"/>
    <w:bookmarkEnd w:id="92"/>
    <w:p>
      <w:pPr>
        <w:ind w:firstLine="456"/>
        <w:spacing w:after="0" w:line="318" w:lineRule="auto"/>
        <w:rPr>
          <w:sz w:val="20"/>
          <w:szCs w:val="20"/>
          <w:color w:val="auto"/>
        </w:rPr>
      </w:pPr>
      <w:r>
        <w:rPr>
          <w:rFonts w:ascii="Arial" w:cs="Arial" w:eastAsia="Arial" w:hAnsi="Arial"/>
          <w:sz w:val="15"/>
          <w:szCs w:val="15"/>
          <w:color w:val="auto"/>
        </w:rPr>
        <w:t>To requalify as a RIC in a subsequent taxable year, we would be required to satisfy the RIC qualification requirements of the Code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10 years, unless we made a special election to pay corporate-level tax on such built-in gain at the time of our requalification as a RIC.</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long-term capital gains in excess of realized net short-term capital losses) properly reported by us as “capital gain distributions” in written statements furnished to our stockholders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the dividend reinvestment plan, if a U.S. stockholder owns shares of our common stock registered in the U.S. stockholder’s own name, the U.S. stockholder will have all cash distributions automatically reinvested in additional shares of our common stock unless the U.S. stockholder opts out of the dividend reinvestment plan by delivering a written notice to the plan administrator so that the plan administrator receives the notice not less than 10 days prior to the record date of the next dividend or distribution. See “Dividend Reinvestment Plan”. Any distributions reinvested under the plan will nevertheless remain taxable to the U.S. stockholder. The U.S. stockholder will have an adjusted tax basis in the additional shares of our common stock purchased through the plan equal to the amount of the reinvested distribution. The additional shares will have a new holding period commencing on the day following the day on which the shares are credited to the U.S. stockholder’s account.</w:t>
      </w:r>
    </w:p>
    <w:p>
      <w:pPr>
        <w:spacing w:after="0" w:line="11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15% on their net capital gain (through 2012),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 For taxable years beginning after December 31, 2012, individuals with income in excess of $200,000 ($250,000 in the case of married individuals filing jointly) and certain estates and trusts are subject to an additional 3.8% tax on their “net investment income”, which generally includes net income from interest, dividends, annuities, royalties and rents, and net capital gains (other than certain amounts earned from trades or businesses). U.S. stockholders should consult their own tax advisors concerning the imposition of this tax.</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applicable Treasury regulations, if a U.S. stockholder recognizes a loss with respect to our common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U.S. stockholders should consult their own tax advisers to determine the applicability of these regulations in light of their individual circumstances.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ectPr>
          <w:pgSz w:w="11900" w:h="16838" w:orient="portrait"/>
          <w:cols w:equalWidth="0" w:num="1">
            <w:col w:w="11420"/>
          </w:cols>
          <w:pgMar w:left="240" w:top="459" w:right="239" w:bottom="265"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459" w:right="239" w:bottom="265"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except as provided below, to be subject to withholding of federal tax at a 30% rate (or lower rate provided by an applicable treaty) to the extent of our current and accumulated earnings and profits. If the distributions are effectively connected with a U.S. trade or business of the Non-U.S. stockholder, and, if an income tax treaty applies, attributable to a permanent establishment of the Non-U.S. stockholder in the United States, the distributions will be subject to federal income tax at the rates applicable to U.S. persons. In that case, a withholding agent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However, dividends with respect to any taxable year beginning on or before December 31, 2011 will not be subject to withholding of federal income tax to the extent the dividends are reported by us as ‘‘interest-related dividends’’ or ‘‘short-term capital gain dividends’’ in written statements furnished to our stockholders. Under this exemption, interest-related dividends and short-term capital gain dividends generally represent distributions of interest or short-term capital gains that would not have been subject to withholding of federal income tax at the source if they had been received directly by a non-U.S. person, and that satisfy certain other requirements. No assurance can be given as to whether any of our distributions will be eligible for this exemption from withholding tax or, if eligible, will be reported as such by us. In addition, no assurance can be given as to whether this exemption will be extended for taxable years after 2011.</w:t>
      </w:r>
    </w:p>
    <w:p>
      <w:pPr>
        <w:spacing w:after="0" w:line="12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Except as provided below, actual or deemed distributions of our net long-term capital gains to a Non-U.S. stockholder, and gains realized by a Non-U.S. stockholder upon the sale of our common stock, will not be subject to federal income or withholding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the Non-U.S. stockholder is an individual who is present for more than 182 days in the United States and meets certain other conditions.</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After December 31, 2012, withholding at a rate of 30% on dividends in respect of, and gross proceeds from the sale of, our common stock held by or through certain foreign financial institutions (including investment funds) will be required, unless such institution enters into an agreement with the Secretary of the Treasury to 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will be subject to withholding at a rate of 30%, unless such entity either (i) certifies to us that such entity does not have any “substantial United States owners” or (ii) provides certain information regarding the entity’s “substantial United States owners,” which we will in turn provide to the Secretary of the Treasury. Non-U.S. stockholders are encouraged to consult with their tax advisers regarding the possible implications of these requirements on their investment in our common stock.</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Under our dividend reinvestment plan, if a Non-U.S. stockholder owns shares of our common stock registered in the non-U.S. shareholder’s own name, the Non-U.S. shareholder will have all cash distributions automatically reinvested in additional shares of our common stock unless it opts out of the dividend reinvestment plan by delivering a written notice to the plan administrator so that the plan administrator receives the notice not less than 10 days prior to the record date of the next dividend or distribution. See “Dividend Reinvestment Plan”. If the distribution is a distribution of our investment company taxable income, is not designated by us as a short-term capital gain dividend or interest-related dividend, if applicable, and is not effectively connected with a U.S. trade or business of the Non-U.S. stockholder (or, if required by an applicable income tax treaty, is not attributable to a U.S. permanent establishment of the non-U.S. stockholder), the amount distributed (to the extent of our current or accumulated earnings and profits) will be subject to withholding of federal income tax at a 30% rate (or lower rate provided by an applicable income tax treaty) and only the net after-tax amount will be reinvested in our common stock. If the distribution is effectively connected with a U.S. trade or business of the Non-U.S. stockholder (and, if required by an applicable income tax treaty, is attributable to a U.S. permanent establishment), the full amount of the distribution generally will be reinvested in our common stock and will nevertheless be subject to federal income tax at the ordinary income rates applicable to U.S. persons. The Non-U.S. stockholder will have an adjusted tax basis in the additional shares of our common stock equal to the amount of the reinvested distribution. The additional shares will have a new holding period commencing on the day following the day on which the shares are credited to the Non-U.S. stockholder’s account.</w:t>
      </w:r>
    </w:p>
    <w:p>
      <w:pPr>
        <w:spacing w:after="0" w:line="12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ectPr>
          <w:pgSz w:w="11900" w:h="16838" w:orient="portrait"/>
          <w:cols w:equalWidth="0" w:num="1">
            <w:col w:w="11420"/>
          </w:cols>
          <w:pgMar w:left="240" w:top="459" w:right="239" w:bottom="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459" w:right="239" w:bottom="0" w:gutter="0" w:footer="0" w:header="0"/>
          <w:type w:val="continuous"/>
        </w:sectPr>
      </w:pPr>
    </w:p>
    <w:bookmarkStart w:id="95" w:name="page96"/>
    <w:bookmarkEnd w:id="95"/>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Under the terms and subject to the conditions contained in the underwriting agreement dated the date of this prospectus, the underwriters named below, for whom Morgan Stanley &amp; Co. Incorporated, SunTrust Robinson Humphrey, Inc. and UBS Securities LLC are acting as representatives and as joint book-running managers of this offering, have severally agreed to purchase, and we have agreed to sell to them, severally, the number of shares of common stock indicated below:</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1"/>
        </w:trPr>
        <w:tc>
          <w:tcPr>
            <w:tcW w:w="6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gridSpan w:val="3"/>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our common stock offered by this prospectus are subject to the approval of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public offering price listed on the cover page of</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this prospectus and part to certain dealers at a price that represents a concession not in excess of $ a share under the public offering price. Any Underwriter may allow, and such dealers may reallow, a concession not in excess of $ a share to other underwriters or to certain dealers. After the initial offering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the offering price and other selling terms may from time to time be varied by the Representatives.</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Underwriters have been granted an option, exercisable for 30 days from the date of this prospectus, to purchase up to an aggregate of 1,500,000 additional shares of our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our common stock offered by this prospectus. To the extent the option is exercised, each Underwriter will become obligated, subject to limited conditions, to purchase approximately the same percentage of the additional shares of our common stock as the number listed next to the Underwriter’s name in the preceding table bears to the total number of shares of our common stock listed next to the names of all Underwriters in the preceding table.</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and the selling stockholder including the amount that the Investment Adviser has agreed to pay to the underwriters as an additional sales load. The information assumes either no exercise or full exercise by the Underwriters of their over-allotment option.</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5"/>
              </w:rPr>
              <w:t>Per Share</w:t>
            </w:r>
          </w:p>
        </w:tc>
        <w:tc>
          <w:tcPr>
            <w:tcW w:w="86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w w:val="88"/>
              </w:rPr>
              <w:t>Without Option</w:t>
            </w:r>
          </w:p>
        </w:tc>
        <w:tc>
          <w:tcPr>
            <w:tcW w:w="8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With Option</w:t>
            </w:r>
          </w:p>
        </w:tc>
      </w:tr>
      <w:tr>
        <w:trPr>
          <w:trHeight w:val="20"/>
        </w:trPr>
        <w:tc>
          <w:tcPr>
            <w:tcW w:w="5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6"/>
        </w:trPr>
        <w:tc>
          <w:tcPr>
            <w:tcW w:w="5520" w:type="dxa"/>
            <w:vAlign w:val="bottom"/>
          </w:tcPr>
          <w:p>
            <w:pPr>
              <w:spacing w:after="0"/>
              <w:rPr>
                <w:sz w:val="20"/>
                <w:szCs w:val="20"/>
                <w:color w:val="auto"/>
              </w:rPr>
            </w:pPr>
            <w:r>
              <w:rPr>
                <w:rFonts w:ascii="Arial" w:cs="Arial" w:eastAsia="Arial" w:hAnsi="Arial"/>
                <w:sz w:val="18"/>
                <w:szCs w:val="18"/>
                <w:color w:val="auto"/>
              </w:rPr>
              <w:t>Underwriting discounts and commissions (Sales load)</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PennantPark Floating Rate Capital</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Ltd.</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this offering, excluding sales load (underwriting discounts and commissions), will be approximately $1,000,000.</w:t>
      </w:r>
    </w:p>
    <w:p>
      <w:pPr>
        <w:spacing w:after="0" w:line="19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five percent of the total number of shares of our common stock offered by them.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have our common stock approved for listing on the NASDAQ Global Select Market under the symbol “PFLT.”</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agreed, with exceptions, not to sell or transfer any common stock for 180 days after the date of this prospectus without first obtaining the written consent of the Representatives.</w:t>
      </w:r>
    </w:p>
    <w:p>
      <w:pPr>
        <w:spacing w:after="0" w:line="1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Our executive officers and directors, PennantPark Investment Advisers, LLC, and Pennant Park Investment Administration, LLC have agreed, with exceptions, not to sell or transfer any common stock for 180 days after the date of this prospectus supplement without first obtaining the written consent of the Representatives. Specifically, we and these other individuals and entities have agreed not to directly or indirectly:</w:t>
      </w:r>
    </w:p>
    <w:p>
      <w:pPr>
        <w:spacing w:after="0" w:line="26"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order to facilitate the offering of our common stock, the Underwriters may engage in transactions that stabilize, maintain or otherwise affect the price of our common stock. Specifically, the Underwriters may sell more shares than they are obligated to purchase under the underwriting agreement, creating a short position in our common stock for their own account. A short sale is covered if the short position is no greater than the number of shares available for purchase by the Underwriters under the over-allotment option. The Underwriters can close out a covered short sale by exercising the over-allotment option or purchasing</w:t>
      </w:r>
    </w:p>
    <w:p>
      <w:pPr>
        <w:sectPr>
          <w:pgSz w:w="11900" w:h="16857" w:orient="portrait"/>
          <w:cols w:equalWidth="0" w:num="1">
            <w:col w:w="11420"/>
          </w:cols>
          <w:pgMar w:left="240" w:top="459" w:right="239" w:bottom="0" w:gutter="0" w:footer="0" w:header="0"/>
        </w:sectPr>
      </w:pPr>
    </w:p>
    <w:bookmarkStart w:id="96" w:name="page97"/>
    <w:bookmarkEnd w:id="96"/>
    <w:p>
      <w:pPr>
        <w:spacing w:after="0" w:line="6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In addition, in order to cover any over-allotments or to stabilize the price of our common stock, the Underwriters may bid for, and purchase, shares of our common stock in the open market. Finally, the underwriting syndicate may also reclaim selling concessions allowed to an Underwriter or a dealer for distributing our common stock in the offering, if the syndicate repurchases previously distributed shares of our common stock to cover syndicate short positions or to stabilize the price of the common stock. Any of these activities may stabilize or maintain the market price of our common stock above independent market levels. The Underwriters are not required to engage in these activities, and may end any of these activities at any time.</w:t>
      </w:r>
    </w:p>
    <w:p>
      <w:pPr>
        <w:spacing w:after="0" w:line="12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and the Investment Adviser have agreed to indemnify the Underwriters against certain liabilities, including liabilities under the Securities Act, or to contribute to payments the Underwriters may be required to make in respect of those liabilities.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Underwriters and their affiliates have provided in the past to us and may provide from time to time in the future in the ordinary course of their business certain commercial banking, financial advisory, investment banking and other services to PennantPark Floating Rate Capital and its affiliates and managed funds or our portfolio companies for which they have received or will be entitled to receive separate fees. In particular, the Underwriters or their affiliates may execute transactions with PennantPark Floating Rate Capital or on behalf of PennantPark Floating Rate Capital or any of our portfolio companies, affiliates and/or managed funds. In addition, the Underwriters or their affiliates may act as arrangers, underwriters or placement agents for companies whose securities are sold to or whose loans are syndicated to PennantPark Floating Rate Capital and its affiliates and managed funds. An affiliate of SunTrust Robinson Humphrey, Inc. has committed to be a lender under the Credit Facility.</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principal business addresses of the underwriters are: Morgan Stanley &amp; Co. Incorporated is 1585 Broadway, New York, NY 10036; SunTrust Robinson Humphrey, Inc. is 3333 Peachtree Road, NE, Atlanta, GA 30326; UBS Securities LLC is 299 Park Avenue, New York, NY 10171.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warrants and shares of common stock described in this prospectus may not be made to the public in that relevant member state prior to the publication of a prospectus in relation to the shares of common stock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warrants may be made to the public in that relevant member state at any time:</w:t>
      </w:r>
    </w:p>
    <w:p>
      <w:pPr>
        <w:spacing w:after="0" w:line="66"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Manager or Managers nominated by the Issuer for any such offer; or</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shares to the public” in any relevant member state means the communication in any form and by any means of sufficient information on the terms of the offer and the shares to be offered so as to enable an investor to decide to purchase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shares of common stock are only available to, and any invitation, offer or agreement to subscribe, purchase or otherwise acquire such shares of common stock will be engaged in only with, relevant persons.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This prospectus does not constitute an issue prospectus pursuant to Article 652a or Article 1156 of the Swiss Code of Obligations (“CO”) and the shares will not be listed on the SIX Swiss Exchange. Therefore, this 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07"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This prospectus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w:t>
      </w:r>
    </w:p>
    <w:p>
      <w:pPr>
        <w:sectPr>
          <w:pgSz w:w="11900" w:h="16899" w:orient="portrait"/>
          <w:cols w:equalWidth="0" w:num="1">
            <w:col w:w="11420"/>
          </w:cols>
          <w:pgMar w:left="240" w:top="131" w:right="239" w:bottom="0" w:gutter="0" w:footer="0" w:header="0"/>
        </w:sectPr>
      </w:pPr>
    </w:p>
    <w:bookmarkStart w:id="97" w:name="page98"/>
    <w:bookmarkEnd w:id="97"/>
    <w:p>
      <w:pPr>
        <w:ind w:right="40"/>
        <w:spacing w:after="0" w:line="268" w:lineRule="auto"/>
        <w:rPr>
          <w:sz w:val="20"/>
          <w:szCs w:val="20"/>
          <w:color w:val="auto"/>
        </w:rPr>
      </w:pPr>
      <w:r>
        <w:rPr>
          <w:rFonts w:ascii="Arial" w:cs="Arial" w:eastAsia="Arial" w:hAnsi="Arial"/>
          <w:sz w:val="18"/>
          <w:szCs w:val="18"/>
          <w:color w:val="auto"/>
        </w:rPr>
        <w:t>by the recipient. In addition, by applying for our securities you undertake to us that, for a period of 12 months from the date of issue of the securities, you will not transfer any interest in the securities to any person in Australia other than to a wholesale client.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securities may not be offered or sold in Hong Kong, by means of this prospectus or any document other than (i) to “professional investors” within the meaning of the Securities and Futures Ordinance (Cap.571, Laws of Hong Kong) and any rules made thereunder, or (ii) in circumstances which do not constitute an offer to the public within the meaning of the Companies Ordinance (Cap.32, Laws of Hong Kong), or (iii) in other circumstances which do not result in the document being a “prospectus” within the meaning of the Companies Ordinance (Cap.32, Laws of Hong Kong).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securities which are or are intended to be disposed of only to persons outside Hong Kong or only to “professional investors” within the meaning of the Securities and Futures Ordinance (Cap. 571, Laws of Hong Kong) and any rules made thereunder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securities have not been and will not be registered under the Financial Instruments and Exchange Law of Japan (the Financial Instruments and Exchange Law) and our securities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This document has not been registered as a prospectus with the Monetary Authority of Singapore and in Singapore, the offer and sale of our securities is made pursuant to exemptions provided in sections 274 and 275 of the Securities and Futures Act, Chapter 289 of Singapore (“SFA”).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compliance with the conditions (if any) set forth in the SFA. Moreover, this document is not a prospectus as defined in the SFA. Accordingly, statutory liability under the SFA in relation to the content of prospectuses would not apply. Prospective investors in Singapore should consider carefully whether an investment in our securities is suitable for them.</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our securities are subscribed or purchased under Section 275 of the SFA by a relevant person which is:</w:t>
      </w:r>
    </w:p>
    <w:p>
      <w:pPr>
        <w:spacing w:after="0" w:line="90" w:lineRule="exact"/>
        <w:rPr>
          <w:sz w:val="20"/>
          <w:szCs w:val="20"/>
          <w:color w:val="auto"/>
        </w:rPr>
      </w:pPr>
    </w:p>
    <w:p>
      <w:pPr>
        <w:ind w:left="460" w:right="180" w:firstLine="443"/>
        <w:spacing w:after="0" w:line="268" w:lineRule="auto"/>
        <w:tabs>
          <w:tab w:leader="none" w:pos="1137" w:val="left"/>
        </w:tabs>
        <w:numPr>
          <w:ilvl w:val="0"/>
          <w:numId w:val="58"/>
        </w:numPr>
        <w:rPr>
          <w:rFonts w:ascii="Arial" w:cs="Arial" w:eastAsia="Arial" w:hAnsi="Arial"/>
          <w:sz w:val="18"/>
          <w:szCs w:val="18"/>
          <w:color w:val="auto"/>
        </w:rPr>
      </w:pPr>
      <w:r>
        <w:rPr>
          <w:rFonts w:ascii="Arial" w:cs="Arial" w:eastAsia="Arial" w:hAnsi="Arial"/>
          <w:sz w:val="18"/>
          <w:szCs w:val="18"/>
          <w:color w:val="auto"/>
        </w:rPr>
        <w:t>by 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 trust (where the trustee is not an accredited investor) whose sole purpose is to hold investments and each beneficiary of the trust is an individual who is an accredited investor,</w:t>
      </w:r>
    </w:p>
    <w:p>
      <w:pPr>
        <w:spacing w:after="0" w:line="51"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shares of that corporation or the beneficiaries’ rights and interest (howsoever described) in that trust shall not be transferable for six months after that corporation or that trust has acquired the shares under Section 275 of the SFA, except:</w:t>
      </w:r>
    </w:p>
    <w:p>
      <w:pPr>
        <w:spacing w:after="0" w:line="51" w:lineRule="exact"/>
        <w:rPr>
          <w:sz w:val="20"/>
          <w:szCs w:val="20"/>
          <w:color w:val="auto"/>
        </w:rPr>
      </w:pPr>
    </w:p>
    <w:p>
      <w:pPr>
        <w:ind w:left="460" w:right="120" w:firstLine="443"/>
        <w:spacing w:after="0" w:line="298" w:lineRule="auto"/>
        <w:tabs>
          <w:tab w:leader="none" w:pos="114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any person pursuant to an offer that is made on terms that such shares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investors in Singapore should note that the securities acquired by them are subject to resale and transfer restrictions specified under Section 276 of the SFA, and they, therefore, should seek their own legal advice before effecting any resale or transfer of their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Prior to this offering, there has been no public market for the shares of our common stock. The initial public offering price will be determined by negotiations between us and the Representatives. Among the factors to be considered in determining the initial public offering price will be our future prospects and our industry in general, sales, earnings and certain other financial and operating information in recent periods, and the price-earnings ratios, market prices of securities and financial and operating information of companies engaged in activities similar to ours.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AND TRANSFER AGENT</w:t>
      </w:r>
    </w:p>
    <w:p>
      <w:pPr>
        <w:spacing w:after="0" w:line="17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custodian of the assets of the company will be The Bank of New York Mellon located at One Wall Street, New York, NY 10286. The custodian will perform custodial, fund accounting and portfolio accounting services. American Stock Transfer &amp; Trust Company located at 59 Maiden Lane, New York, NY 10038, will serve as the company’s transfer agent and dividend paying agent with respect to the common shares.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OPINIONS</w:t>
      </w:r>
    </w:p>
    <w:p>
      <w:pPr>
        <w:spacing w:after="0" w:line="1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Certain legal matters in connection with the common shares will be passed upon for the company by Dechert LLP, Washington, D.C. and for the Underwriters by Fried, Frank, Harris, Shriver &amp; Jacobson LLP, New York, NY. Dechert LLP and Fried, Frank, Harris, Shriver &amp; Jacobson LLP may rely as to certain matters of Maryland law on the opinion of Venable LLP, Baltimore, Maryland.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accounting purposes, our fiscal year is the 12-month period ending on September 30. For tax purposes, we have adopted the 12-month period ending September 30 of each year as our taxable year.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have selected KPMG LLP as our independent registered public accounting firm. KPMG LLP’s principal business address is located at 345 Park Avenue, New York, NY 10154.</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our shares of common stock offered by this prospectus. The registration statement contains additional information about us and our shares of common stock being offered by this prospectus.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Upon completion of this offering, we will file with or submit to the SEC annual, quarterly and current periodic reports, proxy statements and other information meeting the informational requirements of the Exchange Act. You may inspect and copy these reports, proxy statements and other information, as well as the registration statement and related exhibits and schedules, at the Public Reference Room of the SEC at 100 F Street, NE, Washington, D.C. 20549. You may obtain information on the operation of the Public Reference Room by calling the SEC at (800) SEC-0330. The SEC maintains an Internet site that contains reports, proxy and information statements and other information filed electronically by us with the SEC which are available on the SEC’s website at </w:t>
      </w:r>
      <w:r>
        <w:rPr>
          <w:rFonts w:ascii="Arial" w:cs="Arial" w:eastAsia="Arial" w:hAnsi="Arial"/>
          <w:sz w:val="16"/>
          <w:szCs w:val="16"/>
          <w:i w:val="1"/>
          <w:iCs w:val="1"/>
          <w:color w:val="auto"/>
        </w:rPr>
        <w:t xml:space="preserve">http://www.sec.gov. </w:t>
      </w:r>
      <w:r>
        <w:rPr>
          <w:rFonts w:ascii="Arial" w:cs="Arial" w:eastAsia="Arial" w:hAnsi="Arial"/>
          <w:sz w:val="16"/>
          <w:szCs w:val="16"/>
          <w:color w:val="auto"/>
        </w:rPr>
        <w:t>Copies of these reports, proxy and information statements and other information may be obtained, after paying a duplicating fee, by electronic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request at the following e-mail address: publicinfo@sec.gov, or by writing the SEC’s Public Reference Section, Washington, D.C. 20549. This information will also be available free of charge by contacting us at PennantPark Floating Rate Capital Ltd., 590 Madison Avenue, 15th Floor, New York, NY 10022, by telephone at (212) 905-1000, or on our website at </w:t>
      </w:r>
      <w:r>
        <w:rPr>
          <w:rFonts w:ascii="Arial" w:cs="Arial" w:eastAsia="Arial" w:hAnsi="Arial"/>
          <w:sz w:val="16"/>
          <w:szCs w:val="16"/>
          <w:i w:val="1"/>
          <w:iCs w:val="1"/>
          <w:color w:val="auto"/>
        </w:rPr>
        <w:t>http://www.pennantpark.com</w:t>
      </w:r>
      <w:r>
        <w:rPr>
          <w:rFonts w:ascii="Arial" w:cs="Arial" w:eastAsia="Arial" w:hAnsi="Arial"/>
          <w:sz w:val="16"/>
          <w:szCs w:val="16"/>
          <w:color w:val="auto"/>
        </w:rPr>
        <w: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0" w:type="dxa"/>
            <w:vAlign w:val="bottom"/>
            <w:gridSpan w:val="3"/>
          </w:tcPr>
          <w:p>
            <w:pPr>
              <w:ind w:left="20"/>
              <w:spacing w:after="0"/>
              <w:rPr>
                <w:sz w:val="20"/>
                <w:szCs w:val="20"/>
                <w:color w:val="auto"/>
              </w:rPr>
            </w:pPr>
            <w:r>
              <w:rPr>
                <w:rFonts w:ascii="Arial" w:cs="Arial" w:eastAsia="Arial" w:hAnsi="Arial"/>
                <w:sz w:val="18"/>
                <w:szCs w:val="18"/>
                <w:b w:val="1"/>
                <w:bCs w:val="1"/>
                <w:color w:val="auto"/>
              </w:rPr>
              <w:t>INDEX TO FINANCIAL STATEMENTS</w:t>
            </w:r>
          </w:p>
        </w:tc>
        <w:tc>
          <w:tcPr>
            <w:tcW w:w="0" w:type="dxa"/>
            <w:vAlign w:val="bottom"/>
          </w:tcPr>
          <w:p>
            <w:pPr>
              <w:spacing w:after="0"/>
              <w:rPr>
                <w:sz w:val="1"/>
                <w:szCs w:val="1"/>
                <w:color w:val="auto"/>
              </w:rPr>
            </w:pPr>
          </w:p>
        </w:tc>
      </w:tr>
      <w:tr>
        <w:trPr>
          <w:trHeight w:val="434"/>
        </w:trPr>
        <w:tc>
          <w:tcPr>
            <w:tcW w:w="4140" w:type="dxa"/>
            <w:vAlign w:val="bottom"/>
            <w:gridSpan w:val="4"/>
            <w:vMerge w:val="restart"/>
          </w:tcPr>
          <w:p>
            <w:pPr>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Report of Independent Registered Public Accounting Firm</w:t>
              </w:r>
            </w:hyperlink>
          </w:p>
        </w:tc>
        <w:tc>
          <w:tcPr>
            <w:tcW w:w="6880" w:type="dxa"/>
            <w:vAlign w:val="bottom"/>
          </w:tcPr>
          <w:p>
            <w:pPr>
              <w:spacing w:after="0"/>
              <w:rPr>
                <w:sz w:val="24"/>
                <w:szCs w:val="2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4140" w:type="dxa"/>
            <w:vAlign w:val="bottom"/>
            <w:gridSpan w:val="4"/>
            <w:vMerge w:val="continue"/>
          </w:tcPr>
          <w:p>
            <w:pPr>
              <w:spacing w:after="0"/>
              <w:rPr>
                <w:sz w:val="14"/>
                <w:szCs w:val="14"/>
                <w:color w:val="auto"/>
              </w:rPr>
            </w:pPr>
          </w:p>
        </w:tc>
        <w:tc>
          <w:tcPr>
            <w:tcW w:w="6880" w:type="dxa"/>
            <w:vAlign w:val="bottom"/>
          </w:tcPr>
          <w:p>
            <w:pPr>
              <w:spacing w:after="0"/>
              <w:rPr>
                <w:sz w:val="14"/>
                <w:szCs w:val="14"/>
                <w:color w:val="auto"/>
              </w:rPr>
            </w:pPr>
          </w:p>
        </w:tc>
        <w:tc>
          <w:tcPr>
            <w:tcW w:w="300" w:type="dxa"/>
            <w:vAlign w:val="bottom"/>
            <w:tcBorders>
              <w:top w:val="single" w:sz="8" w:color="auto"/>
            </w:tcBorders>
          </w:tcPr>
          <w:p>
            <w:pPr>
              <w:ind w:left="6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102">
              <w:r>
                <w:rPr>
                  <w:rFonts w:ascii="Arial" w:cs="Arial" w:eastAsia="Arial" w:hAnsi="Arial"/>
                  <w:sz w:val="18"/>
                  <w:szCs w:val="18"/>
                  <w:color w:val="0000EE"/>
                  <w:w w:val="86"/>
                </w:rPr>
                <w:t>Balance Sheet as of March 4, 2011</w:t>
              </w:r>
            </w:hyperlink>
          </w:p>
        </w:tc>
        <w:tc>
          <w:tcPr>
            <w:tcW w:w="16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4140" w:type="dxa"/>
            <w:vAlign w:val="bottom"/>
            <w:gridSpan w:val="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Notes to Balance Sheet</w:t>
              </w:r>
            </w:hyperlink>
          </w:p>
        </w:tc>
        <w:tc>
          <w:tcPr>
            <w:tcW w:w="688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16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audited the accompanying balance sheet of PennantPark Floating Rate Capital Ltd. (a development stage company) as of March 4, 2011. This financial statement is the responsibility of PennantPark Floating Rate Capital Ltd.’s management. Our responsibility is to express an opinion on this financial statement based on our audit.</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of the balance sheet provides a reasonable basis for our opinion.</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our opinion, the balance sheet referred to above presents fairly, in all material respects, the financial position of PennantPark Floating Rate Capital Ltd. (a development stage company) as of March 4, 2011, in conformity with U.S. generally accepted accounting principles.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40" w:type="dxa"/>
            <w:vAlign w:val="bottom"/>
          </w:tcPr>
          <w:p>
            <w:pPr>
              <w:jc w:val="center"/>
              <w:ind w:left="1172"/>
              <w:spacing w:after="0"/>
              <w:rPr>
                <w:sz w:val="20"/>
                <w:szCs w:val="20"/>
                <w:color w:val="auto"/>
              </w:rPr>
            </w:pPr>
            <w:r>
              <w:rPr>
                <w:rFonts w:ascii="Arial" w:cs="Arial" w:eastAsia="Arial" w:hAnsi="Arial"/>
                <w:sz w:val="18"/>
                <w:szCs w:val="18"/>
                <w:b w:val="1"/>
                <w:bCs w:val="1"/>
                <w:color w:val="auto"/>
                <w:w w:val="97"/>
              </w:rPr>
              <w:t>PENNANTPARK FLOATING RATE CAPITAL LTD.</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jc w:val="center"/>
              <w:ind w:left="1172"/>
              <w:spacing w:after="0"/>
              <w:rPr>
                <w:sz w:val="20"/>
                <w:szCs w:val="20"/>
                <w:color w:val="auto"/>
              </w:rPr>
            </w:pPr>
            <w:r>
              <w:rPr>
                <w:rFonts w:ascii="Arial" w:cs="Arial" w:eastAsia="Arial" w:hAnsi="Arial"/>
                <w:sz w:val="18"/>
                <w:szCs w:val="18"/>
                <w:b w:val="1"/>
                <w:bCs w:val="1"/>
                <w:color w:val="auto"/>
                <w:w w:val="97"/>
              </w:rPr>
              <w:t>(A DEVELOPMENT STAGE COMPANY)</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140" w:type="dxa"/>
            <w:vAlign w:val="bottom"/>
          </w:tcPr>
          <w:p>
            <w:pPr>
              <w:jc w:val="center"/>
              <w:ind w:left="1172"/>
              <w:spacing w:after="0"/>
              <w:rPr>
                <w:sz w:val="20"/>
                <w:szCs w:val="20"/>
                <w:color w:val="auto"/>
              </w:rPr>
            </w:pPr>
            <w:r>
              <w:rPr>
                <w:rFonts w:ascii="Arial" w:cs="Arial" w:eastAsia="Arial" w:hAnsi="Arial"/>
                <w:sz w:val="18"/>
                <w:szCs w:val="18"/>
                <w:b w:val="1"/>
                <w:bCs w:val="1"/>
                <w:color w:val="auto"/>
                <w:w w:val="96"/>
              </w:rPr>
              <w:t>BALANCE SHEET</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As of March 4, 2011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14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Cash</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6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 (Note 3)</w:t>
            </w: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1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Common stock, par value $0.001 per share; 100,000,000 shares authorized; 667 shares issued and outstanding</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 in excess of par value</w:t>
            </w: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0140" w:type="dxa"/>
            <w:vAlign w:val="bottom"/>
          </w:tcPr>
          <w:p>
            <w:pPr>
              <w:ind w:left="860"/>
              <w:spacing w:after="0"/>
              <w:rPr>
                <w:sz w:val="20"/>
                <w:szCs w:val="20"/>
                <w:color w:val="auto"/>
              </w:rPr>
            </w:pPr>
            <w:r>
              <w:rPr>
                <w:rFonts w:ascii="Arial" w:cs="Arial" w:eastAsia="Arial" w:hAnsi="Arial"/>
                <w:sz w:val="18"/>
                <w:szCs w:val="18"/>
                <w:color w:val="auto"/>
              </w:rPr>
              <w:t>Total Net Assets</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0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10140" w:type="dxa"/>
            <w:vAlign w:val="bottom"/>
          </w:tcPr>
          <w:p>
            <w:pPr>
              <w:jc w:val="center"/>
              <w:ind w:left="1152"/>
              <w:spacing w:after="0"/>
              <w:rPr>
                <w:sz w:val="20"/>
                <w:szCs w:val="20"/>
                <w:color w:val="auto"/>
              </w:rPr>
            </w:pPr>
            <w:r>
              <w:rPr>
                <w:rFonts w:ascii="Arial" w:cs="Arial" w:eastAsia="Arial" w:hAnsi="Arial"/>
                <w:sz w:val="18"/>
                <w:szCs w:val="18"/>
                <w:color w:val="auto"/>
                <w:w w:val="92"/>
              </w:rPr>
              <w:t>SEE NOTES TO BALANCE SHEET.</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140" w:type="dxa"/>
            <w:vAlign w:val="bottom"/>
          </w:tcPr>
          <w:p>
            <w:pPr>
              <w:jc w:val="center"/>
              <w:ind w:left="1172"/>
              <w:spacing w:after="0"/>
              <w:rPr>
                <w:sz w:val="20"/>
                <w:szCs w:val="20"/>
                <w:color w:val="auto"/>
              </w:rPr>
            </w:pPr>
            <w:r>
              <w:rPr>
                <w:rFonts w:ascii="Arial" w:cs="Arial" w:eastAsia="Arial" w:hAnsi="Arial"/>
                <w:sz w:val="18"/>
                <w:szCs w:val="18"/>
                <w:color w:val="auto"/>
                <w:w w:val="88"/>
              </w:rPr>
              <w:t>F-3</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BALANCE SHEET</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In this Balance Sheet, except where the context suggests otherwise, the terms “we,” “us,” “our,” “Company” or “PennantPark Floating Rate Capital” refers to PennantPark Floating Rate Capital Ltd.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PennantPark Floating Rate Capital Ltd. was formed on October 28, 2010 as a Maryland corporation structured as an externally managed, non-diversified closed-end management investment company. PennantPark Floating Rate Capital intends to elect to be treated as a business development company under the Investment Company Act of 1940, as amended, (the “1940 Act”), prior to pricing of its initial public offering. PennantPark Floating Rate Capital will be managed by PennantPark Investment Advisers, LLC (the “Investment Advisers”). PennantPark Investment Administration, LLC (the “Administrator”) will provide the administrative services necessary for us to operate. The Company has had no operations other than a sale of 667 shares of common stock for $10,000 ($15.00 per share). All of the outstanding shares of PennantPark Floating Rate Capital common stock are owned by PennantPark Investment Advisers, LLC.</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primary investment objective is to maximize current income consistent with the preservation of capital. We will seek to achieve our investment objectives by investing primarily in floating rate loans made to private middle-market companies whose debt is rated below investment grade. The Company may also invest in loans of portfolio companies that are thinly traded. Under normal market conditions, at least 80% of the value of our assets will be invested in floating rate loans and investments with similar economic characteristics. We expect that senior secured loans will represent at least 65% of our overall portfolio. We expect to invest the remaining approximately 35% of our overall portfolio opportunistically in other types of investments, including second-lien, high yield, mezzanine and distressed debt securities and private equity investments.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accompanying balance sheet has been prepared on the accrual basis of accounting in conformity with accounting principles generally accepted in the United States of America (“GAAP”).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Cash consists of demand deposits at a financial institution.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Taxes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intend to operate so as to qualify and elect to be tax as a regulated investment company (“RIC”) under Subchapter M of the Internal Revenue Code (“Code”). If we so qualify, we will not be subject to federal income tax on the portion of our taxable income and gains distributed to stockholders. To qualify as a RIC, we are required to distribute at least 90% of our investment company taxable income as defined by the Code.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BALANCE SHEET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preparation of the balance sheet in conformity with GAAP requires management to make estimates and assumptions that affect the reported amount of assets and liabilities and disclosure of contingent assets and liabilities at the date of the balance sheet. Changes in the economic environment, financial markets and any other parameters used in determining these estimates could cause actual results to differ materially.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Management does not believe any recently issued, but not yet effective, accounting standards, if currently adopted, would have a material effect on the accompanying balance sheet.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Commitments and Contingencies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Initial organization and operating costs will be borne by the Company upon consummation of its proposed initial public offering. Should the Company not be successful in the initial public offering, initial organization and operating costs incurred will be borne by the Company’s Investment Adviser. As there has been no formal commitment of external capital as of the date of issuance of this balance sheet, no such costs have been recorded by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Assets and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an authorized 100,000,000 shares of its common stock with a par value of $0.001 per share.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Subsequent Events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considered events from March 5, 2011 to March 11, 2011 (the date of this report’s issuance) and has concluded that no subsequent events of a material effect have occurred from the date of the balance sheet through the date this report was issued.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Indemnification</w:t>
      </w:r>
    </w:p>
    <w:p>
      <w:pPr>
        <w:spacing w:after="0" w:line="9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Under the Company’s organizational documents, its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 The Company’s maximum exposure under these agreements cannot be known; however, the Company expects any risk of loss to be remote.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and including , 2011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w:t>
      </w:r>
    </w:p>
    <w:p>
      <w:pPr>
        <w:spacing w:after="0" w:line="120" w:lineRule="exact"/>
        <w:rPr>
          <w:sz w:val="20"/>
          <w:szCs w:val="20"/>
          <w:color w:val="auto"/>
        </w:rPr>
      </w:pPr>
    </w:p>
    <w:p>
      <w:pPr>
        <w:ind w:left="4780"/>
        <w:spacing w:after="0"/>
        <w:rPr>
          <w:sz w:val="20"/>
          <w:szCs w:val="20"/>
          <w:color w:val="auto"/>
        </w:rPr>
      </w:pPr>
      <w:r>
        <w:rPr>
          <w:rFonts w:ascii="Arial" w:cs="Arial" w:eastAsia="Arial" w:hAnsi="Arial"/>
          <w:sz w:val="24"/>
          <w:szCs w:val="24"/>
          <w:b w:val="1"/>
          <w:b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537845</wp:posOffset>
            </wp:positionV>
            <wp:extent cx="2573020" cy="7200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7302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719"/>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333"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306070</wp:posOffset>
            </wp:positionV>
            <wp:extent cx="15176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PRELIMINARY PROSPECTUS</w:t>
      </w:r>
    </w:p>
    <w:p>
      <w:pPr>
        <w:spacing w:after="0" w:line="152" w:lineRule="exact"/>
        <w:rPr>
          <w:sz w:val="20"/>
          <w:szCs w:val="20"/>
          <w:color w:val="auto"/>
        </w:rPr>
      </w:pPr>
    </w:p>
    <w:p>
      <w:pPr>
        <w:ind w:left="6000"/>
        <w:spacing w:after="0"/>
        <w:rPr>
          <w:sz w:val="20"/>
          <w:szCs w:val="20"/>
          <w:color w:val="auto"/>
        </w:rPr>
      </w:pPr>
      <w:r>
        <w:rPr>
          <w:rFonts w:ascii="Arial" w:cs="Arial" w:eastAsia="Arial" w:hAnsi="Arial"/>
          <w:sz w:val="22"/>
          <w:szCs w:val="22"/>
          <w:b w:val="1"/>
          <w:bCs w:val="1"/>
          <w:color w:val="auto"/>
        </w:rPr>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719"/>
        <w:spacing w:after="0"/>
        <w:rPr>
          <w:sz w:val="20"/>
          <w:szCs w:val="20"/>
          <w:color w:val="auto"/>
        </w:rPr>
      </w:pPr>
      <w:r>
        <w:rPr>
          <w:rFonts w:ascii="Arial" w:cs="Arial" w:eastAsia="Arial" w:hAnsi="Arial"/>
          <w:sz w:val="32"/>
          <w:szCs w:val="32"/>
          <w:b w:val="1"/>
          <w:bCs w:val="1"/>
          <w:color w:val="auto"/>
        </w:rPr>
        <w:t>Morgan Stanley</w:t>
      </w:r>
    </w:p>
    <w:p>
      <w:pPr>
        <w:spacing w:after="0" w:line="78" w:lineRule="exact"/>
        <w:rPr>
          <w:sz w:val="20"/>
          <w:szCs w:val="20"/>
          <w:color w:val="auto"/>
        </w:rPr>
      </w:pPr>
    </w:p>
    <w:p>
      <w:pPr>
        <w:jc w:val="center"/>
        <w:ind w:right="-719"/>
        <w:spacing w:after="0"/>
        <w:rPr>
          <w:sz w:val="20"/>
          <w:szCs w:val="20"/>
          <w:color w:val="auto"/>
        </w:rPr>
      </w:pPr>
      <w:r>
        <w:rPr>
          <w:rFonts w:ascii="Arial" w:cs="Arial" w:eastAsia="Arial" w:hAnsi="Arial"/>
          <w:sz w:val="32"/>
          <w:szCs w:val="32"/>
          <w:b w:val="1"/>
          <w:bCs w:val="1"/>
          <w:color w:val="auto"/>
        </w:rPr>
        <w:t>SunTrust Robinson Humphrey</w:t>
      </w:r>
    </w:p>
    <w:p>
      <w:pPr>
        <w:spacing w:after="0" w:line="78" w:lineRule="exact"/>
        <w:rPr>
          <w:sz w:val="20"/>
          <w:szCs w:val="20"/>
          <w:color w:val="auto"/>
        </w:rPr>
      </w:pPr>
    </w:p>
    <w:p>
      <w:pPr>
        <w:jc w:val="center"/>
        <w:ind w:right="-719"/>
        <w:spacing w:after="0"/>
        <w:rPr>
          <w:sz w:val="20"/>
          <w:szCs w:val="20"/>
          <w:color w:val="auto"/>
        </w:rPr>
      </w:pPr>
      <w:r>
        <w:rPr>
          <w:rFonts w:ascii="Arial" w:cs="Arial" w:eastAsia="Arial" w:hAnsi="Arial"/>
          <w:sz w:val="32"/>
          <w:szCs w:val="32"/>
          <w:b w:val="1"/>
          <w:b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0"/>
          </w:cols>
          <w:pgMar w:left="240" w:top="459" w:right="9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Statement of assets and liabilities, dated as of March 4, 2001.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Exhibits</w:t>
      </w:r>
    </w:p>
    <w:p>
      <w:pPr>
        <w:spacing w:after="0" w:line="218" w:lineRule="exact"/>
        <w:rPr>
          <w:sz w:val="20"/>
          <w:szCs w:val="20"/>
          <w:color w:val="auto"/>
        </w:rPr>
      </w:pPr>
    </w:p>
    <w:p>
      <w:pPr>
        <w:ind w:left="620" w:hanging="612"/>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Articles of Amendment and Restatement.(1)</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Amended and Restated Bylaws.(1)</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Form of Stock Certificate.(2)</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Form of Dividend Reinvestment Plan.(1)</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Form of Investment Management Agreement between the Registrant and PennantPark Investment Advisers, LLC (the “Investment Adviser”).(1)</w:t>
      </w:r>
    </w:p>
    <w:p>
      <w:pPr>
        <w:spacing w:after="0" w:line="200" w:lineRule="exact"/>
        <w:rPr>
          <w:sz w:val="20"/>
          <w:szCs w:val="20"/>
          <w:color w:val="auto"/>
        </w:rPr>
      </w:pPr>
    </w:p>
    <w:p>
      <w:pPr>
        <w:spacing w:after="0" w:line="264" w:lineRule="exact"/>
        <w:rPr>
          <w:sz w:val="20"/>
          <w:szCs w:val="20"/>
          <w:color w:val="auto"/>
        </w:rPr>
      </w:pPr>
    </w:p>
    <w:p>
      <w:pPr>
        <w:ind w:left="620" w:hanging="612"/>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Form of Custodian Agreement.(1)</w:t>
      </w:r>
    </w:p>
    <w:p>
      <w:pPr>
        <w:spacing w:after="0" w:line="11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(k)(1)</w:t>
        <w:tab/>
        <w:t>Form of Certificate of Appointment of Transfer Agent.(1)</w:t>
      </w:r>
    </w:p>
    <w:p>
      <w:pPr>
        <w:spacing w:after="0" w:line="11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(k)(2)</w:t>
        <w:tab/>
        <w:t>Form of Administration Agreement between Registrant and PennantPark Administration, LLC.(1)</w:t>
      </w:r>
    </w:p>
    <w:p>
      <w:pPr>
        <w:spacing w:after="0" w:line="11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(k)(3)</w:t>
        <w:tab/>
        <w:t>Form of License Agreement between the Registrant and the Investment Adviser.(1)</w:t>
      </w:r>
    </w:p>
    <w:p>
      <w:pPr>
        <w:spacing w:after="0" w:line="11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(k)(4)</w:t>
        <w:tab/>
        <w:t>Form of Sub-Administrative and Accounting Services Agreement.(1)</w:t>
      </w:r>
    </w:p>
    <w:p>
      <w:pPr>
        <w:spacing w:after="0" w:line="11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(l)(1)</w:t>
        <w:tab/>
        <w:t>Opinion and Consent of Maryland Counsel.(2)</w:t>
      </w:r>
    </w:p>
    <w:p>
      <w:pPr>
        <w:spacing w:after="0" w:line="117" w:lineRule="exact"/>
        <w:rPr>
          <w:sz w:val="20"/>
          <w:szCs w:val="20"/>
          <w:color w:val="auto"/>
        </w:rPr>
      </w:pPr>
    </w:p>
    <w:p>
      <w:pPr>
        <w:ind w:left="620" w:hanging="612"/>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Firm.(1)</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(r)(1)</w:t>
        <w:tab/>
        <w:t>Joint Code of Ethics of PennantPark Floating Rate Capital Ltd. and the Investment Adviser.(1)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0800"/>
          </w:cols>
          <w:pgMar w:left="240" w:top="459" w:right="8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refer to Item 25(2)(h)(1).</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219"/>
          </w:cols>
          <w:pgMar w:left="240" w:top="459" w:right="1440"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27.</w:t>
            </w:r>
          </w:p>
        </w:tc>
        <w:tc>
          <w:tcPr>
            <w:tcW w:w="6320" w:type="dxa"/>
            <w:vAlign w:val="bottom"/>
            <w:gridSpan w:val="2"/>
          </w:tcPr>
          <w:p>
            <w:pPr>
              <w:ind w:left="220"/>
              <w:spacing w:after="0"/>
              <w:rPr>
                <w:sz w:val="20"/>
                <w:szCs w:val="20"/>
                <w:color w:val="auto"/>
              </w:rPr>
            </w:pPr>
            <w:r>
              <w:rPr>
                <w:rFonts w:ascii="Arial" w:cs="Arial" w:eastAsia="Arial" w:hAnsi="Arial"/>
                <w:sz w:val="18"/>
                <w:szCs w:val="18"/>
                <w:b w:val="1"/>
                <w:bCs w:val="1"/>
                <w:color w:val="auto"/>
              </w:rPr>
              <w:t>Other Expenses of Issuance and Distribution</w:t>
            </w:r>
          </w:p>
        </w:tc>
        <w:tc>
          <w:tcPr>
            <w:tcW w:w="1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10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NASDAQ listing fees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Financial Industry Regulatory Authority fees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Printing expenses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5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6320" w:type="dxa"/>
            <w:vAlign w:val="bottom"/>
            <w:gridSpan w:val="2"/>
          </w:tcPr>
          <w:p>
            <w:pPr>
              <w:ind w:left="1020"/>
              <w:spacing w:after="0"/>
              <w:rPr>
                <w:sz w:val="20"/>
                <w:szCs w:val="20"/>
                <w:color w:val="auto"/>
              </w:rPr>
            </w:pPr>
            <w:r>
              <w:rPr>
                <w:rFonts w:ascii="Arial" w:cs="Arial" w:eastAsia="Arial" w:hAnsi="Arial"/>
                <w:sz w:val="18"/>
                <w:szCs w:val="18"/>
                <w:color w:val="auto"/>
              </w:rPr>
              <w:t>Total</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Registrant</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Immediately prior to this offering, PennantPark Investment Advisers, LLC, a Delaware limited liability company, will own shares of the Registrant, representing 100% of the common stock outstanding. Following the completion of this offering, PennantPark Investment Advisers, LLC’s share ownership is expected to represent less than 1% of the common stock outstanding.</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5"/>
          <w:szCs w:val="15"/>
          <w:b w:val="1"/>
          <w:bCs w:val="1"/>
          <w:color w:val="auto"/>
        </w:rPr>
        <w:t>Number of Holders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the Registrant’s common stock at March 28, 2011.</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2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Record Holders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par value $0.001 per share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The Registrant’s charter contains such a provision which eliminates directors’ and officers’ liability to the maximum extent permitted by Maryland law, subject to the requirements of the 1940 Act.</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Registrant’s charter and bylaws require the Registrant, to the maximum extent permitted by Maryland law and subject to the requirements of the 1940 Act, to indemnify any present or former director or officer or any individual who, while a director and at the Registrant’s request, serves or has served another corporation, real estate investment trust, partnership, joint venture, trust, employee benefit plan or other enterprise as a director, officer, partner or trustee and who is made a party to the proceeding by reason of his or her service in that capacity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The rights to indemnification and advance of expenses provided by the charter and bylaws vest immediately upon election of a director or officer. The charter and bylaws also permit the Registrant to indemnify and advance expenses to any person who served a predecessor of the Registrant in any of the capacities described above and any of the Registrant’s employees or agents or any employees or agents of the Registrant’s predecessor. In accordance with the 1940 Act, the Registrant will not indemnify any person for any liability to which such person would be subject by reason of such person’s willful misfeasance, bad faith, gross negligence or reckless disregard of the duties involved in the conduct of his office.</w:t>
      </w:r>
    </w:p>
    <w:p>
      <w:pPr>
        <w:spacing w:after="0" w:line="12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Maryland law requires a corporation (unless its charter provides otherwise, which the Registrant’s charter does not) to indemnify a director or officer who has been successful, on the merits or otherwise, in the defense of 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proceeding to which he or she is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the act or omission was unlawful.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0" w:lineRule="exact"/>
        <w:rPr>
          <w:sz w:val="20"/>
          <w:szCs w:val="20"/>
          <w:color w:val="auto"/>
        </w:rPr>
      </w:pPr>
    </w:p>
    <w:p>
      <w:pPr>
        <w:ind w:right="180" w:firstLine="456"/>
        <w:spacing w:after="0" w:line="312" w:lineRule="auto"/>
        <w:rPr>
          <w:sz w:val="20"/>
          <w:szCs w:val="20"/>
          <w:color w:val="auto"/>
        </w:rPr>
      </w:pPr>
      <w:r>
        <w:rPr>
          <w:rFonts w:ascii="Arial" w:cs="Arial" w:eastAsia="Arial" w:hAnsi="Arial"/>
          <w:sz w:val="15"/>
          <w:szCs w:val="15"/>
          <w:color w:val="auto"/>
        </w:rPr>
        <w:t>Insofar as indemnification for liability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Investment Management Agreement provides that PennantPark Investment Advisers, LLC and its officers, managers, partners, agents, employees, controlling persons, members and any other person of entity affiliated with the Investment Adviser are entitled to indemnification from us for any damages, liabilities, costs and expenses (including reasonable attorneys’ fees and amounts reasonably paid in settlement) incurred by them in or by reason of any pending, threatened or completed action, suit, investigation or other proceedings arising out of or otherwise based on the performance of any of PennantPark Investment Advisers, LLC’s duties or obligations under the Investment Management Agreement or otherwise as our investment adviser to the extent such damages, liabilities, costs and expenses do not arise by reason of willful misfeasance, bad faith, or gross negligence in PennantPark Investment Advisers, LLC’s performance of such duties or obligations, or PennantPark Investment Advisers, LLC’s reckless disregard of such duties or obligations.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and controlling persons pursuant to the provisions described above,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in the successful defense of an action, suit or proceeding) is asserted by a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the court of the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Adviser</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description of the business of the Investment Adviser is set out in the sections entitled “Management” and “Certain Relationships and Transactions” in the prospectus which forms a part of this registration statement. A description of any other business, profession, vocation, or employment of a substantial nature in which each managing director, executive officer or investment professional of the Investment Adviser, is or has been, at any time during the past two fiscal years, engaged in for his or her own account or in the capacity of director, officer, employee, partner or trustee, is set out below:</w:t>
      </w:r>
    </w:p>
    <w:p>
      <w:pPr>
        <w:spacing w:after="0" w:line="11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Additional Information regarding PennantPark Investment Advisers LLC and its officers and directors is set forth in its Form ADV, as filed with the Securities and Exchange Commission (SEC File No. 801-67622) under the Investment Advisers Act of 1940, as amended, and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Locations of Accounts and Records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Investment company Act of 1940, and the rules thereunder are maintained at the offices of:</w:t>
      </w:r>
    </w:p>
    <w:p>
      <w:pPr>
        <w:spacing w:after="0" w:line="51"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 PennantPark Floating Rate Capital Ltd.,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59 Maiden Lane, New York, NY 10038;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Custodian, The Bank of New York Mellon, One Wall Street, New York, New York 10286;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Investment Adviser, PennantPark Investment Advisers, LLC,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280"/>
          </w:cols>
          <w:pgMar w:left="240" w:top="459" w:right="3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hanging="452"/>
        <w:spacing w:after="0" w:line="259"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 undertakes to suspend the offering of shares until the prospectus is amended if (1) subsequent to the effective date of its registration statement, the net asset value declines more than ten percent from its net asset value as of the effective date of the registration statement; or (2) the net asset value increases to an amount greater than the net proceeds as stated in the prospectus.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 undertakes that:</w:t>
      </w:r>
    </w:p>
    <w:p>
      <w:pPr>
        <w:spacing w:after="0" w:line="90" w:lineRule="exact"/>
        <w:rPr>
          <w:rFonts w:ascii="Arial" w:cs="Arial" w:eastAsia="Arial" w:hAnsi="Arial"/>
          <w:sz w:val="18"/>
          <w:szCs w:val="18"/>
          <w:color w:val="auto"/>
        </w:rPr>
      </w:pPr>
    </w:p>
    <w:p>
      <w:pPr>
        <w:ind w:left="900" w:right="260" w:hanging="446"/>
        <w:spacing w:after="0" w:line="306" w:lineRule="auto"/>
        <w:tabs>
          <w:tab w:leader="none" w:pos="9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the Registrant pursuant to Rule 497(h) under the Securities Act of 1933 shall be deemed to be part of this registration statement as of the time it was declared effective.</w:t>
      </w:r>
    </w:p>
    <w:p>
      <w:pPr>
        <w:spacing w:after="0" w:line="25"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“Securities Act”), and the Investment Company Act of 1940, as amended (the “1940 Act”), the Registrant has duly caused this Registration Statement to be signed on its behalf by the undersigned, thereunto duly authorized, in The City of New York, State of New York on the 28</w:t>
      </w:r>
      <w:r>
        <w:rPr>
          <w:rFonts w:ascii="Arial" w:cs="Arial" w:eastAsia="Arial" w:hAnsi="Arial"/>
          <w:sz w:val="11"/>
          <w:szCs w:val="11"/>
          <w:color w:val="auto"/>
        </w:rPr>
        <w:t>th</w:t>
      </w:r>
      <w:r>
        <w:rPr>
          <w:rFonts w:ascii="Arial" w:cs="Arial" w:eastAsia="Arial" w:hAnsi="Arial"/>
          <w:sz w:val="18"/>
          <w:szCs w:val="18"/>
          <w:color w:val="auto"/>
        </w:rPr>
        <w:t xml:space="preserve"> day of March, 2011.</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Arthur H. Penn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3"/>
              </w:rPr>
              <w:t>Arthur H. Penn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4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4"/>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Arthur H. Penn</w:t>
            </w:r>
          </w:p>
        </w:tc>
        <w:tc>
          <w:tcPr>
            <w:tcW w:w="2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7"/>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92"/>
              </w:rPr>
              <w:t>(Arthur H. Penn)</w:t>
            </w:r>
          </w:p>
        </w:tc>
        <w:tc>
          <w:tcPr>
            <w:tcW w:w="22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Chief Executive Officer and Director</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March 28, 2011</w:t>
            </w:r>
          </w:p>
        </w:tc>
      </w:tr>
      <w:tr>
        <w:trPr>
          <w:trHeight w:val="222"/>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6"/>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Aviv Efrat</w:t>
            </w:r>
          </w:p>
        </w:tc>
        <w:tc>
          <w:tcPr>
            <w:tcW w:w="2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3"/>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90"/>
              </w:rPr>
              <w:t>(Aviv Efrat)</w:t>
            </w:r>
          </w:p>
        </w:tc>
        <w:tc>
          <w:tcPr>
            <w:tcW w:w="22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Treasurer (Principal Financial Officer)</w:t>
            </w:r>
          </w:p>
        </w:tc>
        <w:tc>
          <w:tcPr>
            <w:tcW w:w="24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March 28, 2011</w:t>
            </w:r>
          </w:p>
        </w:tc>
      </w:tr>
      <w:tr>
        <w:trPr>
          <w:trHeight w:val="43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3"/>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90"/>
              </w:rPr>
              <w:t>(Jeffrey Flug)</w:t>
            </w:r>
          </w:p>
        </w:tc>
        <w:tc>
          <w:tcPr>
            <w:tcW w:w="22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March 28, 2011</w:t>
            </w:r>
          </w:p>
        </w:tc>
      </w:tr>
      <w:tr>
        <w:trPr>
          <w:trHeight w:val="43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3"/>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88"/>
              </w:rPr>
              <w:t>(Marshall Brozost)</w:t>
            </w:r>
          </w:p>
        </w:tc>
        <w:tc>
          <w:tcPr>
            <w:tcW w:w="22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March 28, 2011</w:t>
            </w:r>
          </w:p>
        </w:tc>
      </w:tr>
      <w:tr>
        <w:trPr>
          <w:trHeight w:val="43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3"/>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91"/>
              </w:rPr>
              <w:t>(Samuel L. Katz)</w:t>
            </w:r>
          </w:p>
        </w:tc>
        <w:tc>
          <w:tcPr>
            <w:tcW w:w="22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March 28, 2011</w:t>
            </w:r>
          </w:p>
        </w:tc>
      </w:tr>
    </w:tbl>
    <w:p>
      <w:pPr>
        <w:spacing w:after="0" w:line="196" w:lineRule="exact"/>
        <w:rPr>
          <w:sz w:val="20"/>
          <w:szCs w:val="20"/>
          <w:color w:val="auto"/>
        </w:rPr>
      </w:pPr>
    </w:p>
    <w:p>
      <w:pPr>
        <w:ind w:left="5580" w:right="1500" w:hanging="5572"/>
        <w:spacing w:after="0" w:line="440" w:lineRule="auto"/>
        <w:tabs>
          <w:tab w:leader="none" w:pos="222"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by each on December 16, 2010 C-7</w:t>
      </w:r>
    </w:p>
    <w:p>
      <w:pPr>
        <w:sectPr>
          <w:pgSz w:w="11900" w:h="16838" w:orient="portrait"/>
          <w:cols w:equalWidth="0" w:num="1">
            <w:col w:w="11420"/>
          </w:cols>
          <w:pgMar w:left="240" w:top="459"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PENNANTPARK SENIOR FLOATING RATE FUND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ARTICLES OF AMENDMENT AND RESTATEMENT</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PennantPark Senior Floating Rate Fund Inc., a Maryland corporation (the “Corporation”), desires to amend and restate its charter as currently in effect and as hereinafter amended.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The following provisions are all the provisions of the charter currently in effect and as hereinafter amended: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177" w:lineRule="exact"/>
        <w:rPr>
          <w:sz w:val="20"/>
          <w:szCs w:val="20"/>
          <w:color w:val="auto"/>
        </w:rPr>
      </w:pPr>
    </w:p>
    <w:p>
      <w:pPr>
        <w:jc w:val="center"/>
        <w:ind w:right="4960"/>
        <w:spacing w:after="0"/>
        <w:rPr>
          <w:sz w:val="20"/>
          <w:szCs w:val="20"/>
          <w:color w:val="auto"/>
        </w:rPr>
      </w:pPr>
      <w:r>
        <w:rPr>
          <w:rFonts w:ascii="Arial" w:cs="Arial" w:eastAsia="Arial" w:hAnsi="Arial"/>
          <w:sz w:val="18"/>
          <w:szCs w:val="18"/>
          <w:color w:val="auto"/>
        </w:rPr>
        <w:t>The name of the corporation (which is hereinafter called the “Corporation”) 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Floating Rate Capital Ltd.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177"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color w:val="auto"/>
        </w:rPr>
        <w:t>The purposes for which the Corporation is formed are to conduct and carry on the business of a business development company, subject to making and maintaining an election to be treated as a business development company under the Investment Company Act of 1940, as amended (the “1940 Act”), and to engage in any lawful act or activity for which corporations may be organized under the general laws of the State of Maryland as now or hereafter in force.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OFFICE IN STATE AND RESIDENT AGENT</w:t>
      </w:r>
    </w:p>
    <w:p>
      <w:pPr>
        <w:spacing w:after="0" w:line="17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address of the principal office of the Corporation in the State of Maryland is c/o The Corporation Trust Incorporated, 351 West Camden Street, Baltimore, Maryland 21201.</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name and address of the resident agent of the Corporation are The Corporation Trust Incorporated, 351 West Camden Street, Baltimore, Maryland 21201. The resident agent is a Maryland corporation.</w:t>
      </w:r>
    </w:p>
    <w:p>
      <w:pPr>
        <w:spacing w:after="0" w:line="28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PROVISIONS FOR DEFINING, LIMITING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REGULATING CERTAIN POWERS OF THE CORPORATION AND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AND DIRECTORS</w:t>
      </w:r>
    </w:p>
    <w:p>
      <w:pPr>
        <w:spacing w:after="0" w:line="16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Number, Classification and Election of Directors</w:t>
      </w:r>
      <w:r>
        <w:rPr>
          <w:rFonts w:ascii="Arial" w:cs="Arial" w:eastAsia="Arial" w:hAnsi="Arial"/>
          <w:sz w:val="18"/>
          <w:szCs w:val="18"/>
          <w:color w:val="auto"/>
        </w:rPr>
        <w:t>. The business and affairs of the Corporation shall be managed under the direction of the Board of Directors. The</w:t>
      </w:r>
    </w:p>
    <w:p>
      <w:pPr>
        <w:sectPr>
          <w:pgSz w:w="11900" w:h="16838" w:orient="portrait"/>
          <w:cols w:equalWidth="0" w:num="1">
            <w:col w:w="11420"/>
          </w:cols>
          <w:pgMar w:left="240" w:top="125" w:right="239" w:bottom="1440" w:gutter="0" w:footer="0" w:header="0"/>
        </w:sectPr>
      </w:pPr>
    </w:p>
    <w:bookmarkStart w:id="113" w:name="page114"/>
    <w:bookmarkEnd w:id="11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 directors of the Corporation is five, which number may be increased or decreased only by the Board of Directors pursuant to the Bylaws, but shall never be less than the minimum number required by the Maryland General Corporation Law (the “MGCL”). The names of the directors who shall serve until the first annual meeting of stockholders and until their successors are duly elected and qualify are: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Arthur H. Penn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Adam K. Bernstein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Marshall Brozost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Jeffrey Flug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Samuel L. Katz</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These directors may increase the number of directors and may fill any vacancy, whether resulting from an increase in the number of directors or otherwise, on the Board of Directors occurring before the first annual meeting of stockholders in the manner provided in the Bylaws.</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Corporation elects, at such time as it becomes eligible to make the election provided for under Section 3-802(b) of the MGCL, that, subject to applicable requirements of the 1940 Act and except as may be provided by the Board of Directors in setting the terms of any class or series of Preferred Stock (as hereinafter defined), any and all vacancies on the Board of Directors may be filled only by the affirmative vote of a majority of the remaining directors in office, even if the remaining directors do not constitute a quorum, and any director elected to fill a vacancy shall serve for the remainder of the full term of the directorship in which such vacancy occurred and until a successor is duly elected and qualifies.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the first date on which the Corporation shall have more than one stockholder of record, the directors (other than any director elected solely by holders of one or more classes or series of Preferred Stock in connection with dividend arrearages) shall be classified, with respect to the terms for which they severally hold office, into three classes, as nearly equal in number as possible as determined by the Board of Directors, one class to hold office initially for a term expiring at the next succeeding annual meeting of stockholders, another class to hold office initially for a term expiring at the second succeeding annual meeting of stockholders and another class to hold office initially for a term expiring at the third succeeding annual meeting of stockholders, with the members of each class to hold office until their successors are duly elected and qualify. At each annual meeting of the stockholders, the successors to the class of directors whose term expires at such meeting shall be elected to hold office for a term expiring at the annual meeting of stockholders held in the third year following the year of their election and until their successors are duly elected and qualify.</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Extraordinary Actions</w:t>
      </w:r>
      <w:r>
        <w:rPr>
          <w:rFonts w:ascii="Arial" w:cs="Arial" w:eastAsia="Arial" w:hAnsi="Arial"/>
          <w:sz w:val="16"/>
          <w:szCs w:val="16"/>
          <w:color w:val="auto"/>
        </w:rPr>
        <w:t>. Except as specifically provided in Section 4.9 (relating to removal of directors), and in Section 6.2 (relating to certain actions and certain amendments to the charter), notwithstanding any provision of law permitting or requiring any action to be taken or approved by the affirmative vote of the holders of shares entitled to cast a greater number of votes, any such action shall be effective and valid if declared advisable by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of Directors and taken or approved by the affirmative vote of holders of shares entitled to cast a majority of all the votes entitled to be cast on the matter.</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 Except as otherwise provided in the Bylaws of the Corporation, each director shall be elected by the affirmative vote of the holders of a majority of the shares of stock outstanding and entitled to vote thereon.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Quorum</w:t>
      </w:r>
      <w:r>
        <w:rPr>
          <w:rFonts w:ascii="Arial" w:cs="Arial" w:eastAsia="Arial" w:hAnsi="Arial"/>
          <w:sz w:val="16"/>
          <w:szCs w:val="16"/>
          <w:color w:val="auto"/>
        </w:rPr>
        <w:t>. The presence in person or by proxy of the holders of shares of stock of the Corporation entitled to cast a majority of the votes entitled to be cast (without regard to class) shall constitute a quorum at any meeting of stockholders,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 To the extent permitted by Maryland law as in effect from time to time, the foregoing quorum provision may be changed by the Bylaws.</w:t>
      </w:r>
    </w:p>
    <w:p>
      <w:pPr>
        <w:spacing w:after="0" w:line="1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Authorization by Board of Stock Issuance</w:t>
      </w:r>
      <w:r>
        <w:rPr>
          <w:rFonts w:ascii="Arial" w:cs="Arial" w:eastAsia="Arial" w:hAnsi="Arial"/>
          <w:sz w:val="16"/>
          <w:szCs w:val="16"/>
          <w:color w:val="auto"/>
        </w:rPr>
        <w:t>. The Board of Directors may authorize the issuance from time to time of shares of stock of the Corporation of any class or series, whether now or hereafter authorized, or securities or rights convertible into shares of its stock of any class or series, whether now or hereafter authorized, for such consideration as the Board of Directors may deem advisable (or without consideration in the case of a stock split or stock dividend), subject to such restrictions or limitations, if any, as may be set forth in the charter or the bylaws.</w:t>
      </w:r>
    </w:p>
    <w:p>
      <w:pPr>
        <w:spacing w:after="0" w:line="113"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 xml:space="preserve">Section 4.6. </w:t>
      </w:r>
      <w:r>
        <w:rPr>
          <w:rFonts w:ascii="Arial" w:cs="Arial" w:eastAsia="Arial" w:hAnsi="Arial"/>
          <w:sz w:val="15"/>
          <w:szCs w:val="15"/>
          <w:u w:val="single" w:color="auto"/>
          <w:color w:val="auto"/>
        </w:rPr>
        <w:t>Preemptive Rights</w:t>
      </w:r>
      <w:r>
        <w:rPr>
          <w:rFonts w:ascii="Arial" w:cs="Arial" w:eastAsia="Arial" w:hAnsi="Arial"/>
          <w:sz w:val="15"/>
          <w:szCs w:val="15"/>
          <w:color w:val="auto"/>
        </w:rPr>
        <w:t>. Except as may be provided by the Board of Directors in setting the terms of classified or reclassified shares of stock pursuant to Section 5.4 or as may otherwise be provided by contract, no holder of shares of stock of the Corporation shall, as such holder, have any preemptive right to purchase or subscribe for any additional shares of stock of the Corporation or any other security of the Corporation which it may issue or sell.</w:t>
      </w:r>
    </w:p>
    <w:p>
      <w:pPr>
        <w:spacing w:after="0" w:line="8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Appraisal Rights</w:t>
      </w:r>
      <w:r>
        <w:rPr>
          <w:rFonts w:ascii="Arial" w:cs="Arial" w:eastAsia="Arial" w:hAnsi="Arial"/>
          <w:sz w:val="16"/>
          <w:szCs w:val="16"/>
          <w:color w:val="auto"/>
        </w:rPr>
        <w:t>. No holder of stock of the Corporation shall be entitled to exercise the rights of an objecting stockholder under Title 3, Subtitle 2 of the MGCL or any successor statute unless the Board of Directors, upon the affirmative vote of a majority of the entire Board of Directors, shall determine that such rights apply, with respect to all or any classes or series of stock, to a particular transaction or all transactions occurring after the date of such determination in connection with which holders of such shares would otherwise be entitled to exercise such rights.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Determinations by Board</w:t>
      </w:r>
      <w:r>
        <w:rPr>
          <w:rFonts w:ascii="Arial" w:cs="Arial" w:eastAsia="Arial" w:hAnsi="Arial"/>
          <w:sz w:val="18"/>
          <w:szCs w:val="18"/>
          <w:color w:val="auto"/>
        </w:rPr>
        <w:t>. The determination as to any of the following matters, made in good faith by or pursuant to the direction of the Board of Directors consistent with the charter and in the absence of actual receipt of an improper benefit in money, property or services or active and deliberate dishonesty established by a court, shall be final and conclusive and shall be binding upon the Corporation and every holder of shares of its stock: the amount of the net income of the Corporation for any period and the amount of assets at any time legally available for the payment of dividends, redemption of its stock or the payment of other distributions on its stock; the amount of paid-in surplus, net assets, other surplus, annual or other net profit, net assets in excess of capital, undivided profits or excess of profits over losses 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15" w:name="page116"/>
    <w:bookmarkEnd w:id="11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sales of assets; the amount, purpose, time of creation, increase or decrease, alteration or cancellation of any reserves or charges and the propriety thereof (whether or not any obligation or liability for which such reserves or charges shall have been created shall have been paid or discharged); the fair value, or any sale, bid or asked price to be applied in determining the fair value, of any asset owned or held by the Corporation; any matter relating to the acquisition, holding and disposition of any assets by the Corporation; or any other matter relating to the business and affairs of the Corporation or required by the charter to be determined by the Board of Directors.</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Removal of Directors</w:t>
      </w:r>
      <w:r>
        <w:rPr>
          <w:rFonts w:ascii="Arial" w:cs="Arial" w:eastAsia="Arial" w:hAnsi="Arial"/>
          <w:sz w:val="16"/>
          <w:szCs w:val="16"/>
          <w:color w:val="auto"/>
        </w:rPr>
        <w:t>. Subject to the rights of holders of one or more classes or series of Preferred Stock to elect or remove one or more directors, any director, or the entire Board of Directors, may be removed from office at any time only for cause and only by the affirmative vote of at least two-thirds of the votes entitled to be cast generally in the election of directors. For the purpose of this paragraph, “cause” shall mean, with respect to any particular director, conviction of a felony or a final judgment of a court of competent jurisdiction holding that such director caused demonstrable, material harm to the Corporation through bad faith or active and deliberate dishonesty.</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Authorized Shares</w:t>
      </w:r>
      <w:r>
        <w:rPr>
          <w:rFonts w:ascii="Arial" w:cs="Arial" w:eastAsia="Arial" w:hAnsi="Arial"/>
          <w:sz w:val="16"/>
          <w:szCs w:val="16"/>
          <w:color w:val="auto"/>
        </w:rPr>
        <w:t>. The Corporation has authority to issue 100 million shares of stock, initially consisting of 100 million shares of Common Stock, $.001 par value per share (“Common Stock”). The aggregate par value of all authorized shares of stock having par value is $100,000. If shares of one class of stock are classified or reclassified into shares of another class of stock pursuant to this Article V, the number of authorized shares of the former class shall be automatically decreased and the number of shares of the latter class shall be automatically increased, in each case by the number of shares so classified or reclassified, so that the aggregate number of shares of stock of all classes that the Corporation has authority to issue shall not be more than the total number of shares of stock set forth in the first sentence of this paragraph. A majority of the entire Board of Directors, without any action by the stockholders of the Corporation, may amend the charter from time to time to increase or decrease the aggregate number of shares of stock or the number of shares of stock of any class or series that the Corporation has authority to issue.</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Common Stock</w:t>
      </w:r>
      <w:r>
        <w:rPr>
          <w:rFonts w:ascii="Arial" w:cs="Arial" w:eastAsia="Arial" w:hAnsi="Arial"/>
          <w:sz w:val="18"/>
          <w:szCs w:val="18"/>
          <w:color w:val="auto"/>
        </w:rPr>
        <w:t>. Each share of Common Stock shall entitle the holder thereof to one vote. The Board of Directors may reclassify any unissued shares of Common Stock from time to time in one or more classes or series of stock.</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Preferred Stock</w:t>
      </w:r>
      <w:r>
        <w:rPr>
          <w:rFonts w:ascii="Arial" w:cs="Arial" w:eastAsia="Arial" w:hAnsi="Arial"/>
          <w:sz w:val="18"/>
          <w:szCs w:val="18"/>
          <w:color w:val="auto"/>
        </w:rPr>
        <w:t>. The Board of Directors may classify any unissued shares of stock and reclassify any previously classified but unissued shares of stock of any class or series from time to time, in one or more classes or series of preferred stock (“Preferred Stock”).</w:t>
      </w:r>
    </w:p>
    <w:p>
      <w:pPr>
        <w:spacing w:after="0" w:line="132"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Classified or Reclassified Shares</w:t>
      </w:r>
      <w:r>
        <w:rPr>
          <w:rFonts w:ascii="Arial" w:cs="Arial" w:eastAsia="Arial" w:hAnsi="Arial"/>
          <w:sz w:val="16"/>
          <w:szCs w:val="16"/>
          <w:color w:val="auto"/>
        </w:rPr>
        <w:t>. Prior to issuance of classified or reclassified shares of any class or series, the Board of Directors by resolution shall: (a) designate that class or series to distinguish it from all other classes and series of stock of the Corporation;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16" w:name="page117"/>
    <w:bookmarkEnd w:id="116"/>
    <w:p>
      <w:pPr>
        <w:ind w:firstLine="8"/>
        <w:spacing w:after="0" w:line="290" w:lineRule="auto"/>
        <w:tabs>
          <w:tab w:leader="none" w:pos="249"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specify the number of shares to be included in the class or series; (c) set or change, subject to the express terms of any class or series of stock of the Corporation outstanding at the time, the preferences, conversion or other rights, voting powers, restrictions, limitations as to dividends or other distributions, qualifications and terms and conditions of redemption for each class or series; and (d) cause the Corporation to file articles supplementary with the State Department of Assessments and Taxation of Maryland (“SDAT”). Any of the terms of any class or series of stock set or changed pursuant to clause (c) of this Section 5.4 may be made dependent upon facts or events ascertainable outside the charter (including determinations by the Board of Directors or other facts or events within the control of the Corporation) and may vary among holders thereof, provided that the manner in which such facts, events or variations shall operate upon the terms of such class or series of stock is clearly and expressly set forth in the articles supplementary filed with the SDAT.</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Inspection of Books and Records</w:t>
      </w:r>
      <w:r>
        <w:rPr>
          <w:rFonts w:ascii="Arial" w:cs="Arial" w:eastAsia="Arial" w:hAnsi="Arial"/>
          <w:sz w:val="18"/>
          <w:szCs w:val="18"/>
          <w:color w:val="auto"/>
        </w:rPr>
        <w:t>. A stockholder that is otherwise eligible under applicable law to inspect the Corporation’s books of account, stock ledger, or other specified documents of the Corporation shall have no right to make such inspection if the Board of Directors determines that such stockholder has an improper purpose for requesting such inspection.</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Charter and Bylaws</w:t>
      </w:r>
      <w:r>
        <w:rPr>
          <w:rFonts w:ascii="Arial" w:cs="Arial" w:eastAsia="Arial" w:hAnsi="Arial"/>
          <w:sz w:val="16"/>
          <w:szCs w:val="16"/>
          <w:color w:val="auto"/>
        </w:rPr>
        <w:t>. All persons who shall acquire stock in the Corporation shall acquire the same subject to the provisions of the charter and the bylaws. The Board of Directors of the Corporation shall have the exclusive power to make, alter, amend or repeal the bylaws.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 CERTAIN EXTRAORDINARY TRANSACTIONS</w:t>
      </w:r>
    </w:p>
    <w:p>
      <w:pPr>
        <w:spacing w:after="0" w:line="177"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Amendments Generally</w:t>
      </w:r>
      <w:r>
        <w:rPr>
          <w:rFonts w:ascii="Arial" w:cs="Arial" w:eastAsia="Arial" w:hAnsi="Arial"/>
          <w:sz w:val="16"/>
          <w:szCs w:val="16"/>
          <w:color w:val="auto"/>
        </w:rPr>
        <w:t>. The Corporation reserves the right from time to time to make any amendment to its charter, now or hereafter authorized by law, including any amendment altering the terms or contract rights, as expressly set forth in the charter, of any shares of outstanding stock. All rights and powers conferred by the charter on stockholders, directors and officers are granted subject to this reservation.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Approval of Certain Extraordinary Actions and Charter Amendments</w:t>
      </w:r>
      <w:r>
        <w:rPr>
          <w:rFonts w:ascii="Arial" w:cs="Arial" w:eastAsia="Arial" w:hAnsi="Arial"/>
          <w:sz w:val="18"/>
          <w:szCs w:val="18"/>
          <w:color w:val="auto"/>
        </w:rPr>
        <w:t>.</w:t>
      </w:r>
    </w:p>
    <w:p>
      <w:pPr>
        <w:spacing w:after="0" w:line="90" w:lineRule="exact"/>
        <w:rPr>
          <w:sz w:val="20"/>
          <w:szCs w:val="20"/>
          <w:color w:val="auto"/>
        </w:rPr>
      </w:pPr>
    </w:p>
    <w:p>
      <w:pPr>
        <w:ind w:right="80" w:firstLine="921"/>
        <w:spacing w:after="0" w:line="268" w:lineRule="auto"/>
        <w:tabs>
          <w:tab w:leader="none" w:pos="115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Required Votes</w:t>
      </w:r>
      <w:r>
        <w:rPr>
          <w:rFonts w:ascii="Arial" w:cs="Arial" w:eastAsia="Arial" w:hAnsi="Arial"/>
          <w:sz w:val="18"/>
          <w:szCs w:val="18"/>
          <w:color w:val="auto"/>
        </w:rPr>
        <w:t>. The affirmative vote of the holders of shares entitled to cast at least 80 percent of the votes entitled to be cast on the matter, each voting as a separate class, shall be necessary to effect:</w:t>
      </w:r>
    </w:p>
    <w:p>
      <w:pPr>
        <w:spacing w:after="0" w:line="131" w:lineRule="exact"/>
        <w:rPr>
          <w:rFonts w:ascii="Arial" w:cs="Arial" w:eastAsia="Arial" w:hAnsi="Arial"/>
          <w:sz w:val="18"/>
          <w:szCs w:val="18"/>
          <w:color w:val="auto"/>
        </w:rPr>
      </w:pPr>
    </w:p>
    <w:p>
      <w:pPr>
        <w:ind w:right="300" w:firstLine="1492"/>
        <w:spacing w:after="0" w:line="332" w:lineRule="auto"/>
        <w:tabs>
          <w:tab w:leader="none" w:pos="1693"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amendment to the charter of the Corporation to make the Corporation’s Common Stock a “redeemable security” or to convert the Corporation, whether by merger or otherwise, from a “closed-end company” to an “open-end company” (as such terms are defined in the 1940 Act);</w:t>
      </w:r>
    </w:p>
    <w:p>
      <w:pPr>
        <w:spacing w:after="0" w:line="85" w:lineRule="exact"/>
        <w:rPr>
          <w:rFonts w:ascii="Arial" w:cs="Arial" w:eastAsia="Arial" w:hAnsi="Arial"/>
          <w:sz w:val="16"/>
          <w:szCs w:val="16"/>
          <w:color w:val="auto"/>
        </w:rPr>
      </w:pPr>
    </w:p>
    <w:p>
      <w:pPr>
        <w:ind w:left="1760" w:hanging="268"/>
        <w:spacing w:after="0"/>
        <w:tabs>
          <w:tab w:leader="none" w:pos="17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liquidation or dissolution of the Corporation and any amendment to the charter of the Corporation to effect any such liquidation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dissolution;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17" w:name="page118"/>
    <w:bookmarkEnd w:id="117"/>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(iii) Any amendment to Section 4.1, Section 4.2, Section 4.9, Section 6.1 or this Section 6.2;</w:t>
      </w:r>
    </w:p>
    <w:p>
      <w:pPr>
        <w:spacing w:after="0" w:line="17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Continuing Directors (as defined herein), by a vote of at least two-thirds of such Continuing Directors, in addition to approval by the Board of Directors, approve such proposal or amendment, the affirmative vote of the holders of a majority of the votes entitled to be cast shall be required to approve such matter.</w:t>
      </w:r>
    </w:p>
    <w:p>
      <w:pPr>
        <w:spacing w:after="0" w:line="140" w:lineRule="exact"/>
        <w:rPr>
          <w:sz w:val="20"/>
          <w:szCs w:val="20"/>
          <w:color w:val="auto"/>
        </w:rPr>
      </w:pPr>
    </w:p>
    <w:p>
      <w:pPr>
        <w:ind w:right="40" w:firstLine="921"/>
        <w:spacing w:after="0" w:line="255" w:lineRule="auto"/>
        <w:tabs>
          <w:tab w:leader="none" w:pos="116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Continuing Directors</w:t>
      </w:r>
      <w:r>
        <w:rPr>
          <w:rFonts w:ascii="Arial" w:cs="Arial" w:eastAsia="Arial" w:hAnsi="Arial"/>
          <w:sz w:val="18"/>
          <w:szCs w:val="18"/>
          <w:color w:val="auto"/>
        </w:rPr>
        <w:t>. “Continuing Directors” means (i) the directors identified in Section 4.1, (ii) the directors whose nomination for election by the stockholders or whose election by the directors to fill vacancies is approved by a majority of the directors identified in Section 4.1, who are on the Board of Directors at the time of the nomination or election , as applicable, or (iii) any successor directors whose nomination for election by the stockholders or whose election by the directors to fill vacancies is approved by a majority of the Continuing Directors or successor Continuing Directors, who are on the Board of Directors at the time of the nomination or election, as applicable.</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LIMITATION OF LIABILITY; INDEMNIFICATION AND ADVANCE OF EXPENSES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To the maximum extent that Maryland law in effect from time to time permits limitation of the liability of directors and officers of a corporation, no present or former director or officer of the Corporation shall be liable to the Corporation or its stockholders for money damages.</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Indemnification and Advance of Expenses</w:t>
      </w:r>
      <w:r>
        <w:rPr>
          <w:rFonts w:ascii="Arial" w:cs="Arial" w:eastAsia="Arial" w:hAnsi="Arial"/>
          <w:sz w:val="16"/>
          <w:szCs w:val="16"/>
          <w:color w:val="auto"/>
        </w:rPr>
        <w:t>. The Corporation shall have the power, to the maximum extent permitted by Maryland law in effect from time to time, to obligate itself to indemnify, and to pay or reimburse reasonable expenses in advance of final disposition of a proceeding to, (a) any individual who is a present or former director or officer of the Corporation or (b) any individual who, while a director or officer of the Corporation and at the request of the Corporation, serves or has served as a director, officer, partner or trustee of another corporation, real estate investment trust, partnership, joint venture, trust, employee benefit plan or any other enterprise from and against any claim or liability to which such person may become subject or which such person may incur by reason of his status as a present or former director or officer of the Corporation. The Corporation shall have the power, with the approval of the Board of Directors, to provide such indemnification and advancement of expenses to a person who served a predecessor of the Corporation in any of the capacities described in (a) or (b) above and to any employee or agent of the Corporation or a predecessor of the Corporation.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1940 Act</w:t>
      </w:r>
      <w:r>
        <w:rPr>
          <w:rFonts w:ascii="Arial" w:cs="Arial" w:eastAsia="Arial" w:hAnsi="Arial"/>
          <w:sz w:val="18"/>
          <w:szCs w:val="18"/>
          <w:color w:val="auto"/>
        </w:rPr>
        <w:t>. The provisions of this Article VII shall be subject to the limitations of the 1940 Act.</w:t>
      </w:r>
    </w:p>
    <w:p>
      <w:pPr>
        <w:spacing w:after="0" w:line="17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Amendment or Repeal</w:t>
      </w:r>
      <w:r>
        <w:rPr>
          <w:rFonts w:ascii="Arial" w:cs="Arial" w:eastAsia="Arial" w:hAnsi="Arial"/>
          <w:sz w:val="16"/>
          <w:szCs w:val="16"/>
          <w:color w:val="auto"/>
        </w:rPr>
        <w:t>. Neither the amendment nor repeal of this Article VII, nor the adoption or amendment of any other provision of the charter or bylaws inconsistent with this Article VII, shall apply to or affect in any respect the applicability of the preceding this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15"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 with respect to any act or failure to act which occurred prior to such amendment, repeal or adoption.</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The amendment to and restatement of the charter as hereinabove set forth have been duly advised by the Board of Directors and approved by the stockholders of the Corporation as required by law.</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The current address of the principal office of the Corporation is as set forth in Article III of the foregoing amendment and restatement of the charter.</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The name and address of the Corporation’s current resident agent is as set forth in Article III of the foregoing amendment and restatement of the charter.</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The number of directors of the Corporation and the names of those currently in office are as set forth in Article IV of the foregoing amendment and restatement of the charter.</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The total number of shares of stock which the Corporation had authority to issue immediately prior to this amendment and restatement was 1,000,000, consisting of 1,000,000 shares of Common Stock, $.001 par value per share. The aggregate par value of all shares of stock having par value was $1,000.</w:t>
      </w:r>
    </w:p>
    <w:p>
      <w:pPr>
        <w:spacing w:after="0" w:line="14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u w:val="single" w:color="auto"/>
          <w:color w:val="auto"/>
        </w:rPr>
        <w:t>EIGHTH</w:t>
      </w:r>
      <w:r>
        <w:rPr>
          <w:rFonts w:ascii="Arial" w:cs="Arial" w:eastAsia="Arial" w:hAnsi="Arial"/>
          <w:sz w:val="15"/>
          <w:szCs w:val="15"/>
          <w:color w:val="auto"/>
        </w:rPr>
        <w:t>: The total number of shares of stock which the Corporation has authority to issue pursuant to the foregoing amendment and restatement of the charter is 100 million shares of Common Stock, $.001 par value per share. The aggregate par value of all authorized shares of stock having par value is $100,000.</w:t>
      </w:r>
    </w:p>
    <w:p>
      <w:pPr>
        <w:spacing w:after="0" w:line="6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u w:val="single" w:color="auto"/>
          <w:color w:val="auto"/>
        </w:rPr>
        <w:t>NINTH</w:t>
      </w:r>
      <w:r>
        <w:rPr>
          <w:rFonts w:ascii="Arial" w:cs="Arial" w:eastAsia="Arial" w:hAnsi="Arial"/>
          <w:sz w:val="16"/>
          <w:szCs w:val="16"/>
          <w:color w:val="auto"/>
        </w:rPr>
        <w:t>: The undersigned Chief Executive Officer acknowledges these Articles of Amendment and Restatement to be the corporate act of the Corporation and, as to all matters or facts required to be verified under oath, the undersigned Chief Executive Officer acknowledges that, to the best of his knowledge, information and belief, these matters and facts are true in all material respects and that this statement is made under the penalties for perjury.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119" w:name="page120"/>
    <w:bookmarkEnd w:id="11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Corporation has caused these Articles of Amendment and Restatement to be signed in its name and on its behalf by its Chief Executive Officer and attested to by its Secretary on this 21</w:t>
      </w:r>
      <w:r>
        <w:rPr>
          <w:rFonts w:ascii="Arial" w:cs="Arial" w:eastAsia="Arial" w:hAnsi="Arial"/>
          <w:sz w:val="11"/>
          <w:szCs w:val="11"/>
          <w:color w:val="auto"/>
        </w:rPr>
        <w:t>st</w:t>
      </w:r>
      <w:r>
        <w:rPr>
          <w:rFonts w:ascii="Arial" w:cs="Arial" w:eastAsia="Arial" w:hAnsi="Arial"/>
          <w:sz w:val="18"/>
          <w:szCs w:val="18"/>
          <w:color w:val="auto"/>
        </w:rPr>
        <w:t xml:space="preserve"> day of March, 2011.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ATTEST:</w:t>
            </w:r>
          </w:p>
        </w:tc>
        <w:tc>
          <w:tcPr>
            <w:tcW w:w="5260" w:type="dxa"/>
            <w:vAlign w:val="bottom"/>
            <w:gridSpan w:val="2"/>
          </w:tcPr>
          <w:p>
            <w:pPr>
              <w:ind w:left="820"/>
              <w:spacing w:after="0"/>
              <w:rPr>
                <w:sz w:val="20"/>
                <w:szCs w:val="20"/>
                <w:color w:val="auto"/>
              </w:rPr>
            </w:pPr>
            <w:r>
              <w:rPr>
                <w:rFonts w:ascii="Arial" w:cs="Arial" w:eastAsia="Arial" w:hAnsi="Arial"/>
                <w:sz w:val="18"/>
                <w:szCs w:val="18"/>
                <w:color w:val="auto"/>
                <w:w w:val="97"/>
              </w:rPr>
              <w:t>PENNANTPARK SENIOR FLOATING RATE FUND INC.</w:t>
            </w:r>
          </w:p>
        </w:tc>
        <w:tc>
          <w:tcPr>
            <w:tcW w:w="680" w:type="dxa"/>
            <w:vAlign w:val="bottom"/>
          </w:tcPr>
          <w:p>
            <w:pPr>
              <w:spacing w:after="0"/>
              <w:rPr>
                <w:sz w:val="19"/>
                <w:szCs w:val="19"/>
                <w:color w:val="auto"/>
              </w:rPr>
            </w:pPr>
          </w:p>
        </w:tc>
      </w:tr>
      <w:tr>
        <w:trPr>
          <w:trHeight w:val="434"/>
        </w:trPr>
        <w:tc>
          <w:tcPr>
            <w:tcW w:w="4580" w:type="dxa"/>
            <w:vAlign w:val="bottom"/>
          </w:tcPr>
          <w:p>
            <w:pPr>
              <w:spacing w:after="0"/>
              <w:rPr>
                <w:sz w:val="20"/>
                <w:szCs w:val="20"/>
                <w:color w:val="auto"/>
              </w:rPr>
            </w:pPr>
            <w:r>
              <w:rPr>
                <w:rFonts w:ascii="Arial" w:cs="Arial" w:eastAsia="Arial" w:hAnsi="Arial"/>
                <w:sz w:val="18"/>
                <w:szCs w:val="18"/>
                <w:color w:val="auto"/>
              </w:rPr>
              <w:t>/s/ Thomas J. Friedmann</w:t>
            </w:r>
          </w:p>
        </w:tc>
        <w:tc>
          <w:tcPr>
            <w:tcW w:w="5260" w:type="dxa"/>
            <w:vAlign w:val="bottom"/>
            <w:gridSpan w:val="2"/>
          </w:tcPr>
          <w:p>
            <w:pPr>
              <w:ind w:left="820"/>
              <w:spacing w:after="0"/>
              <w:rPr>
                <w:sz w:val="20"/>
                <w:szCs w:val="20"/>
                <w:color w:val="auto"/>
              </w:rPr>
            </w:pPr>
            <w:r>
              <w:rPr>
                <w:rFonts w:ascii="Arial" w:cs="Arial" w:eastAsia="Arial" w:hAnsi="Arial"/>
                <w:sz w:val="18"/>
                <w:szCs w:val="18"/>
                <w:color w:val="auto"/>
              </w:rPr>
              <w:t>/s/ Arthur H. Penn</w:t>
            </w:r>
          </w:p>
        </w:tc>
        <w:tc>
          <w:tcPr>
            <w:tcW w:w="680" w:type="dxa"/>
            <w:vAlign w:val="bottom"/>
          </w:tcPr>
          <w:p>
            <w:pPr>
              <w:ind w:left="120"/>
              <w:spacing w:after="0"/>
              <w:rPr>
                <w:sz w:val="20"/>
                <w:szCs w:val="20"/>
                <w:color w:val="auto"/>
              </w:rPr>
            </w:pPr>
            <w:r>
              <w:rPr>
                <w:rFonts w:ascii="Arial" w:cs="Arial" w:eastAsia="Arial" w:hAnsi="Arial"/>
                <w:sz w:val="18"/>
                <w:szCs w:val="18"/>
                <w:color w:val="auto"/>
                <w:w w:val="92"/>
              </w:rPr>
              <w:t>(SEAL)</w:t>
            </w:r>
          </w:p>
        </w:tc>
      </w:tr>
      <w:tr>
        <w:trPr>
          <w:trHeight w:val="20"/>
        </w:trPr>
        <w:tc>
          <w:tcPr>
            <w:tcW w:w="4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Thomas J. Friedmann</w:t>
            </w:r>
          </w:p>
        </w:tc>
        <w:tc>
          <w:tcPr>
            <w:tcW w:w="5260" w:type="dxa"/>
            <w:vAlign w:val="bottom"/>
            <w:gridSpan w:val="2"/>
          </w:tcPr>
          <w:p>
            <w:pPr>
              <w:ind w:left="820"/>
              <w:spacing w:after="0"/>
              <w:rPr>
                <w:sz w:val="20"/>
                <w:szCs w:val="20"/>
                <w:color w:val="auto"/>
              </w:rPr>
            </w:pPr>
            <w:r>
              <w:rPr>
                <w:rFonts w:ascii="Arial" w:cs="Arial" w:eastAsia="Arial" w:hAnsi="Arial"/>
                <w:sz w:val="18"/>
                <w:szCs w:val="18"/>
                <w:color w:val="auto"/>
              </w:rPr>
              <w:t>Arthur H. Penn</w:t>
            </w:r>
          </w:p>
        </w:tc>
        <w:tc>
          <w:tcPr>
            <w:tcW w:w="680" w:type="dxa"/>
            <w:vAlign w:val="bottom"/>
          </w:tcPr>
          <w:p>
            <w:pPr>
              <w:spacing w:after="0"/>
              <w:rPr>
                <w:sz w:val="18"/>
                <w:szCs w:val="18"/>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Secretary</w:t>
            </w:r>
          </w:p>
        </w:tc>
        <w:tc>
          <w:tcPr>
            <w:tcW w:w="5260" w:type="dxa"/>
            <w:vAlign w:val="bottom"/>
            <w:gridSpan w:val="2"/>
          </w:tcPr>
          <w:p>
            <w:pPr>
              <w:ind w:left="820"/>
              <w:spacing w:after="0"/>
              <w:rPr>
                <w:sz w:val="20"/>
                <w:szCs w:val="20"/>
                <w:color w:val="auto"/>
              </w:rPr>
            </w:pPr>
            <w:r>
              <w:rPr>
                <w:rFonts w:ascii="Arial" w:cs="Arial" w:eastAsia="Arial" w:hAnsi="Arial"/>
                <w:sz w:val="18"/>
                <w:szCs w:val="18"/>
                <w:color w:val="auto"/>
              </w:rPr>
              <w:t>Chief Executive Officer</w:t>
            </w:r>
          </w:p>
        </w:tc>
        <w:tc>
          <w:tcPr>
            <w:tcW w:w="68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PENNANTPARK FLOATING RATE CAPITAL LTD.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177"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Corporation in the State of Maryland shall be located at such place as the Board of Directors may designate.</w:t>
      </w:r>
    </w:p>
    <w:p>
      <w:pPr>
        <w:spacing w:after="0" w:line="132"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ADDITIONAL OFFICES</w:t>
      </w:r>
      <w:r>
        <w:rPr>
          <w:rFonts w:ascii="Arial" w:cs="Arial" w:eastAsia="Arial" w:hAnsi="Arial"/>
          <w:sz w:val="18"/>
          <w:szCs w:val="18"/>
          <w:color w:val="auto"/>
        </w:rPr>
        <w:t>. The Corporation may have additional offices, including a principal executive office, at such places as the Board of Directors may from time to time determine or the business of the Corporation may require.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177"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PLACE</w:t>
      </w:r>
      <w:r>
        <w:rPr>
          <w:rFonts w:ascii="Arial" w:cs="Arial" w:eastAsia="Arial" w:hAnsi="Arial"/>
          <w:sz w:val="18"/>
          <w:szCs w:val="18"/>
          <w:color w:val="auto"/>
        </w:rPr>
        <w:t>. All meetings of stockholders shall be held at the principal executive office of the Corporation or at such other place as shall be set by the Board of Directors and stated in the notice of the meeting.</w:t>
      </w:r>
    </w:p>
    <w:p>
      <w:pPr>
        <w:spacing w:after="0" w:line="13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w:t>
      </w:r>
      <w:r>
        <w:rPr>
          <w:rFonts w:ascii="Arial" w:cs="Arial" w:eastAsia="Arial" w:hAnsi="Arial"/>
          <w:sz w:val="18"/>
          <w:szCs w:val="18"/>
          <w:color w:val="auto"/>
        </w:rPr>
        <w:t>. An annual meeting of the stockholders for the election of directors and the transaction of any business within the powers of the Corporation shall be held on a date and at the time set by the Board of Directors.</w:t>
      </w:r>
    </w:p>
    <w:p>
      <w:pPr>
        <w:spacing w:after="0" w:line="13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SPECIAL MEETINGS</w:t>
      </w:r>
      <w:r>
        <w:rPr>
          <w:rFonts w:ascii="Arial" w:cs="Arial" w:eastAsia="Arial" w:hAnsi="Arial"/>
          <w:sz w:val="16"/>
          <w:szCs w:val="16"/>
          <w:color w:val="auto"/>
        </w:rPr>
        <w:t>. The chairman of the board, president, chief executive officer or Board of Directors may call a special meeting of the stockholders. A special meeting of stockholders shall also be called by the secretary of the Corporation upon the written request of stockholders entitled to cast not less than a majority of all the votes entitled to be cast at such meeting. Such request shall state the purpose of such meeting and the matters proposed to be acted on at such meeting. The secretary shall inform such stockholders of the reasonably estimated cost of preparing and mailing notice of the meeting and, upon payment to the Corporation by such stockholders of such costs, the secretary shall give notice to each stockholder entitled to notice of the meeting.</w:t>
      </w:r>
    </w:p>
    <w:p>
      <w:pPr>
        <w:spacing w:after="0" w:line="116" w:lineRule="exact"/>
        <w:rPr>
          <w:sz w:val="20"/>
          <w:szCs w:val="20"/>
          <w:color w:val="auto"/>
        </w:rPr>
      </w:pPr>
    </w:p>
    <w:p>
      <w:pPr>
        <w:jc w:val="both"/>
        <w:ind w:right="180" w:firstLine="913"/>
        <w:spacing w:after="0" w:line="294"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NOTICE</w:t>
      </w:r>
      <w:r>
        <w:rPr>
          <w:rFonts w:ascii="Arial" w:cs="Arial" w:eastAsia="Arial" w:hAnsi="Arial"/>
          <w:sz w:val="16"/>
          <w:szCs w:val="16"/>
          <w:color w:val="auto"/>
        </w:rPr>
        <w:t>. Not less than 10 days nor more than 90 days before each meeting of stockholders, the secretary shall give to each stockholder entitled to vote at such meeting and to each stockholder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by presenting it to such stockholder personally, by leaving it at the stockholder’s residence or usual place of business or by any other means permitted by Maryland law. If mailed, such notice shall be deemed to be given when deposited in the United States mail</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addressed to the stockholder at the stockholder’s address as it appears on the records of the Corporation, with postage thereon prepaid.</w:t>
      </w:r>
    </w:p>
    <w:p>
      <w:pPr>
        <w:spacing w:after="0" w:line="171"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w:t>
      </w:r>
    </w:p>
    <w:p>
      <w:pPr>
        <w:spacing w:after="0" w:line="140" w:lineRule="exact"/>
        <w:rPr>
          <w:sz w:val="20"/>
          <w:szCs w:val="20"/>
          <w:color w:val="auto"/>
        </w:rPr>
      </w:pPr>
    </w:p>
    <w:p>
      <w:pPr>
        <w:ind w:firstLine="913"/>
        <w:spacing w:after="0" w:line="301"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ORGANIZATION AND CONDUCT</w:t>
      </w:r>
      <w:r>
        <w:rPr>
          <w:rFonts w:ascii="Arial" w:cs="Arial" w:eastAsia="Arial" w:hAnsi="Arial"/>
          <w:sz w:val="15"/>
          <w:szCs w:val="15"/>
          <w:color w:val="auto"/>
        </w:rPr>
        <w:t>. Every meeting of stockholders shall be conducted by an individual appointed by the Board of Directors to be chairman of the meeting or, in the absence of such appointment, by the chairman of the Board of Directors or, in the case of a vacancy in the office or absence of the chairman of the board, by one of the following officers present at the meeting: the vice chairman of the board, if there be one, the president, the vice presidents in their order of rank and seniority, or, in the absence of such officers, a chairman chosen by the stockholders by the vote of a majority of the votes cast by stockholders present in person or by proxy. The secretary, or, in the secretary’s absence, an assistant secretary, or in the absence of both the secretary and assistant secretaries, a person appointed by the Board of Directors or, in the absence of such appointment, a person appointed by the chairman of the meeting shall act as secretary. In the event that the secretary presides at a meeting of the stockholders, an assistant secretary, or in the absence of assistant secretaries, an 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such chairman, are appropriate for the proper conduct of the meeting, including, without limitation, (a) restricting admission to the time set for the commencement of the meeting; (b) limiting attendance at the meeting to stockholders of record of the Corporation, their duly authorized proxies and other such individuals as the chairman of the meeting may determine; (c) limiting participation at the meeting on any matter to stockholders of record of the Corporation entitled to vote on such matter, their duly authorized proxies and other such individuals as the chairman of the meeting may determine; (d) limiting the time allotted to questions or comments by participants; (e) maintaining order and security at the meeting;</w:t>
      </w:r>
    </w:p>
    <w:p>
      <w:pPr>
        <w:spacing w:after="0" w:line="3" w:lineRule="exact"/>
        <w:rPr>
          <w:sz w:val="20"/>
          <w:szCs w:val="20"/>
          <w:color w:val="auto"/>
        </w:rPr>
      </w:pPr>
    </w:p>
    <w:p>
      <w:pPr>
        <w:ind w:right="180" w:firstLine="8"/>
        <w:spacing w:after="0" w:line="302" w:lineRule="auto"/>
        <w:tabs>
          <w:tab w:leader="none" w:pos="219"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removing any stockholder or any other individual who refuses to comply with meeting procedures, rules or guidelines as set forth by the chairman of the meeting; and (g) recessing or adjourning the meeting to a later date and time and place announced at the meeting. Unless otherwise determined by the chairman of the meeting, meetings of stockholders shall not be required to be held in accordance with the rules of parliamentary procedure.</w:t>
      </w:r>
    </w:p>
    <w:p>
      <w:pPr>
        <w:spacing w:after="0" w:line="109"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QUORUM</w:t>
      </w:r>
      <w:r>
        <w:rPr>
          <w:rFonts w:ascii="Arial" w:cs="Arial" w:eastAsia="Arial" w:hAnsi="Arial"/>
          <w:sz w:val="16"/>
          <w:szCs w:val="16"/>
          <w:color w:val="auto"/>
        </w:rPr>
        <w:t>. At any meeting of stockholders, the presence in person or by proxy of stockholders entitled to cast a majority of all the votes entitled to be cast at such meeting shall constitute a quorum; but this section shall not affect any requirement under any statute or the charter of the Corporation for the vote necessary for the adoption of any measure. If, however, such quorum shall not be present at any meeting of the stockholders, the chairman of the meeting or the stockholders entitled to vote at such meeting, present in person or by proxy, shall have the power to adjourn the meeting from time to time to a date not more than 120 days after the original record date without notice other than announcement at the meeting.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80" w:right="239" w:bottom="1440" w:gutter="0" w:footer="0" w:header="0"/>
        </w:sectPr>
      </w:pPr>
    </w:p>
    <w:bookmarkStart w:id="122" w:name="page123"/>
    <w:bookmarkEnd w:id="122"/>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such adjourned meeting at which a quorum shall be present, any business may be transacted which might have been transacted at the meeting as originally notified.</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The stockholders present either in person or by proxy, at a meeting which has been duly called and convened, may continue to transact business until adjournment, notwithstanding the withdrawal of enough stockholders to leave less than a quorum.</w:t>
      </w:r>
    </w:p>
    <w:p>
      <w:pPr>
        <w:spacing w:after="0" w:line="132" w:lineRule="exact"/>
        <w:rPr>
          <w:sz w:val="20"/>
          <w:szCs w:val="20"/>
          <w:color w:val="auto"/>
        </w:rPr>
      </w:pPr>
    </w:p>
    <w:p>
      <w:pPr>
        <w:ind w:right="160" w:firstLine="913"/>
        <w:spacing w:after="0" w:line="318"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u w:val="single" w:color="auto"/>
          <w:color w:val="auto"/>
        </w:rPr>
        <w:t>VOTING</w:t>
      </w:r>
      <w:r>
        <w:rPr>
          <w:rFonts w:ascii="Arial" w:cs="Arial" w:eastAsia="Arial" w:hAnsi="Arial"/>
          <w:sz w:val="15"/>
          <w:szCs w:val="15"/>
          <w:color w:val="auto"/>
        </w:rPr>
        <w:t>. A plurality of all the votes cast at a meeting of stockholders duly called and at which a quorum is present shall be sufficient to elect a director. Each share may be voted for as many individuals as there are directors to be elected and for whose election the share is entitled to be voted. A majority of the votes cast at a meeting of stockholders duly called and at which a quorum is present shall be sufficient to approve any other matter which may properly come before the meeting, unless more than a majority of the votes cast is required by statute or by the charter of the Corporation. Unless otherwise provided in the charter, each outstanding share, regardless of class, shall be entitled to one vote on each matter submitted to a vote at a meeting of stockholders.</w:t>
      </w:r>
    </w:p>
    <w:p>
      <w:pPr>
        <w:spacing w:after="0" w:line="100" w:lineRule="exact"/>
        <w:rPr>
          <w:sz w:val="20"/>
          <w:szCs w:val="20"/>
          <w:color w:val="auto"/>
        </w:rPr>
      </w:pPr>
    </w:p>
    <w:p>
      <w:pPr>
        <w:jc w:val="both"/>
        <w:ind w:right="20" w:firstLine="913"/>
        <w:spacing w:after="0" w:line="25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PROXIES</w:t>
      </w:r>
      <w:r>
        <w:rPr>
          <w:rFonts w:ascii="Arial" w:cs="Arial" w:eastAsia="Arial" w:hAnsi="Arial"/>
          <w:sz w:val="18"/>
          <w:szCs w:val="18"/>
          <w:color w:val="auto"/>
        </w:rPr>
        <w:t>. A stockholder may cast the votes entitled to be cast by the shares of stock owned of record by the stockholder in person or by proxy executed by the stockholder or by the stockholder’s duly authorized agent in any manner permitted by law. Such proxy or evidence of authorization of such proxy shall be filed with the secretary of the Corporation before or at the meeting. No proxy shall be valid more than eleven months after its date unless otherwise provided in the proxy.</w:t>
      </w:r>
    </w:p>
    <w:p>
      <w:pPr>
        <w:spacing w:after="0" w:line="143" w:lineRule="exact"/>
        <w:rPr>
          <w:sz w:val="20"/>
          <w:szCs w:val="20"/>
          <w:color w:val="auto"/>
        </w:rPr>
      </w:pPr>
    </w:p>
    <w:p>
      <w:pPr>
        <w:ind w:right="40" w:firstLine="913"/>
        <w:spacing w:after="0" w:line="318"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VOTING OF STOCK BY CERTAIN HOLDERS</w:t>
      </w:r>
      <w:r>
        <w:rPr>
          <w:rFonts w:ascii="Arial" w:cs="Arial" w:eastAsia="Arial" w:hAnsi="Arial"/>
          <w:sz w:val="15"/>
          <w:szCs w:val="15"/>
          <w:color w:val="auto"/>
        </w:rPr>
        <w:t>. Stock of the Corporation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director or other fiduciary may vote stock registered in his or her name as such fiduciary, either in person or by proxy.</w:t>
      </w:r>
    </w:p>
    <w:p>
      <w:pPr>
        <w:spacing w:after="0" w:line="100"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4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 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80" w:right="239" w:bottom="1440" w:gutter="0" w:footer="0" w:header="0"/>
        </w:sectPr>
      </w:pPr>
    </w:p>
    <w:bookmarkStart w:id="123" w:name="page124"/>
    <w:bookmarkEnd w:id="123"/>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14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INSPECTORS</w:t>
      </w:r>
      <w:r>
        <w:rPr>
          <w:rFonts w:ascii="Arial" w:cs="Arial" w:eastAsia="Arial" w:hAnsi="Arial"/>
          <w:sz w:val="16"/>
          <w:szCs w:val="16"/>
          <w:color w:val="auto"/>
        </w:rPr>
        <w:t xml:space="preserve">. The Board of Directors, in advance of any meeting, may, but need not, appoint one or more individual inspectors or one or more entities that designate individuals as inspectors to act at the meeting or any adjournment thereof. If an inspector or inspectors are not appointed, the person presiding at the meeting may, but need not, appoint one or more inspectors. In case any person who may be appointed as an inspector fails to appear or act, the vacancy may be filled by appointment made by the Board of Directors in advance of the meeting or at the meeting by the chairman of the meeting. The inspectors, if any, shall determine the number of shares outstanding and the voting power of each, the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thereof.</w:t>
      </w:r>
    </w:p>
    <w:p>
      <w:pPr>
        <w:spacing w:after="0" w:line="123"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VOTING BY BALLOT</w:t>
      </w:r>
      <w:r>
        <w:rPr>
          <w:rFonts w:ascii="Arial" w:cs="Arial" w:eastAsia="Arial" w:hAnsi="Arial"/>
          <w:sz w:val="18"/>
          <w:szCs w:val="18"/>
          <w:color w:val="auto"/>
        </w:rPr>
        <w:t xml:space="preserve">. Voting on any question or in any election may be </w:t>
      </w:r>
      <w:r>
        <w:rPr>
          <w:rFonts w:ascii="Arial" w:cs="Arial" w:eastAsia="Arial" w:hAnsi="Arial"/>
          <w:sz w:val="18"/>
          <w:szCs w:val="18"/>
          <w:u w:val="single" w:color="auto"/>
          <w:color w:val="auto"/>
        </w:rPr>
        <w:t>viva voce</w:t>
      </w:r>
      <w:r>
        <w:rPr>
          <w:rFonts w:ascii="Arial" w:cs="Arial" w:eastAsia="Arial" w:hAnsi="Arial"/>
          <w:sz w:val="18"/>
          <w:szCs w:val="18"/>
          <w:color w:val="auto"/>
        </w:rPr>
        <w:t xml:space="preserve"> unless the presiding officer shall order or any stockholder shall demand that voting be by ballot.</w:t>
      </w:r>
    </w:p>
    <w:p>
      <w:pPr>
        <w:spacing w:after="0" w:line="132"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EXEMPTION FROM CONTROL SHARE ACQUISITION ACT</w:t>
      </w:r>
      <w:r>
        <w:rPr>
          <w:rFonts w:ascii="Arial" w:cs="Arial" w:eastAsia="Arial" w:hAnsi="Arial"/>
          <w:sz w:val="16"/>
          <w:szCs w:val="16"/>
          <w:color w:val="auto"/>
        </w:rPr>
        <w:t>. Notwithstanding any other provision of these Bylaws, Subtitle 7 of Title 3 of the Maryland General Corporation Law, or any successor statute (the “MGCL”), shall not apply to any acquisition by any person of shares of stock of the Corporation.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177"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under the direction of its Board of Directors.</w:t>
      </w:r>
    </w:p>
    <w:p>
      <w:pPr>
        <w:spacing w:after="0" w:line="194"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TENURE AND QUALIFICATIONS</w:t>
      </w:r>
      <w:r>
        <w:rPr>
          <w:rFonts w:ascii="Arial" w:cs="Arial" w:eastAsia="Arial" w:hAnsi="Arial"/>
          <w:sz w:val="18"/>
          <w:szCs w:val="18"/>
          <w:color w:val="auto"/>
        </w:rPr>
        <w:t>. At any regular meeting or at any special meeting called for that purpose, a majority of the entire Board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80" w:right="259" w:bottom="1440" w:gutter="0" w:footer="0" w:header="0"/>
        </w:sectPr>
      </w:pPr>
    </w:p>
    <w:bookmarkStart w:id="124" w:name="page125"/>
    <w:bookmarkEnd w:id="124"/>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may establish, increase or decrease the number of directors, provided that the number thereof shall never be less than the minimum number required by the MGCL, nor more than 15, and further provided that the tenure of office of a director shall not be affected by any decrease in the number of directors.</w:t>
      </w:r>
    </w:p>
    <w:p>
      <w:pPr>
        <w:spacing w:after="0" w:line="8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ANNUAL AND REGULAR MEETINGS</w:t>
      </w:r>
      <w:r>
        <w:rPr>
          <w:rFonts w:ascii="Arial" w:cs="Arial" w:eastAsia="Arial" w:hAnsi="Arial"/>
          <w:sz w:val="16"/>
          <w:szCs w:val="16"/>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w:t>
      </w:r>
    </w:p>
    <w:p>
      <w:pPr>
        <w:spacing w:after="0" w:line="107"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called by or at the request of the chairman of the board, the chief executive officer, the president or by a majority of the directors then in office. The person or persons authorized to call special meetings of the Board of Directors may fix any place as the place for holding any special meeting of the Board of Directors called by them. The Board of Directors may provide, by resolution, the time and place for the holding of special meetings of the Board of Directors without other notice than such resolution.</w:t>
      </w:r>
    </w:p>
    <w:p>
      <w:pPr>
        <w:spacing w:after="0" w:line="113" w:lineRule="exact"/>
        <w:rPr>
          <w:sz w:val="20"/>
          <w:szCs w:val="20"/>
          <w:color w:val="auto"/>
        </w:rPr>
      </w:pPr>
    </w:p>
    <w:p>
      <w:pPr>
        <w:ind w:firstLine="913"/>
        <w:spacing w:after="0" w:line="308"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NOTICE</w:t>
      </w:r>
      <w:r>
        <w:rPr>
          <w:rFonts w:ascii="Arial" w:cs="Arial" w:eastAsia="Arial" w:hAnsi="Arial"/>
          <w:sz w:val="15"/>
          <w:szCs w:val="15"/>
          <w:color w:val="auto"/>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 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pacing w:after="0" w:line="109"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QUORUM</w:t>
      </w:r>
      <w:r>
        <w:rPr>
          <w:rFonts w:ascii="Arial" w:cs="Arial" w:eastAsia="Arial" w:hAnsi="Arial"/>
          <w:sz w:val="18"/>
          <w:szCs w:val="18"/>
          <w:color w:val="auto"/>
        </w:rPr>
        <w:t>. A majority of the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the charter of the Corporation or these Bylaws, the vote of a majority of a particular group of directors is required for action, a quorum must also include a majority of such group.</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60"/>
          </w:cols>
          <w:pgMar w:left="240" w:top="280" w:right="299" w:bottom="1440" w:gutter="0" w:footer="0" w:header="0"/>
        </w:sectPr>
      </w:pPr>
    </w:p>
    <w:bookmarkStart w:id="125" w:name="page126"/>
    <w:bookmarkEnd w:id="125"/>
    <w:p>
      <w:pPr>
        <w:ind w:right="2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directors present at a meeting which has been duly called and convened may continue to transact business until adjournment, notwithstanding the withdrawal of enough directors to leave less than a quorum.</w:t>
      </w:r>
    </w:p>
    <w:p>
      <w:pPr>
        <w:spacing w:after="0" w:line="13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The action of the majority of the directors present at a meeting at which a quorum is present shall be the action of the Board of Directors, unless the concurrence of a greater proportion is required for such action by applicable statute or the charter. If enough directors have withdrawn from a meeting to leave less than a quorum but the meeting is not adjourned, the action of the majority of that number of directors necessary to constitute a quorum at such meeting shall be the action of the Board of Directors, unless the concurrence of a greater proportion is required for such action by applicable statute or the charter.</w:t>
      </w:r>
    </w:p>
    <w:p>
      <w:pPr>
        <w:spacing w:after="0" w:line="143"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ORGANIZATION</w:t>
      </w:r>
      <w:r>
        <w:rPr>
          <w:rFonts w:ascii="Arial" w:cs="Arial" w:eastAsia="Arial" w:hAnsi="Arial"/>
          <w:sz w:val="18"/>
          <w:szCs w:val="18"/>
          <w:color w:val="auto"/>
        </w:rPr>
        <w:t>. At each meeting of the Board of Directors, the chairman of the board or, in the absence of the chairman, the vice chairman of the board, if any, shall act as chairman. In the absence of both the chairman and vice chairman of the board, the chief executive officer or in the absence of the chief executive officer, the president or in the absence of the president, a director chosen by a majority of the directors present, shall act as chairman. The secretary or, in his or her absence, an assistant secretary of the Corporation, or in the absence of the secretary and all assistant secretaries, a person appointed by the chairman, shall act as secretary of the meeting.</w:t>
      </w:r>
    </w:p>
    <w:p>
      <w:pPr>
        <w:spacing w:after="0" w:line="143"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TELEPHONE MEETINGS</w:t>
      </w:r>
      <w:r>
        <w:rPr>
          <w:rFonts w:ascii="Arial" w:cs="Arial" w:eastAsia="Arial" w:hAnsi="Arial"/>
          <w:sz w:val="18"/>
          <w:szCs w:val="18"/>
          <w:color w:val="auto"/>
        </w:rPr>
        <w:t>.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4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CONSENT BY DIRECTORS</w:t>
      </w:r>
      <w:r>
        <w:rPr>
          <w:rFonts w:ascii="Arial" w:cs="Arial" w:eastAsia="Arial" w:hAnsi="Arial"/>
          <w:sz w:val="18"/>
          <w:szCs w:val="18"/>
          <w:color w:val="auto"/>
        </w:rPr>
        <w:t>. Any action required or permitted to be taken at any meeting of the Board of Directors may be taken without a meeting, if a consent to such action is given in writing or by electronic transmission by each director and is filed with the minutes of proceedings of the Board of Directors.</w:t>
      </w:r>
    </w:p>
    <w:p>
      <w:pPr>
        <w:spacing w:after="0" w:line="140"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VACANCIES</w:t>
      </w:r>
      <w:r>
        <w:rPr>
          <w:rFonts w:ascii="Arial" w:cs="Arial" w:eastAsia="Arial" w:hAnsi="Arial"/>
          <w:sz w:val="16"/>
          <w:szCs w:val="16"/>
          <w:color w:val="auto"/>
        </w:rPr>
        <w:t>. If for any reason any or all the directors cease to be directors, such event shall not terminate the Corporation or affect these Bylaws or the powers of the remaining directors hereunder. Any vacancy on the Board of Directors for any cause other than an increase in the number of directors shall be filled by a majority of the remaining directors, even if such majority is less than a quorum. Any vacancy in the number of directors created by an increase in the number of directors may be filled by a majority vote of the entire Board of Directors. Any individual so elected as director shall serve until the next annual meeting of stockholders and until his or her successor is elected and qualifies.</w:t>
      </w:r>
    </w:p>
    <w:p>
      <w:pPr>
        <w:spacing w:after="0" w:line="116" w:lineRule="exact"/>
        <w:rPr>
          <w:sz w:val="20"/>
          <w:szCs w:val="20"/>
          <w:color w:val="auto"/>
        </w:rPr>
      </w:pPr>
    </w:p>
    <w:p>
      <w:pPr>
        <w:ind w:right="240" w:firstLine="913"/>
        <w:spacing w:after="0" w:line="306"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COMPENSATION</w:t>
      </w:r>
      <w:r>
        <w:rPr>
          <w:rFonts w:ascii="Arial" w:cs="Arial" w:eastAsia="Arial" w:hAnsi="Arial"/>
          <w:sz w:val="16"/>
          <w:szCs w:val="16"/>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80" w:right="239" w:bottom="1440" w:gutter="0" w:footer="0" w:header="0"/>
        </w:sectPr>
      </w:pPr>
    </w:p>
    <w:bookmarkStart w:id="126" w:name="page127"/>
    <w:bookmarkEnd w:id="126"/>
    <w:p>
      <w:pPr>
        <w:jc w:val="both"/>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regular or special meeting of the Board of Directors or of any committee thereof and for their expenses, if any, in connection with each property visit and any other service or activity they performed or engaged in as directors; but nothing herein contained shall be construed to preclude any directors from serving the Corporation in any other capacity and receiving compensation therefor.</w:t>
      </w:r>
    </w:p>
    <w:p>
      <w:pPr>
        <w:spacing w:after="0" w:line="140"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LOSS OF DEPOSITS</w:t>
      </w:r>
      <w:r>
        <w:rPr>
          <w:rFonts w:ascii="Arial" w:cs="Arial" w:eastAsia="Arial" w:hAnsi="Arial"/>
          <w:sz w:val="18"/>
          <w:szCs w:val="18"/>
          <w:color w:val="auto"/>
        </w:rPr>
        <w:t>. No director shall be liable for any loss which may occur by reason of the failure of the bank, trust company, savings and loan association, or other institution with whom moneys or stock have been deposited.</w:t>
      </w:r>
    </w:p>
    <w:p>
      <w:pPr>
        <w:spacing w:after="0" w:line="132" w:lineRule="exact"/>
        <w:rPr>
          <w:sz w:val="20"/>
          <w:szCs w:val="20"/>
          <w:color w:val="auto"/>
        </w:rPr>
      </w:pPr>
    </w:p>
    <w:p>
      <w:pPr>
        <w:ind w:right="920" w:firstLine="913"/>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SURETY BONDS</w:t>
      </w:r>
      <w:r>
        <w:rPr>
          <w:rFonts w:ascii="Arial" w:cs="Arial" w:eastAsia="Arial" w:hAnsi="Arial"/>
          <w:sz w:val="18"/>
          <w:szCs w:val="18"/>
          <w:color w:val="auto"/>
        </w:rPr>
        <w:t>. Unless required by law, no director shall be obligated to give any bond or surety or other security for the performance of any of his or her duties.</w:t>
      </w:r>
    </w:p>
    <w:p>
      <w:pPr>
        <w:spacing w:after="0" w:line="132" w:lineRule="exact"/>
        <w:rPr>
          <w:sz w:val="20"/>
          <w:szCs w:val="20"/>
          <w:color w:val="auto"/>
        </w:rPr>
      </w:pPr>
    </w:p>
    <w:p>
      <w:pPr>
        <w:jc w:val="both"/>
        <w:ind w:right="80" w:firstLine="913"/>
        <w:spacing w:after="0" w:line="323" w:lineRule="auto"/>
        <w:rPr>
          <w:sz w:val="20"/>
          <w:szCs w:val="20"/>
          <w:color w:val="auto"/>
        </w:rPr>
      </w:pPr>
      <w:r>
        <w:rPr>
          <w:rFonts w:ascii="Arial" w:cs="Arial" w:eastAsia="Arial" w:hAnsi="Arial"/>
          <w:sz w:val="15"/>
          <w:szCs w:val="15"/>
          <w:color w:val="auto"/>
        </w:rPr>
        <w:t xml:space="preserve">Section 15. </w:t>
      </w:r>
      <w:r>
        <w:rPr>
          <w:rFonts w:ascii="Arial" w:cs="Arial" w:eastAsia="Arial" w:hAnsi="Arial"/>
          <w:sz w:val="15"/>
          <w:szCs w:val="15"/>
          <w:u w:val="single" w:color="auto"/>
          <w:color w:val="auto"/>
        </w:rPr>
        <w:t>RELIANCE</w:t>
      </w:r>
      <w:r>
        <w:rPr>
          <w:rFonts w:ascii="Arial" w:cs="Arial" w:eastAsia="Arial" w:hAnsi="Arial"/>
          <w:sz w:val="15"/>
          <w:szCs w:val="15"/>
          <w:color w:val="auto"/>
        </w:rPr>
        <w:t>. Each director, officer, employee and agent of the Corporation shall, in the 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98"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Board of Directors shall designate a chairman of the board, who shall not, solely by reason of such designation, be an officer of the Corporation. The chairman of the board shall preside over the meetings of the Board of Directors and of the stockholders at which he shall be present. The chairman of the board shall perform such other duties as may be assigned to him or her by the Board of Directors.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w:t>
      </w:r>
    </w:p>
    <w:p>
      <w:pPr>
        <w:spacing w:after="0" w:line="177"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The Board of Directors may appoint from among its members an Executive Committee, an Audit Committee, a Compensation Committee and other committees, composed of one or more directors, to serve at the pleasure of the Board of Directors.</w:t>
      </w:r>
    </w:p>
    <w:p>
      <w:pPr>
        <w:spacing w:after="0" w:line="8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POWERS</w:t>
      </w:r>
      <w:r>
        <w:rPr>
          <w:rFonts w:ascii="Arial" w:cs="Arial" w:eastAsia="Arial" w:hAnsi="Arial"/>
          <w:sz w:val="18"/>
          <w:szCs w:val="18"/>
          <w:color w:val="auto"/>
        </w:rPr>
        <w:t>. The Board of Directors may delegate to committees appointed under Section 1 of this Article any of the powers of the Board of Directors, except as prohibited by law.</w:t>
      </w:r>
    </w:p>
    <w:p>
      <w:pPr>
        <w:spacing w:after="0" w:line="13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MEETINGS</w:t>
      </w:r>
      <w:r>
        <w:rPr>
          <w:rFonts w:ascii="Arial" w:cs="Arial" w:eastAsia="Arial" w:hAnsi="Arial"/>
          <w:sz w:val="18"/>
          <w:szCs w:val="18"/>
          <w:color w:val="auto"/>
        </w:rPr>
        <w:t>. Notice of committee meetings shall be given in the same manner as notice for special meetings of the Board of Directors. A majority of the members of the committee shall constitute a quorum for the transaction of business at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80" w:right="239" w:bottom="1440" w:gutter="0" w:footer="0" w:header="0"/>
        </w:sectPr>
      </w:pPr>
    </w:p>
    <w:bookmarkStart w:id="127" w:name="page128"/>
    <w:bookmarkEnd w:id="127"/>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 least 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43"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TELEPHONE MEETINGS</w:t>
      </w:r>
      <w:r>
        <w:rPr>
          <w:rFonts w:ascii="Arial" w:cs="Arial" w:eastAsia="Arial" w:hAnsi="Arial"/>
          <w:sz w:val="18"/>
          <w:szCs w:val="18"/>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CONSENT BY COMMITTEES</w:t>
      </w:r>
      <w:r>
        <w:rPr>
          <w:rFonts w:ascii="Arial" w:cs="Arial" w:eastAsia="Arial" w:hAnsi="Arial"/>
          <w:sz w:val="18"/>
          <w:szCs w:val="18"/>
          <w:color w:val="auto"/>
        </w:rPr>
        <w:t>. Any action required or permitted to be taken at any meeting of a committee of the Board of Directors may be taken without a meeting, if a consent to such action is given in writing or by electronic transmission by each member of the committee and such consent is filed with the minutes of proceedings of such committee.</w:t>
      </w:r>
    </w:p>
    <w:p>
      <w:pPr>
        <w:spacing w:after="0" w:line="140"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provisions hereof, the Board of Directors shall have the power at any time to change the membership of any committee, to fill all vacancies, to designate alternate members to replace any absent or disqualified member or to dissolve any such committee.</w:t>
      </w: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OFFICERS</w:t>
      </w:r>
    </w:p>
    <w:p>
      <w:pPr>
        <w:spacing w:after="0" w:line="177"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PROVISIONS</w:t>
      </w:r>
      <w:r>
        <w:rPr>
          <w:rFonts w:ascii="Arial" w:cs="Arial" w:eastAsia="Arial" w:hAnsi="Arial"/>
          <w:sz w:val="16"/>
          <w:szCs w:val="16"/>
          <w:color w:val="auto"/>
        </w:rPr>
        <w:t>. The officers of the Corporation shall include a president, a secretary and a treasurer and may include a chief executive officer, one or more vice presidents, a chief operating officer, a chief financial officer, one or more assistant secretaries and one or more assistant treasurers. In addition, the Board of Directors may from time to time elect such other officers with such powers and duties as they shall deem necessary or desirable. The officers of the Corporation shall be elected annually by the Board of Directors, except that the chief executive officer or president may from time to time appoint one or more vice presidents, assistant secretaries and assistant treasurers or other officers. Each officer shall hold office until his or her successor is elected and qualifies or until his or her death, or his or her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18"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REMOVAL AND RESIGNATION</w:t>
      </w:r>
      <w:r>
        <w:rPr>
          <w:rFonts w:ascii="Arial" w:cs="Arial" w:eastAsia="Arial" w:hAnsi="Arial"/>
          <w:sz w:val="18"/>
          <w:szCs w:val="18"/>
          <w:color w:val="auto"/>
        </w:rPr>
        <w:t>. Any officer or agent of the Corporation may be removed, with or without cause, by the Board of Directors if in its judgment the best interests of the Corporation would be served thereby, but such removal shall be without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280" w:right="239" w:bottom="1440" w:gutter="0" w:footer="0" w:header="0"/>
        </w:sectPr>
      </w:pPr>
    </w:p>
    <w:bookmarkStart w:id="128" w:name="page129"/>
    <w:bookmarkEnd w:id="128"/>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prejudice to the contract rights, if any, of the person so removed. Any officer of the Corporation may resign at any time by giving written notice of his or her resignation to the Board of Directors, the chairman of the board,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may be filled by the Board of Directors for the balance of the term.</w:t>
      </w:r>
    </w:p>
    <w:p>
      <w:pPr>
        <w:spacing w:after="0" w:line="17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Board of Directors may designate a chief executive officer. The chief executive officer shall have general responsibility for implementation of the policies of the Corporation, as determined by the Board of Directors, and for the management of the business and affairs of the Corporation.</w:t>
      </w:r>
    </w:p>
    <w:p>
      <w:pPr>
        <w:spacing w:after="0" w:line="140"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OPERATING OFFICER</w:t>
      </w:r>
      <w:r>
        <w:rPr>
          <w:rFonts w:ascii="Arial" w:cs="Arial" w:eastAsia="Arial" w:hAnsi="Arial"/>
          <w:sz w:val="18"/>
          <w:szCs w:val="18"/>
          <w:color w:val="auto"/>
        </w:rPr>
        <w:t>. The Board of Directors may designate a chief operating officer. The chief operating officer shall have the responsibilities and duties as set forth by the Board of Directors or the chief executive officer.</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Board of Directors may designate a chief financial officer. The chief financial officer shall have the responsibilities and duties as set forth by the Board of Directors or the chief executive officer.</w:t>
      </w:r>
    </w:p>
    <w:p>
      <w:pPr>
        <w:spacing w:after="0" w:line="132"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PRESIDENT</w:t>
      </w:r>
      <w:r>
        <w:rPr>
          <w:rFonts w:ascii="Arial" w:cs="Arial" w:eastAsia="Arial" w:hAnsi="Arial"/>
          <w:sz w:val="16"/>
          <w:szCs w:val="16"/>
          <w:color w:val="auto"/>
        </w:rPr>
        <w:t>. In the absence of a chief executive officer, the president shall in general supervise and control all of the business and affairs of the Corporation. In the absence of a designation of a chief operating officer by the Board of Directors, the president shall be the chief operating officer. 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16"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VICE PRESIDENTS</w:t>
      </w:r>
      <w:r>
        <w:rPr>
          <w:rFonts w:ascii="Arial" w:cs="Arial" w:eastAsia="Arial" w:hAnsi="Arial"/>
          <w:sz w:val="16"/>
          <w:szCs w:val="16"/>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as vice president for particular areas of responsibility.</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 keep the minutes of the proceedings of the stockholders, the Board of Directors and committees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Board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80" w:right="239" w:bottom="1440" w:gutter="0" w:footer="0" w:header="0"/>
        </w:sectPr>
      </w:pPr>
    </w:p>
    <w:bookmarkStart w:id="129" w:name="page130"/>
    <w:bookmarkEnd w:id="129"/>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113" w:lineRule="exact"/>
        <w:rPr>
          <w:sz w:val="20"/>
          <w:szCs w:val="20"/>
          <w:color w:val="auto"/>
        </w:rPr>
      </w:pPr>
    </w:p>
    <w:p>
      <w:pPr>
        <w:jc w:val="both"/>
        <w:ind w:right="20" w:firstLine="913"/>
        <w:spacing w:after="0" w:line="335" w:lineRule="auto"/>
        <w:rPr>
          <w:sz w:val="20"/>
          <w:szCs w:val="20"/>
          <w:color w:val="auto"/>
        </w:rPr>
      </w:pPr>
      <w:r>
        <w:rPr>
          <w:rFonts w:ascii="Arial" w:cs="Arial" w:eastAsia="Arial" w:hAnsi="Arial"/>
          <w:sz w:val="15"/>
          <w:szCs w:val="15"/>
          <w:color w:val="auto"/>
        </w:rPr>
        <w:t xml:space="preserve">Section 10. </w:t>
      </w:r>
      <w:r>
        <w:rPr>
          <w:rFonts w:ascii="Arial" w:cs="Arial" w:eastAsia="Arial" w:hAnsi="Arial"/>
          <w:sz w:val="15"/>
          <w:szCs w:val="15"/>
          <w:u w:val="single" w:color="auto"/>
          <w:color w:val="auto"/>
        </w:rPr>
        <w:t>TREASURER</w:t>
      </w:r>
      <w:r>
        <w:rPr>
          <w:rFonts w:ascii="Arial" w:cs="Arial" w:eastAsia="Arial" w:hAnsi="Arial"/>
          <w:sz w:val="15"/>
          <w:szCs w:val="15"/>
          <w:color w:val="auto"/>
        </w:rPr>
        <w:t>. The treasurer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pacing w:after="0" w:line="88" w:lineRule="exact"/>
        <w:rPr>
          <w:sz w:val="20"/>
          <w:szCs w:val="20"/>
          <w:color w:val="auto"/>
        </w:rPr>
      </w:pPr>
    </w:p>
    <w:p>
      <w:pPr>
        <w:ind w:right="500" w:firstLine="913"/>
        <w:spacing w:after="0" w:line="306" w:lineRule="auto"/>
        <w:rPr>
          <w:sz w:val="20"/>
          <w:szCs w:val="20"/>
          <w:color w:val="auto"/>
        </w:rPr>
      </w:pPr>
      <w:r>
        <w:rPr>
          <w:rFonts w:ascii="Arial" w:cs="Arial" w:eastAsia="Arial" w:hAnsi="Arial"/>
          <w:sz w:val="16"/>
          <w:szCs w:val="16"/>
          <w:color w:val="auto"/>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07"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14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SALARIES</w:t>
      </w:r>
      <w:r>
        <w:rPr>
          <w:rFonts w:ascii="Arial" w:cs="Arial" w:eastAsia="Arial" w:hAnsi="Arial"/>
          <w:sz w:val="18"/>
          <w:szCs w:val="18"/>
          <w:color w:val="auto"/>
        </w:rPr>
        <w:t>. The salaries and other compensation of the officers shall be fixed from time to time by the Board of Directors and no officer shall be prevented from receiving such salary or other compensation by reason of the fact that he is also a director.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CONTRACTS, LOANS, CHECKS AND DEPOSITS</w:t>
      </w:r>
    </w:p>
    <w:p>
      <w:pPr>
        <w:spacing w:after="0" w:line="177"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CONTRACTS</w:t>
      </w:r>
      <w:r>
        <w:rPr>
          <w:rFonts w:ascii="Arial" w:cs="Arial" w:eastAsia="Arial" w:hAnsi="Arial"/>
          <w:sz w:val="18"/>
          <w:szCs w:val="18"/>
          <w:color w:val="auto"/>
        </w:rPr>
        <w:t>. The Board of Directors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and executed by an authorized person.</w:t>
      </w:r>
    </w:p>
    <w:p>
      <w:pPr>
        <w:spacing w:after="0" w:line="143"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CHECKS AND DRAFTS</w:t>
      </w:r>
      <w:r>
        <w:rPr>
          <w:rFonts w:ascii="Arial" w:cs="Arial" w:eastAsia="Arial" w:hAnsi="Arial"/>
          <w:sz w:val="18"/>
          <w:szCs w:val="18"/>
          <w:color w:val="auto"/>
        </w:rPr>
        <w:t>. All checks, drafts or other orders for the payment of money, notes or other evidences of indebtedness issued in the name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280" w:right="25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 shall be signed by such officer or agent of the Corporation in such manner as shall from time to time be determined by the Board of Directors.</w:t>
      </w:r>
    </w:p>
    <w:p>
      <w:pPr>
        <w:spacing w:after="0" w:line="194"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DEPOSITS</w:t>
      </w:r>
      <w:r>
        <w:rPr>
          <w:rFonts w:ascii="Arial" w:cs="Arial" w:eastAsia="Arial" w:hAnsi="Arial"/>
          <w:sz w:val="18"/>
          <w:szCs w:val="18"/>
          <w:color w:val="auto"/>
        </w:rPr>
        <w:t>. All funds of the Corporation not otherwise employed shall be deposited from time to time to the credit of the Corporation in such banks, trust companies or other depositories as the Board of Directors may designate.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w:t>
      </w:r>
    </w:p>
    <w:p>
      <w:pPr>
        <w:spacing w:after="0" w:line="177"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CERTIFICATES; REQUIRED INFORMATION</w:t>
      </w:r>
      <w:r>
        <w:rPr>
          <w:rFonts w:ascii="Arial" w:cs="Arial" w:eastAsia="Arial" w:hAnsi="Arial"/>
          <w:sz w:val="18"/>
          <w:szCs w:val="18"/>
          <w:color w:val="auto"/>
        </w:rPr>
        <w:t>. Except as may be otherwise provided by the Board of Directors, stockholders of the Corporation are not entitled to certificates representing the shares of stock held by them. In the event that the Corporation issues shares of stock represented by certificates, such certificates shall be signed by the officers of the Corporation in the manner permitted by the MGCL and contain the statements and information required by the MGCL. There shall be no differences in the rights and obligations of stockholders based on whether or not their shares are represented by certificates.</w:t>
      </w:r>
    </w:p>
    <w:p>
      <w:pPr>
        <w:spacing w:after="0" w:line="143"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TRANSFERS WHEN CERTIFICATES ISSUED</w:t>
      </w:r>
      <w:r>
        <w:rPr>
          <w:rFonts w:ascii="Arial" w:cs="Arial" w:eastAsia="Arial" w:hAnsi="Arial"/>
          <w:sz w:val="18"/>
          <w:szCs w:val="18"/>
          <w:color w:val="auto"/>
        </w:rPr>
        <w:t>. Subject to any determination of the Board of Directors pursuant to Section 1 of this Article, upon surrender to the Corporation or the transfer agent of the Corporation of a stock certificate duly endorsed or accompanied by proper evidence of succession, assignment or authority to transfer, the Corporation shall issue a new certificate to the person entitled thereto, cancel the old certificate and record the transaction upon its books.</w:t>
      </w:r>
    </w:p>
    <w:p>
      <w:pPr>
        <w:spacing w:after="0" w:line="143"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Notwithstanding the foregoing, transfers of shares of any class of stock will be subject in all respects to the charter of the Corporation and all of the terms and conditions contained therein.</w:t>
      </w:r>
    </w:p>
    <w:p>
      <w:pPr>
        <w:spacing w:after="0" w:line="132" w:lineRule="exact"/>
        <w:rPr>
          <w:sz w:val="20"/>
          <w:szCs w:val="20"/>
          <w:color w:val="auto"/>
        </w:rPr>
      </w:pPr>
    </w:p>
    <w:p>
      <w:pPr>
        <w:ind w:firstLine="913"/>
        <w:spacing w:after="0" w:line="314"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REPLACEMENT CERTIFICATE</w:t>
      </w:r>
      <w:r>
        <w:rPr>
          <w:rFonts w:ascii="Arial" w:cs="Arial" w:eastAsia="Arial" w:hAnsi="Arial"/>
          <w:sz w:val="15"/>
          <w:szCs w:val="15"/>
          <w:color w:val="auto"/>
        </w:rPr>
        <w:t>. Subject to any determination of the Board of Directors pursuant to Section 1 of this Article,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When authorizing the issuance of a new certificate, an officer designated by the Board of Directors may, in his or her discretion and as a condition precedent to the issuance thereof, require the owner of such lost, stolen or destroyed certificate or the owner’s legal representative to advertise the same in such manner as he shall require and/or to give bond, with sufficient surety, to the Corporation to indemnify it against any loss or claim which may arise as a result of the issuance of a new certificate.</w:t>
      </w:r>
    </w:p>
    <w:p>
      <w:pPr>
        <w:spacing w:after="0" w:line="105" w:lineRule="exact"/>
        <w:rPr>
          <w:sz w:val="20"/>
          <w:szCs w:val="20"/>
          <w:color w:val="auto"/>
        </w:rPr>
      </w:pPr>
    </w:p>
    <w:p>
      <w:pPr>
        <w:jc w:val="both"/>
        <w:ind w:right="380" w:firstLine="913"/>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FIXING OF RECORD DATE</w:t>
      </w:r>
      <w:r>
        <w:rPr>
          <w:rFonts w:ascii="Arial" w:cs="Arial" w:eastAsia="Arial" w:hAnsi="Arial"/>
          <w:sz w:val="18"/>
          <w:szCs w:val="18"/>
          <w:color w:val="auto"/>
        </w:rPr>
        <w:t>.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80" w:right="239" w:bottom="1440" w:gutter="0" w:footer="0" w:header="0"/>
        </w:sectPr>
      </w:pPr>
    </w:p>
    <w:bookmarkStart w:id="131" w:name="page132"/>
    <w:bookmarkEnd w:id="131"/>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4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If no record date is fixed, (a) the record date for the determination of stockholders entitled to notice of or to vote at a meeting of stockholders shall be at the close of business on the day on which the notice of meeting is mailed or the 30th day before the meeting, whichever is the closer date to the meeting; and</w:t>
      </w:r>
    </w:p>
    <w:p>
      <w:pPr>
        <w:ind w:right="20" w:firstLine="8"/>
        <w:spacing w:after="0" w:line="261" w:lineRule="auto"/>
        <w:tabs>
          <w:tab w:leader="none" w:pos="24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record date for the determination of stockholders entitled to receive payment of a dividend or an allotment of any other rights shall be the close of business on the day on which the resolution of the directors, declaring the dividend or allotment of rights, is adopted.</w:t>
      </w:r>
    </w:p>
    <w:p>
      <w:pPr>
        <w:spacing w:after="0" w:line="138"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When a determination of stockholders entitled to vote at any meeting of stockholders has been made as provided in this section, such determination shall apply to any adjournment thereof, except when the meeting is adjourned to a date more than 120 days after the record date fixed for the original meeting, in which case a new record date shall be determined as set forth herein.</w:t>
      </w:r>
    </w:p>
    <w:p>
      <w:pPr>
        <w:spacing w:after="0" w:line="140"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STOCK LEDGER</w:t>
      </w:r>
      <w:r>
        <w:rPr>
          <w:rFonts w:ascii="Arial" w:cs="Arial" w:eastAsia="Arial" w:hAnsi="Arial"/>
          <w:sz w:val="16"/>
          <w:szCs w:val="16"/>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85"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FRACTIONAL STOCK; ISSUANCE OF UNITS</w:t>
      </w:r>
      <w:r>
        <w:rPr>
          <w:rFonts w:ascii="Arial" w:cs="Arial" w:eastAsia="Arial" w:hAnsi="Arial"/>
          <w:sz w:val="18"/>
          <w:szCs w:val="18"/>
          <w:color w:val="auto"/>
        </w:rPr>
        <w:t>. The Board of Directors may issue fractional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YEAR</w:t>
      </w:r>
    </w:p>
    <w:p>
      <w:pPr>
        <w:spacing w:after="0" w:line="17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The Board of Directors shall have the power, from time to time, to fix the fiscal year of the Corporation by a duly adopted resolution.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280" w:right="25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AUTHORIZATION</w:t>
      </w:r>
      <w:r>
        <w:rPr>
          <w:rFonts w:ascii="Arial" w:cs="Arial" w:eastAsia="Arial" w:hAnsi="Arial"/>
          <w:sz w:val="18"/>
          <w:szCs w:val="18"/>
          <w:color w:val="auto"/>
        </w:rPr>
        <w:t>. Dividends and other distributions upon the stock of the Corporation may be authorized by the Board of Directors, subject to the provisions of law and the charter of the Corporation. Dividends and other distributions may be paid in cash, property or stock of the Corporation, subject to the provisions of law and the charter.</w:t>
      </w:r>
    </w:p>
    <w:p>
      <w:pPr>
        <w:spacing w:after="0" w:line="140" w:lineRule="exact"/>
        <w:rPr>
          <w:sz w:val="20"/>
          <w:szCs w:val="20"/>
          <w:color w:val="auto"/>
        </w:rPr>
      </w:pPr>
    </w:p>
    <w:p>
      <w:pPr>
        <w:ind w:firstLine="913"/>
        <w:spacing w:after="0" w:line="323" w:lineRule="auto"/>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CONTINGENCIES</w:t>
      </w:r>
      <w:r>
        <w:rPr>
          <w:rFonts w:ascii="Arial" w:cs="Arial" w:eastAsia="Arial" w:hAnsi="Arial"/>
          <w:sz w:val="15"/>
          <w:szCs w:val="15"/>
          <w:color w:val="auto"/>
        </w:rPr>
        <w:t>. Before payment of any dividends or other distributions, there may be set aside out of any assets of the Corporation available for dividends or other distributions such sum or sums as the Board of Directors may from time to time, in its absolute discretion, think proper as a reserve fund for contingencies, for equalizing dividends or other distributions, for repairing or maintaining any property of the Corporation or for such other purpose as the Board of Directors shall determine to be in the best interest of the Corporation, and the Board of Directors may modify or abolish any such reserve.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POLICY</w:t>
      </w:r>
    </w:p>
    <w:p>
      <w:pPr>
        <w:spacing w:after="0" w:line="177"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Subject to applicable law and the provisions of the charter of the Corporation, the Board of Directors may from time to time adopt, amend, revise or terminate any policy or policies with respect to investments by the Corporation as it shall deem appropriate in its sole discretion.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SEAL</w:t>
      </w:r>
    </w:p>
    <w:p>
      <w:pPr>
        <w:spacing w:after="0" w:line="177"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40"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AFFIXING SEAL</w:t>
      </w:r>
      <w:r>
        <w:rPr>
          <w:rFonts w:ascii="Arial" w:cs="Arial" w:eastAsia="Arial" w:hAnsi="Arial"/>
          <w:sz w:val="18"/>
          <w:szCs w:val="18"/>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274" w:right="25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ADVANCE OF EXPENSES</w:t>
      </w:r>
    </w:p>
    <w:p>
      <w:pPr>
        <w:spacing w:after="0" w:line="177"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To the maximum extent permitted by Maryland law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a party to the proceeding by reason of his or her service in that capacity or (b) any individual who, while a director of the Corporation and at the request of the Corporation, serves or has served as a director, officer, partner or trustee of such corporation, real estate investment trust, partnership, joint venture, trust, employee benefit plan or other enterprise and who is made a party to the proceeding by reason of his or her service in that capacity. The rights to indemnification and advance of expenses provided by the charter of the Corporation and these bylaws shall vest immediately upon the election of a director or officer. The Corporation may, with the approval of its Board of Directors, provide such indemnification and advance for expenses to a person who served a predecessor of the Corporation in any of the capacities described in (a) or (b) above and to any employee or agent of the Corporation or a predecessor of the Corporation. Any indemnification or advance of expenses made pursuant to this Article XII shall be subject to applicable requirements of the Investment Company Act of 1940, as amended.</w:t>
      </w:r>
    </w:p>
    <w:p>
      <w:pPr>
        <w:spacing w:after="0" w:line="123"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Neither the amendment nor repeal of this Article, nor the adoption or amendment of any other provision of the bylaws or charter of the Corporation inconsistent with this Article, shall apply to or affect in any respect the applicability of the preceding paragraph with respect to any act or failure to act which occurred prior to such amendment, repeal or adoption.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 OF NOTICE</w:t>
      </w:r>
    </w:p>
    <w:p>
      <w:pPr>
        <w:spacing w:after="0" w:line="177" w:lineRule="exact"/>
        <w:rPr>
          <w:sz w:val="20"/>
          <w:szCs w:val="20"/>
          <w:color w:val="auto"/>
        </w:rPr>
      </w:pPr>
    </w:p>
    <w:p>
      <w:pPr>
        <w:jc w:val="both"/>
        <w:ind w:firstLine="913"/>
        <w:spacing w:after="0" w:line="303" w:lineRule="auto"/>
        <w:rPr>
          <w:sz w:val="20"/>
          <w:szCs w:val="20"/>
          <w:color w:val="auto"/>
        </w:rPr>
      </w:pPr>
      <w:r>
        <w:rPr>
          <w:rFonts w:ascii="Arial" w:cs="Arial" w:eastAsia="Arial" w:hAnsi="Arial"/>
          <w:sz w:val="15"/>
          <w:szCs w:val="15"/>
          <w:color w:val="auto"/>
        </w:rPr>
        <w:t>Whenever any notice is required to be given pursuant to the charter of the Corporation or these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w:t>
      </w:r>
    </w:p>
    <w:p>
      <w:pPr>
        <w:spacing w:after="0" w:line="1"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74" w:right="239" w:bottom="1440" w:gutter="0" w:footer="0" w:header="0"/>
        </w:sectPr>
      </w:pPr>
    </w:p>
    <w:bookmarkStart w:id="134" w:name="page135"/>
    <w:bookmarkEnd w:id="134"/>
    <w:p>
      <w:pPr>
        <w:ind w:left="4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XIV</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AMENDMENT OF BYLAWS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shall have the exclusive power, at any time, to adopt, alter or repeal any provision of these bylaws and to make new bylaws.</w:t>
      </w:r>
    </w:p>
    <w:p>
      <w:pPr>
        <w:spacing w:after="0" w:line="19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0380"/>
          </w:cols>
          <w:pgMar w:left="1160" w:top="274" w:right="35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DIVIDEND REINVESTMENT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FLOATING RATE CAPITAL LTD.</w:t>
      </w:r>
    </w:p>
    <w:p>
      <w:pPr>
        <w:spacing w:after="0" w:line="16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PennantPark Floating Rate Capital Ltd., a Maryland corporation (the “Corporation”), hereby adopts the following plan (the “Plan”) with respect to distributions declared by its Board of Directors on shares of its common stock, $.001 par value per share (“Common Stock”):</w:t>
      </w:r>
    </w:p>
    <w:p>
      <w:pPr>
        <w:spacing w:after="0" w:line="132" w:lineRule="exact"/>
        <w:rPr>
          <w:sz w:val="20"/>
          <w:szCs w:val="20"/>
          <w:color w:val="auto"/>
        </w:rPr>
      </w:pPr>
    </w:p>
    <w:p>
      <w:pPr>
        <w:ind w:right="420" w:firstLine="464"/>
        <w:spacing w:after="0" w:line="259" w:lineRule="auto"/>
        <w:tabs>
          <w:tab w:leader="none" w:pos="6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Unless a stockholder specifically elects to receive cash as set forth below, all distributions hereafter declared by the Board of Directors, net of any applicable withholding tax, shall be payable in shares of the Common Stock of the Corporation, and no action shall be required on such stockholder’s part to receive a distribution in stock.</w:t>
      </w:r>
    </w:p>
    <w:p>
      <w:pPr>
        <w:spacing w:after="0" w:line="140" w:lineRule="exact"/>
        <w:rPr>
          <w:rFonts w:ascii="Arial" w:cs="Arial" w:eastAsia="Arial" w:hAnsi="Arial"/>
          <w:sz w:val="18"/>
          <w:szCs w:val="18"/>
          <w:color w:val="auto"/>
        </w:rPr>
      </w:pPr>
    </w:p>
    <w:p>
      <w:pPr>
        <w:ind w:right="320" w:firstLine="464"/>
        <w:spacing w:after="0" w:line="268" w:lineRule="auto"/>
        <w:tabs>
          <w:tab w:leader="none" w:pos="6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distributions shall be payable on such date or dates as may be fixed from time to time by the Board of Directors to stockholders of record at the close of business on the record date established by the Board of Directors for the distribution involved.</w:t>
      </w:r>
    </w:p>
    <w:p>
      <w:pPr>
        <w:spacing w:after="0" w:line="131" w:lineRule="exact"/>
        <w:rPr>
          <w:rFonts w:ascii="Arial" w:cs="Arial" w:eastAsia="Arial" w:hAnsi="Arial"/>
          <w:sz w:val="18"/>
          <w:szCs w:val="18"/>
          <w:color w:val="auto"/>
        </w:rPr>
      </w:pPr>
    </w:p>
    <w:p>
      <w:pPr>
        <w:ind w:firstLine="464"/>
        <w:spacing w:after="0" w:line="287" w:lineRule="auto"/>
        <w:tabs>
          <w:tab w:leader="none" w:pos="632" w:val="left"/>
        </w:tabs>
        <w:numPr>
          <w:ilvl w:val="0"/>
          <w:numId w:val="72"/>
        </w:numPr>
        <w:rPr>
          <w:rFonts w:ascii="Arial" w:cs="Arial" w:eastAsia="Arial" w:hAnsi="Arial"/>
          <w:sz w:val="16"/>
          <w:szCs w:val="16"/>
          <w:color w:val="auto"/>
        </w:rPr>
      </w:pPr>
      <w:r>
        <w:rPr>
          <w:rFonts w:ascii="Arial" w:cs="Arial" w:eastAsia="Arial" w:hAnsi="Arial"/>
          <w:sz w:val="16"/>
          <w:szCs w:val="16"/>
          <w:color w:val="auto"/>
        </w:rPr>
        <w:t>With respect to each distribution pursuant to this Plan, the Board of Directors reserves the right, subject to the provisions of the Investment Company Act of 1940, to determine whether to issue newly-issued shares of its Common Stock or to make open market purchases of its shares for the account of Plan Participants (as hereinafter defined). However, if no determination is made otherwise, in the event the market price of the Corporation’s Common Stock without regard to any applicable brokerage commission is equal to or exceeds the net asset value per share on the valuation date fixed by the Board of Directors for such distribution (“Valuation Date”), the Corporation will use newly-issued shares of its Common Stock valued at the then current market price. If no determination is made otherwise, in the event the net asset value per share of the Common Stock on the Valuation Date exceeds the market price of the Common Stock at such time without regard to any applicable brokerage commission, the Plan Administrator will purchase shares in the open market for the account of Participants. The market price per share of the Corporation’s Common Stock on a particular date shall be the closing price for such shares on the NASDAQ Global Market or NASDAQ Global Select Market on such date or, if no sale is reported for such date, at the average of their reported bid and asked prices. The net asset value per share of the Corporation’s Common Stock on a particular date shall be as determined by or on behalf of the Corporation.</w:t>
      </w:r>
    </w:p>
    <w:p>
      <w:pPr>
        <w:spacing w:after="0" w:line="122" w:lineRule="exact"/>
        <w:rPr>
          <w:rFonts w:ascii="Arial" w:cs="Arial" w:eastAsia="Arial" w:hAnsi="Arial"/>
          <w:sz w:val="16"/>
          <w:szCs w:val="16"/>
          <w:color w:val="auto"/>
        </w:rPr>
      </w:pPr>
    </w:p>
    <w:p>
      <w:pPr>
        <w:ind w:right="100" w:firstLine="464"/>
        <w:spacing w:after="0" w:line="291" w:lineRule="auto"/>
        <w:tabs>
          <w:tab w:leader="none" w:pos="63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Plan Administrator will set up an account for shares acquired pursuant to the Plan for each stockholder who has not so elected to receive distributions in cash (each a “Participant”). The Plan Administrator may hold each Participant’s shares, together with the shares of other Participants, in non-certificated form in the Plan Administrator’s name or that of its nominee. Upon request by a Participant, received in writing no later than three days prior to the record date, the Plan Administrator will, instead of crediting shares to and/or carrying shares in a Participant’s account, issue a certificate registered in the Participant’s name for the number of whole shares payable to the Participant and a check for any fractional share. The Plan Administrator is authorized to deduct a transaction fee plus a per share brokerage commission at prevailing market rates from the proceeds of the sale of any fractional share.</w:t>
      </w:r>
    </w:p>
    <w:p>
      <w:pPr>
        <w:spacing w:after="0" w:line="120" w:lineRule="exact"/>
        <w:rPr>
          <w:rFonts w:ascii="Arial" w:cs="Arial" w:eastAsia="Arial" w:hAnsi="Arial"/>
          <w:sz w:val="16"/>
          <w:szCs w:val="16"/>
          <w:color w:val="auto"/>
        </w:rPr>
      </w:pPr>
    </w:p>
    <w:p>
      <w:pPr>
        <w:jc w:val="both"/>
        <w:ind w:right="140" w:firstLine="464"/>
        <w:spacing w:after="0" w:line="259" w:lineRule="auto"/>
        <w:tabs>
          <w:tab w:leader="none" w:pos="6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Plan Administrator will confirm to each Participant each acquisition made pursuant to the Plan as soon as practicable but not later than 30 business days after the payable date. Although each Participant may from time to time have an undivided fractional interest (computed to three decimal places) in a share of Common Stock of the Corporation, no certificates for a fractional share</w:t>
      </w:r>
    </w:p>
    <w:p>
      <w:pPr>
        <w:sectPr>
          <w:pgSz w:w="11900" w:h="16838" w:orient="portrait"/>
          <w:cols w:equalWidth="0" w:num="1">
            <w:col w:w="11420"/>
          </w:cols>
          <w:pgMar w:left="240" w:top="125" w:right="239" w:bottom="1440" w:gutter="0" w:footer="0" w:header="0"/>
        </w:sectPr>
      </w:pPr>
    </w:p>
    <w:bookmarkStart w:id="136" w:name="page137"/>
    <w:bookmarkEnd w:id="136"/>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 be issued. However, distributions on fractional shares will be credited to each Participant’s account. In the event of termination of a Participant’s account under the Plan, the Plan Administrator will adjust for any such undivided fractional interest in cash at the market value of the Corporation’s shares at the time of termination.</w:t>
      </w:r>
    </w:p>
    <w:p>
      <w:pPr>
        <w:spacing w:after="0" w:line="140" w:lineRule="exact"/>
        <w:rPr>
          <w:sz w:val="20"/>
          <w:szCs w:val="20"/>
          <w:color w:val="auto"/>
        </w:rPr>
      </w:pPr>
    </w:p>
    <w:p>
      <w:pPr>
        <w:ind w:right="20" w:firstLine="464"/>
        <w:spacing w:after="0" w:line="259" w:lineRule="auto"/>
        <w:tabs>
          <w:tab w:leader="none" w:pos="63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Plan Administrator will forward to each Participant any Corporation related proxy solicitation materials and each Corporation report or other communication to stockholders, and will vote any shares held by it under the Plan in accordance with the instructions set forth on proxies returned by Participants to the Corporation.</w:t>
      </w:r>
    </w:p>
    <w:p>
      <w:pPr>
        <w:spacing w:after="0" w:line="140" w:lineRule="exact"/>
        <w:rPr>
          <w:rFonts w:ascii="Arial" w:cs="Arial" w:eastAsia="Arial" w:hAnsi="Arial"/>
          <w:sz w:val="18"/>
          <w:szCs w:val="18"/>
          <w:color w:val="auto"/>
        </w:rPr>
      </w:pPr>
    </w:p>
    <w:p>
      <w:pPr>
        <w:ind w:right="80" w:firstLine="464"/>
        <w:spacing w:after="0" w:line="256" w:lineRule="auto"/>
        <w:tabs>
          <w:tab w:leader="none" w:pos="632"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event that the Corporation makes available to its stockholders rights to purchase additional shares or other securities, the shares held by the Plan Administrator for each Participant under the Plan will be added to any other shares held by the Participant in certificated form in calculating the number of rights to be issued to the Participant. Transaction processing may be either curtailed or suspended until the completion of any stock dividend, stock split or corporate action.</w:t>
      </w:r>
    </w:p>
    <w:p>
      <w:pPr>
        <w:spacing w:after="0" w:line="143" w:lineRule="exact"/>
        <w:rPr>
          <w:rFonts w:ascii="Arial" w:cs="Arial" w:eastAsia="Arial" w:hAnsi="Arial"/>
          <w:sz w:val="18"/>
          <w:szCs w:val="18"/>
          <w:color w:val="auto"/>
        </w:rPr>
      </w:pPr>
    </w:p>
    <w:p>
      <w:pPr>
        <w:ind w:right="60" w:firstLine="464"/>
        <w:spacing w:after="0" w:line="259" w:lineRule="auto"/>
        <w:tabs>
          <w:tab w:leader="none" w:pos="63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Plan Administrator’s service fee, if any, and expenses for administering the Plan will be paid for by the Corporation. However, each Participant will pay a pro rata share of brokerage commissions incurred with respect to the Plan Administrator’s open market purchases in connection with the reinvestment of distributions.</w:t>
      </w:r>
    </w:p>
    <w:p>
      <w:pPr>
        <w:spacing w:after="0" w:line="140" w:lineRule="exact"/>
        <w:rPr>
          <w:rFonts w:ascii="Arial" w:cs="Arial" w:eastAsia="Arial" w:hAnsi="Arial"/>
          <w:sz w:val="18"/>
          <w:szCs w:val="18"/>
          <w:color w:val="auto"/>
        </w:rPr>
      </w:pPr>
    </w:p>
    <w:p>
      <w:pPr>
        <w:ind w:right="20" w:firstLine="464"/>
        <w:spacing w:after="0" w:line="287" w:lineRule="auto"/>
        <w:tabs>
          <w:tab w:leader="none" w:pos="632" w:val="left"/>
        </w:tabs>
        <w:numPr>
          <w:ilvl w:val="0"/>
          <w:numId w:val="73"/>
        </w:numPr>
        <w:rPr>
          <w:rFonts w:ascii="Arial" w:cs="Arial" w:eastAsia="Arial" w:hAnsi="Arial"/>
          <w:sz w:val="16"/>
          <w:szCs w:val="16"/>
          <w:color w:val="auto"/>
        </w:rPr>
      </w:pPr>
      <w:r>
        <w:rPr>
          <w:rFonts w:ascii="Arial" w:cs="Arial" w:eastAsia="Arial" w:hAnsi="Arial"/>
          <w:sz w:val="16"/>
          <w:szCs w:val="16"/>
          <w:color w:val="auto"/>
        </w:rPr>
        <w:t>Each Participant may terminate his or its account under the Plan by so notifying the Plan Administrator via the Plan Administrator’s website at www.amstock.com, by filling out the transaction request form located at the bottom of the Participant’s Statement and sending it to American Stock Transfer &amp; Trust Company, PO Box 922, Wall Street Station, New York, NY 10269-0560 or by calling the Plan Administrator’s Interactive Voice Response System at 1-888-777-0324. Such termination will be effective immediately if the Participant’s notice is received by the Plan Administrator at least three days prior to any distribution record date; otherwise, such termination will be effective only with respect to any subsequent distribution. The Plan may be terminated or amended by the Corporation upon notice in writing mailed to each Participant at least 30 days prior to any record date for the payment of any distribution by the Corporation. Upon any termination, the Plan Administrator will cause a certificate or certificates to be issued for the full shares held for the Participant under the Plan and a cash adjustment for any fractional share to be delivered to the Participant without charge to the Participant. If a Participant elects by his or its written notice to the Plan Administrator in advance of termination to have the Plan Administrator sell part or all of his or its shares and remit the proceeds to the Participant, the Plan Administrator is authorized to deduct a transaction fee plus a per share brokerage commission at prevailing market rates from the proceeds.</w:t>
      </w:r>
    </w:p>
    <w:p>
      <w:pPr>
        <w:spacing w:after="0" w:line="122" w:lineRule="exact"/>
        <w:rPr>
          <w:rFonts w:ascii="Arial" w:cs="Arial" w:eastAsia="Arial" w:hAnsi="Arial"/>
          <w:sz w:val="16"/>
          <w:szCs w:val="16"/>
          <w:color w:val="auto"/>
        </w:rPr>
      </w:pPr>
    </w:p>
    <w:p>
      <w:pPr>
        <w:ind w:firstLine="464"/>
        <w:spacing w:after="0" w:line="253" w:lineRule="auto"/>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These terms and conditions may be amended or supplemented by the Corporation at any time but, except when necessary or appropriate to comply with applicable law or the rules or policies of the Securities and Exchange Commission or any other regulatory authority, only by mailing to each Participant appropriate written notice at least 30 days prior to the effective date thereof. The amendment or supplement shall be deemed to be accepted by each Participant unless, prior to the effective date thereof, the Plan Administrator receives written notice of the termination of his or its account under the Plan. Any such amendment may include an appointment by the Plan Administrator in its place and stead of a successor agent under these terms and conditions, with full power and authority to perform all or any of the acts to be performed by the Plan Administrator under these terms and conditions. Upon any such appointment of any agent for the purpose of</w:t>
      </w:r>
    </w:p>
    <w:p>
      <w:pPr>
        <w:sectPr>
          <w:pgSz w:w="11900" w:h="16838" w:orient="portrait"/>
          <w:cols w:equalWidth="0" w:num="1">
            <w:col w:w="11400"/>
          </w:cols>
          <w:pgMar w:left="240" w:top="280" w:right="259" w:bottom="1440" w:gutter="0" w:footer="0" w:header="0"/>
        </w:sectPr>
      </w:pPr>
    </w:p>
    <w:bookmarkStart w:id="137" w:name="page138"/>
    <w:bookmarkEnd w:id="137"/>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receiving distributions, the Corporation will be authorized to pay to such successor agent, for each Participant’s account, all distributions payable on shares of the Corporation held in the Participant’s name or under the Plan for retention or application by such successor agent as provided in these terms and conditions.</w:t>
      </w:r>
    </w:p>
    <w:p>
      <w:pPr>
        <w:spacing w:after="0" w:line="85" w:lineRule="exact"/>
        <w:rPr>
          <w:sz w:val="20"/>
          <w:szCs w:val="20"/>
          <w:color w:val="auto"/>
        </w:rPr>
      </w:pPr>
    </w:p>
    <w:p>
      <w:pPr>
        <w:ind w:firstLine="464"/>
        <w:spacing w:after="0" w:line="298" w:lineRule="auto"/>
        <w:tabs>
          <w:tab w:leader="none" w:pos="713"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Plan Administrator will at all times act in good faith and use its best efforts within reasonable limits to ensure its full and timely performance of all services to be performed by it with respect to purchases and sales of the Corporation’s Common Stock under this Plan and to comply with applicable law, but assumes no responsibility and shall not be liable for loss or damage due to errors unless such error is caused by the Plan Administrator’s negligence, bad faith, or willful misconduct or that of its employees or agents.</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These terms and conditions shall be governed by the laws of the State of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10, 2011</w:t>
      </w:r>
    </w:p>
    <w:p>
      <w:pPr>
        <w:sectPr>
          <w:pgSz w:w="11900" w:h="16838" w:orient="portrait"/>
          <w:cols w:equalWidth="0" w:num="1">
            <w:col w:w="11360"/>
          </w:cols>
          <w:pgMar w:left="240" w:top="280" w:right="29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ADVISORY MANAGEMENT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ADVISERS, LLC</w:t>
      </w:r>
    </w:p>
    <w:p>
      <w:pPr>
        <w:spacing w:after="0" w:line="17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AGREEMENT (this “Agreement”) made this [ ]</w:t>
      </w:r>
      <w:r>
        <w:rPr>
          <w:rFonts w:ascii="Arial" w:cs="Arial" w:eastAsia="Arial" w:hAnsi="Arial"/>
          <w:sz w:val="10"/>
          <w:szCs w:val="10"/>
          <w:color w:val="auto"/>
        </w:rPr>
        <w:t>th</w:t>
      </w:r>
      <w:r>
        <w:rPr>
          <w:rFonts w:ascii="Arial" w:cs="Arial" w:eastAsia="Arial" w:hAnsi="Arial"/>
          <w:sz w:val="16"/>
          <w:szCs w:val="16"/>
          <w:color w:val="auto"/>
        </w:rPr>
        <w:t xml:space="preserve"> day of [March], 2011, by and between PENNANTPARK FLOATING RATE CAPITAL LTD., a Maryland corporation (the “Corporation”), and PENNANTPARK INVESTMENT ADVISERS, LLC, a Delaware limited liability company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-205740</wp:posOffset>
            </wp:positionV>
            <wp:extent cx="1117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Corporation is a newly organized corporation that will operate as a closed-end management investment company;</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WHEREAS, the Corporation has filed a registration statement on Form N-2 (the “Registration Statement”) to register shares of its common stock for issuance in an initial public offering (the “Offering”);</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WHEREAS, prior to the effectiveness of the Registration Statement, the Corporation intends to file an election to be treated as a business development company under the Investment Company Act of 1940, as amended (the “1940 Act”); and</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the Corporation desires to retain the Adviser to furnish investment advisory services to the Corporation prior to the Offering on the terms and conditions hereinafter set forth, and the Adviser wishes to be retained to provide such services.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parties hereby agree as follows:</w:t>
      </w:r>
    </w:p>
    <w:p>
      <w:pPr>
        <w:spacing w:after="0" w:line="293"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Duties of the Adviser</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20" w:firstLine="464"/>
        <w:spacing w:after="0" w:line="286" w:lineRule="auto"/>
        <w:tabs>
          <w:tab w:leader="none" w:pos="695"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Corporation hereby employs the Adviser to act as the investment adviser to the Corporation and to manage the investment and reinvestment of the assets of the Corporation, subject to the supervision of the Board of Directors of the Corporation, for the period and upon the terms herein set forth, (i) in</w:t>
      </w:r>
    </w:p>
    <w:p>
      <w:pPr>
        <w:spacing w:after="0"/>
        <w:tabs>
          <w:tab w:leader="none" w:pos="9020" w:val="left"/>
        </w:tabs>
        <w:rPr>
          <w:sz w:val="20"/>
          <w:szCs w:val="20"/>
          <w:color w:val="auto"/>
        </w:rPr>
      </w:pPr>
      <w:r>
        <w:rPr>
          <w:rFonts w:ascii="Arial" w:cs="Arial" w:eastAsia="Arial" w:hAnsi="Arial"/>
          <w:sz w:val="18"/>
          <w:szCs w:val="18"/>
          <w:color w:val="auto"/>
        </w:rPr>
        <w:t>accordance with the investment objective, policies and restrictions that are set forth in the Registration Statement, dated [</w:t>
      </w:r>
      <w:r>
        <w:rPr>
          <w:sz w:val="20"/>
          <w:szCs w:val="20"/>
          <w:color w:val="auto"/>
        </w:rPr>
        <w:tab/>
      </w:r>
      <w:r>
        <w:rPr>
          <w:rFonts w:ascii="Arial" w:cs="Arial" w:eastAsia="Arial" w:hAnsi="Arial"/>
          <w:sz w:val="15"/>
          <w:szCs w:val="15"/>
          <w:color w:val="auto"/>
        </w:rPr>
        <w:t>], 2011, as the same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5407025</wp:posOffset>
            </wp:positionH>
            <wp:positionV relativeFrom="paragraph">
              <wp:posOffset>-17780</wp:posOffset>
            </wp:positionV>
            <wp:extent cx="3346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jc w:val="both"/>
        <w:ind w:right="240"/>
        <w:spacing w:after="0" w:line="302" w:lineRule="auto"/>
        <w:rPr>
          <w:sz w:val="20"/>
          <w:szCs w:val="20"/>
          <w:color w:val="auto"/>
        </w:rPr>
      </w:pPr>
      <w:r>
        <w:rPr>
          <w:rFonts w:ascii="Arial" w:cs="Arial" w:eastAsia="Arial" w:hAnsi="Arial"/>
          <w:sz w:val="16"/>
          <w:szCs w:val="16"/>
          <w:color w:val="auto"/>
        </w:rPr>
        <w:t>amended from time to time, (ii) in accordance with the 1940 Act and (iii) during the term of this Agreement in accordance with all other applicable federal and state laws, rules and regulations, and the Corporation’s charter and by-laws. Without limiting the generality of the foregoing, the Adviser shall, during the term and subject to the provisions of this Agreement, (i) determine the composition of the portfolio of the Corporation, the nature and timing of the</w:t>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therein and the manner of implementing such changes; (ii) identify, evaluate and negotiate the structure of the investments made by the Corporation;</w:t>
      </w:r>
    </w:p>
    <w:p>
      <w:pPr>
        <w:spacing w:after="0" w:line="38" w:lineRule="exact"/>
        <w:rPr>
          <w:sz w:val="20"/>
          <w:szCs w:val="20"/>
          <w:color w:val="auto"/>
        </w:rPr>
      </w:pPr>
    </w:p>
    <w:p>
      <w:pPr>
        <w:ind w:right="40" w:firstLine="8"/>
        <w:spacing w:after="0" w:line="287" w:lineRule="auto"/>
        <w:tabs>
          <w:tab w:leader="none" w:pos="307" w:val="left"/>
        </w:tabs>
        <w:numPr>
          <w:ilvl w:val="0"/>
          <w:numId w:val="76"/>
        </w:numPr>
        <w:rPr>
          <w:rFonts w:ascii="Arial" w:cs="Arial" w:eastAsia="Arial" w:hAnsi="Arial"/>
          <w:sz w:val="16"/>
          <w:szCs w:val="16"/>
          <w:color w:val="auto"/>
        </w:rPr>
      </w:pPr>
      <w:r>
        <w:rPr>
          <w:rFonts w:ascii="Arial" w:cs="Arial" w:eastAsia="Arial" w:hAnsi="Arial"/>
          <w:sz w:val="16"/>
          <w:szCs w:val="16"/>
          <w:color w:val="auto"/>
        </w:rPr>
        <w:t>close and monitor the Corporation’s investments; determine the securities and other assets that the Corporation will purchase, retain, or sell; perform due diligence on prospective portfolio companies; and (vi) provide the Corporation with such other investment advisory, research and related services as the Corporation may, from time to time, reasonably require for the investment of its funds. The Adviser shall have the power and authority on behalf of the Corporation to effectuate its investment decisions for the Corporation, including the execution and delivery of all documents relating to the Corporation’s investments and the placing of orders for other purchase or sale transactions on behalf of the Corporation. In the event that the Corporation determines to acquire debt financing, the Adviser will arrange for such financing on the Corporation’s behalf, subject to the oversight and approval of the Corporation’s Board of Directors. If it is necessary for the Adviser to make investments on behalf of the Corporation through a special purpose vehicle, the Adviser shall have authority to create or arrange for the creation of such special purpose vehicle and to make such investments through such special purpose vehicle in accordance with the 1940 Act.</w:t>
      </w:r>
    </w:p>
    <w:p>
      <w:pPr>
        <w:spacing w:after="0" w:line="120" w:lineRule="exact"/>
        <w:rPr>
          <w:rFonts w:ascii="Arial" w:cs="Arial" w:eastAsia="Arial" w:hAnsi="Arial"/>
          <w:sz w:val="16"/>
          <w:szCs w:val="16"/>
          <w:color w:val="auto"/>
        </w:rPr>
      </w:pPr>
    </w:p>
    <w:p>
      <w:pPr>
        <w:ind w:left="720" w:hanging="256"/>
        <w:spacing w:after="0"/>
        <w:tabs>
          <w:tab w:leader="none" w:pos="720" w:val="left"/>
        </w:tabs>
        <w:numPr>
          <w:ilvl w:val="1"/>
          <w:numId w:val="76"/>
        </w:numPr>
        <w:rPr>
          <w:rFonts w:ascii="Arial" w:cs="Arial" w:eastAsia="Arial" w:hAnsi="Arial"/>
          <w:sz w:val="15"/>
          <w:szCs w:val="15"/>
          <w:color w:val="auto"/>
        </w:rPr>
      </w:pPr>
      <w:r>
        <w:rPr>
          <w:rFonts w:ascii="Arial" w:cs="Arial" w:eastAsia="Arial" w:hAnsi="Arial"/>
          <w:sz w:val="15"/>
          <w:szCs w:val="15"/>
          <w:color w:val="auto"/>
        </w:rPr>
        <w:t>The Adviser hereby accepts such employment and agrees during the term hereof to render the services described herein for the compensation provided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herein.</w:t>
      </w:r>
    </w:p>
    <w:p>
      <w:pPr>
        <w:spacing w:after="0" w:line="164" w:lineRule="exact"/>
        <w:rPr>
          <w:rFonts w:ascii="Arial" w:cs="Arial" w:eastAsia="Arial" w:hAnsi="Arial"/>
          <w:sz w:val="15"/>
          <w:szCs w:val="15"/>
          <w:color w:val="auto"/>
        </w:rPr>
      </w:pPr>
    </w:p>
    <w:p>
      <w:pPr>
        <w:ind w:firstLine="464"/>
        <w:spacing w:after="0" w:line="290" w:lineRule="auto"/>
        <w:tabs>
          <w:tab w:leader="none" w:pos="695" w:val="left"/>
        </w:tabs>
        <w:numPr>
          <w:ilvl w:val="1"/>
          <w:numId w:val="76"/>
        </w:numPr>
        <w:rPr>
          <w:rFonts w:ascii="Arial" w:cs="Arial" w:eastAsia="Arial" w:hAnsi="Arial"/>
          <w:sz w:val="16"/>
          <w:szCs w:val="16"/>
          <w:color w:val="auto"/>
        </w:rPr>
      </w:pPr>
      <w:r>
        <w:rPr>
          <w:rFonts w:ascii="Arial" w:cs="Arial" w:eastAsia="Arial" w:hAnsi="Arial"/>
          <w:sz w:val="16"/>
          <w:szCs w:val="16"/>
          <w:color w:val="auto"/>
        </w:rPr>
        <w:t>Subject to the requirements of the 1940 Act, the Adviser is hereby authorized to enter into one or more sub-advisory agreements with other investment advisers (each, a “Sub-Adviser”) pursuant to which the Adviser may obtain the services of the Sub-Adviser(s) to assist the Adviser in fulfilling its responsibilities hereunder. Specifically, the Adviser may retain a Sub-Adviser to recommend specific securities or other investments based upon the Corporation’s investment objective and policies, and work, along with the Adviser, in structuring, negotiating, arranging or effecting the acquisition or disposition of such investments and monitoring investments on behalf of the Corporation, subject to the oversight of the Adviser and the Corporation. The Adviser, and not the Corporation, shall be responsible for any compensation payable to any Sub-Adviser. Any sub-advisory agreement entered into by the Adviser shall be in accordance with the requirements of the 1940 Act and other applicable federal and state law.</w:t>
      </w:r>
    </w:p>
    <w:p>
      <w:pPr>
        <w:spacing w:after="0" w:line="118" w:lineRule="exact"/>
        <w:rPr>
          <w:rFonts w:ascii="Arial" w:cs="Arial" w:eastAsia="Arial" w:hAnsi="Arial"/>
          <w:sz w:val="16"/>
          <w:szCs w:val="16"/>
          <w:color w:val="auto"/>
        </w:rPr>
      </w:pPr>
    </w:p>
    <w:p>
      <w:pPr>
        <w:ind w:right="140" w:firstLine="464"/>
        <w:spacing w:after="0" w:line="332" w:lineRule="auto"/>
        <w:tabs>
          <w:tab w:leader="none" w:pos="705"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Adviser shall for all purposes herein provided be deemed to be an independent contractor and, except as expressly provided or authorized herein, shall have no authority to act for or represent the Corporation in any way or otherwise be deemed an agent of the Corporation.</w:t>
      </w:r>
    </w:p>
    <w:p>
      <w:pPr>
        <w:spacing w:after="0" w:line="85" w:lineRule="exact"/>
        <w:rPr>
          <w:rFonts w:ascii="Arial" w:cs="Arial" w:eastAsia="Arial" w:hAnsi="Arial"/>
          <w:sz w:val="16"/>
          <w:szCs w:val="16"/>
          <w:color w:val="auto"/>
        </w:rPr>
      </w:pPr>
    </w:p>
    <w:p>
      <w:pPr>
        <w:ind w:right="60" w:firstLine="464"/>
        <w:spacing w:after="0" w:line="323" w:lineRule="auto"/>
        <w:tabs>
          <w:tab w:leader="none" w:pos="695" w:val="left"/>
        </w:tabs>
        <w:numPr>
          <w:ilvl w:val="1"/>
          <w:numId w:val="76"/>
        </w:numPr>
        <w:rPr>
          <w:rFonts w:ascii="Arial" w:cs="Arial" w:eastAsia="Arial" w:hAnsi="Arial"/>
          <w:sz w:val="15"/>
          <w:szCs w:val="15"/>
          <w:color w:val="auto"/>
        </w:rPr>
      </w:pPr>
      <w:r>
        <w:rPr>
          <w:rFonts w:ascii="Arial" w:cs="Arial" w:eastAsia="Arial" w:hAnsi="Arial"/>
          <w:sz w:val="15"/>
          <w:szCs w:val="15"/>
          <w:color w:val="auto"/>
        </w:rPr>
        <w:t>The Adviser shall keep and preserve, in the manner and for the period that would be applicable to investment companies registered under the 1940 Act any books and records relevant to the provision of its investment advisory services to the Corporation and shall specifically maintain all books and records with respect to the Corporation’s portfolio transactions and shall render to the Corporation’s Board of Directors such periodic and special reports as the Board may reasonably request. The Adviser agrees that all records that it maintains for the Corporation are the property of the Corporation and will surrender promptly to</w:t>
      </w:r>
    </w:p>
    <w:p>
      <w:pPr>
        <w:spacing w:after="0" w:line="84" w:lineRule="exact"/>
        <w:rPr>
          <w:rFonts w:ascii="Arial" w:cs="Arial" w:eastAsia="Arial" w:hAnsi="Arial"/>
          <w:sz w:val="15"/>
          <w:szCs w:val="15"/>
          <w:color w:val="auto"/>
        </w:rPr>
      </w:pPr>
    </w:p>
    <w:p>
      <w:pPr>
        <w:ind w:left="5680" w:hanging="112"/>
        <w:spacing w:after="0"/>
        <w:tabs>
          <w:tab w:leader="none" w:pos="5680" w:val="left"/>
        </w:tabs>
        <w:numPr>
          <w:ilvl w:val="2"/>
          <w:numId w:val="76"/>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60"/>
          </w:cols>
          <w:pgMar w:left="240" w:top="280" w:right="29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Corporation any such records upon the Corporation’s request, provided that the Adviser may retain a copy of such records.</w:t>
      </w:r>
    </w:p>
    <w:p>
      <w:pPr>
        <w:spacing w:after="0" w:line="171" w:lineRule="exact"/>
        <w:rPr>
          <w:sz w:val="20"/>
          <w:szCs w:val="20"/>
          <w:color w:val="auto"/>
        </w:rPr>
      </w:pPr>
    </w:p>
    <w:p>
      <w:pPr>
        <w:ind w:firstLine="464"/>
        <w:spacing w:after="0" w:line="284" w:lineRule="auto"/>
        <w:tabs>
          <w:tab w:leader="none" w:pos="632"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Corporation’s Responsibilities and Expenses Payable by the Corporation</w:t>
      </w:r>
      <w:r>
        <w:rPr>
          <w:rFonts w:ascii="Arial" w:cs="Arial" w:eastAsia="Arial" w:hAnsi="Arial"/>
          <w:sz w:val="16"/>
          <w:szCs w:val="16"/>
          <w:color w:val="auto"/>
        </w:rPr>
        <w:t>. All investment professionals of the Adviser and their respective staffs, when and to the extent engaged in providing investment advisory and management services hereunder, and the compensation and routine overhead expenses of such personnel allocable to such services, will be provided and paid for by the Adviser and not by the Corporation. The Corporation will bear all other costs and expenses of its operations and transactions, including (without limitation)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interest payable on debt, if any, incurred to finance the Corporation’s investments and expenses related to unsuccessful portfolio acquisition efforts; offerings of the Corporation’s common stock and other securities; investment advisory and management fees; administration fees payable under the Administration Agreement (the “Administration Agreement”) between the Corporation and PennantPark Investment Advisers, LLC (the “Administrator”), the Corporation’s administrator; fees payable to 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Securities and Exchange Commission; costs of any reports, proxy statements or other notices to stockholders, including printing costs; costs associated with individual or group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and all other expenses incurred by the Corporation or the Administrator in connection with administering the Corporation’s business, including payments under the Administration Agreement between the Corporation and the Administrator based upon the Corporation’s allocable portion of the Administrator’s overhead in performing its obligations under the Administration Agreement, including rent and the allocable portion of the cost of the Corporation’s chief compliance officer and chief financial officer and their respective staffs.</w:t>
      </w:r>
    </w:p>
    <w:p>
      <w:pPr>
        <w:spacing w:after="0" w:line="129" w:lineRule="exact"/>
        <w:rPr>
          <w:rFonts w:ascii="Arial" w:cs="Arial" w:eastAsia="Arial" w:hAnsi="Arial"/>
          <w:sz w:val="16"/>
          <w:szCs w:val="16"/>
          <w:color w:val="auto"/>
        </w:rPr>
      </w:pPr>
    </w:p>
    <w:p>
      <w:pPr>
        <w:ind w:right="20" w:firstLine="464"/>
        <w:spacing w:after="0" w:line="306" w:lineRule="auto"/>
        <w:tabs>
          <w:tab w:leader="none" w:pos="632"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Compensation of the Adviser</w:t>
      </w:r>
      <w:r>
        <w:rPr>
          <w:rFonts w:ascii="Arial" w:cs="Arial" w:eastAsia="Arial" w:hAnsi="Arial"/>
          <w:sz w:val="16"/>
          <w:szCs w:val="16"/>
          <w:color w:val="auto"/>
        </w:rPr>
        <w:t>. The Corporation agrees to pay, and the Adviser agrees to accept, as compensation for the services provided by the Adviser hereunder, a base management fee (“Base Management Fee”) and an incentive fee (“Incentive Fee”) as hereinafter set forth. The Corporation shall make any payments due hereunder to the Adviser or to the Adviser’s designee as the Adviser may otherwise direct. To the extent permitted by applicable</w:t>
      </w:r>
    </w:p>
    <w:p>
      <w:pPr>
        <w:spacing w:after="0" w:line="93" w:lineRule="exact"/>
        <w:rPr>
          <w:rFonts w:ascii="Arial" w:cs="Arial" w:eastAsia="Arial" w:hAnsi="Arial"/>
          <w:sz w:val="16"/>
          <w:szCs w:val="16"/>
          <w:color w:val="auto"/>
        </w:rPr>
      </w:pPr>
    </w:p>
    <w:p>
      <w:pPr>
        <w:ind w:left="5680" w:hanging="112"/>
        <w:spacing w:after="0"/>
        <w:tabs>
          <w:tab w:leader="none" w:pos="56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20"/>
          </w:cols>
          <w:pgMar w:left="240" w:top="280" w:right="239" w:bottom="1440" w:gutter="0" w:footer="0" w:header="0"/>
        </w:sectPr>
      </w:pPr>
    </w:p>
    <w:bookmarkStart w:id="141" w:name="page142"/>
    <w:bookmarkEnd w:id="141"/>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law, the Adviser may elect, or adopt a deferred compensation plan pursuant to which it may elect, to defer all or a portion of its fees hereunder for a specified period of time.</w:t>
      </w:r>
    </w:p>
    <w:p>
      <w:pPr>
        <w:spacing w:after="0" w:line="132" w:lineRule="exact"/>
        <w:rPr>
          <w:sz w:val="20"/>
          <w:szCs w:val="20"/>
          <w:color w:val="auto"/>
        </w:rPr>
      </w:pPr>
    </w:p>
    <w:p>
      <w:pPr>
        <w:ind w:right="20" w:firstLine="464"/>
        <w:spacing w:after="0" w:line="294" w:lineRule="auto"/>
        <w:tabs>
          <w:tab w:leader="none" w:pos="695"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Base Management Fee shall be calculated at an annual rate of 1.00% of the Corporation’s gross assets. For services rendered under this Agreement, the Base Management Fee will be payable quarterly in arrears. For the first calendar quarter of the Corporation’s operations, the Base Management Fee will be calculated based on the initial value of the Corporation’s gross assets. Subsequently, the Base Management Fee will be calculated based on the average value of the Corporation’s gross assets at the end of the two most recently completed calendar quarters, and appropriately adjusted for any share issuances or repurchases during the current calendar quarter. Base Management Fees for any partial month or quarter will be appropriately pro rated.</w:t>
      </w:r>
    </w:p>
    <w:p>
      <w:pPr>
        <w:spacing w:after="0" w:line="196" w:lineRule="exact"/>
        <w:rPr>
          <w:rFonts w:ascii="Arial" w:cs="Arial" w:eastAsia="Arial" w:hAnsi="Arial"/>
          <w:sz w:val="16"/>
          <w:szCs w:val="16"/>
          <w:color w:val="auto"/>
        </w:rPr>
      </w:pPr>
    </w:p>
    <w:p>
      <w:pPr>
        <w:ind w:left="720" w:hanging="256"/>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Incentive Fee shall consist of two parts, as follows:</w:t>
      </w:r>
    </w:p>
    <w:p>
      <w:pPr>
        <w:spacing w:after="0" w:line="90" w:lineRule="exact"/>
        <w:rPr>
          <w:rFonts w:ascii="Arial" w:cs="Arial" w:eastAsia="Arial" w:hAnsi="Arial"/>
          <w:sz w:val="18"/>
          <w:szCs w:val="18"/>
          <w:color w:val="auto"/>
        </w:rPr>
      </w:pPr>
    </w:p>
    <w:p>
      <w:pPr>
        <w:ind w:left="1480" w:hanging="567"/>
        <w:spacing w:after="0" w:line="285" w:lineRule="auto"/>
        <w:tabs>
          <w:tab w:leader="none" w:pos="1480" w:val="left"/>
        </w:tabs>
        <w:numPr>
          <w:ilvl w:val="1"/>
          <w:numId w:val="78"/>
        </w:numPr>
        <w:rPr>
          <w:rFonts w:ascii="Arial" w:cs="Arial" w:eastAsia="Arial" w:hAnsi="Arial"/>
          <w:sz w:val="16"/>
          <w:szCs w:val="16"/>
          <w:color w:val="auto"/>
        </w:rPr>
      </w:pPr>
      <w:r>
        <w:rPr>
          <w:rFonts w:ascii="Arial" w:cs="Arial" w:eastAsia="Arial" w:hAnsi="Arial"/>
          <w:sz w:val="16"/>
          <w:szCs w:val="16"/>
          <w:color w:val="auto"/>
        </w:rPr>
        <w:t>One part will be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and fees for providing significant managerial assistance or other fees that the Corporation receives from portfolio companies) accrued by the Corporation during the calendar quarter, minus the Corporation’s operating expenses for the quarter (including the Base Management Fee, expenses payable under the Corporation’s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 of the Corporation’s net assets at the end of the immediately preceding calendar quarter, will be compared to a “hurdle rate” of 1.75% per quarter (7.00% annualized). The Corporation’s net investment income used to calculate this part of the Incentive Fee is also included in the amount of its gross assets used to calculate the 1.00% Base Management Fee. The Corporation will pay the Adviser an Incentive Fee with respect to the Corporation’s pre-Incentive Fee net investment income in each calendar quarter as follows: (1) no Incentive Fee in any calendar quarter in which the Corporation’s pre-Incentive Fee net investment</w:t>
      </w:r>
    </w:p>
    <w:p>
      <w:pPr>
        <w:spacing w:after="0" w:line="110" w:lineRule="exact"/>
        <w:rPr>
          <w:rFonts w:ascii="Arial" w:cs="Arial" w:eastAsia="Arial" w:hAnsi="Arial"/>
          <w:sz w:val="16"/>
          <w:szCs w:val="16"/>
          <w:color w:val="auto"/>
        </w:rPr>
      </w:pPr>
    </w:p>
    <w:p>
      <w:pPr>
        <w:ind w:left="5680" w:hanging="112"/>
        <w:spacing w:after="0"/>
        <w:tabs>
          <w:tab w:leader="none" w:pos="5680" w:val="left"/>
        </w:tabs>
        <w:numPr>
          <w:ilvl w:val="2"/>
          <w:numId w:val="78"/>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280" w:right="259" w:bottom="1440" w:gutter="0" w:footer="0" w:header="0"/>
        </w:sectPr>
      </w:pPr>
    </w:p>
    <w:bookmarkStart w:id="142" w:name="page143"/>
    <w:bookmarkEnd w:id="142"/>
    <w:p>
      <w:pPr>
        <w:ind w:left="1016" w:right="4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income does not exceed the hurdle rate of 1.75%; (2) 50% of the Corporation’s pre-Incentive Fee net investment income with respect to that portion of such pre-Incentive Fee net investment income, if any, that exceeds the hurdle rate but is less than 2.9167% in any calendar quarter (11.67% annualized); this portion of the pre-Incentive Fee net investment income (which exceeds the hurdle but is less than 2.9167%) is referred to herein as the “catch-up.” The “catch-up” is meant to provide the Adviser with approximately 20% of the Corporation’s pre-Incentive Fee net investment income as if a hurdle did not apply if this net investment income exceeds 2.9167% in any calendar quarter; and</w:t>
      </w:r>
    </w:p>
    <w:p>
      <w:pPr>
        <w:spacing w:after="0" w:line="2" w:lineRule="exact"/>
        <w:rPr>
          <w:sz w:val="20"/>
          <w:szCs w:val="20"/>
          <w:color w:val="auto"/>
        </w:rPr>
      </w:pPr>
    </w:p>
    <w:p>
      <w:pPr>
        <w:ind w:left="1256" w:hanging="240"/>
        <w:spacing w:after="0"/>
        <w:tabs>
          <w:tab w:leader="none" w:pos="1256" w:val="left"/>
        </w:tabs>
        <w:numPr>
          <w:ilvl w:val="2"/>
          <w:numId w:val="79"/>
        </w:numPr>
        <w:rPr>
          <w:rFonts w:ascii="Arial" w:cs="Arial" w:eastAsia="Arial" w:hAnsi="Arial"/>
          <w:sz w:val="16"/>
          <w:szCs w:val="16"/>
          <w:color w:val="auto"/>
        </w:rPr>
      </w:pPr>
      <w:r>
        <w:rPr>
          <w:rFonts w:ascii="Arial" w:cs="Arial" w:eastAsia="Arial" w:hAnsi="Arial"/>
          <w:sz w:val="16"/>
          <w:szCs w:val="16"/>
          <w:color w:val="auto"/>
        </w:rPr>
        <w:t>20% of the amount of the Corporation’s pre-Incentive Fee net investment income, if any, that exceeds 2.9167% in any calendar quarter</w:t>
      </w:r>
    </w:p>
    <w:p>
      <w:pPr>
        <w:spacing w:after="0" w:line="32" w:lineRule="exact"/>
        <w:rPr>
          <w:rFonts w:ascii="Arial" w:cs="Arial" w:eastAsia="Arial" w:hAnsi="Arial"/>
          <w:sz w:val="16"/>
          <w:szCs w:val="16"/>
          <w:color w:val="auto"/>
        </w:rPr>
      </w:pPr>
    </w:p>
    <w:p>
      <w:pPr>
        <w:ind w:left="1016" w:right="100"/>
        <w:spacing w:after="0" w:line="255" w:lineRule="auto"/>
        <w:rPr>
          <w:rFonts w:ascii="Arial" w:cs="Arial" w:eastAsia="Arial" w:hAnsi="Arial"/>
          <w:sz w:val="16"/>
          <w:szCs w:val="16"/>
          <w:color w:val="auto"/>
        </w:rPr>
      </w:pPr>
      <w:r>
        <w:rPr>
          <w:rFonts w:ascii="Arial" w:cs="Arial" w:eastAsia="Arial" w:hAnsi="Arial"/>
          <w:sz w:val="18"/>
          <w:szCs w:val="18"/>
          <w:color w:val="auto"/>
        </w:rPr>
        <w:t>(11.67% annualized) payable to the Adviser (once the hurdle is reached and the catch-up is achieved, 20% of all pre-Incentive Fee investment income thereafter is allocated to the Adviser). These calculations will be appropriately pro rated for any period of less than three months and adjusted for any share issuances or repurchases during the relevant quarter.</w:t>
      </w:r>
    </w:p>
    <w:p>
      <w:pPr>
        <w:spacing w:after="0" w:line="63" w:lineRule="exact"/>
        <w:rPr>
          <w:rFonts w:ascii="Arial" w:cs="Arial" w:eastAsia="Arial" w:hAnsi="Arial"/>
          <w:sz w:val="16"/>
          <w:szCs w:val="16"/>
          <w:color w:val="auto"/>
        </w:rPr>
      </w:pPr>
    </w:p>
    <w:p>
      <w:pPr>
        <w:ind w:left="1016" w:hanging="567"/>
        <w:spacing w:after="0" w:line="288" w:lineRule="auto"/>
        <w:tabs>
          <w:tab w:leader="none" w:pos="1016"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second part of the Incentive Fee (the “</w:t>
      </w:r>
      <w:r>
        <w:rPr>
          <w:rFonts w:ascii="Arial" w:cs="Arial" w:eastAsia="Arial" w:hAnsi="Arial"/>
          <w:sz w:val="16"/>
          <w:szCs w:val="16"/>
          <w:b w:val="1"/>
          <w:bCs w:val="1"/>
          <w:i w:val="1"/>
          <w:iCs w:val="1"/>
          <w:color w:val="auto"/>
        </w:rPr>
        <w:t>Capital Gains Fee</w:t>
      </w:r>
      <w:r>
        <w:rPr>
          <w:rFonts w:ascii="Arial" w:cs="Arial" w:eastAsia="Arial" w:hAnsi="Arial"/>
          <w:sz w:val="16"/>
          <w:szCs w:val="16"/>
          <w:color w:val="auto"/>
        </w:rPr>
        <w:t>”) will be determined and payable in arrears as of the end of each calendar year (or upon termination of this Agreement as set forth below), commencing with December 31, 2011, and will equal 20.0% of the Corporation’s realized capital gains, if any, on a cumulative basis from inception through the end of each calendar year, computed net of all realized capital losses and net unrealized capital depreciation on a cumulative basis, less the aggregate amount of any previously paid capital gain Incentive Fees, with respect to each of the investments in the Corporation’s portfolio; provided that the Incentive Fee determined as of December 31, 2011 will be calculated for a period of shorter than twelve calendar months to take into account any realized capital gains computed net of all realized capital losses and unrealized capital depreciation from inception. In the event that this Agreement shall terminate as of a date that is not a calendar year end, the termination date shall be treated as though it were a calendar year end for purposes of calculating and paying a Capital Gains Fee.</w:t>
      </w:r>
    </w:p>
    <w:p>
      <w:pPr>
        <w:spacing w:after="0" w:line="119" w:lineRule="exact"/>
        <w:rPr>
          <w:rFonts w:ascii="Arial" w:cs="Arial" w:eastAsia="Arial" w:hAnsi="Arial"/>
          <w:sz w:val="16"/>
          <w:szCs w:val="16"/>
          <w:color w:val="auto"/>
        </w:rPr>
      </w:pPr>
    </w:p>
    <w:p>
      <w:pPr>
        <w:ind w:left="-464" w:right="520" w:firstLine="464"/>
        <w:spacing w:after="0" w:line="332" w:lineRule="auto"/>
        <w:tabs>
          <w:tab w:leader="none" w:pos="168"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Covenants of the Adviser</w:t>
      </w:r>
      <w:r>
        <w:rPr>
          <w:rFonts w:ascii="Arial" w:cs="Arial" w:eastAsia="Arial" w:hAnsi="Arial"/>
          <w:sz w:val="16"/>
          <w:szCs w:val="16"/>
          <w:color w:val="auto"/>
        </w:rPr>
        <w:t>. The Adviser covenants that it is registered as an investment adviser under the Advisers Act. The Adviser agrees that its activities will at all times be in compliance in all material respects with all applicable federal and state laws governing its operations and investments.</w:t>
      </w:r>
    </w:p>
    <w:p>
      <w:pPr>
        <w:spacing w:after="0" w:line="85" w:lineRule="exact"/>
        <w:rPr>
          <w:rFonts w:ascii="Arial" w:cs="Arial" w:eastAsia="Arial" w:hAnsi="Arial"/>
          <w:sz w:val="16"/>
          <w:szCs w:val="16"/>
          <w:color w:val="auto"/>
        </w:rPr>
      </w:pPr>
    </w:p>
    <w:p>
      <w:pPr>
        <w:ind w:left="-464" w:right="220" w:firstLine="464"/>
        <w:spacing w:after="0" w:line="259" w:lineRule="auto"/>
        <w:tabs>
          <w:tab w:leader="none" w:pos="16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Excess Brokerage Commissions</w:t>
      </w:r>
      <w:r>
        <w:rPr>
          <w:rFonts w:ascii="Arial" w:cs="Arial" w:eastAsia="Arial" w:hAnsi="Arial"/>
          <w:sz w:val="18"/>
          <w:szCs w:val="18"/>
          <w:color w:val="auto"/>
        </w:rPr>
        <w:t>. The Adviser is hereby authorized, to the fullest extent now or hereafter permitted by law, to cause the Corporation to pay a member of a national securities exchange, broker or dealer an amount of commission for effecting a securities transaction in excess of the amount of commission another member of such exchange, broker or</w:t>
      </w:r>
    </w:p>
    <w:p>
      <w:pPr>
        <w:spacing w:after="0" w:line="126" w:lineRule="exact"/>
        <w:rPr>
          <w:rFonts w:ascii="Arial" w:cs="Arial" w:eastAsia="Arial" w:hAnsi="Arial"/>
          <w:sz w:val="18"/>
          <w:szCs w:val="18"/>
          <w:color w:val="auto"/>
        </w:rPr>
      </w:pPr>
    </w:p>
    <w:p>
      <w:pPr>
        <w:ind w:left="5216" w:hanging="112"/>
        <w:spacing w:after="0"/>
        <w:tabs>
          <w:tab w:leader="none" w:pos="5216" w:val="left"/>
        </w:tabs>
        <w:numPr>
          <w:ilvl w:val="3"/>
          <w:numId w:val="8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36"/>
          </w:cols>
          <w:pgMar w:left="704" w:top="280" w:right="259" w:bottom="1440" w:gutter="0" w:footer="0" w:header="0"/>
        </w:sectPr>
      </w:pPr>
    </w:p>
    <w:bookmarkStart w:id="143" w:name="page144"/>
    <w:bookmarkEnd w:id="143"/>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Corporation’s portfolio, and constitutes the best net results for the Corporation.</w:t>
      </w:r>
    </w:p>
    <w:p>
      <w:pPr>
        <w:spacing w:after="0" w:line="143" w:lineRule="exact"/>
        <w:rPr>
          <w:sz w:val="20"/>
          <w:szCs w:val="20"/>
          <w:color w:val="auto"/>
        </w:rPr>
      </w:pPr>
    </w:p>
    <w:p>
      <w:pPr>
        <w:ind w:firstLine="464"/>
        <w:spacing w:after="0" w:line="286" w:lineRule="auto"/>
        <w:tabs>
          <w:tab w:leader="none" w:pos="63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Limitations on the Employment of the Adviser</w:t>
      </w:r>
      <w:r>
        <w:rPr>
          <w:rFonts w:ascii="Arial" w:cs="Arial" w:eastAsia="Arial" w:hAnsi="Arial"/>
          <w:sz w:val="16"/>
          <w:szCs w:val="16"/>
          <w:color w:val="auto"/>
        </w:rPr>
        <w:t>. The services of the Adviser to the Corporation are not exclusive, and the Adviser may engage in any other business or render similar or different services to others including, without limitation, the direct or indirect sponsorship or management of other investment based accounts or commingled pools of capital, however structured, having investment objectives similar to those of the Corporation, so long as its services to the Corporation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Corporation’s portfolio companies, subject to applicable law). So long as this Agreement or any extension, renewal or amendment remains in effect, the Adviser shall be the only investment adviser for the Corporation, subject to the Adviser’s right to enter into sub-advisory agreements. The Adviser assumes no responsibility under this Agreement other than to render the services called for hereunder. It is understood that directors, officers, employees and stockholders of the Corporation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Corporation as stockholders or otherwise.</w:t>
      </w:r>
    </w:p>
    <w:p>
      <w:pPr>
        <w:spacing w:after="0" w:line="124" w:lineRule="exact"/>
        <w:rPr>
          <w:rFonts w:ascii="Arial" w:cs="Arial" w:eastAsia="Arial" w:hAnsi="Arial"/>
          <w:sz w:val="16"/>
          <w:szCs w:val="16"/>
          <w:color w:val="auto"/>
        </w:rPr>
      </w:pPr>
    </w:p>
    <w:p>
      <w:pPr>
        <w:ind w:right="20" w:firstLine="464"/>
        <w:spacing w:after="0" w:line="255" w:lineRule="auto"/>
        <w:tabs>
          <w:tab w:leader="none" w:pos="63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Responsibility of Dual Directors, Officers and/or Employees</w:t>
      </w:r>
      <w:r>
        <w:rPr>
          <w:rFonts w:ascii="Arial" w:cs="Arial" w:eastAsia="Arial" w:hAnsi="Arial"/>
          <w:sz w:val="18"/>
          <w:szCs w:val="18"/>
          <w:color w:val="auto"/>
        </w:rPr>
        <w:t>. If any person who is a manager, partner, officer or employee of the Adviser or the Administrator is or becomes a director, officer and/or employee of the Corporation and acts as such in any business of the Corporation, then such manager, partner, officer and/or employee of the Adviser or the Administrator shall be deemed to be acting in such capacity solely for the Corporation, and not as a manager, partner, officer or employee of the Adviser or the Administrator or under the control or direction of the Adviser or the Administrator, even if paid by the Adviser or the Administrator.</w:t>
      </w:r>
    </w:p>
    <w:p>
      <w:pPr>
        <w:spacing w:after="0" w:line="142" w:lineRule="exact"/>
        <w:rPr>
          <w:rFonts w:ascii="Arial" w:cs="Arial" w:eastAsia="Arial" w:hAnsi="Arial"/>
          <w:sz w:val="18"/>
          <w:szCs w:val="18"/>
          <w:color w:val="auto"/>
        </w:rPr>
      </w:pPr>
    </w:p>
    <w:p>
      <w:pPr>
        <w:ind w:firstLine="464"/>
        <w:spacing w:after="0" w:line="306" w:lineRule="auto"/>
        <w:tabs>
          <w:tab w:leader="none" w:pos="63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Limitation of Liability of the Adviser; Indemnification</w:t>
      </w:r>
      <w:r>
        <w:rPr>
          <w:rFonts w:ascii="Arial" w:cs="Arial" w:eastAsia="Arial" w:hAnsi="Arial"/>
          <w:sz w:val="16"/>
          <w:szCs w:val="16"/>
          <w:color w:val="auto"/>
        </w:rPr>
        <w:t>. The Adviser (and its officers, managers, partners, agents, employees, controlling persons, members and any other person or entity affiliated with the Adviser, including without limitation its general partner and the Administrator) shall not be liable to the Corporation for any action taken or omitted to be taken by the Adviser in connection with the performance of any of its duties or obligations under</w:t>
      </w:r>
    </w:p>
    <w:p>
      <w:pPr>
        <w:spacing w:after="0" w:line="93" w:lineRule="exact"/>
        <w:rPr>
          <w:rFonts w:ascii="Arial" w:cs="Arial" w:eastAsia="Arial" w:hAnsi="Arial"/>
          <w:sz w:val="16"/>
          <w:szCs w:val="16"/>
          <w:color w:val="auto"/>
        </w:rPr>
      </w:pPr>
    </w:p>
    <w:p>
      <w:pPr>
        <w:ind w:left="5680" w:hanging="112"/>
        <w:spacing w:after="0"/>
        <w:tabs>
          <w:tab w:leader="none" w:pos="56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00"/>
          </w:cols>
          <w:pgMar w:left="240" w:top="280" w:right="259" w:bottom="1440" w:gutter="0" w:footer="0" w:header="0"/>
        </w:sectPr>
      </w:pPr>
    </w:p>
    <w:bookmarkStart w:id="144" w:name="page145"/>
    <w:bookmarkEnd w:id="14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or otherwise as an investment adviser of the Corporation, except to the extent specified in Section 36(b) of the 1940 Act concerning loss resulting from a breach of fiduciary duty (as the same is finally determined by judicial proceedings) with respect to the receipt of compensation for services, and the Corporation shall indemnify, defend and protect the Adviser (and its officers, managers, partners, agents, employees, controlling persons, members and any other person or entity affiliated with the Adviser, including without limitation its general partner and the Administrator,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Adviser’s duties or obligations under this Agreement or otherwise as an investment adviser of the Corporation. Notwithstanding the preceding sentence of this Paragraph 8 to the contrary, nothing contained herein shall protect or 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Adviser’s duties or by reason of the reckless disregard of the Adviser’s duties and obligations under this Agreement (as the same shall be determined in accordance with the 1940 Act and any interpretations or guidance by the Securities and Exchange Commission or its staff thereunder).</w:t>
      </w:r>
    </w:p>
    <w:p>
      <w:pPr>
        <w:spacing w:after="0" w:line="121" w:lineRule="exact"/>
        <w:rPr>
          <w:sz w:val="20"/>
          <w:szCs w:val="20"/>
          <w:color w:val="auto"/>
        </w:rPr>
      </w:pPr>
    </w:p>
    <w:p>
      <w:pPr>
        <w:jc w:val="both"/>
        <w:ind w:right="100" w:firstLine="464"/>
        <w:spacing w:after="0" w:line="303" w:lineRule="auto"/>
        <w:tabs>
          <w:tab w:leader="none" w:pos="632" w:val="left"/>
        </w:tabs>
        <w:numPr>
          <w:ilvl w:val="1"/>
          <w:numId w:val="83"/>
        </w:numPr>
        <w:rPr>
          <w:rFonts w:ascii="Arial" w:cs="Arial" w:eastAsia="Arial" w:hAnsi="Arial"/>
          <w:sz w:val="15"/>
          <w:szCs w:val="15"/>
          <w:color w:val="auto"/>
        </w:rPr>
      </w:pPr>
      <w:r>
        <w:rPr>
          <w:rFonts w:ascii="Arial" w:cs="Arial" w:eastAsia="Arial" w:hAnsi="Arial"/>
          <w:sz w:val="15"/>
          <w:szCs w:val="15"/>
          <w:u w:val="single" w:color="auto"/>
          <w:color w:val="auto"/>
        </w:rPr>
        <w:t>Effectiveness, Duration and Termination of Agreement</w:t>
      </w:r>
      <w:r>
        <w:rPr>
          <w:rFonts w:ascii="Arial" w:cs="Arial" w:eastAsia="Arial" w:hAnsi="Arial"/>
          <w:sz w:val="15"/>
          <w:szCs w:val="15"/>
          <w:color w:val="auto"/>
        </w:rPr>
        <w:t>. This Agreement shall become effective as of the first date above written. This Agreement shall remain in effect for two years, and thereafter shall continue automatically for successive annual periods, provided that such continuance is specifically approved at least annually by (a) the vote of the Corporation’s Board of Directors, or by the vote of a majority of the outstanding voting securities of the Corporation and</w:t>
      </w:r>
    </w:p>
    <w:p>
      <w:pPr>
        <w:spacing w:after="0" w:line="1" w:lineRule="exact"/>
        <w:rPr>
          <w:rFonts w:ascii="Arial" w:cs="Arial" w:eastAsia="Arial" w:hAnsi="Arial"/>
          <w:sz w:val="15"/>
          <w:szCs w:val="15"/>
          <w:color w:val="auto"/>
        </w:rPr>
      </w:pPr>
    </w:p>
    <w:p>
      <w:pPr>
        <w:ind w:right="60" w:firstLine="8"/>
        <w:spacing w:after="0" w:line="281" w:lineRule="auto"/>
        <w:tabs>
          <w:tab w:leader="none" w:pos="249"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vote of a majority of the Corporation’s directors who are not parties to this Agreement or “interested persons” (as such term is defined in Section 2(a)(19) of the 1940 Act) of any such party, in accordance with the requirements of the 1940 Act. This Agreement may be terminated at any time, without the payment of any penalty, upon 60 days’ written notice, by the vote of a majority of the outstanding voting securities of the Corporation, or by the vote of the Corporation’s Directors or by the Adviser. This Agreement will automatically terminate in the event of its “assignment” (as such term is defined for purposes of Section 15(a)</w:t>
      </w:r>
    </w:p>
    <w:p>
      <w:pPr>
        <w:spacing w:after="0" w:line="2" w:lineRule="exact"/>
        <w:rPr>
          <w:rFonts w:ascii="Arial" w:cs="Arial" w:eastAsia="Arial" w:hAnsi="Arial"/>
          <w:sz w:val="16"/>
          <w:szCs w:val="16"/>
          <w:color w:val="auto"/>
        </w:rPr>
      </w:pPr>
    </w:p>
    <w:p>
      <w:pPr>
        <w:ind w:right="120"/>
        <w:spacing w:after="0" w:line="254" w:lineRule="auto"/>
        <w:rPr>
          <w:rFonts w:ascii="Arial" w:cs="Arial" w:eastAsia="Arial" w:hAnsi="Arial"/>
          <w:sz w:val="16"/>
          <w:szCs w:val="16"/>
          <w:color w:val="auto"/>
        </w:rPr>
      </w:pPr>
      <w:r>
        <w:rPr>
          <w:rFonts w:ascii="Arial" w:cs="Arial" w:eastAsia="Arial" w:hAnsi="Arial"/>
          <w:sz w:val="18"/>
          <w:szCs w:val="18"/>
          <w:color w:val="auto"/>
        </w:rPr>
        <w:t>(4) of the 1940 Act). The provisions of Paragraph 8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8 shall continue in force and effect and apply to the Adviser and its representatives as and to the extent applicable.</w:t>
      </w:r>
    </w:p>
    <w:p>
      <w:pPr>
        <w:spacing w:after="0" w:line="143" w:lineRule="exact"/>
        <w:rPr>
          <w:rFonts w:ascii="Arial" w:cs="Arial" w:eastAsia="Arial" w:hAnsi="Arial"/>
          <w:sz w:val="16"/>
          <w:szCs w:val="16"/>
          <w:color w:val="auto"/>
        </w:rPr>
      </w:pPr>
    </w:p>
    <w:p>
      <w:pPr>
        <w:ind w:right="580" w:firstLine="464"/>
        <w:spacing w:after="0" w:line="268" w:lineRule="auto"/>
        <w:tabs>
          <w:tab w:leader="none" w:pos="72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under this Agreement shall be given in writing, addressed and delivered or mailed, postage prepaid, to the other party at its principal office.</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2"/>
          <w:numId w:val="84"/>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360"/>
          </w:cols>
          <w:pgMar w:left="240" w:top="280" w:right="299" w:bottom="1440" w:gutter="0" w:footer="0" w:header="0"/>
        </w:sectPr>
      </w:pPr>
    </w:p>
    <w:bookmarkStart w:id="145" w:name="page146"/>
    <w:bookmarkEnd w:id="145"/>
    <w:p>
      <w:pPr>
        <w:ind w:left="-160" w:right="480" w:firstLine="464"/>
        <w:spacing w:after="0" w:line="332" w:lineRule="auto"/>
        <w:tabs>
          <w:tab w:leader="none" w:pos="553"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r>
        <w:rPr>
          <w:rFonts w:ascii="Arial" w:cs="Arial" w:eastAsia="Arial" w:hAnsi="Arial"/>
          <w:sz w:val="16"/>
          <w:szCs w:val="16"/>
          <w:color w:val="auto"/>
        </w:rPr>
        <w:t>. This Agreement may be amended by mutual consent, but the consent of the Corporation must be obtained in conformity with the requirements of the 1940 Act.</w:t>
      </w:r>
    </w:p>
    <w:p>
      <w:pPr>
        <w:spacing w:after="0" w:line="85" w:lineRule="exact"/>
        <w:rPr>
          <w:rFonts w:ascii="Arial" w:cs="Arial" w:eastAsia="Arial" w:hAnsi="Arial"/>
          <w:sz w:val="16"/>
          <w:szCs w:val="16"/>
          <w:color w:val="auto"/>
        </w:rPr>
      </w:pPr>
    </w:p>
    <w:p>
      <w:pPr>
        <w:ind w:left="-160" w:firstLine="464"/>
        <w:spacing w:after="0" w:line="256" w:lineRule="auto"/>
        <w:tabs>
          <w:tab w:leader="none" w:pos="5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This Agreement contains the entire agreement of the parties and supersedes all prior agreements, understandings and arrangements with respect to the subject matter hereof. This Agreement shall be construed in accordance with the laws of the State of New York and the applicable provisions of the 1940 Act. To the extent the applicable laws of the State of New York, or any of the provisions herein, conflict with the provisions of the 1940 Act, the latter shall control.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120"/>
          </w:cols>
          <w:pgMar w:left="400" w:top="280" w:right="37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on the date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PENNANTPARK FLOATING RATE CAPITAL LTD.</w:t>
      </w: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-13970</wp:posOffset>
            </wp:positionV>
            <wp:extent cx="26930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6720"/>
        <w:spacing w:after="0"/>
        <w:rPr>
          <w:sz w:val="20"/>
          <w:szCs w:val="20"/>
          <w:color w:val="auto"/>
        </w:rPr>
      </w:pPr>
      <w:r>
        <w:rPr>
          <w:rFonts w:ascii="Arial" w:cs="Arial" w:eastAsia="Arial" w:hAnsi="Arial"/>
          <w:sz w:val="18"/>
          <w:szCs w:val="18"/>
          <w:color w:val="auto"/>
        </w:rPr>
        <w:t>Name: Arthur Penn</w:t>
      </w:r>
    </w:p>
    <w:p>
      <w:pPr>
        <w:spacing w:after="0" w:line="9" w:lineRule="exact"/>
        <w:rPr>
          <w:sz w:val="20"/>
          <w:szCs w:val="20"/>
          <w:color w:val="auto"/>
        </w:rPr>
      </w:pPr>
    </w:p>
    <w:p>
      <w:pPr>
        <w:ind w:left="6720"/>
        <w:spacing w:after="0"/>
        <w:tabs>
          <w:tab w:leader="none" w:pos="7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Chairman of</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the Board of Directors</w:t>
      </w:r>
    </w:p>
    <w:p>
      <w:pPr>
        <w:spacing w:after="0" w:line="22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INVESTMENT ADVISERS, LLC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-13970</wp:posOffset>
            </wp:positionV>
            <wp:extent cx="26930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6720"/>
        <w:spacing w:after="0"/>
        <w:rPr>
          <w:sz w:val="20"/>
          <w:szCs w:val="20"/>
          <w:color w:val="auto"/>
        </w:rPr>
      </w:pPr>
      <w:r>
        <w:rPr>
          <w:rFonts w:ascii="Arial" w:cs="Arial" w:eastAsia="Arial" w:hAnsi="Arial"/>
          <w:sz w:val="18"/>
          <w:szCs w:val="18"/>
          <w:color w:val="auto"/>
        </w:rPr>
        <w:t>Name: Arthur Penn</w:t>
      </w:r>
    </w:p>
    <w:p>
      <w:pPr>
        <w:spacing w:after="0" w:line="9" w:lineRule="exact"/>
        <w:rPr>
          <w:sz w:val="20"/>
          <w:szCs w:val="20"/>
          <w:color w:val="auto"/>
        </w:rPr>
      </w:pPr>
    </w:p>
    <w:p>
      <w:pPr>
        <w:ind w:left="6720"/>
        <w:spacing w:after="0"/>
        <w:tabs>
          <w:tab w:leader="none" w:pos="7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460"/>
          </w:cols>
          <w:pgMar w:left="700" w:top="280" w:right="7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2607310" cy="523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0731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CUSTODY AGREEMENT</w:t>
      </w:r>
    </w:p>
    <w:p>
      <w:pPr>
        <w:spacing w:after="0" w:line="177"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AGREEMENT, dated as of March 3, 2011, between Pennantpark Floating Rate Capital Ltd. (the “Fund”) and The Bank of New York Mellon, a New York corporation authorized to do a banking business having its principal office and place of business at One Wall Street, New York, New York 10286 (“Custodian”).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that for and in consideration of the mutual promises hereinafter set forth the Fund and Custodian agree as follows: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Whenever used in this Agreement, the following words shall have the meanings set forth below:</w:t>
      </w:r>
    </w:p>
    <w:p>
      <w:pPr>
        <w:spacing w:after="0" w:line="165" w:lineRule="exact"/>
        <w:rPr>
          <w:sz w:val="20"/>
          <w:szCs w:val="20"/>
          <w:color w:val="auto"/>
        </w:rPr>
      </w:pPr>
    </w:p>
    <w:p>
      <w:pPr>
        <w:jc w:val="both"/>
        <w:ind w:right="460" w:firstLine="464"/>
        <w:spacing w:after="0" w:line="262" w:lineRule="auto"/>
        <w:tabs>
          <w:tab w:leader="none" w:pos="632"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“Authorized Person” </w:t>
      </w:r>
      <w:r>
        <w:rPr>
          <w:rFonts w:ascii="Arial" w:cs="Arial" w:eastAsia="Arial" w:hAnsi="Arial"/>
          <w:sz w:val="18"/>
          <w:szCs w:val="18"/>
          <w:color w:val="auto"/>
        </w:rPr>
        <w:t>shall be any person, whether or not an officer or employee of the Fund, duly authorized by the Fund’s board to execute any</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or to give any Oral Instruction with respect to one or more Accounts, such persons to be designated in a Certificate annexed hereto as Schedule I hereto or such other Certificate as may be received by Custodian from time to time.</w:t>
      </w:r>
    </w:p>
    <w:p>
      <w:pPr>
        <w:spacing w:after="0" w:line="132" w:lineRule="exact"/>
        <w:rPr>
          <w:rFonts w:ascii="Arial" w:cs="Arial" w:eastAsia="Arial" w:hAnsi="Arial"/>
          <w:sz w:val="18"/>
          <w:szCs w:val="18"/>
          <w:color w:val="auto"/>
        </w:rPr>
      </w:pPr>
    </w:p>
    <w:p>
      <w:pPr>
        <w:ind w:left="640" w:hanging="17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“BNY Affiliate” </w:t>
      </w:r>
      <w:r>
        <w:rPr>
          <w:rFonts w:ascii="Arial" w:cs="Arial" w:eastAsia="Arial" w:hAnsi="Arial"/>
          <w:sz w:val="18"/>
          <w:szCs w:val="18"/>
          <w:color w:val="auto"/>
        </w:rPr>
        <w:t>shall mean any office, branch or subsidiary of The Bank of New York Mellon Corporation.</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86"/>
        </w:numPr>
        <w:rPr>
          <w:rFonts w:ascii="Arial" w:cs="Arial" w:eastAsia="Arial" w:hAnsi="Arial"/>
          <w:sz w:val="15"/>
          <w:szCs w:val="15"/>
          <w:color w:val="auto"/>
        </w:rPr>
      </w:pPr>
      <w:r>
        <w:rPr>
          <w:rFonts w:ascii="Arial" w:cs="Arial" w:eastAsia="Arial" w:hAnsi="Arial"/>
          <w:sz w:val="15"/>
          <w:szCs w:val="15"/>
          <w:b w:val="1"/>
          <w:bCs w:val="1"/>
          <w:color w:val="auto"/>
        </w:rPr>
        <w:t xml:space="preserve">“Book-Entry System” </w:t>
      </w:r>
      <w:r>
        <w:rPr>
          <w:rFonts w:ascii="Arial" w:cs="Arial" w:eastAsia="Arial" w:hAnsi="Arial"/>
          <w:sz w:val="15"/>
          <w:szCs w:val="15"/>
          <w:color w:val="auto"/>
        </w:rPr>
        <w:t>shall mean the Federal Reserve/Treasury book-entry system for receiving and delivering securities, its successors and nominees.</w:t>
      </w:r>
    </w:p>
    <w:p>
      <w:pPr>
        <w:spacing w:after="0" w:line="205" w:lineRule="exact"/>
        <w:rPr>
          <w:rFonts w:ascii="Arial" w:cs="Arial" w:eastAsia="Arial" w:hAnsi="Arial"/>
          <w:sz w:val="15"/>
          <w:szCs w:val="15"/>
          <w:color w:val="auto"/>
        </w:rPr>
      </w:pPr>
    </w:p>
    <w:p>
      <w:pPr>
        <w:ind w:left="640" w:hanging="17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shall mean any day on which Custodian and relevant Depositories are open for business.</w:t>
      </w:r>
    </w:p>
    <w:p>
      <w:pPr>
        <w:spacing w:after="0" w:line="171" w:lineRule="exact"/>
        <w:rPr>
          <w:rFonts w:ascii="Arial" w:cs="Arial" w:eastAsia="Arial" w:hAnsi="Arial"/>
          <w:sz w:val="18"/>
          <w:szCs w:val="18"/>
          <w:color w:val="auto"/>
        </w:rPr>
      </w:pPr>
    </w:p>
    <w:p>
      <w:pPr>
        <w:jc w:val="both"/>
        <w:ind w:right="400" w:firstLine="464"/>
        <w:spacing w:after="0" w:line="262" w:lineRule="auto"/>
        <w:tabs>
          <w:tab w:leader="none" w:pos="632"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“Certificate” </w:t>
      </w:r>
      <w:r>
        <w:rPr>
          <w:rFonts w:ascii="Arial" w:cs="Arial" w:eastAsia="Arial" w:hAnsi="Arial"/>
          <w:sz w:val="18"/>
          <w:szCs w:val="18"/>
          <w:color w:val="auto"/>
        </w:rPr>
        <w:t>shall mean any notice, instruction, or other instrument in writing, authorized or required by this Agreement to be given to Custodian,</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actually received by Custodian by letter or facsimile transmission and signed on behalf of the Fund by an Authorized Person or a person reasonably believed by Custodian to be an Authorized Person.</w:t>
      </w:r>
    </w:p>
    <w:p>
      <w:pPr>
        <w:spacing w:after="0" w:line="132" w:lineRule="exact"/>
        <w:rPr>
          <w:rFonts w:ascii="Arial" w:cs="Arial" w:eastAsia="Arial" w:hAnsi="Arial"/>
          <w:sz w:val="18"/>
          <w:szCs w:val="18"/>
          <w:color w:val="auto"/>
        </w:rPr>
      </w:pPr>
    </w:p>
    <w:p>
      <w:pPr>
        <w:ind w:right="280" w:firstLine="464"/>
        <w:spacing w:after="0" w:line="275" w:lineRule="auto"/>
        <w:tabs>
          <w:tab w:leader="none" w:pos="632"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“Composite Currency Unit” </w:t>
      </w:r>
      <w:r>
        <w:rPr>
          <w:rFonts w:ascii="Arial" w:cs="Arial" w:eastAsia="Arial" w:hAnsi="Arial"/>
          <w:sz w:val="18"/>
          <w:szCs w:val="18"/>
          <w:color w:val="auto"/>
        </w:rPr>
        <w:t>shall mean the Euro or any other composite currency unit consisting of the aggregate of specified amounts of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currencies, as such unit may be constituted from time to time.</w:t>
      </w:r>
    </w:p>
    <w:p>
      <w:pPr>
        <w:spacing w:after="0" w:line="119" w:lineRule="exact"/>
        <w:rPr>
          <w:rFonts w:ascii="Arial" w:cs="Arial" w:eastAsia="Arial" w:hAnsi="Arial"/>
          <w:sz w:val="18"/>
          <w:szCs w:val="18"/>
          <w:color w:val="auto"/>
        </w:rPr>
      </w:pPr>
    </w:p>
    <w:p>
      <w:pPr>
        <w:ind w:right="600" w:firstLine="464"/>
        <w:spacing w:after="0" w:line="262" w:lineRule="auto"/>
        <w:tabs>
          <w:tab w:leader="none" w:pos="632"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“Depository” </w:t>
      </w:r>
      <w:r>
        <w:rPr>
          <w:rFonts w:ascii="Arial" w:cs="Arial" w:eastAsia="Arial" w:hAnsi="Arial"/>
          <w:sz w:val="18"/>
          <w:szCs w:val="18"/>
          <w:color w:val="auto"/>
        </w:rPr>
        <w:t>shall include (a) the Book-Entry System, (b) the Depository Trust Company, (c) any other clearing agency or securities depository</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with the Securities and Exchange Commission identified to the Fund from time to time, and (d) the respective successors and nominees of the foregoing.</w:t>
      </w:r>
    </w:p>
    <w:p>
      <w:pPr>
        <w:sectPr>
          <w:pgSz w:w="11900" w:h="16838" w:orient="portrait"/>
          <w:cols w:equalWidth="0" w:num="1">
            <w:col w:w="11420"/>
          </w:cols>
          <w:pgMar w:left="240" w:top="125" w:right="239" w:bottom="1440" w:gutter="0" w:footer="0" w:header="0"/>
        </w:sectPr>
      </w:pPr>
    </w:p>
    <w:bookmarkStart w:id="148" w:name="page149"/>
    <w:bookmarkEnd w:id="148"/>
    <w:p>
      <w:pPr>
        <w:jc w:val="both"/>
        <w:ind w:right="200" w:firstLine="464"/>
        <w:spacing w:after="0" w:line="262" w:lineRule="auto"/>
        <w:tabs>
          <w:tab w:leader="none" w:pos="632"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“Foreign Depository” </w:t>
      </w:r>
      <w:r>
        <w:rPr>
          <w:rFonts w:ascii="Arial" w:cs="Arial" w:eastAsia="Arial" w:hAnsi="Arial"/>
          <w:sz w:val="18"/>
          <w:szCs w:val="18"/>
          <w:color w:val="auto"/>
        </w:rPr>
        <w:t>shall mean (a) Euroclear, (b) Clearstream Banking, societe anonyme, (c) each Eligible Securities Depository as defined in Rule</w:t>
      </w:r>
      <w:r>
        <w:rPr>
          <w:rFonts w:ascii="Arial" w:cs="Arial" w:eastAsia="Arial" w:hAnsi="Arial"/>
          <w:sz w:val="18"/>
          <w:szCs w:val="18"/>
          <w:b w:val="1"/>
          <w:bCs w:val="1"/>
          <w:color w:val="auto"/>
        </w:rPr>
        <w:t xml:space="preserve"> </w:t>
      </w:r>
      <w:r>
        <w:rPr>
          <w:rFonts w:ascii="Arial" w:cs="Arial" w:eastAsia="Arial" w:hAnsi="Arial"/>
          <w:sz w:val="18"/>
          <w:szCs w:val="18"/>
          <w:color w:val="auto"/>
        </w:rPr>
        <w:t>17f-7 under the Investment Company Act of 1940, as amended, identified to the Fund from time to time, and (d) the respective successors and nominees of the foregoing.</w:t>
      </w:r>
    </w:p>
    <w:p>
      <w:pPr>
        <w:spacing w:after="0" w:line="132"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color w:val="auto"/>
        </w:rPr>
        <w:t>9</w:t>
      </w:r>
      <w:r>
        <w:rPr>
          <w:rFonts w:ascii="Arial" w:cs="Arial" w:eastAsia="Arial" w:hAnsi="Arial"/>
          <w:sz w:val="18"/>
          <w:szCs w:val="18"/>
          <w:b w:val="1"/>
          <w:bCs w:val="1"/>
          <w:color w:val="auto"/>
        </w:rPr>
        <w:t>. “Hedge Fund Investments”</w:t>
      </w:r>
      <w:r>
        <w:rPr>
          <w:rFonts w:ascii="Arial" w:cs="Arial" w:eastAsia="Arial" w:hAnsi="Arial"/>
          <w:sz w:val="18"/>
          <w:szCs w:val="18"/>
          <w:color w:val="auto"/>
        </w:rPr>
        <w:t xml:space="preserve"> shall mean investments by any Customer in hedge funds, mutual funds and other investment or collective investment vehicles.</w:t>
      </w:r>
    </w:p>
    <w:p>
      <w:pPr>
        <w:spacing w:after="0" w:line="120" w:lineRule="exact"/>
        <w:rPr>
          <w:sz w:val="20"/>
          <w:szCs w:val="20"/>
          <w:color w:val="auto"/>
        </w:rPr>
      </w:pPr>
    </w:p>
    <w:p>
      <w:pPr>
        <w:ind w:right="40" w:firstLine="464"/>
        <w:spacing w:after="0" w:line="275"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“Instructions” </w:t>
      </w:r>
      <w:r>
        <w:rPr>
          <w:rFonts w:ascii="Arial" w:cs="Arial" w:eastAsia="Arial" w:hAnsi="Arial"/>
          <w:sz w:val="18"/>
          <w:szCs w:val="18"/>
          <w:color w:val="auto"/>
        </w:rPr>
        <w:t>shall mean communications actually received by Custodian by S.W.I.F.T., tested telex, letter, facsimile transmission, or other method or</w:t>
      </w:r>
      <w:r>
        <w:rPr>
          <w:rFonts w:ascii="Arial" w:cs="Arial" w:eastAsia="Arial" w:hAnsi="Arial"/>
          <w:sz w:val="18"/>
          <w:szCs w:val="18"/>
          <w:b w:val="1"/>
          <w:bCs w:val="1"/>
          <w:color w:val="auto"/>
        </w:rPr>
        <w:t xml:space="preserve"> </w:t>
      </w:r>
      <w:r>
        <w:rPr>
          <w:rFonts w:ascii="Arial" w:cs="Arial" w:eastAsia="Arial" w:hAnsi="Arial"/>
          <w:sz w:val="18"/>
          <w:szCs w:val="18"/>
          <w:color w:val="auto"/>
        </w:rPr>
        <w:t>system specified by Custodian as available for use in connection with the services hereunder.</w:t>
      </w:r>
    </w:p>
    <w:p>
      <w:pPr>
        <w:spacing w:after="0" w:line="119" w:lineRule="exact"/>
        <w:rPr>
          <w:rFonts w:ascii="Arial" w:cs="Arial" w:eastAsia="Arial" w:hAnsi="Arial"/>
          <w:sz w:val="18"/>
          <w:szCs w:val="18"/>
          <w:color w:val="auto"/>
        </w:rPr>
      </w:pPr>
    </w:p>
    <w:p>
      <w:pPr>
        <w:ind w:right="640" w:firstLine="464"/>
        <w:spacing w:after="0" w:line="339" w:lineRule="auto"/>
        <w:tabs>
          <w:tab w:leader="none" w:pos="713"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“Oral Instructions” </w:t>
      </w:r>
      <w:r>
        <w:rPr>
          <w:rFonts w:ascii="Arial" w:cs="Arial" w:eastAsia="Arial" w:hAnsi="Arial"/>
          <w:sz w:val="16"/>
          <w:szCs w:val="16"/>
          <w:color w:val="auto"/>
        </w:rPr>
        <w:t>shall mean verbal instructions received by Custodian from an Authorized Person or from a person reasonably believed by</w:t>
      </w:r>
      <w:r>
        <w:rPr>
          <w:rFonts w:ascii="Arial" w:cs="Arial" w:eastAsia="Arial" w:hAnsi="Arial"/>
          <w:sz w:val="16"/>
          <w:szCs w:val="16"/>
          <w:b w:val="1"/>
          <w:bCs w:val="1"/>
          <w:color w:val="auto"/>
        </w:rPr>
        <w:t xml:space="preserve"> </w:t>
      </w:r>
      <w:r>
        <w:rPr>
          <w:rFonts w:ascii="Arial" w:cs="Arial" w:eastAsia="Arial" w:hAnsi="Arial"/>
          <w:sz w:val="16"/>
          <w:szCs w:val="16"/>
          <w:color w:val="auto"/>
        </w:rPr>
        <w:t>Custodian to be an Authorized Person.</w:t>
      </w:r>
    </w:p>
    <w:p>
      <w:pPr>
        <w:spacing w:after="0" w:line="74" w:lineRule="exact"/>
        <w:rPr>
          <w:rFonts w:ascii="Arial" w:cs="Arial" w:eastAsia="Arial" w:hAnsi="Arial"/>
          <w:sz w:val="16"/>
          <w:szCs w:val="16"/>
          <w:color w:val="auto"/>
        </w:rPr>
      </w:pPr>
    </w:p>
    <w:p>
      <w:pPr>
        <w:ind w:right="40" w:firstLine="464"/>
        <w:spacing w:after="0" w:line="275"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“Series” </w:t>
      </w:r>
      <w:r>
        <w:rPr>
          <w:rFonts w:ascii="Arial" w:cs="Arial" w:eastAsia="Arial" w:hAnsi="Arial"/>
          <w:sz w:val="18"/>
          <w:szCs w:val="18"/>
          <w:color w:val="auto"/>
        </w:rPr>
        <w:t>shall mean the various portfolios, if any, of the Fund listed on Schedule II hereto, and if none are listed references to Series shall be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Fund.</w:t>
      </w:r>
    </w:p>
    <w:p>
      <w:pPr>
        <w:spacing w:after="0" w:line="119" w:lineRule="exact"/>
        <w:rPr>
          <w:rFonts w:ascii="Arial" w:cs="Arial" w:eastAsia="Arial" w:hAnsi="Arial"/>
          <w:sz w:val="18"/>
          <w:szCs w:val="18"/>
          <w:color w:val="auto"/>
        </w:rPr>
      </w:pPr>
    </w:p>
    <w:p>
      <w:pPr>
        <w:ind w:right="120" w:firstLine="464"/>
        <w:spacing w:after="0" w:line="262"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shall include, without limitation, any common stock and other equity securities, bonds, debentures and other debt securities, notes, loans,</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mortgages or other obligations, and any instruments representing rights to receive, purchase, or subscribe for the same, or representing any other rights or interests therein (whether represented by a certificate or held in a Depository or by a Subcustodian).</w:t>
      </w:r>
    </w:p>
    <w:p>
      <w:pPr>
        <w:spacing w:after="0" w:line="132" w:lineRule="exact"/>
        <w:rPr>
          <w:rFonts w:ascii="Arial" w:cs="Arial" w:eastAsia="Arial" w:hAnsi="Arial"/>
          <w:sz w:val="18"/>
          <w:szCs w:val="18"/>
          <w:color w:val="auto"/>
        </w:rPr>
      </w:pPr>
    </w:p>
    <w:p>
      <w:pPr>
        <w:ind w:right="240" w:firstLine="464"/>
        <w:spacing w:after="0" w:line="262"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“Subcustodian” </w:t>
      </w:r>
      <w:r>
        <w:rPr>
          <w:rFonts w:ascii="Arial" w:cs="Arial" w:eastAsia="Arial" w:hAnsi="Arial"/>
          <w:sz w:val="18"/>
          <w:szCs w:val="18"/>
          <w:color w:val="auto"/>
        </w:rPr>
        <w:t>shall mean a bank (including any branch thereof) or other financial institution (other than a Foreign Depository) located outside the</w:t>
      </w:r>
      <w:r>
        <w:rPr>
          <w:rFonts w:ascii="Arial" w:cs="Arial" w:eastAsia="Arial" w:hAnsi="Arial"/>
          <w:sz w:val="18"/>
          <w:szCs w:val="18"/>
          <w:b w:val="1"/>
          <w:bCs w:val="1"/>
          <w:color w:val="auto"/>
        </w:rPr>
        <w:t xml:space="preserve"> </w:t>
      </w:r>
      <w:r>
        <w:rPr>
          <w:rFonts w:ascii="Arial" w:cs="Arial" w:eastAsia="Arial" w:hAnsi="Arial"/>
          <w:sz w:val="18"/>
          <w:szCs w:val="18"/>
          <w:color w:val="auto"/>
        </w:rPr>
        <w:t>U.S. which is utilized by Custodian in connection with the purchase, sale or custody of Securities hereunder and identified to the Fund from time to time, and their respective successors and nominees.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APPOINTMENT OF CUSTODIAN; ACCOUNTS;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1.(a) The Fund hereby appoints Custodian as custodian of all Securities and cash at any time delivered to Custodian during the term of this Agreement, and authorizes Custodian to hold Securities in registered form in its name or the name of its nominees. Custodian hereby accepts such appointment and agrees to establish and maintain one or more securities accounts and cash accounts for each Series in which Custodian will hold Securities and cash as provided herein. Custodian shall maintain books and records segregating the assets of each Series from the assets of any other Series. Such accounts (each, an “Account”; collectively, the “Accounts”) shall be in the name of the Fund.</w:t>
      </w:r>
    </w:p>
    <w:p>
      <w:pPr>
        <w:spacing w:after="0" w:line="143" w:lineRule="exact"/>
        <w:rPr>
          <w:sz w:val="20"/>
          <w:szCs w:val="20"/>
          <w:color w:val="auto"/>
        </w:rPr>
      </w:pPr>
    </w:p>
    <w:p>
      <w:pPr>
        <w:ind w:firstLine="921"/>
        <w:spacing w:after="0" w:line="332" w:lineRule="auto"/>
        <w:tabs>
          <w:tab w:leader="none" w:pos="1162" w:val="left"/>
        </w:tabs>
        <w:numPr>
          <w:ilvl w:val="0"/>
          <w:numId w:val="89"/>
        </w:numPr>
        <w:rPr>
          <w:rFonts w:ascii="Arial" w:cs="Arial" w:eastAsia="Arial" w:hAnsi="Arial"/>
          <w:sz w:val="16"/>
          <w:szCs w:val="16"/>
          <w:color w:val="auto"/>
        </w:rPr>
      </w:pPr>
      <w:r>
        <w:rPr>
          <w:rFonts w:ascii="Arial" w:cs="Arial" w:eastAsia="Arial" w:hAnsi="Arial"/>
          <w:sz w:val="16"/>
          <w:szCs w:val="16"/>
          <w:color w:val="auto"/>
        </w:rPr>
        <w:t>Custodian may from time to time establish on its books and records such sub-accounts within each Account as the Fund and Custodian may agree upon (each a “Special Account”), and Custodian shall reflect therein such assets as the Fund may specify in a Certificate or Instructions.</w:t>
      </w:r>
    </w:p>
    <w:p>
      <w:pPr>
        <w:spacing w:after="0" w:line="71" w:lineRule="exact"/>
        <w:rPr>
          <w:rFonts w:ascii="Arial" w:cs="Arial" w:eastAsia="Arial" w:hAnsi="Arial"/>
          <w:sz w:val="16"/>
          <w:szCs w:val="16"/>
          <w:color w:val="auto"/>
        </w:rPr>
      </w:pPr>
    </w:p>
    <w:p>
      <w:pPr>
        <w:ind w:left="5680" w:hanging="112"/>
        <w:spacing w:after="0"/>
        <w:tabs>
          <w:tab w:leader="none" w:pos="56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74" w:right="239" w:bottom="1440" w:gutter="0" w:footer="0" w:header="0"/>
        </w:sectPr>
      </w:pPr>
    </w:p>
    <w:bookmarkStart w:id="149" w:name="page150"/>
    <w:bookmarkEnd w:id="149"/>
    <w:p>
      <w:pPr>
        <w:ind w:left="-464" w:right="320" w:firstLine="921"/>
        <w:spacing w:after="0" w:line="306" w:lineRule="auto"/>
        <w:tabs>
          <w:tab w:leader="none" w:pos="687" w:val="left"/>
        </w:tabs>
        <w:numPr>
          <w:ilvl w:val="1"/>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Custodian may from time to time establish pursuant to a written agreement with and for the benefit of a broker, dealer, future commission merchant or other third party identified in a Certificate or Instructions such accounts on such terms and conditions as the Fund and Custodian shall agree, and Custodian shall transfer to such account such Securities and money as the Fund may specify in a Certificate or Instructions.</w:t>
      </w:r>
    </w:p>
    <w:p>
      <w:pPr>
        <w:spacing w:after="0" w:line="106" w:lineRule="exact"/>
        <w:rPr>
          <w:rFonts w:ascii="Arial" w:cs="Arial" w:eastAsia="Arial" w:hAnsi="Arial"/>
          <w:sz w:val="16"/>
          <w:szCs w:val="16"/>
          <w:color w:val="auto"/>
        </w:rPr>
      </w:pPr>
    </w:p>
    <w:p>
      <w:pPr>
        <w:ind w:left="-464" w:right="360" w:firstLine="464"/>
        <w:spacing w:after="0" w:line="268" w:lineRule="auto"/>
        <w:tabs>
          <w:tab w:leader="none" w:pos="16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Fund hereby represents and warrants, which representations and warranties shall be continuing and shall be deemed to be reaffirmed upon each delivery of a Certificate or each giving of Oral Instructions or Instructions by the Fund, that:</w:t>
      </w:r>
    </w:p>
    <w:p>
      <w:pPr>
        <w:spacing w:after="0" w:line="131" w:lineRule="exact"/>
        <w:rPr>
          <w:rFonts w:ascii="Arial" w:cs="Arial" w:eastAsia="Arial" w:hAnsi="Arial"/>
          <w:sz w:val="18"/>
          <w:szCs w:val="18"/>
          <w:color w:val="auto"/>
        </w:rPr>
      </w:pPr>
    </w:p>
    <w:p>
      <w:pPr>
        <w:ind w:left="-464" w:right="120" w:firstLine="921"/>
        <w:spacing w:after="0" w:line="268" w:lineRule="auto"/>
        <w:tabs>
          <w:tab w:leader="none" w:pos="687" w:val="left"/>
        </w:tabs>
        <w:numPr>
          <w:ilvl w:val="1"/>
          <w:numId w:val="91"/>
        </w:numPr>
        <w:rPr>
          <w:rFonts w:ascii="Arial" w:cs="Arial" w:eastAsia="Arial" w:hAnsi="Arial"/>
          <w:sz w:val="18"/>
          <w:szCs w:val="18"/>
          <w:color w:val="auto"/>
        </w:rPr>
      </w:pPr>
      <w:r>
        <w:rPr>
          <w:rFonts w:ascii="Arial" w:cs="Arial" w:eastAsia="Arial" w:hAnsi="Arial"/>
          <w:sz w:val="18"/>
          <w:szCs w:val="18"/>
          <w:color w:val="auto"/>
        </w:rPr>
        <w:t>It is duly organized and existing under the laws of the jurisdiction of its organization, with full power to carry on its business as now conducted, to enter into this Agreement, and to perform its obligations hereunder;</w:t>
      </w:r>
    </w:p>
    <w:p>
      <w:pPr>
        <w:spacing w:after="0" w:line="131" w:lineRule="exact"/>
        <w:rPr>
          <w:rFonts w:ascii="Arial" w:cs="Arial" w:eastAsia="Arial" w:hAnsi="Arial"/>
          <w:sz w:val="18"/>
          <w:szCs w:val="18"/>
          <w:color w:val="auto"/>
        </w:rPr>
      </w:pPr>
    </w:p>
    <w:p>
      <w:pPr>
        <w:ind w:left="-464" w:right="20" w:firstLine="921"/>
        <w:spacing w:after="0" w:line="256" w:lineRule="auto"/>
        <w:tabs>
          <w:tab w:leader="none" w:pos="697"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Fund, approved by a resolution of its board, constitutes a valid and legally binding obligation of the Fund, enforceable in accordance with its terms, and there is no statute, regulation, rule, order or judgment binding on it, and no provision of its charter or by-laws, nor of any mortgage, indenture, credit agreement or other contract binding on it or affecting its property, which would prohibit its execution or performance of this Agreement;</w:t>
      </w:r>
    </w:p>
    <w:p>
      <w:pPr>
        <w:spacing w:after="0" w:line="143" w:lineRule="exact"/>
        <w:rPr>
          <w:rFonts w:ascii="Arial" w:cs="Arial" w:eastAsia="Arial" w:hAnsi="Arial"/>
          <w:sz w:val="18"/>
          <w:szCs w:val="18"/>
          <w:color w:val="auto"/>
        </w:rPr>
      </w:pPr>
    </w:p>
    <w:p>
      <w:pPr>
        <w:ind w:left="-464" w:right="400" w:firstLine="921"/>
        <w:spacing w:after="0" w:line="268" w:lineRule="auto"/>
        <w:tabs>
          <w:tab w:leader="none" w:pos="687" w:val="left"/>
        </w:tabs>
        <w:numPr>
          <w:ilvl w:val="1"/>
          <w:numId w:val="91"/>
        </w:numPr>
        <w:rPr>
          <w:rFonts w:ascii="Arial" w:cs="Arial" w:eastAsia="Arial" w:hAnsi="Arial"/>
          <w:sz w:val="18"/>
          <w:szCs w:val="18"/>
          <w:color w:val="auto"/>
        </w:rPr>
      </w:pPr>
      <w:r>
        <w:rPr>
          <w:rFonts w:ascii="Arial" w:cs="Arial" w:eastAsia="Arial" w:hAnsi="Arial"/>
          <w:sz w:val="18"/>
          <w:szCs w:val="18"/>
          <w:color w:val="auto"/>
        </w:rPr>
        <w:t>It is conducting its business in substantial compliance with all applicable laws and requirements, both state and federal, and has obtained all regulatory licenses, approvals and consents necessary to carry on its business as now conducted;</w:t>
      </w:r>
    </w:p>
    <w:p>
      <w:pPr>
        <w:spacing w:after="0" w:line="131" w:lineRule="exact"/>
        <w:rPr>
          <w:rFonts w:ascii="Arial" w:cs="Arial" w:eastAsia="Arial" w:hAnsi="Arial"/>
          <w:sz w:val="18"/>
          <w:szCs w:val="18"/>
          <w:color w:val="auto"/>
        </w:rPr>
      </w:pPr>
    </w:p>
    <w:p>
      <w:pPr>
        <w:ind w:left="-464" w:right="380" w:firstLine="921"/>
        <w:spacing w:after="0" w:line="268" w:lineRule="auto"/>
        <w:tabs>
          <w:tab w:leader="none" w:pos="697" w:val="left"/>
        </w:tabs>
        <w:numPr>
          <w:ilvl w:val="1"/>
          <w:numId w:val="91"/>
        </w:numPr>
        <w:rPr>
          <w:rFonts w:ascii="Arial" w:cs="Arial" w:eastAsia="Arial" w:hAnsi="Arial"/>
          <w:sz w:val="18"/>
          <w:szCs w:val="18"/>
          <w:color w:val="auto"/>
        </w:rPr>
      </w:pPr>
      <w:r>
        <w:rPr>
          <w:rFonts w:ascii="Arial" w:cs="Arial" w:eastAsia="Arial" w:hAnsi="Arial"/>
          <w:sz w:val="18"/>
          <w:szCs w:val="18"/>
          <w:color w:val="auto"/>
        </w:rPr>
        <w:t>It will not use the services provided by Custodian hereunder in any manner that is, or will result in, a violation of any law, rule or regulation applicable to the Fund;</w:t>
      </w:r>
    </w:p>
    <w:p>
      <w:pPr>
        <w:spacing w:after="0" w:line="131" w:lineRule="exact"/>
        <w:rPr>
          <w:rFonts w:ascii="Arial" w:cs="Arial" w:eastAsia="Arial" w:hAnsi="Arial"/>
          <w:sz w:val="18"/>
          <w:szCs w:val="18"/>
          <w:color w:val="auto"/>
        </w:rPr>
      </w:pPr>
    </w:p>
    <w:p>
      <w:pPr>
        <w:ind w:left="-464" w:right="160" w:firstLine="921"/>
        <w:spacing w:after="0" w:line="259" w:lineRule="auto"/>
        <w:tabs>
          <w:tab w:leader="none" w:pos="687" w:val="left"/>
        </w:tabs>
        <w:numPr>
          <w:ilvl w:val="1"/>
          <w:numId w:val="91"/>
        </w:numPr>
        <w:rPr>
          <w:rFonts w:ascii="Arial" w:cs="Arial" w:eastAsia="Arial" w:hAnsi="Arial"/>
          <w:sz w:val="18"/>
          <w:szCs w:val="18"/>
          <w:color w:val="auto"/>
        </w:rPr>
      </w:pPr>
      <w:r>
        <w:rPr>
          <w:rFonts w:ascii="Arial" w:cs="Arial" w:eastAsia="Arial" w:hAnsi="Arial"/>
          <w:sz w:val="18"/>
          <w:szCs w:val="18"/>
          <w:color w:val="auto"/>
        </w:rPr>
        <w:t>Its board or its foreign custody manager, as defined in Rule 17f-5 under the Investment Company Act of 1940, as amended (the “‘40 Act”), has determined that use of each Subcustodian (including any Replacement Custodian) which Custodian is authorized to utilize in accordance with Section 1(a) of Article III hereof satisfies the applicable requirements of the ‘40 Act and Rule 17f-5 thereunder;</w:t>
      </w:r>
    </w:p>
    <w:p>
      <w:pPr>
        <w:spacing w:after="0" w:line="140" w:lineRule="exact"/>
        <w:rPr>
          <w:rFonts w:ascii="Arial" w:cs="Arial" w:eastAsia="Arial" w:hAnsi="Arial"/>
          <w:sz w:val="18"/>
          <w:szCs w:val="18"/>
          <w:color w:val="auto"/>
        </w:rPr>
      </w:pPr>
    </w:p>
    <w:p>
      <w:pPr>
        <w:ind w:left="-464" w:right="400" w:firstLine="921"/>
        <w:spacing w:after="0" w:line="332" w:lineRule="auto"/>
        <w:tabs>
          <w:tab w:leader="none" w:pos="668"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Fund or its investment adviser has determined that the custody arrangements of each Foreign Depository provide reasonable safeguards against the custody risks associated with maintaining assets with such Foreign Depository within the meaning of Rule 17f-7 under the ‘40 Act;</w:t>
      </w:r>
    </w:p>
    <w:p>
      <w:pPr>
        <w:spacing w:after="0" w:line="85" w:lineRule="exact"/>
        <w:rPr>
          <w:rFonts w:ascii="Arial" w:cs="Arial" w:eastAsia="Arial" w:hAnsi="Arial"/>
          <w:sz w:val="16"/>
          <w:szCs w:val="16"/>
          <w:color w:val="auto"/>
        </w:rPr>
      </w:pPr>
    </w:p>
    <w:p>
      <w:pPr>
        <w:ind w:left="-464" w:firstLine="921"/>
        <w:spacing w:after="0" w:line="294" w:lineRule="auto"/>
        <w:tabs>
          <w:tab w:leader="none" w:pos="697" w:val="left"/>
        </w:tabs>
        <w:numPr>
          <w:ilvl w:val="1"/>
          <w:numId w:val="91"/>
        </w:numPr>
        <w:rPr>
          <w:rFonts w:ascii="Arial" w:cs="Arial" w:eastAsia="Arial" w:hAnsi="Arial"/>
          <w:sz w:val="16"/>
          <w:szCs w:val="16"/>
          <w:color w:val="auto"/>
        </w:rPr>
      </w:pPr>
      <w:r>
        <w:rPr>
          <w:rFonts w:ascii="Arial" w:cs="Arial" w:eastAsia="Arial" w:hAnsi="Arial"/>
          <w:sz w:val="16"/>
          <w:szCs w:val="16"/>
          <w:color w:val="auto"/>
        </w:rPr>
        <w:t>It is fully informed of the protections and risks associated with various methods of transmitting Instructions and Oral Instructions and delivering Certificates to Custodian, shall, and shall cause each Authorized Person, to safeguard and treat with extreme care any user and authorization codes, passwords and/or authentication keys, understands that there may be more secure methods of transmitting or delivering the same than the methods selected by the Fund, agrees that the security procedures (if any) to be followed in connection therewith provide a commercially reasonable degree of protection in light of its particular needs and circumstances, and acknowledges and agrees that Instructions need not be reviewed by</w:t>
      </w:r>
    </w:p>
    <w:p>
      <w:pPr>
        <w:spacing w:after="0" w:line="102" w:lineRule="exact"/>
        <w:rPr>
          <w:rFonts w:ascii="Arial" w:cs="Arial" w:eastAsia="Arial" w:hAnsi="Arial"/>
          <w:sz w:val="16"/>
          <w:szCs w:val="16"/>
          <w:color w:val="auto"/>
        </w:rPr>
      </w:pPr>
    </w:p>
    <w:p>
      <w:pPr>
        <w:ind w:left="5216" w:hanging="112"/>
        <w:spacing w:after="0"/>
        <w:tabs>
          <w:tab w:leader="none" w:pos="5216" w:val="left"/>
        </w:tabs>
        <w:numPr>
          <w:ilvl w:val="2"/>
          <w:numId w:val="9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16"/>
          </w:cols>
          <w:pgMar w:left="704" w:top="280" w:right="27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Custodian, may conclusively be presumed by Custodian to have been given by person(s) duly authorized, and may be acted upon as given;</w:t>
      </w:r>
    </w:p>
    <w:p>
      <w:pPr>
        <w:spacing w:after="0" w:line="171" w:lineRule="exact"/>
        <w:rPr>
          <w:sz w:val="20"/>
          <w:szCs w:val="20"/>
          <w:color w:val="auto"/>
        </w:rPr>
      </w:pPr>
    </w:p>
    <w:p>
      <w:pPr>
        <w:ind w:firstLine="921"/>
        <w:spacing w:after="0" w:line="332" w:lineRule="auto"/>
        <w:tabs>
          <w:tab w:leader="none" w:pos="1162" w:val="left"/>
        </w:tabs>
        <w:numPr>
          <w:ilvl w:val="0"/>
          <w:numId w:val="92"/>
        </w:numPr>
        <w:rPr>
          <w:rFonts w:ascii="Arial" w:cs="Arial" w:eastAsia="Arial" w:hAnsi="Arial"/>
          <w:sz w:val="16"/>
          <w:szCs w:val="16"/>
          <w:color w:val="auto"/>
        </w:rPr>
      </w:pPr>
      <w:r>
        <w:rPr>
          <w:rFonts w:ascii="Arial" w:cs="Arial" w:eastAsia="Arial" w:hAnsi="Arial"/>
          <w:sz w:val="16"/>
          <w:szCs w:val="16"/>
          <w:color w:val="auto"/>
        </w:rPr>
        <w:t>It shall manage its borrowings, including, without limitation, any advance or overdraft (including any day-light overdraft) in the Accounts, so that the aggregate of its total borrowings for each Series does not exceed the amount such Series is permitted to borrow under the ‘40 Act;</w:t>
      </w:r>
    </w:p>
    <w:p>
      <w:pPr>
        <w:spacing w:after="0" w:line="85" w:lineRule="exact"/>
        <w:rPr>
          <w:rFonts w:ascii="Arial" w:cs="Arial" w:eastAsia="Arial" w:hAnsi="Arial"/>
          <w:sz w:val="16"/>
          <w:szCs w:val="16"/>
          <w:color w:val="auto"/>
        </w:rPr>
      </w:pPr>
    </w:p>
    <w:p>
      <w:pPr>
        <w:ind w:right="620" w:firstLine="921"/>
        <w:spacing w:after="0" w:line="268" w:lineRule="auto"/>
        <w:tabs>
          <w:tab w:leader="none" w:pos="1123" w:val="left"/>
        </w:tabs>
        <w:numPr>
          <w:ilvl w:val="0"/>
          <w:numId w:val="92"/>
        </w:numPr>
        <w:rPr>
          <w:rFonts w:ascii="Arial" w:cs="Arial" w:eastAsia="Arial" w:hAnsi="Arial"/>
          <w:sz w:val="18"/>
          <w:szCs w:val="18"/>
          <w:color w:val="auto"/>
        </w:rPr>
      </w:pPr>
      <w:r>
        <w:rPr>
          <w:rFonts w:ascii="Arial" w:cs="Arial" w:eastAsia="Arial" w:hAnsi="Arial"/>
          <w:sz w:val="18"/>
          <w:szCs w:val="18"/>
          <w:color w:val="auto"/>
        </w:rPr>
        <w:t>Its transmission or giving of, and Custodian acting upon and in reliance on, Certificates, Instructions, or Oral Instructions pursuant to this Agreement shall at all times comply with the ‘40 Act;</w:t>
      </w:r>
    </w:p>
    <w:p>
      <w:pPr>
        <w:spacing w:after="0" w:line="131" w:lineRule="exact"/>
        <w:rPr>
          <w:rFonts w:ascii="Arial" w:cs="Arial" w:eastAsia="Arial" w:hAnsi="Arial"/>
          <w:sz w:val="18"/>
          <w:szCs w:val="18"/>
          <w:color w:val="auto"/>
        </w:rPr>
      </w:pPr>
    </w:p>
    <w:p>
      <w:pPr>
        <w:ind w:right="220" w:firstLine="921"/>
        <w:spacing w:after="0" w:line="268" w:lineRule="auto"/>
        <w:tabs>
          <w:tab w:leader="none" w:pos="1123" w:val="left"/>
        </w:tabs>
        <w:numPr>
          <w:ilvl w:val="0"/>
          <w:numId w:val="92"/>
        </w:numPr>
        <w:rPr>
          <w:rFonts w:ascii="Arial" w:cs="Arial" w:eastAsia="Arial" w:hAnsi="Arial"/>
          <w:sz w:val="18"/>
          <w:szCs w:val="18"/>
          <w:color w:val="auto"/>
        </w:rPr>
      </w:pPr>
      <w:r>
        <w:rPr>
          <w:rFonts w:ascii="Arial" w:cs="Arial" w:eastAsia="Arial" w:hAnsi="Arial"/>
          <w:sz w:val="18"/>
          <w:szCs w:val="18"/>
          <w:color w:val="auto"/>
        </w:rPr>
        <w:t>It shall impose and maintain restrictions on the destinations to which cash may be disbursed by Instructions to ensure that each disbursement is for a proper purpose;</w:t>
      </w:r>
    </w:p>
    <w:p>
      <w:pPr>
        <w:spacing w:after="0" w:line="132" w:lineRule="exact"/>
        <w:rPr>
          <w:sz w:val="20"/>
          <w:szCs w:val="20"/>
          <w:color w:val="auto"/>
        </w:rPr>
      </w:pPr>
    </w:p>
    <w:p>
      <w:pPr>
        <w:ind w:right="660" w:firstLine="913"/>
        <w:spacing w:after="0" w:line="332" w:lineRule="auto"/>
        <w:rPr>
          <w:sz w:val="20"/>
          <w:szCs w:val="20"/>
          <w:color w:val="auto"/>
        </w:rPr>
      </w:pPr>
      <w:r>
        <w:rPr>
          <w:rFonts w:ascii="Arial" w:cs="Arial" w:eastAsia="Arial" w:hAnsi="Arial"/>
          <w:sz w:val="16"/>
          <w:szCs w:val="16"/>
          <w:color w:val="auto"/>
        </w:rPr>
        <w:t>(k)(i) it has established and presently maintains policies and procedures requiring it to obtain and verify information about the identity of its customers and which are reasonably designed to ensure that it is not being used as a conduit for money laundering or other illicit purposes; and</w:t>
      </w:r>
    </w:p>
    <w:p>
      <w:pPr>
        <w:spacing w:after="0" w:line="85" w:lineRule="exact"/>
        <w:rPr>
          <w:sz w:val="20"/>
          <w:szCs w:val="20"/>
          <w:color w:val="auto"/>
        </w:rPr>
      </w:pPr>
    </w:p>
    <w:p>
      <w:pPr>
        <w:ind w:right="40" w:firstLine="1492"/>
        <w:spacing w:after="0" w:line="268" w:lineRule="auto"/>
        <w:tabs>
          <w:tab w:leader="none" w:pos="1742" w:val="left"/>
        </w:tabs>
        <w:numPr>
          <w:ilvl w:val="2"/>
          <w:numId w:val="93"/>
        </w:numPr>
        <w:rPr>
          <w:rFonts w:ascii="Arial" w:cs="Arial" w:eastAsia="Arial" w:hAnsi="Arial"/>
          <w:sz w:val="18"/>
          <w:szCs w:val="18"/>
          <w:color w:val="auto"/>
        </w:rPr>
      </w:pPr>
      <w:r>
        <w:rPr>
          <w:rFonts w:ascii="Arial" w:cs="Arial" w:eastAsia="Arial" w:hAnsi="Arial"/>
          <w:sz w:val="18"/>
          <w:szCs w:val="18"/>
          <w:color w:val="auto"/>
        </w:rPr>
        <w:t>it has verified the identity of each such third party and made reasonable inquiries regarding the source of funds credited to such Account, and to the best of its knowledge, no transaction through any Account is prohibited by applicable law, regulation or rule; and</w:t>
      </w:r>
    </w:p>
    <w:p>
      <w:pPr>
        <w:spacing w:after="0" w:line="131" w:lineRule="exact"/>
        <w:rPr>
          <w:rFonts w:ascii="Arial" w:cs="Arial" w:eastAsia="Arial" w:hAnsi="Arial"/>
          <w:sz w:val="18"/>
          <w:szCs w:val="18"/>
          <w:color w:val="auto"/>
        </w:rPr>
      </w:pPr>
    </w:p>
    <w:p>
      <w:pPr>
        <w:ind w:right="40" w:firstLine="921"/>
        <w:spacing w:after="0" w:line="306" w:lineRule="auto"/>
        <w:tabs>
          <w:tab w:leader="none" w:pos="1123" w:val="left"/>
        </w:tabs>
        <w:numPr>
          <w:ilvl w:val="1"/>
          <w:numId w:val="94"/>
        </w:numPr>
        <w:rPr>
          <w:rFonts w:ascii="Arial" w:cs="Arial" w:eastAsia="Arial" w:hAnsi="Arial"/>
          <w:sz w:val="16"/>
          <w:szCs w:val="16"/>
          <w:color w:val="auto"/>
        </w:rPr>
      </w:pPr>
      <w:r>
        <w:rPr>
          <w:rFonts w:ascii="Arial" w:cs="Arial" w:eastAsia="Arial" w:hAnsi="Arial"/>
          <w:sz w:val="16"/>
          <w:szCs w:val="16"/>
          <w:color w:val="auto"/>
        </w:rPr>
        <w:t>It has the right to make the pledge and grant the security interest and security entitlement to Custodian contained in Section 1 of Article V hereof, free of any right of redemption or prior claim of any other person or entity, such pledge and such grants shall have a first priority subject to no setoffs, counterclaims, or other liens or grants prior to or on a parity therewith, and it shall take such additional steps as Custodian may require to assure such priority.</w:t>
      </w:r>
    </w:p>
    <w:p>
      <w:pPr>
        <w:spacing w:after="0" w:line="106" w:lineRule="exact"/>
        <w:rPr>
          <w:rFonts w:ascii="Arial" w:cs="Arial" w:eastAsia="Arial" w:hAnsi="Arial"/>
          <w:sz w:val="16"/>
          <w:szCs w:val="16"/>
          <w:color w:val="auto"/>
        </w:rPr>
      </w:pPr>
    </w:p>
    <w:p>
      <w:pPr>
        <w:ind w:right="480" w:firstLine="8"/>
        <w:spacing w:after="0" w:line="268" w:lineRule="auto"/>
        <w:tabs>
          <w:tab w:leader="none" w:pos="17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Custodian hereby represents and warrants, which representations and warranties shall be continuing and shall be deemed to be reaffirmed upon each receipt of a Certificate or of Oral Instructions or Instruction by the Fund, that:</w:t>
      </w:r>
    </w:p>
    <w:p>
      <w:pPr>
        <w:spacing w:after="0" w:line="131" w:lineRule="exact"/>
        <w:rPr>
          <w:rFonts w:ascii="Arial" w:cs="Arial" w:eastAsia="Arial" w:hAnsi="Arial"/>
          <w:sz w:val="18"/>
          <w:szCs w:val="18"/>
          <w:color w:val="auto"/>
        </w:rPr>
      </w:pPr>
    </w:p>
    <w:p>
      <w:pPr>
        <w:ind w:right="140" w:firstLine="921"/>
        <w:spacing w:after="0" w:line="268" w:lineRule="auto"/>
        <w:tabs>
          <w:tab w:leader="none" w:pos="1152" w:val="left"/>
        </w:tabs>
        <w:numPr>
          <w:ilvl w:val="1"/>
          <w:numId w:val="95"/>
        </w:numPr>
        <w:rPr>
          <w:rFonts w:ascii="Arial" w:cs="Arial" w:eastAsia="Arial" w:hAnsi="Arial"/>
          <w:sz w:val="18"/>
          <w:szCs w:val="18"/>
          <w:color w:val="auto"/>
        </w:rPr>
      </w:pPr>
      <w:r>
        <w:rPr>
          <w:rFonts w:ascii="Arial" w:cs="Arial" w:eastAsia="Arial" w:hAnsi="Arial"/>
          <w:sz w:val="18"/>
          <w:szCs w:val="18"/>
          <w:color w:val="auto"/>
        </w:rPr>
        <w:t>It is duly organized and existing under the laws of the jurisdiction of its organization, with full power to carry on its business as now conducted, to enter into this Agreement, and to perform its obligations hereunder;</w:t>
      </w:r>
    </w:p>
    <w:p>
      <w:pPr>
        <w:spacing w:after="0" w:line="131" w:lineRule="exact"/>
        <w:rPr>
          <w:rFonts w:ascii="Arial" w:cs="Arial" w:eastAsia="Arial" w:hAnsi="Arial"/>
          <w:sz w:val="18"/>
          <w:szCs w:val="18"/>
          <w:color w:val="auto"/>
        </w:rPr>
      </w:pPr>
    </w:p>
    <w:p>
      <w:pPr>
        <w:ind w:right="660" w:firstLine="921"/>
        <w:spacing w:after="0" w:line="268" w:lineRule="auto"/>
        <w:tabs>
          <w:tab w:leader="none" w:pos="1162"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Custodian, constitutes a valid and legally binding obligation of Custodian, enforceable in accordance with its terms;;</w:t>
      </w:r>
    </w:p>
    <w:p>
      <w:pPr>
        <w:spacing w:after="0" w:line="131" w:lineRule="exact"/>
        <w:rPr>
          <w:rFonts w:ascii="Arial" w:cs="Arial" w:eastAsia="Arial" w:hAnsi="Arial"/>
          <w:sz w:val="18"/>
          <w:szCs w:val="18"/>
          <w:color w:val="auto"/>
        </w:rPr>
      </w:pPr>
    </w:p>
    <w:p>
      <w:pPr>
        <w:ind w:right="420" w:firstLine="921"/>
        <w:spacing w:after="0" w:line="268" w:lineRule="auto"/>
        <w:tabs>
          <w:tab w:leader="none" w:pos="1152" w:val="left"/>
        </w:tabs>
        <w:numPr>
          <w:ilvl w:val="1"/>
          <w:numId w:val="95"/>
        </w:numPr>
        <w:rPr>
          <w:rFonts w:ascii="Arial" w:cs="Arial" w:eastAsia="Arial" w:hAnsi="Arial"/>
          <w:sz w:val="18"/>
          <w:szCs w:val="18"/>
          <w:color w:val="auto"/>
        </w:rPr>
      </w:pPr>
      <w:r>
        <w:rPr>
          <w:rFonts w:ascii="Arial" w:cs="Arial" w:eastAsia="Arial" w:hAnsi="Arial"/>
          <w:sz w:val="18"/>
          <w:szCs w:val="18"/>
          <w:color w:val="auto"/>
        </w:rPr>
        <w:t>It is conducting its business in substantial compliance with all applicable laws and requirements, both state and federal, and has obtained all regulatory licenses, approvals and consents necessary to carry on its business as now conducted; and</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3"/>
          <w:numId w:val="9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280" w:right="259" w:bottom="1440" w:gutter="0" w:footer="0" w:header="0"/>
        </w:sectPr>
      </w:pPr>
    </w:p>
    <w:bookmarkStart w:id="151" w:name="page152"/>
    <w:bookmarkEnd w:id="151"/>
    <w:p>
      <w:pPr>
        <w:ind w:left="-8" w:firstLine="921"/>
        <w:spacing w:after="0" w:line="332" w:lineRule="auto"/>
        <w:tabs>
          <w:tab w:leader="none" w:pos="1154" w:val="left"/>
        </w:tabs>
        <w:numPr>
          <w:ilvl w:val="1"/>
          <w:numId w:val="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has at least the minimum qualifications required by Section 17(f)(1) of the Investment Company Act of 1940, as amended (the “40 Act”), to act as custodian of the portfolio securities and cash of the Fund, and has indicated its willingness to so act, subject to the terms and conditions of this agreement.</w:t>
      </w:r>
    </w:p>
    <w:p>
      <w:pPr>
        <w:spacing w:after="0" w:line="85" w:lineRule="exact"/>
        <w:rPr>
          <w:rFonts w:ascii="Arial" w:cs="Arial" w:eastAsia="Arial" w:hAnsi="Arial"/>
          <w:sz w:val="16"/>
          <w:szCs w:val="16"/>
          <w:color w:val="auto"/>
        </w:rPr>
      </w:pPr>
    </w:p>
    <w:p>
      <w:pPr>
        <w:ind w:left="-8" w:right="300" w:firstLine="8"/>
        <w:spacing w:after="0" w:line="259" w:lineRule="auto"/>
        <w:tabs>
          <w:tab w:leader="none" w:pos="16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Fund hereby covenants that it shall from time to time complete and execute and deliver to Custodian upon Custodian’s request a Form FR U-1 (or successor form) whenever the Fund borrows from Custodian any money to be used for the purchase or carrying of margin stock as defined in Federal Reserve Regulation U.</w:t>
      </w:r>
    </w:p>
    <w:p>
      <w:pPr>
        <w:spacing w:after="0" w:line="29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CUSTODY AND RELATED SERVICES</w:t>
      </w:r>
    </w:p>
    <w:p>
      <w:pPr>
        <w:spacing w:after="0" w:line="165" w:lineRule="exact"/>
        <w:rPr>
          <w:sz w:val="20"/>
          <w:szCs w:val="20"/>
          <w:color w:val="auto"/>
        </w:rPr>
      </w:pPr>
    </w:p>
    <w:p>
      <w:pPr>
        <w:ind w:left="-8" w:firstLine="464"/>
        <w:spacing w:after="0" w:line="285" w:lineRule="auto"/>
        <w:tabs>
          <w:tab w:leader="none" w:pos="624" w:val="left"/>
        </w:tabs>
        <w:numPr>
          <w:ilvl w:val="0"/>
          <w:numId w:val="98"/>
        </w:numPr>
        <w:rPr>
          <w:rFonts w:ascii="Arial" w:cs="Arial" w:eastAsia="Arial" w:hAnsi="Arial"/>
          <w:sz w:val="16"/>
          <w:szCs w:val="16"/>
          <w:color w:val="auto"/>
        </w:rPr>
      </w:pPr>
      <w:r>
        <w:rPr>
          <w:rFonts w:ascii="Arial" w:cs="Arial" w:eastAsia="Arial" w:hAnsi="Arial"/>
          <w:sz w:val="16"/>
          <w:szCs w:val="16"/>
          <w:color w:val="auto"/>
        </w:rPr>
        <w:t>(a) Subject to the terms hereof, the Fund hereby authorizes Custodian to hold any Securities received by it from time to time for the Fund’s account. Custodian shall be entitled to utilize, subject to subsection (c) of this Section 1, Depositories, Subcustodians, and, subject to subsection (d) of this Section 1, Foreign Depositories, to the extent possible in connection with its performance hereunder. Securities and cash held in a Depository or Foreign Depository will be held subject to the rules, terms and conditions of such entity. Securities and cash held through Subcustodians shall be held subject to the terms and conditions of Custodian’s agreements with such Subcustodians. Subcustodians may be authorized to hold Securities in Foreign Depositories in which such Subcustodians participate. Unless otherwise required by local law or practice or a particular subcustodian agreement, Securities deposited with a Subcustodian, a Depository or a Foreign Depository will be held in a commingled account, in the name of Custodian, holding only Securities held by Custodian as custodian for its customers. Custodian shall identify on its books and records the Securities and cash belonging to the Fund, whether held directly or indirectly through Depositories, Foreign Depositories, or Subcustodians. Custodian shall, directly or indirectly through Subcustodians, Depositories, or Foreign Depositories, endeavor, to the extent feasible, to hold Securities in the country or other jurisdiction in which the principal trading market for such Securities is located, where such Securities are to be presented for cancellation and/or payment and/or registration, or where such Securities are acquired. Custodian at any time may cease utilizing any Subcustodian and/or may replace a Subcustodian with a different Subcustodian (the “Replacement Subcustodian”). In the event Custodian selects a Replacement Subcustodian, Custodian shall not utilize such Replacement Subcustodian until after the Fund’s board or foreign custody manager has determined that utilization of such Replacement Subcustodian satisfies the requirements of the ‘40 Act and Rule 17f-5 thereunder.</w:t>
      </w:r>
    </w:p>
    <w:p>
      <w:pPr>
        <w:spacing w:after="0" w:line="128" w:lineRule="exact"/>
        <w:rPr>
          <w:rFonts w:ascii="Arial" w:cs="Arial" w:eastAsia="Arial" w:hAnsi="Arial"/>
          <w:sz w:val="16"/>
          <w:szCs w:val="16"/>
          <w:color w:val="auto"/>
        </w:rPr>
      </w:pPr>
    </w:p>
    <w:p>
      <w:pPr>
        <w:ind w:left="-8" w:right="20" w:firstLine="921"/>
        <w:spacing w:after="0" w:line="255" w:lineRule="auto"/>
        <w:tabs>
          <w:tab w:leader="none" w:pos="1154" w:val="left"/>
        </w:tabs>
        <w:numPr>
          <w:ilvl w:val="1"/>
          <w:numId w:val="98"/>
        </w:numPr>
        <w:rPr>
          <w:rFonts w:ascii="Arial" w:cs="Arial" w:eastAsia="Arial" w:hAnsi="Arial"/>
          <w:sz w:val="18"/>
          <w:szCs w:val="18"/>
          <w:color w:val="auto"/>
        </w:rPr>
      </w:pPr>
      <w:r>
        <w:rPr>
          <w:rFonts w:ascii="Arial" w:cs="Arial" w:eastAsia="Arial" w:hAnsi="Arial"/>
          <w:sz w:val="18"/>
          <w:szCs w:val="18"/>
          <w:color w:val="auto"/>
        </w:rPr>
        <w:t>Unless Custodian has received a Certificate or Instructions to the contrary, Custodian shall hold Securities indirectly through a Subcustodian only if (i) the Securities are not subject to any right, charge, security interest, lien or claim of any kind in favor of such Subcustodian or its creditors or operators, including a receiver or trustee in bankruptcy or similar authority, except for a claim of payment for the safe custody or administration of Securities on behalf of the Fund by such Subcustodian, and (ii) beneficial ownership of the Securities is freely transferable without the payment of money or value other than for safe custody or administration.</w:t>
      </w:r>
    </w:p>
    <w:p>
      <w:pPr>
        <w:spacing w:after="0" w:line="129" w:lineRule="exact"/>
        <w:rPr>
          <w:rFonts w:ascii="Arial" w:cs="Arial" w:eastAsia="Arial" w:hAnsi="Arial"/>
          <w:sz w:val="18"/>
          <w:szCs w:val="18"/>
          <w:color w:val="auto"/>
        </w:rPr>
      </w:pPr>
    </w:p>
    <w:p>
      <w:pPr>
        <w:ind w:left="5672" w:hanging="112"/>
        <w:spacing w:after="0"/>
        <w:tabs>
          <w:tab w:leader="none" w:pos="5672" w:val="left"/>
        </w:tabs>
        <w:numPr>
          <w:ilvl w:val="2"/>
          <w:numId w:val="98"/>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92"/>
          </w:cols>
          <w:pgMar w:left="248" w:top="279" w:right="259" w:bottom="1440" w:gutter="0" w:footer="0" w:header="0"/>
        </w:sectPr>
      </w:pPr>
    </w:p>
    <w:bookmarkStart w:id="152" w:name="page153"/>
    <w:bookmarkEnd w:id="152"/>
    <w:p>
      <w:pPr>
        <w:ind w:left="-8" w:right="360" w:firstLine="921"/>
        <w:spacing w:after="0" w:line="306" w:lineRule="auto"/>
        <w:tabs>
          <w:tab w:leader="none" w:pos="1144" w:val="left"/>
        </w:tabs>
        <w:numPr>
          <w:ilvl w:val="2"/>
          <w:numId w:val="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each Depository, Custodian (i) shall exercise due care in accordance with reasonable commercial standards in discharging its duties as a securities intermediary to obtain and thereafter maintain Securities or financial assets deposited or held in such Depository, and (ii) will provide, promptly upon request by the Fund, such reports as are available concerning the internal accounting controls and financial strength of Custodian.</w:t>
      </w:r>
    </w:p>
    <w:p>
      <w:pPr>
        <w:spacing w:after="0" w:line="106" w:lineRule="exact"/>
        <w:rPr>
          <w:rFonts w:ascii="Arial" w:cs="Arial" w:eastAsia="Arial" w:hAnsi="Arial"/>
          <w:sz w:val="16"/>
          <w:szCs w:val="16"/>
          <w:color w:val="auto"/>
        </w:rPr>
      </w:pPr>
    </w:p>
    <w:p>
      <w:pPr>
        <w:ind w:left="-8" w:firstLine="921"/>
        <w:spacing w:after="0" w:line="283" w:lineRule="auto"/>
        <w:tabs>
          <w:tab w:leader="none" w:pos="1154" w:val="left"/>
        </w:tabs>
        <w:numPr>
          <w:ilvl w:val="2"/>
          <w:numId w:val="99"/>
        </w:numPr>
        <w:rPr>
          <w:rFonts w:ascii="Arial" w:cs="Arial" w:eastAsia="Arial" w:hAnsi="Arial"/>
          <w:sz w:val="16"/>
          <w:szCs w:val="16"/>
          <w:color w:val="auto"/>
        </w:rPr>
      </w:pPr>
      <w:r>
        <w:rPr>
          <w:rFonts w:ascii="Arial" w:cs="Arial" w:eastAsia="Arial" w:hAnsi="Arial"/>
          <w:sz w:val="16"/>
          <w:szCs w:val="16"/>
          <w:color w:val="auto"/>
        </w:rPr>
        <w:t>With respect to each Foreign Depository, Custodian shall exercise reasonable care, prudence, and diligence (i) to provide the Fund with an analysis of the custody risks associated with maintaining assets with the Foreign Depository, and (ii) to monitor such custody risks on a continuing basis and promptly notify the Fund of any material change in such risks. The Fund acknowledges and agrees that such analysis and monitoring shall be made on the basis of, and limited by, information gathered from Subcustodians or through publicly available information otherwise obtained by Custodian, and shall not include any evaluation of Country Risks. As used herein the term “Country Risks” shall mean with respect to any Foreign Depository: (a) the financial infrastructure of the country in which it is organized, (b) such country’s prevailing custody and settlement practices, (c) nationalization, expropriation or other governmental actions,</w:t>
      </w:r>
    </w:p>
    <w:p>
      <w:pPr>
        <w:spacing w:after="0" w:line="1" w:lineRule="exact"/>
        <w:rPr>
          <w:rFonts w:ascii="Arial" w:cs="Arial" w:eastAsia="Arial" w:hAnsi="Arial"/>
          <w:sz w:val="16"/>
          <w:szCs w:val="16"/>
          <w:color w:val="auto"/>
        </w:rPr>
      </w:pPr>
    </w:p>
    <w:p>
      <w:pPr>
        <w:ind w:left="-8" w:firstLine="8"/>
        <w:spacing w:after="0" w:line="261" w:lineRule="auto"/>
        <w:tabs>
          <w:tab w:leader="none" w:pos="24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country’s regulation of the banking or securities industry, (e) currency controls, restrictions, devaluations or fluctuations, and (f) market conditions which affect the order execution of securities transactions or affect the value of securities.</w:t>
      </w:r>
    </w:p>
    <w:p>
      <w:pPr>
        <w:spacing w:after="0" w:line="137" w:lineRule="exact"/>
        <w:rPr>
          <w:rFonts w:ascii="Arial" w:cs="Arial" w:eastAsia="Arial" w:hAnsi="Arial"/>
          <w:sz w:val="18"/>
          <w:szCs w:val="18"/>
          <w:color w:val="auto"/>
        </w:rPr>
      </w:pPr>
    </w:p>
    <w:p>
      <w:pPr>
        <w:ind w:left="-8" w:right="40" w:firstLine="464"/>
        <w:spacing w:after="0" w:line="268" w:lineRule="auto"/>
        <w:tabs>
          <w:tab w:leader="none" w:pos="62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Custodian shall furnish the Fund with an advice of daily transactions (including a confirmation of each transfer of Securities) and a monthly summary of all transfers to or from the Accounts.</w:t>
      </w:r>
    </w:p>
    <w:p>
      <w:pPr>
        <w:spacing w:after="0" w:line="131" w:lineRule="exact"/>
        <w:rPr>
          <w:rFonts w:ascii="Arial" w:cs="Arial" w:eastAsia="Arial" w:hAnsi="Arial"/>
          <w:sz w:val="18"/>
          <w:szCs w:val="18"/>
          <w:color w:val="auto"/>
        </w:rPr>
      </w:pPr>
    </w:p>
    <w:p>
      <w:pPr>
        <w:ind w:left="632" w:hanging="176"/>
        <w:spacing w:after="0"/>
        <w:tabs>
          <w:tab w:leader="none" w:pos="63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With respect to all Securities held hereunder, Custodian shall, unless otherwise instructed to the contrary:</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2"/>
          <w:numId w:val="100"/>
        </w:numPr>
        <w:rPr>
          <w:rFonts w:ascii="Arial" w:cs="Arial" w:eastAsia="Arial" w:hAnsi="Arial"/>
          <w:sz w:val="18"/>
          <w:szCs w:val="18"/>
          <w:color w:val="auto"/>
        </w:rPr>
      </w:pPr>
      <w:r>
        <w:rPr>
          <w:rFonts w:ascii="Arial" w:cs="Arial" w:eastAsia="Arial" w:hAnsi="Arial"/>
          <w:sz w:val="18"/>
          <w:szCs w:val="18"/>
          <w:color w:val="auto"/>
        </w:rPr>
        <w:t>Receive all income and other payments and advise the Fund as promptly as practicable of any such amounts due but not paid;</w:t>
      </w:r>
    </w:p>
    <w:p>
      <w:pPr>
        <w:spacing w:after="0" w:line="171" w:lineRule="exact"/>
        <w:rPr>
          <w:rFonts w:ascii="Arial" w:cs="Arial" w:eastAsia="Arial" w:hAnsi="Arial"/>
          <w:sz w:val="18"/>
          <w:szCs w:val="18"/>
          <w:color w:val="auto"/>
        </w:rPr>
      </w:pPr>
    </w:p>
    <w:p>
      <w:pPr>
        <w:ind w:left="-8" w:right="260" w:firstLine="921"/>
        <w:spacing w:after="0" w:line="268" w:lineRule="auto"/>
        <w:tabs>
          <w:tab w:leader="none" w:pos="1154" w:val="left"/>
        </w:tabs>
        <w:numPr>
          <w:ilvl w:val="2"/>
          <w:numId w:val="100"/>
        </w:numPr>
        <w:rPr>
          <w:rFonts w:ascii="Arial" w:cs="Arial" w:eastAsia="Arial" w:hAnsi="Arial"/>
          <w:sz w:val="18"/>
          <w:szCs w:val="18"/>
          <w:color w:val="auto"/>
        </w:rPr>
      </w:pPr>
      <w:r>
        <w:rPr>
          <w:rFonts w:ascii="Arial" w:cs="Arial" w:eastAsia="Arial" w:hAnsi="Arial"/>
          <w:sz w:val="18"/>
          <w:szCs w:val="18"/>
          <w:color w:val="auto"/>
        </w:rPr>
        <w:t>Present for payment and receive the amount paid upon all Securities which may mature and advise the Fund as promptly as practicable of any such amounts due but not paid;</w:t>
      </w:r>
    </w:p>
    <w:p>
      <w:pPr>
        <w:spacing w:after="0" w:line="131" w:lineRule="exact"/>
        <w:rPr>
          <w:rFonts w:ascii="Arial" w:cs="Arial" w:eastAsia="Arial" w:hAnsi="Arial"/>
          <w:sz w:val="18"/>
          <w:szCs w:val="18"/>
          <w:color w:val="auto"/>
        </w:rPr>
      </w:pPr>
    </w:p>
    <w:p>
      <w:pPr>
        <w:ind w:left="-8" w:right="380" w:firstLine="921"/>
        <w:spacing w:after="0" w:line="268" w:lineRule="auto"/>
        <w:tabs>
          <w:tab w:leader="none" w:pos="1144" w:val="left"/>
        </w:tabs>
        <w:numPr>
          <w:ilvl w:val="2"/>
          <w:numId w:val="100"/>
        </w:numPr>
        <w:rPr>
          <w:rFonts w:ascii="Arial" w:cs="Arial" w:eastAsia="Arial" w:hAnsi="Arial"/>
          <w:sz w:val="18"/>
          <w:szCs w:val="18"/>
          <w:color w:val="auto"/>
        </w:rPr>
      </w:pPr>
      <w:r>
        <w:rPr>
          <w:rFonts w:ascii="Arial" w:cs="Arial" w:eastAsia="Arial" w:hAnsi="Arial"/>
          <w:sz w:val="18"/>
          <w:szCs w:val="18"/>
          <w:color w:val="auto"/>
        </w:rPr>
        <w:t>Forward to the Fund copies of all information or documents that it may actually receive from an issuer of Securities which, in the opinion of Custodian, are intended for the beneficial owner of Securities;</w:t>
      </w:r>
    </w:p>
    <w:p>
      <w:pPr>
        <w:spacing w:after="0" w:line="131" w:lineRule="exact"/>
        <w:rPr>
          <w:rFonts w:ascii="Arial" w:cs="Arial" w:eastAsia="Arial" w:hAnsi="Arial"/>
          <w:sz w:val="18"/>
          <w:szCs w:val="18"/>
          <w:color w:val="auto"/>
        </w:rPr>
      </w:pPr>
    </w:p>
    <w:p>
      <w:pPr>
        <w:ind w:left="-8" w:right="140" w:firstLine="921"/>
        <w:spacing w:after="0" w:line="268" w:lineRule="auto"/>
        <w:tabs>
          <w:tab w:leader="none" w:pos="1154" w:val="left"/>
        </w:tabs>
        <w:numPr>
          <w:ilvl w:val="2"/>
          <w:numId w:val="100"/>
        </w:numPr>
        <w:rPr>
          <w:rFonts w:ascii="Arial" w:cs="Arial" w:eastAsia="Arial" w:hAnsi="Arial"/>
          <w:sz w:val="18"/>
          <w:szCs w:val="18"/>
          <w:color w:val="auto"/>
        </w:rPr>
      </w:pPr>
      <w:r>
        <w:rPr>
          <w:rFonts w:ascii="Arial" w:cs="Arial" w:eastAsia="Arial" w:hAnsi="Arial"/>
          <w:sz w:val="18"/>
          <w:szCs w:val="18"/>
          <w:color w:val="auto"/>
        </w:rPr>
        <w:t>Execute, as custodian, any certificates of ownership, affidavits, declarations or other certificates under any tax laws now or hereafter in effect in connection with the collection of bond and note coupons;</w:t>
      </w:r>
    </w:p>
    <w:p>
      <w:pPr>
        <w:spacing w:after="0" w:line="131" w:lineRule="exact"/>
        <w:rPr>
          <w:rFonts w:ascii="Arial" w:cs="Arial" w:eastAsia="Arial" w:hAnsi="Arial"/>
          <w:sz w:val="18"/>
          <w:szCs w:val="18"/>
          <w:color w:val="auto"/>
        </w:rPr>
      </w:pPr>
    </w:p>
    <w:p>
      <w:pPr>
        <w:ind w:left="-8" w:right="600" w:firstLine="921"/>
        <w:spacing w:after="0" w:line="268" w:lineRule="auto"/>
        <w:tabs>
          <w:tab w:leader="none" w:pos="1144" w:val="left"/>
        </w:tabs>
        <w:numPr>
          <w:ilvl w:val="2"/>
          <w:numId w:val="100"/>
        </w:numPr>
        <w:rPr>
          <w:rFonts w:ascii="Arial" w:cs="Arial" w:eastAsia="Arial" w:hAnsi="Arial"/>
          <w:sz w:val="18"/>
          <w:szCs w:val="18"/>
          <w:color w:val="auto"/>
        </w:rPr>
      </w:pPr>
      <w:r>
        <w:rPr>
          <w:rFonts w:ascii="Arial" w:cs="Arial" w:eastAsia="Arial" w:hAnsi="Arial"/>
          <w:sz w:val="18"/>
          <w:szCs w:val="18"/>
          <w:color w:val="auto"/>
        </w:rPr>
        <w:t>Hold directly or through a Depository, a Foreign Depository, or a Subcustodian all rights and similar Securities issued with respect to any Securities credited to an Account hereunder; and</w:t>
      </w:r>
    </w:p>
    <w:p>
      <w:pPr>
        <w:spacing w:after="0" w:line="131" w:lineRule="exact"/>
        <w:rPr>
          <w:rFonts w:ascii="Arial" w:cs="Arial" w:eastAsia="Arial" w:hAnsi="Arial"/>
          <w:sz w:val="18"/>
          <w:szCs w:val="18"/>
          <w:color w:val="auto"/>
        </w:rPr>
      </w:pPr>
    </w:p>
    <w:p>
      <w:pPr>
        <w:ind w:left="1132" w:hanging="219"/>
        <w:spacing w:after="0"/>
        <w:tabs>
          <w:tab w:leader="none" w:pos="1132" w:val="left"/>
        </w:tabs>
        <w:numPr>
          <w:ilvl w:val="2"/>
          <w:numId w:val="100"/>
        </w:numPr>
        <w:rPr>
          <w:rFonts w:ascii="Arial" w:cs="Arial" w:eastAsia="Arial" w:hAnsi="Arial"/>
          <w:sz w:val="18"/>
          <w:szCs w:val="18"/>
          <w:color w:val="auto"/>
        </w:rPr>
      </w:pPr>
      <w:r>
        <w:rPr>
          <w:rFonts w:ascii="Arial" w:cs="Arial" w:eastAsia="Arial" w:hAnsi="Arial"/>
          <w:sz w:val="18"/>
          <w:szCs w:val="18"/>
          <w:color w:val="auto"/>
        </w:rPr>
        <w:t>Endorse for collection checks, drafts or other negotiable instruments.</w:t>
      </w:r>
    </w:p>
    <w:p>
      <w:pPr>
        <w:spacing w:after="0" w:line="157" w:lineRule="exact"/>
        <w:rPr>
          <w:rFonts w:ascii="Arial" w:cs="Arial" w:eastAsia="Arial" w:hAnsi="Arial"/>
          <w:sz w:val="18"/>
          <w:szCs w:val="18"/>
          <w:color w:val="auto"/>
        </w:rPr>
      </w:pPr>
    </w:p>
    <w:p>
      <w:pPr>
        <w:ind w:left="5672" w:hanging="112"/>
        <w:spacing w:after="0"/>
        <w:tabs>
          <w:tab w:leader="none" w:pos="5672" w:val="left"/>
        </w:tabs>
        <w:numPr>
          <w:ilvl w:val="3"/>
          <w:numId w:val="100"/>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92"/>
          </w:cols>
          <w:pgMar w:left="248" w:top="280" w:right="259" w:bottom="1440" w:gutter="0" w:footer="0" w:header="0"/>
        </w:sectPr>
      </w:pPr>
    </w:p>
    <w:bookmarkStart w:id="153" w:name="page154"/>
    <w:bookmarkEnd w:id="153"/>
    <w:p>
      <w:pPr>
        <w:ind w:left="-464" w:right="20" w:firstLine="464"/>
        <w:spacing w:after="0" w:line="294" w:lineRule="auto"/>
        <w:tabs>
          <w:tab w:leader="none" w:pos="168" w:val="left"/>
        </w:tabs>
        <w:numPr>
          <w:ilvl w:val="0"/>
          <w:numId w:val="1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Custodian shall notify the Fund of rights or discretionary actions with respect to Securities held hereunder, and of the date or dates by when such rights must be exercised or such action must be taken, provided that Custodian has actually received, from the issuer or the relevant Depository (with respect to Securities issued in the United States) or from the relevant Subcustodian, Foreign Depository, or a nationally or internationally recognized bond or corporate action service to which Custodian subscribes, timely notice of such rights or discretionary corporate action or of the date or dates such rights must be exercised or such action must be taken. Absent actual receipt of such notice, Custodian shall have no liability for failing to so notify the Fund.</w:t>
      </w:r>
    </w:p>
    <w:p>
      <w:pPr>
        <w:spacing w:after="0" w:line="115" w:lineRule="exact"/>
        <w:rPr>
          <w:rFonts w:ascii="Arial" w:cs="Arial" w:eastAsia="Arial" w:hAnsi="Arial"/>
          <w:sz w:val="16"/>
          <w:szCs w:val="16"/>
          <w:color w:val="auto"/>
        </w:rPr>
      </w:pPr>
    </w:p>
    <w:p>
      <w:pPr>
        <w:ind w:left="-464" w:right="20" w:firstLine="921"/>
        <w:spacing w:after="0" w:line="291" w:lineRule="auto"/>
        <w:tabs>
          <w:tab w:leader="none" w:pos="69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Whenever Securities (including, but not limited to, warrants, options, tenders, options to tender or non-mandatory puts or calls) confer discretionary rights on the Fund or provide for discretionary action or alternative courses of action by the Fund, the Fund shall be responsible for making any decisions relating thereto and for directing Custodian to act. In order for Custodian to act, it must receive the Fund’s Certificate or Instructions at Custodian’s offices, addressed as Custodian may from time to time request, not later than noon (New York time) at least two (2) Business Days prior to the last scheduled date to act with respect to such Securities (or such earlier date or time as Custodian may specify to the Fund). Absent Custodian’s timely receipt of such Certificate or Instructions, Custodian shall not be liable for failure to take any action relating to or to exercise any rights conferred by such Securities.</w:t>
      </w:r>
    </w:p>
    <w:p>
      <w:pPr>
        <w:spacing w:after="0" w:line="120" w:lineRule="exact"/>
        <w:rPr>
          <w:rFonts w:ascii="Arial" w:cs="Arial" w:eastAsia="Arial" w:hAnsi="Arial"/>
          <w:sz w:val="16"/>
          <w:szCs w:val="16"/>
          <w:color w:val="auto"/>
        </w:rPr>
      </w:pPr>
    </w:p>
    <w:p>
      <w:pPr>
        <w:ind w:left="-464" w:right="20" w:firstLine="464"/>
        <w:spacing w:after="0" w:line="259" w:lineRule="auto"/>
        <w:tabs>
          <w:tab w:leader="none" w:pos="16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voting rights with respect to Securities, however registered, shall be exercised by the Fund or its designee. Custodian will make available to the Fund proxy voting services upon the request of, and for the jurisdictions selected by, the Fund in accordance with terms and conditions to be mutually agreed upon by Custodian and the Fund.</w:t>
      </w:r>
    </w:p>
    <w:p>
      <w:pPr>
        <w:spacing w:after="0" w:line="140" w:lineRule="exact"/>
        <w:rPr>
          <w:rFonts w:ascii="Arial" w:cs="Arial" w:eastAsia="Arial" w:hAnsi="Arial"/>
          <w:sz w:val="18"/>
          <w:szCs w:val="18"/>
          <w:color w:val="auto"/>
        </w:rPr>
      </w:pPr>
    </w:p>
    <w:p>
      <w:pPr>
        <w:ind w:left="-464" w:right="220" w:firstLine="464"/>
        <w:spacing w:after="0" w:line="298" w:lineRule="auto"/>
        <w:tabs>
          <w:tab w:leader="none" w:pos="16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Custodian shall promptly advise the Fund upon Custodian’s actual receipt of notification of the partial redemption, partial payment or other action affecting less than all Securities of the relevant class. If Custodian, any Subcustodian, any Depository, or any Foreign Depository holds any Securities in which the Fund has an interest as part of a fungible mass, Custodian, such Subcustodian, Depository, or Foreign Depository may select the Securities to participate in such partial redemption, partial payment or other action in any non-discriminatory manner that it customarily uses to make such selection.</w:t>
      </w:r>
    </w:p>
    <w:p>
      <w:pPr>
        <w:spacing w:after="0" w:line="112" w:lineRule="exact"/>
        <w:rPr>
          <w:rFonts w:ascii="Arial" w:cs="Arial" w:eastAsia="Arial" w:hAnsi="Arial"/>
          <w:sz w:val="16"/>
          <w:szCs w:val="16"/>
          <w:color w:val="auto"/>
        </w:rPr>
      </w:pPr>
    </w:p>
    <w:p>
      <w:pPr>
        <w:ind w:left="-464" w:right="740" w:firstLine="464"/>
        <w:spacing w:after="0" w:line="268" w:lineRule="auto"/>
        <w:tabs>
          <w:tab w:leader="none" w:pos="16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Custodian shall not under any circumstances accept bearer interest coupons which have been stripped from United States federal, state or local government or agency securities unless explicitly agreed to by Custodian in writing.</w:t>
      </w:r>
    </w:p>
    <w:p>
      <w:pPr>
        <w:spacing w:after="0" w:line="131" w:lineRule="exact"/>
        <w:rPr>
          <w:rFonts w:ascii="Arial" w:cs="Arial" w:eastAsia="Arial" w:hAnsi="Arial"/>
          <w:sz w:val="18"/>
          <w:szCs w:val="18"/>
          <w:color w:val="auto"/>
        </w:rPr>
      </w:pPr>
    </w:p>
    <w:p>
      <w:pPr>
        <w:ind w:left="-464" w:firstLine="464"/>
        <w:spacing w:after="0" w:line="254" w:lineRule="auto"/>
        <w:tabs>
          <w:tab w:leader="none" w:pos="16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Fund shall be liable for all taxes, assessments, duties and other governmental charges, including any interest or penalty with respect thereto (“Taxes”), with respect to any cash or Securities held on behalf of the Fund or any transaction related thereto. The Fund shall indemnify Custodian and each Subcustodian for the amount of any Tax that Custodian, any such Subcustodian or any other withholding agent is required under applicable laws (whether by assessment or otherwise) to pay on behalf of, or in respect of income earned by or payments or distributions made to or for the account of the Fund (including any payment of Tax required by reason of an earlier failure to withhold). Custodian shall, or shall instruct the applicable Subcustodian or other withholding agent to, withhold the amount of any Tax which is required to</w:t>
      </w:r>
    </w:p>
    <w:p>
      <w:pPr>
        <w:spacing w:after="0" w:line="130" w:lineRule="exact"/>
        <w:rPr>
          <w:rFonts w:ascii="Arial" w:cs="Arial" w:eastAsia="Arial" w:hAnsi="Arial"/>
          <w:sz w:val="18"/>
          <w:szCs w:val="18"/>
          <w:color w:val="auto"/>
        </w:rPr>
      </w:pPr>
    </w:p>
    <w:p>
      <w:pPr>
        <w:ind w:left="5216" w:hanging="112"/>
        <w:spacing w:after="0"/>
        <w:tabs>
          <w:tab w:leader="none" w:pos="5216" w:val="left"/>
        </w:tabs>
        <w:numPr>
          <w:ilvl w:val="2"/>
          <w:numId w:val="101"/>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36"/>
          </w:cols>
          <w:pgMar w:left="704" w:top="280" w:right="259" w:bottom="1440" w:gutter="0" w:footer="0" w:header="0"/>
        </w:sectPr>
      </w:pPr>
    </w:p>
    <w:bookmarkStart w:id="154" w:name="page155"/>
    <w:bookmarkEnd w:id="15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 withheld under applicable law upon collection of any dividend, interest or other distribution made with respect to any Security and any proceeds or income from the sale, loan or other transfer of any Security. In the event that Custodian or any Subcustodian is required under applicable law to pay any Tax on behalf of the Fund, Custodian is hereby authorized to withdraw cash from any cash account in the amount required to pay such Tax and to use such cash, or to remit such cash to the appropriate Subcustodian or other withholding agent, for the timely payment of such Tax in the manner required by applicable law. If the aggregate amount of cash in all cash accounts is not sufficient to pay such Tax, Custodian shall promptly notify the Fund of the additional amount of cash (in the appropriate currency) required, and the Fund shall directly deposit such additional amount in the appropriate cash account promptly after receipt of such notice, for use by Custodian as specified herein. In the event that Custodian reasonably believes that Fund is eligible, pursuant to applicable law or to the provisions of any tax treaty, for a reduced rate of, or exemption from, any Tax which is otherwise required to be withheld or paid on behalf of the Fund under any applicable law, Custodian shall, or shall instruct the applicable Subcustodian or withholding agent to, either withhold or pay such Tax at such reduced rate or refrain from withholding or paying such Tax, as appropriate;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Custodian shall have received from the Fund all documentary evidence of residence or other qualification for such reduced rate or exemption required to be received under such applicable law or treaty. In the event that Custodian reasonably believes that a reduced rate of, or exemption from, any Tax is obtainable only by means of an application for refund, Custodian and the applicable Subcustodian shall have no responsibility for the accuracy or validity of any forms or documentation provided by the Fund to Custodian hereunder. The Fund hereby agrees to indemnify and hold harmless Custodian and each Subcustodian in respect of any liability arising from any underwithholding or underpayment of any Tax which results from the inaccuracy or invalidity of any such forms or other documentation, and such obligation to indemnify shall be a continuing obligation of the Fund, its successors and assigns notwithstanding the termination of this Agreement.</w:t>
      </w:r>
    </w:p>
    <w:p>
      <w:pPr>
        <w:spacing w:after="0" w:line="124" w:lineRule="exact"/>
        <w:rPr>
          <w:sz w:val="20"/>
          <w:szCs w:val="20"/>
          <w:color w:val="auto"/>
        </w:rPr>
      </w:pPr>
    </w:p>
    <w:p>
      <w:pPr>
        <w:ind w:firstLine="464"/>
        <w:spacing w:after="0" w:line="286" w:lineRule="auto"/>
        <w:tabs>
          <w:tab w:leader="none" w:pos="63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 For the purpose of settling Securities and foreign exchange transactions, the Fund shall provide Custodian with sufficient immediately available funds for all transactions by such time and date as conditions in the relevant market dictate. As used herein, “sufficient immediately available funds” shall mean either</w:t>
      </w:r>
    </w:p>
    <w:p>
      <w:pPr>
        <w:jc w:val="both"/>
        <w:ind w:right="180" w:firstLine="8"/>
        <w:spacing w:after="0" w:line="254" w:lineRule="auto"/>
        <w:tabs>
          <w:tab w:leader="none" w:pos="21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sufficient cash denominated in U.S. dollars to purchase the necessary foreign currency, or (ii) sufficient applicable foreign currency, to settle the transaction. Custodian shall provide the Fund with immediately available funds each day which result from the actual settlement of all sale transactions, based upon advices received by Custodian from Subcustodians, Depositories, and Foreign Depositories. Such funds shall be in U.S. dollars or such other currency as the Fund may specify to Custodian.</w:t>
      </w:r>
    </w:p>
    <w:p>
      <w:pPr>
        <w:spacing w:after="0" w:line="143" w:lineRule="exact"/>
        <w:rPr>
          <w:rFonts w:ascii="Arial" w:cs="Arial" w:eastAsia="Arial" w:hAnsi="Arial"/>
          <w:sz w:val="18"/>
          <w:szCs w:val="18"/>
          <w:color w:val="auto"/>
        </w:rPr>
      </w:pPr>
    </w:p>
    <w:p>
      <w:pPr>
        <w:ind w:right="120" w:firstLine="921"/>
        <w:spacing w:after="0" w:line="256" w:lineRule="auto"/>
        <w:tabs>
          <w:tab w:leader="none" w:pos="1162"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Any foreign exchange transaction effected by Custodian in connection with this Agreement may be entered with Custodian or a BNY Affiliate acting as principal or otherwise through customary banking channels. The Fund may issue a standing Certificate or Instructions with respect to foreign exchange transactions, but Custodian may establish rules or limitations concerning any foreign exchange facility made available to the Fund. The Fund shall bear all risks of investing in Securities or holding cash denominated in a foreign currency.</w:t>
      </w:r>
    </w:p>
    <w:p>
      <w:pPr>
        <w:spacing w:after="0" w:line="143" w:lineRule="exact"/>
        <w:rPr>
          <w:rFonts w:ascii="Arial" w:cs="Arial" w:eastAsia="Arial" w:hAnsi="Arial"/>
          <w:sz w:val="18"/>
          <w:szCs w:val="18"/>
          <w:color w:val="auto"/>
        </w:rPr>
      </w:pPr>
    </w:p>
    <w:p>
      <w:pPr>
        <w:ind w:right="20" w:firstLine="464"/>
        <w:spacing w:after="0" w:line="268" w:lineRule="auto"/>
        <w:tabs>
          <w:tab w:leader="none" w:pos="7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Until such time as Custodian receives a certificate to the contrary with respect to a particular Security, Custodian may release the identity of the Fund to an issuer which requests</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3"/>
          <w:numId w:val="103"/>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20"/>
          </w:cols>
          <w:pgMar w:left="240" w:top="280" w:right="239" w:bottom="1440" w:gutter="0" w:footer="0" w:header="0"/>
        </w:sectPr>
      </w:pPr>
    </w:p>
    <w:bookmarkStart w:id="155" w:name="page156"/>
    <w:bookmarkEnd w:id="155"/>
    <w:p>
      <w:pPr>
        <w:ind w:right="8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information pursuant to the Shareholder Communications Act of 1985 for the specific purpose of direct communications between such issuer and shareholder.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SALE AND REDEMPTION OF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CREDITS TO ACCOUNT</w:t>
      </w:r>
    </w:p>
    <w:p>
      <w:pPr>
        <w:spacing w:after="0" w:line="165" w:lineRule="exact"/>
        <w:rPr>
          <w:sz w:val="20"/>
          <w:szCs w:val="20"/>
          <w:color w:val="auto"/>
        </w:rPr>
      </w:pPr>
    </w:p>
    <w:p>
      <w:pPr>
        <w:ind w:right="20" w:firstLine="464"/>
        <w:spacing w:after="0" w:line="256" w:lineRule="auto"/>
        <w:tabs>
          <w:tab w:leader="none" w:pos="6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Promptly after each purchase or sale of Securities by the Fund, the Fund shall deliver to Custodian a Certificate or Instructions, or with respect to a purchase or sale of a Security generally required to be settled on the same day the purchase or sale is made, Oral Instructions specifying all information Custodian may reasonably request to settle such purchase or sale. Custodian shall account for all purchases and sales of Securities on the actual settlement date unless otherwise agreed by Custodian.</w:t>
      </w:r>
    </w:p>
    <w:p>
      <w:pPr>
        <w:spacing w:after="0" w:line="143" w:lineRule="exact"/>
        <w:rPr>
          <w:rFonts w:ascii="Arial" w:cs="Arial" w:eastAsia="Arial" w:hAnsi="Arial"/>
          <w:sz w:val="18"/>
          <w:szCs w:val="18"/>
          <w:color w:val="auto"/>
        </w:rPr>
      </w:pPr>
    </w:p>
    <w:p>
      <w:pPr>
        <w:ind w:firstLine="921"/>
        <w:spacing w:after="0" w:line="289" w:lineRule="auto"/>
        <w:tabs>
          <w:tab w:leader="none" w:pos="1162" w:val="left"/>
        </w:tabs>
        <w:numPr>
          <w:ilvl w:val="1"/>
          <w:numId w:val="104"/>
        </w:numPr>
        <w:rPr>
          <w:rFonts w:ascii="Arial" w:cs="Arial" w:eastAsia="Arial" w:hAnsi="Arial"/>
          <w:sz w:val="16"/>
          <w:szCs w:val="16"/>
          <w:color w:val="auto"/>
        </w:rPr>
      </w:pPr>
      <w:r>
        <w:rPr>
          <w:rFonts w:ascii="Arial" w:cs="Arial" w:eastAsia="Arial" w:hAnsi="Arial"/>
          <w:sz w:val="16"/>
          <w:szCs w:val="16"/>
          <w:color w:val="auto"/>
        </w:rPr>
        <w:t>With respect to purchases and redemptions of Hedge Fund Investments, upon the Written Instructions of an Authorized Person, Custodian (or its nominee) will as agent for the Fund subscribe for and redeem shares, units or other interests and complete, execute and submit all relevant subscription and redemption documentation required by the relevant issuer; provided that any Written Instructions given to Custodian hereunder shall be in accordance with Custodian’s procedures notified to the Customer from time to time; and provided further, that the applicable Fund’s delivery to Custodian of any such Written Instructions to purchase Hedge Fund Investments shall constitute the applicable Fund’s representation and warranty that the applicable Fund has reviewed and understands the terms of the relevant offering memorandum or subscription agreement (or similar document) and other document(s) related thereto and agreement to be bound by the terms and conditions thereof (including all representations and warranties to which the applicable Fund will be bound as beneficial owner of such Hedge Fund Investment).</w:t>
      </w:r>
    </w:p>
    <w:p>
      <w:pPr>
        <w:spacing w:after="0" w:line="118" w:lineRule="exact"/>
        <w:rPr>
          <w:rFonts w:ascii="Arial" w:cs="Arial" w:eastAsia="Arial" w:hAnsi="Arial"/>
          <w:sz w:val="16"/>
          <w:szCs w:val="16"/>
          <w:color w:val="auto"/>
        </w:rPr>
      </w:pPr>
    </w:p>
    <w:p>
      <w:pPr>
        <w:ind w:right="80" w:firstLine="464"/>
        <w:spacing w:after="0" w:line="291" w:lineRule="auto"/>
        <w:tabs>
          <w:tab w:leader="none" w:pos="63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Fund understands that when Custodian is instructed to deliver Securities against payment, delivery of such Securities and receipt of payment therefor may not be completed simultaneously. Notwithstanding any provision in this Agreement to the contrary, settlements, payments and deliveries of Securities may be effected by Custodian or any Subcustodian in accordance with the customary or established securities trading or securities processing practices and procedures in the jurisdiction in which the transaction occurs, including, without limitation, delivery to a purchaser or dealer therefor (or agent) against receipt with the expectation of receiving later payment for such Securities. The Fund assumes full responsibility for all risks, including, without limitation, credit risks, involved in connection with such deliveries of Securities.</w:t>
      </w:r>
    </w:p>
    <w:p>
      <w:pPr>
        <w:spacing w:after="0" w:line="120" w:lineRule="exact"/>
        <w:rPr>
          <w:rFonts w:ascii="Arial" w:cs="Arial" w:eastAsia="Arial" w:hAnsi="Arial"/>
          <w:sz w:val="16"/>
          <w:szCs w:val="16"/>
          <w:color w:val="auto"/>
        </w:rPr>
      </w:pPr>
    </w:p>
    <w:p>
      <w:pPr>
        <w:ind w:right="100" w:firstLine="464"/>
        <w:spacing w:after="0" w:line="255" w:lineRule="auto"/>
        <w:tabs>
          <w:tab w:leader="none" w:pos="6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Custodian may, as a matter of bookkeeping convenience or by separate agreement with the Fund, credit the Account with the proceeds from the sale, redemption or other disposition of Securities or interest, dividends or other distributions payable on Securities prior to its actual receipt of final payment therefor. All such credits shall be conditional until Custodian’s actual receipt of final payment and may be reversed by Custodian to the extent that final payment is not received. Payment with respect to a transaction will not be “final” until Custodian shall have received immediately available funds which under applicable local law,</w:t>
      </w:r>
    </w:p>
    <w:p>
      <w:pPr>
        <w:spacing w:after="0" w:line="129" w:lineRule="exact"/>
        <w:rPr>
          <w:rFonts w:ascii="Arial" w:cs="Arial" w:eastAsia="Arial" w:hAnsi="Arial"/>
          <w:sz w:val="18"/>
          <w:szCs w:val="18"/>
          <w:color w:val="auto"/>
        </w:rPr>
      </w:pPr>
    </w:p>
    <w:p>
      <w:pPr>
        <w:ind w:left="5680" w:hanging="112"/>
        <w:spacing w:after="0"/>
        <w:tabs>
          <w:tab w:leader="none" w:pos="568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20"/>
          </w:cols>
          <w:pgMar w:left="240" w:top="280" w:right="23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rule and/or practice are irreversible and not subject to any security interest, levy or other encumbrance, and which are specifically applicable to such transaction.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OVERDRAFTS OR INDEBTEDNESS</w:t>
      </w:r>
    </w:p>
    <w:p>
      <w:pPr>
        <w:spacing w:after="0" w:line="165" w:lineRule="exact"/>
        <w:rPr>
          <w:sz w:val="20"/>
          <w:szCs w:val="20"/>
          <w:color w:val="auto"/>
        </w:rPr>
      </w:pPr>
    </w:p>
    <w:p>
      <w:pPr>
        <w:ind w:firstLine="464"/>
        <w:spacing w:after="0" w:line="306" w:lineRule="auto"/>
        <w:tabs>
          <w:tab w:leader="none" w:pos="632"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If Custodian should in its sole discretion advance funds on behalf of any Series which results in an overdraft (including, without limitation, any day-light overdraft) because the money held by Custodian in an Account for such Series shall be insufficient to pay the total amount payable upon a purchase of Securities specifically allocated to such Series, as set forth in a Certificate, Instructions or Oral Instructions, or if an overdraft arises in the separate account of a Series for some other reason, including, without limitation, because of a reversal of a conditional credit or the purchase of any currency, or if the Fund is for any other reason indebted to Custodian with respect to a Series, including any indebtedness to The Bank of New York Mellon under the Fund’s Cash Management and Related Services Agreement (except a borrowing for investment or for temporary or emergency purposes using Securities as collateral pursuant to a separate agreement and subject to the provisions of Section 2 of this Article), such overdraft or indebtedness shall be deemed to be a loan made by Custodian to the Fund for such Series payable on demand and shall bear interest from the date incurred at a rate per annum ordinarily charged by Custodian to its institutional customers, as such rate may be adjusted from time to time. In addition, the Fund hereby agrees that Custodian shall to the maximum extent permitted by law have a continuing lien, security interest, and security entitlement in and to any property, including, without limitation, any investment property or any financial asset, of such Series at any time held by Custodian for the benefit of such Series or in which such Series may have an interest which is then in Custodian’s possession or control or in possession or control of any third party acting in Custodian’s behalf. The Fund authorizes Custodian, in its sole discretion, at any time to charge any such overdraft or indebtedness together with interest due thereon against any balance of account standing to such Series’ credit on Custodian’s books.</w:t>
      </w:r>
    </w:p>
    <w:p>
      <w:pPr>
        <w:spacing w:after="0" w:line="112" w:lineRule="exact"/>
        <w:rPr>
          <w:rFonts w:ascii="Arial" w:cs="Arial" w:eastAsia="Arial" w:hAnsi="Arial"/>
          <w:sz w:val="15"/>
          <w:szCs w:val="15"/>
          <w:color w:val="auto"/>
        </w:rPr>
      </w:pPr>
    </w:p>
    <w:p>
      <w:pPr>
        <w:ind w:right="60" w:firstLine="464"/>
        <w:spacing w:after="0" w:line="286" w:lineRule="auto"/>
        <w:tabs>
          <w:tab w:leader="none" w:pos="63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the Fund borrows money from any bank (including Custodian if the borrowing is pursuant to a separate agreement) for investment or for temporary or emergency purposes using Securities held by Custodian hereunder as collateral for such borrowings, the Fund shall deliver to Custodian a Certificate specifying with respect to each such borrowing: (a) the Series to which such borrowing relates; (b) the name of the bank, (c) the amount of the borrowing, (d) the time and date, if known, on which the loan is to be entered into, (e) the total amount payable to the Fund on the borrowing date, (f) the Securities to be delivered as collateral for such loan, including the name of the issuer, the title and the number of shares or the principal amount of any particular Securities, and (g) a statement specifying whether such loan is for investment purposes or for temporary or emergency purposes and that such loan is in conformance with the ‘40 Act and the Fund’s prospectus. Custodian shall deliver on the borrowing date specified in a Certificate the specified collateral against payment by the lending bank of the total amount of the loan payable, provided that the same conforms to the total amount payable as set forth in the Certificate. Custodian may, at the option of the lending bank, keep such collateral in its possession, but such collateral shall be subject to all rights therein given the lending bank by virtue of any promissory note or loan agreement. Custodian shall deliver such Securities as additional collateral as may be specified in a Certificate to collateralize further any transaction described in this Section. The Fund shall cause all Securities released from collateral status to be</w:t>
      </w:r>
    </w:p>
    <w:p>
      <w:pPr>
        <w:spacing w:after="0" w:line="113" w:lineRule="exact"/>
        <w:rPr>
          <w:rFonts w:ascii="Arial" w:cs="Arial" w:eastAsia="Arial" w:hAnsi="Arial"/>
          <w:sz w:val="16"/>
          <w:szCs w:val="16"/>
          <w:color w:val="auto"/>
        </w:rPr>
      </w:pPr>
    </w:p>
    <w:p>
      <w:pPr>
        <w:ind w:left="5620" w:hanging="96"/>
        <w:spacing w:after="0"/>
        <w:tabs>
          <w:tab w:leader="none" w:pos="5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20"/>
          </w:cols>
          <w:pgMar w:left="240" w:top="280" w:right="239" w:bottom="1440" w:gutter="0" w:footer="0" w:header="0"/>
        </w:sectPr>
      </w:pPr>
    </w:p>
    <w:bookmarkStart w:id="157" w:name="page158"/>
    <w:bookmarkEnd w:id="157"/>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returned directly to Custodian, and Custodian shall receive from time to time such return of collateral as may be tendered to it. In the event that the Fund fails to specify in a Certificate the Series, the name of the issuer, the title and number of shares or the principal amount of any particular Securities to be delivered as collateral by Custodian, Custodian shall not be under any obligation to deliver any Securities.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 AND REDEMPTION OF SHARES</w:t>
      </w:r>
    </w:p>
    <w:p>
      <w:pPr>
        <w:spacing w:after="0" w:line="165" w:lineRule="exact"/>
        <w:rPr>
          <w:sz w:val="20"/>
          <w:szCs w:val="20"/>
          <w:color w:val="auto"/>
        </w:rPr>
      </w:pPr>
    </w:p>
    <w:p>
      <w:pPr>
        <w:ind w:right="60" w:firstLine="464"/>
        <w:spacing w:after="0" w:line="332" w:lineRule="auto"/>
        <w:tabs>
          <w:tab w:leader="none" w:pos="63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Whenever the Fund shall sell any shares issued by the Fund (“Shares”) it shall deliver to Custodian a Certificate or Instructions specifying the amount of money and/or Securities to be received by Custodian for the sale of such Shares and specifically allocated to an Account for such Series.</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Upon receipt of such money, Custodian shall credit such money to an Account in the name of the Series for which such money was received.</w:t>
      </w:r>
    </w:p>
    <w:p>
      <w:pPr>
        <w:spacing w:after="0" w:line="194" w:lineRule="exact"/>
        <w:rPr>
          <w:rFonts w:ascii="Arial" w:cs="Arial" w:eastAsia="Arial" w:hAnsi="Arial"/>
          <w:sz w:val="16"/>
          <w:szCs w:val="16"/>
          <w:color w:val="auto"/>
        </w:rPr>
      </w:pPr>
    </w:p>
    <w:p>
      <w:pPr>
        <w:ind w:firstLine="464"/>
        <w:spacing w:after="0" w:line="298" w:lineRule="auto"/>
        <w:tabs>
          <w:tab w:leader="none" w:pos="63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Except as provided hereinafter, whenever the Fund desires Custodian to make payment out of the money held by Custodian hereunder in connection with a redemption of any Shares, it shall furnish to Custodian (a) a resolution of the Fund’s board directing the Fund’s transfer agent to redeem the Shares, and (b) a Certificate or Instructions specifying the total amount to be paid for such Shares. Custodian shall make payment of such total amount to the transfer agent specified in such Certificate or Instructions out of the money held in an Account of the appropriate Series.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 OF DIVIDENDS OR DISTRIBUTIONS</w:t>
      </w:r>
    </w:p>
    <w:p>
      <w:pPr>
        <w:spacing w:after="0" w:line="165" w:lineRule="exact"/>
        <w:rPr>
          <w:sz w:val="20"/>
          <w:szCs w:val="20"/>
          <w:color w:val="auto"/>
        </w:rPr>
      </w:pPr>
    </w:p>
    <w:p>
      <w:pPr>
        <w:ind w:right="20" w:firstLine="464"/>
        <w:spacing w:after="0" w:line="332" w:lineRule="auto"/>
        <w:tabs>
          <w:tab w:leader="none" w:pos="63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Whenever the Fund shall determine to pay a dividend or distribution on Shares it shall furnish to Custodian Instructions or a Certificate setting forth with respect to the Series specified therein the date of the declaration of such dividend or distribution, the total amount payable, and the payment date.</w:t>
      </w:r>
    </w:p>
    <w:p>
      <w:pPr>
        <w:spacing w:after="0" w:line="85" w:lineRule="exact"/>
        <w:rPr>
          <w:rFonts w:ascii="Arial" w:cs="Arial" w:eastAsia="Arial" w:hAnsi="Arial"/>
          <w:sz w:val="16"/>
          <w:szCs w:val="16"/>
          <w:color w:val="auto"/>
        </w:rPr>
      </w:pPr>
    </w:p>
    <w:p>
      <w:pPr>
        <w:ind w:right="280" w:firstLine="464"/>
        <w:spacing w:after="0" w:line="268" w:lineRule="auto"/>
        <w:tabs>
          <w:tab w:leader="none" w:pos="63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Upon the payment date specified in such Instructions or Certificate, Custodian shall pay out of the money held for the account of such Series the total amount payable to the dividend agent of the Fund specified therein.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CONCERNING CUSTODIAN</w:t>
      </w:r>
    </w:p>
    <w:p>
      <w:pPr>
        <w:spacing w:after="0" w:line="165" w:lineRule="exact"/>
        <w:rPr>
          <w:sz w:val="20"/>
          <w:szCs w:val="20"/>
          <w:color w:val="auto"/>
        </w:rPr>
      </w:pPr>
    </w:p>
    <w:p>
      <w:pPr>
        <w:ind w:right="80" w:firstLine="8"/>
        <w:spacing w:after="0" w:line="294" w:lineRule="auto"/>
        <w:tabs>
          <w:tab w:leader="none" w:pos="23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Custodian shall exercise good faith in carrying out all of these duties and obligations. Except as otherwise expressly provided herein, Custodian shall not be liable for any costs, expenses, damages, liabilities or claims, including attorneys’ and accountants’ fees (collectively, “Losses”), incurred by or asserted against the Fund, except those Losses arising out of Custodian’s own negligence or willful misconduct. Custodian shall have no liability whatsoever for the action or inaction of any Depositories or of any Foreign Depositories, except in each case to the extent such action or inaction is a direct result of the Custodian’s failure to fulfill its duties hereunder. With respect to any Losses incurred by the Fund as a result of the acts or any failures</w:t>
      </w:r>
    </w:p>
    <w:p>
      <w:pPr>
        <w:spacing w:after="0" w:line="102" w:lineRule="exact"/>
        <w:rPr>
          <w:rFonts w:ascii="Arial" w:cs="Arial" w:eastAsia="Arial" w:hAnsi="Arial"/>
          <w:sz w:val="16"/>
          <w:szCs w:val="16"/>
          <w:color w:val="auto"/>
        </w:rPr>
      </w:pPr>
    </w:p>
    <w:p>
      <w:pPr>
        <w:ind w:left="5620" w:hanging="93"/>
        <w:spacing w:after="0"/>
        <w:tabs>
          <w:tab w:leader="none" w:pos="56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20"/>
          </w:cols>
          <w:pgMar w:left="240" w:top="280" w:right="239" w:bottom="1440" w:gutter="0" w:footer="0" w:header="0"/>
        </w:sectPr>
      </w:pPr>
    </w:p>
    <w:bookmarkStart w:id="158" w:name="page159"/>
    <w:bookmarkEnd w:id="158"/>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act by any Subcustodian (other than a BNY Affiliate), Custodian shall take appropriate action to recover such Losses from such Subcustodian; and Custodian’s sole responsibility and liability to the Fund shall be limited to amounts so received from such Subcustodian (exclusive of costs and expenses incurred by Custodian). In no event shall Custodian be liable to the Fund or any third party for special, indirect or consequential damages, or lost profits or loss of business, arising in connection with this Agreement, nor shall BNY or any Subcustodian be liable: (</w:t>
      </w:r>
      <w:r>
        <w:rPr>
          <w:rFonts w:ascii="Arial" w:cs="Arial" w:eastAsia="Arial" w:hAnsi="Arial"/>
          <w:sz w:val="16"/>
          <w:szCs w:val="16"/>
          <w:u w:val="single" w:color="auto"/>
          <w:color w:val="auto"/>
        </w:rPr>
        <w:t>i</w:t>
      </w:r>
      <w:r>
        <w:rPr>
          <w:rFonts w:ascii="Arial" w:cs="Arial" w:eastAsia="Arial" w:hAnsi="Arial"/>
          <w:sz w:val="16"/>
          <w:szCs w:val="16"/>
          <w:color w:val="auto"/>
        </w:rPr>
        <w:t>) for acting in accordance with any Certificate or Oral Instructions actually received by Custodian and reasonably believed by Custodian to be given by an Authorized Person; (</w:t>
      </w:r>
      <w:r>
        <w:rPr>
          <w:rFonts w:ascii="Arial" w:cs="Arial" w:eastAsia="Arial" w:hAnsi="Arial"/>
          <w:sz w:val="16"/>
          <w:szCs w:val="16"/>
          <w:u w:val="single" w:color="auto"/>
          <w:color w:val="auto"/>
        </w:rPr>
        <w:t>ii</w:t>
      </w:r>
      <w:r>
        <w:rPr>
          <w:rFonts w:ascii="Arial" w:cs="Arial" w:eastAsia="Arial" w:hAnsi="Arial"/>
          <w:sz w:val="16"/>
          <w:szCs w:val="16"/>
          <w:color w:val="auto"/>
        </w:rPr>
        <w:t>) for acting in accordance with Instructions without reviewing the same; (</w:t>
      </w:r>
      <w:r>
        <w:rPr>
          <w:rFonts w:ascii="Arial" w:cs="Arial" w:eastAsia="Arial" w:hAnsi="Arial"/>
          <w:sz w:val="16"/>
          <w:szCs w:val="16"/>
          <w:u w:val="single" w:color="auto"/>
          <w:color w:val="auto"/>
        </w:rPr>
        <w:t>iii</w:t>
      </w:r>
      <w:r>
        <w:rPr>
          <w:rFonts w:ascii="Arial" w:cs="Arial" w:eastAsia="Arial" w:hAnsi="Arial"/>
          <w:sz w:val="16"/>
          <w:szCs w:val="16"/>
          <w:color w:val="auto"/>
        </w:rPr>
        <w:t>) for conclusively presuming that all Instructions are given only by person(s) duly authorized; (</w:t>
      </w:r>
      <w:r>
        <w:rPr>
          <w:rFonts w:ascii="Arial" w:cs="Arial" w:eastAsia="Arial" w:hAnsi="Arial"/>
          <w:sz w:val="16"/>
          <w:szCs w:val="16"/>
          <w:u w:val="single" w:color="auto"/>
          <w:color w:val="auto"/>
        </w:rPr>
        <w:t>iv</w:t>
      </w:r>
      <w:r>
        <w:rPr>
          <w:rFonts w:ascii="Arial" w:cs="Arial" w:eastAsia="Arial" w:hAnsi="Arial"/>
          <w:sz w:val="16"/>
          <w:szCs w:val="16"/>
          <w:color w:val="auto"/>
        </w:rPr>
        <w:t>) for conclusively presuming that all disbursements of cash directed by the Fund, whether by a Certificate, an Oral Instruction, or an Instruction, are in accordance with Section 2(i) of Article II hereof; (</w:t>
      </w:r>
      <w:r>
        <w:rPr>
          <w:rFonts w:ascii="Arial" w:cs="Arial" w:eastAsia="Arial" w:hAnsi="Arial"/>
          <w:sz w:val="16"/>
          <w:szCs w:val="16"/>
          <w:u w:val="single" w:color="auto"/>
          <w:color w:val="auto"/>
        </w:rPr>
        <w:t>v</w:t>
      </w:r>
      <w:r>
        <w:rPr>
          <w:rFonts w:ascii="Arial" w:cs="Arial" w:eastAsia="Arial" w:hAnsi="Arial"/>
          <w:sz w:val="16"/>
          <w:szCs w:val="16"/>
          <w:color w:val="auto"/>
        </w:rPr>
        <w:t>) for holding property in any particular country, including, but not limited to, Losses resulting from nationalization, expropriation or other governmental actions; regulation of the banking or securities industry; exchange or currency controls or restrictions, devaluations or fluctuations; availability of cash or Securities or market conditions which prevent the transfer of property or execution of Securities transactions or affect the value of property; (</w:t>
      </w:r>
      <w:r>
        <w:rPr>
          <w:rFonts w:ascii="Arial" w:cs="Arial" w:eastAsia="Arial" w:hAnsi="Arial"/>
          <w:sz w:val="16"/>
          <w:szCs w:val="16"/>
          <w:u w:val="single" w:color="auto"/>
          <w:color w:val="auto"/>
        </w:rPr>
        <w:t>vi</w:t>
      </w:r>
      <w:r>
        <w:rPr>
          <w:rFonts w:ascii="Arial" w:cs="Arial" w:eastAsia="Arial" w:hAnsi="Arial"/>
          <w:sz w:val="16"/>
          <w:szCs w:val="16"/>
          <w:color w:val="auto"/>
        </w:rPr>
        <w:t>) for any Losses due to forces beyond the control of Custodian, including without limitation strikes, work stoppages, acts of war or terrorism, insurrection, revolution, nuclear or natural catastrophes or acts of God, or interruptions, loss or malfunctions of utilities, communications or computer (software and hardware) services; (vii) for the insolvency of any Subcustodian (other than a BNY Affiliate), any Depository, or, except to the extent such action or inaction is a direct result of the Custodian’s failure to fulfill its duties hereunder, any Foreign Depository; or (</w:t>
      </w:r>
      <w:r>
        <w:rPr>
          <w:rFonts w:ascii="Arial" w:cs="Arial" w:eastAsia="Arial" w:hAnsi="Arial"/>
          <w:sz w:val="16"/>
          <w:szCs w:val="16"/>
          <w:u w:val="single" w:color="auto"/>
          <w:color w:val="auto"/>
        </w:rPr>
        <w:t>viii</w:t>
      </w:r>
      <w:r>
        <w:rPr>
          <w:rFonts w:ascii="Arial" w:cs="Arial" w:eastAsia="Arial" w:hAnsi="Arial"/>
          <w:sz w:val="16"/>
          <w:szCs w:val="16"/>
          <w:color w:val="auto"/>
        </w:rPr>
        <w:t>) for any Losses arising from the applicability of any law or regulation now or hereafter in effect, or from the occurrence of any event, including, without limitation, implementation or adoption of any rules or procedures of a Foreign Depository, which may affect, limit, prevent or impose costs or burdens on, the transferability, convertibility, or availability of any currency or Composite Currency Unit in any country or on the transfer of any Securities, and in no event shall Custodian be obligated to substitute another currency for a currency (including a currency that is a component of a Composite Currency Unit) whose transferability, convertibility or availability has been affected, limited, or prevented by such law, regulation or event, and to the extent that any such law, regulation or event imposes a cost or charge upon Custodian in relation to the transferability, convertibility, or availability of any cash currency or Composite Currency Unit, such cost or charge shall be for the account of the Fund, and Custodian may treat any account denominated in an affected currency as a group of separate accounts denominated in the relevant component currencies.</w:t>
      </w:r>
    </w:p>
    <w:p>
      <w:pPr>
        <w:spacing w:after="0" w:line="128" w:lineRule="exact"/>
        <w:rPr>
          <w:sz w:val="20"/>
          <w:szCs w:val="20"/>
          <w:color w:val="auto"/>
        </w:rPr>
      </w:pPr>
    </w:p>
    <w:p>
      <w:pPr>
        <w:jc w:val="both"/>
        <w:ind w:firstLine="921"/>
        <w:spacing w:after="0" w:line="259" w:lineRule="auto"/>
        <w:tabs>
          <w:tab w:leader="none" w:pos="116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Custodian may enter into subcontracts, agreements and understandings with any BNY Affiliate, whenever and on such terms and conditions as it deems necessary or appropriate to perform its services hereunder. No such subcontract, agreement or understanding shall discharge Custodian from its obligations hereunder.</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Fund agrees to indemnify Custodian and hold Custodian harmless from and against any and all Losses sustained or incurred by or asserted against Custodian by reason of or as a result of any action or inaction, or arising out of Custodian’s performance hereunder, including reasonable fees and expenses of counsel incurred by Custodian in a successful defense of claims by the Fund; provided however, that the Fund shall not indemnify Custodian for those Losses arising out of Custodian’s own negligence or willful misconduct or for any Losses which constitute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280" w:right="259" w:bottom="1440" w:gutter="0" w:footer="0" w:header="0"/>
        </w:sectPr>
      </w:pPr>
    </w:p>
    <w:bookmarkStart w:id="159" w:name="page160"/>
    <w:bookmarkEnd w:id="159"/>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indirect, special or consequential damages or lost profits or loss of business. This indemnity shall be a continuing obligation of the Fund, its their successors and assigns, notwithstanding the termination of this Agreement.</w:t>
      </w:r>
    </w:p>
    <w:p>
      <w:pPr>
        <w:spacing w:after="0" w:line="132" w:lineRule="exact"/>
        <w:rPr>
          <w:sz w:val="20"/>
          <w:szCs w:val="20"/>
          <w:color w:val="auto"/>
        </w:rPr>
      </w:pPr>
    </w:p>
    <w:p>
      <w:pPr>
        <w:ind w:left="640" w:hanging="176"/>
        <w:spacing w:after="0"/>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Without limiting the generality of the foregoing, Custodian shall be under no obligation to inquire into, and shall not be liable for:</w:t>
      </w:r>
    </w:p>
    <w:p>
      <w:pPr>
        <w:spacing w:after="0" w:line="171" w:lineRule="exact"/>
        <w:rPr>
          <w:rFonts w:ascii="Arial" w:cs="Arial" w:eastAsia="Arial" w:hAnsi="Arial"/>
          <w:sz w:val="18"/>
          <w:szCs w:val="18"/>
          <w:color w:val="auto"/>
        </w:rPr>
      </w:pPr>
    </w:p>
    <w:p>
      <w:pPr>
        <w:ind w:right="620" w:firstLine="921"/>
        <w:spacing w:after="0" w:line="268" w:lineRule="auto"/>
        <w:tabs>
          <w:tab w:leader="none" w:pos="115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Losses incurred by the Fund or any other person as a result of the receipt or acceptance of fraudulent, forged or invalid Securities, or Securities which are otherwise not freely transferable or deliverable without encumbrance in any relevant market;</w:t>
      </w:r>
    </w:p>
    <w:p>
      <w:pPr>
        <w:spacing w:after="0" w:line="131" w:lineRule="exact"/>
        <w:rPr>
          <w:rFonts w:ascii="Arial" w:cs="Arial" w:eastAsia="Arial" w:hAnsi="Arial"/>
          <w:sz w:val="18"/>
          <w:szCs w:val="18"/>
          <w:color w:val="auto"/>
        </w:rPr>
      </w:pPr>
    </w:p>
    <w:p>
      <w:pPr>
        <w:ind w:right="240" w:firstLine="921"/>
        <w:spacing w:after="0" w:line="268" w:lineRule="auto"/>
        <w:tabs>
          <w:tab w:leader="none" w:pos="116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validity of the issue of any Securities purchased, sold, or written by or for the Fund, the legality of the purchase, sale or writing thereof, or the propriety of the amount paid or received therefor;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legality of the sale or redemption of any Shares, or the propriety of the amount to be received or paid therefor;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legality of the declaration or payment of any dividend or distribution by the Fund;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legality of any borrowing by the Fund;</w:t>
      </w:r>
    </w:p>
    <w:p>
      <w:pPr>
        <w:spacing w:after="0" w:line="171" w:lineRule="exact"/>
        <w:rPr>
          <w:rFonts w:ascii="Arial" w:cs="Arial" w:eastAsia="Arial" w:hAnsi="Arial"/>
          <w:sz w:val="18"/>
          <w:szCs w:val="18"/>
          <w:color w:val="auto"/>
        </w:rPr>
      </w:pPr>
    </w:p>
    <w:p>
      <w:pPr>
        <w:ind w:firstLine="921"/>
        <w:spacing w:after="0" w:line="291" w:lineRule="auto"/>
        <w:tabs>
          <w:tab w:leader="none" w:pos="113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legality of any loan of portfolio Securities, nor shall Custodian be under any duty or obligation to see to it that any cash or collateral delivered to it by a broker, dealer or financial institution or held by it at any time as a result of such loan of portfolio Securities is adequate security for the Fund against any loss it might sustain as a result of such loan, which duty or obligation shall be the sole responsibility of the Fund. In addition, Custodian shall be under no duty or obligation to see that any broker, dealer or financial institution to which portfolio Securities of the Fund are lent makes payment to it of any dividends or interest which are payable to or for the account of the Fund during the period of such loan or at the termination of such loan, provided, however that Custodian shall promptly notify the Fund in the event that such dividends or interest are not paid and received when due;</w:t>
      </w:r>
    </w:p>
    <w:p>
      <w:pPr>
        <w:spacing w:after="0" w:line="120" w:lineRule="exact"/>
        <w:rPr>
          <w:rFonts w:ascii="Arial" w:cs="Arial" w:eastAsia="Arial" w:hAnsi="Arial"/>
          <w:sz w:val="16"/>
          <w:szCs w:val="16"/>
          <w:color w:val="auto"/>
        </w:rPr>
      </w:pPr>
    </w:p>
    <w:p>
      <w:pPr>
        <w:ind w:right="260" w:firstLine="921"/>
        <w:spacing w:after="0" w:line="294" w:lineRule="auto"/>
        <w:tabs>
          <w:tab w:leader="none" w:pos="116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sufficiency or value of any amounts of money and/or Securities held in any Special Account in connection with transactions by the Fund; whether any broker, dealer, futures commission merchant or clearing member makes payment to the Fund of any variation margin payment or similar payment which the Fund may be entitled to receive from such broker, dealer, futures commission merchant or clearing member, or whether any payment received by Custodian from any broker, dealer, futures commission merchant or clearing member is the amount the Fund is entitled to receive, or to notify the Fund of Custodian’s receipt or non-receipt of any such payment; or</w:t>
      </w:r>
    </w:p>
    <w:p>
      <w:pPr>
        <w:spacing w:after="0" w:line="115" w:lineRule="exact"/>
        <w:rPr>
          <w:rFonts w:ascii="Arial" w:cs="Arial" w:eastAsia="Arial" w:hAnsi="Arial"/>
          <w:sz w:val="16"/>
          <w:szCs w:val="16"/>
          <w:color w:val="auto"/>
        </w:rPr>
      </w:pPr>
    </w:p>
    <w:p>
      <w:pPr>
        <w:jc w:val="both"/>
        <w:ind w:right="100" w:firstLine="921"/>
        <w:spacing w:after="0" w:line="259" w:lineRule="auto"/>
        <w:tabs>
          <w:tab w:leader="none" w:pos="116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Whether any Securities at any time delivered to, or held by it or by any Subcustodian, for the account of the Fund and specifically allocated to a Series are such as properly may be held by the Fund or such Series under the provisions of its then current prospectus and statement of additional information, or to ascertain whether any transactions by</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20"/>
          </w:cols>
          <w:pgMar w:left="240" w:top="280"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Fund, whether or not involving Custodian, are such transactions as may properly be engaged in by the Fund.</w:t>
      </w:r>
    </w:p>
    <w:p>
      <w:pPr>
        <w:spacing w:after="0" w:line="171" w:lineRule="exact"/>
        <w:rPr>
          <w:sz w:val="20"/>
          <w:szCs w:val="20"/>
          <w:color w:val="auto"/>
        </w:rPr>
      </w:pPr>
    </w:p>
    <w:p>
      <w:pPr>
        <w:ind w:right="80" w:firstLine="464"/>
        <w:spacing w:after="0" w:line="268" w:lineRule="auto"/>
        <w:tabs>
          <w:tab w:leader="none" w:pos="6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Custodian may, with respect to questions of law specifically regarding an Account, obtain the advice of counsel and shall be fully protected with respect to anything done or omitted by it in good faith in conformity with such advice.</w:t>
      </w:r>
    </w:p>
    <w:p>
      <w:pPr>
        <w:spacing w:after="0" w:line="131"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Custodian shall be under no obligation to take action to collect any amount payable on Securities in default, or if payment is refused after due demand and presentment.</w:t>
      </w:r>
    </w:p>
    <w:p>
      <w:pPr>
        <w:spacing w:after="0" w:line="131" w:lineRule="exact"/>
        <w:rPr>
          <w:rFonts w:ascii="Arial" w:cs="Arial" w:eastAsia="Arial" w:hAnsi="Arial"/>
          <w:sz w:val="18"/>
          <w:szCs w:val="18"/>
          <w:color w:val="auto"/>
        </w:rPr>
      </w:pPr>
    </w:p>
    <w:p>
      <w:pPr>
        <w:ind w:right="640" w:firstLine="464"/>
        <w:spacing w:after="0" w:line="268" w:lineRule="auto"/>
        <w:tabs>
          <w:tab w:leader="none" w:pos="6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Custodian shall have no duty or responsibility to inquire into, make recommendations, supervise, or determine the suitability of any transactions affecting any Account.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Fund shall pay to Custodian the fees and charges as may be specifically agreed upon from time to time and such other fees and charges at</w:t>
      </w:r>
    </w:p>
    <w:p>
      <w:pPr>
        <w:spacing w:after="0" w:line="38" w:lineRule="exact"/>
        <w:rPr>
          <w:rFonts w:ascii="Arial" w:cs="Arial" w:eastAsia="Arial" w:hAnsi="Arial"/>
          <w:sz w:val="16"/>
          <w:szCs w:val="16"/>
          <w:color w:val="auto"/>
        </w:rPr>
      </w:pP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Custodian’s standard rates for such services as may be applicable. The Fund shall reimburse Custodian for all costs associated with the conversion of the Fund’s Securities hereunder and the transfer of Securities and records kept in connection with this Agreement. The Fund shall also reimburse Custodian for out-of-pocket expenses which are a normal incident of the services provided hereunder.</w:t>
      </w:r>
    </w:p>
    <w:p>
      <w:pPr>
        <w:spacing w:after="0" w:line="144" w:lineRule="exact"/>
        <w:rPr>
          <w:rFonts w:ascii="Arial" w:cs="Arial" w:eastAsia="Arial" w:hAnsi="Arial"/>
          <w:sz w:val="16"/>
          <w:szCs w:val="16"/>
          <w:color w:val="auto"/>
        </w:rPr>
      </w:pPr>
    </w:p>
    <w:p>
      <w:pPr>
        <w:ind w:right="40" w:firstLine="464"/>
        <w:spacing w:after="0" w:line="318" w:lineRule="auto"/>
        <w:tabs>
          <w:tab w:leader="none" w:pos="632" w:val="left"/>
        </w:tabs>
        <w:numPr>
          <w:ilvl w:val="0"/>
          <w:numId w:val="111"/>
        </w:numPr>
        <w:rPr>
          <w:rFonts w:ascii="Arial" w:cs="Arial" w:eastAsia="Arial" w:hAnsi="Arial"/>
          <w:sz w:val="15"/>
          <w:szCs w:val="15"/>
          <w:color w:val="auto"/>
        </w:rPr>
      </w:pPr>
      <w:r>
        <w:rPr>
          <w:rFonts w:ascii="Arial" w:cs="Arial" w:eastAsia="Arial" w:hAnsi="Arial"/>
          <w:sz w:val="15"/>
          <w:szCs w:val="15"/>
          <w:color w:val="auto"/>
        </w:rPr>
        <w:t>Custodian has the right to debit any cash account for any amount payable by the Fund in connection with any and all obligations of the Fund to Custodian. In addition to the rights of Custodian under applicable law and other agreements, at any time when the Fund shall not have honored any of its obligations to Custodian, Custodian shall have the right without notice to the Fund to retain or set-off, against such obligations of the Fund, any Securities or cash Custodian may directly or indirectly hold for the account of the Fund, and any obligations (whether matured or unmatured) that Custodian may have to the Fund in any currency or Composite Currency Unit. Any such asset of, or obligation to, the Fund may be transferred to Custodian in order to effect the above rights.</w:t>
      </w:r>
    </w:p>
    <w:p>
      <w:pPr>
        <w:spacing w:after="0" w:line="99" w:lineRule="exact"/>
        <w:rPr>
          <w:rFonts w:ascii="Arial" w:cs="Arial" w:eastAsia="Arial" w:hAnsi="Arial"/>
          <w:sz w:val="15"/>
          <w:szCs w:val="15"/>
          <w:color w:val="auto"/>
        </w:rPr>
      </w:pPr>
    </w:p>
    <w:p>
      <w:pPr>
        <w:ind w:firstLine="464"/>
        <w:spacing w:after="0" w:line="287" w:lineRule="auto"/>
        <w:tabs>
          <w:tab w:leader="none" w:pos="63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Fund agrees to forward to Custodian a Certificate or Instructions confirming Oral Instructions by the close of business of the same day that such Oral Instructions are given to Custodian. The Fund agrees that the fact that such confirming Certificate or Instructions are not received or that a contrary Certificate or contrary Instructions are received by Custodian shall in no way affect the validity or enforceability of transactions authorized by such Oral Instructions and effected by Custodian. If the Fund elects to transmit Instructions through an on-line communications system offered by Custodian, the Fund’s use thereof shall be subject to the Terms and Conditions attached as Appendix I hereto. If Custodian receives Instructions which reasonably appear on their face to have been transmitted by an Authorized Person via (i) computer facsimile, email, the Internet or other insecure electronic method, or (ii) secure electronic transmission containing applicable authorization codes, passwords and/or authentication keys, the Fund understands and agrees that Custodian cannot determine the identity of the actual sender of such Instructions and that Custodian shall conclusively presume that such Written Instructions have been sent by an Authorized Person, and the Fund shall be responsible for ensuring that only Authorized Persons transmit such Instructions to Custodian. If the Fund elects (with Custodian’s prior consent) to transmit Instructions through an on-line</w:t>
      </w:r>
    </w:p>
    <w:p>
      <w:pPr>
        <w:spacing w:after="0" w:line="109" w:lineRule="exact"/>
        <w:rPr>
          <w:rFonts w:ascii="Arial" w:cs="Arial" w:eastAsia="Arial" w:hAnsi="Arial"/>
          <w:sz w:val="16"/>
          <w:szCs w:val="16"/>
          <w:color w:val="auto"/>
        </w:rPr>
      </w:pPr>
    </w:p>
    <w:p>
      <w:pPr>
        <w:ind w:left="5620" w:hanging="96"/>
        <w:spacing w:after="0"/>
        <w:tabs>
          <w:tab w:leader="none" w:pos="5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20"/>
          </w:cols>
          <w:pgMar w:left="240" w:top="280" w:right="239" w:bottom="1440" w:gutter="0" w:footer="0" w:header="0"/>
        </w:sectPr>
      </w:pPr>
    </w:p>
    <w:bookmarkStart w:id="161" w:name="page162"/>
    <w:bookmarkEnd w:id="161"/>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communications service owned or operated by a third party, the Fund agrees that Custodian shall not be responsible or liable for the reliability or availability of any such service.</w:t>
      </w:r>
    </w:p>
    <w:p>
      <w:pPr>
        <w:spacing w:after="0" w:line="132" w:lineRule="exact"/>
        <w:rPr>
          <w:sz w:val="20"/>
          <w:szCs w:val="20"/>
          <w:color w:val="auto"/>
        </w:rPr>
      </w:pPr>
    </w:p>
    <w:p>
      <w:pPr>
        <w:ind w:right="40" w:firstLine="464"/>
        <w:spacing w:after="0" w:line="294" w:lineRule="auto"/>
        <w:tabs>
          <w:tab w:leader="none" w:pos="63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books and records pertaining to the Fund which are in possession of Custodian shall be the property of the Fund. Such books and records shall be prepared and maintained as required by the ‘40 Act and the rules thereunder. The Fund, or its authorized representatives, shall have access to such books and records during Custodian’s normal business hours. Upon the reasonable request of the Fund, copies of any such books and records shall be provided by Custodian to the Fund or its authorized representative. Upon the reasonable request of the Fund, Custodian shall provide in hard copy or on computer disc any records included in any such delivery which are maintained by Custodian on a computer disc, or are similarly maintained.</w:t>
      </w:r>
    </w:p>
    <w:p>
      <w:pPr>
        <w:spacing w:after="0" w:line="115" w:lineRule="exact"/>
        <w:rPr>
          <w:rFonts w:ascii="Arial" w:cs="Arial" w:eastAsia="Arial" w:hAnsi="Arial"/>
          <w:sz w:val="16"/>
          <w:szCs w:val="16"/>
          <w:color w:val="auto"/>
        </w:rPr>
      </w:pPr>
    </w:p>
    <w:p>
      <w:pPr>
        <w:jc w:val="both"/>
        <w:ind w:right="120" w:firstLine="464"/>
        <w:spacing w:after="0" w:line="306" w:lineRule="auto"/>
        <w:tabs>
          <w:tab w:leader="none" w:pos="7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It is understood that Custodian is authorized to supply any information regarding the Accounts which is required by any law, regulation or rule now or hereafter in effect. The Custodian shall provide the Fund with any report obtained by the Custodian on the system of internal accounting control of a Depository, and with such reports on its own system of internal accounting control as the Fund may reasonably request from time to time.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reasonable request of the Fund, Custodian will provide a sub-certification to the Fund’s chief executive officer and/or chief financial officer in support of certain matters set forth in the certifications of the Fund’s chief executive officer and/or chief financial officer, which certifications are required by the Sarbanes-Oxley Act of 2002 or any rules or regulations promulgated by the Securities and Exchange Commission thereunder; such sub-certifications to be in such form and relating to such matters as agreed between the Fund and the Custodian from time to time. Custodian shall be required to provide a sub-certification only during the term of this Agreement and only if it receives such cooperation as it may reasonably request to perform its investigations with respect to the sub-certification. For clarity, the sub-certification is not itself a certification under any regulatory requirement.</w:t>
      </w:r>
    </w:p>
    <w:p>
      <w:pPr>
        <w:spacing w:after="0" w:line="120" w:lineRule="exact"/>
        <w:rPr>
          <w:sz w:val="20"/>
          <w:szCs w:val="20"/>
          <w:color w:val="auto"/>
        </w:rPr>
      </w:pPr>
    </w:p>
    <w:p>
      <w:pPr>
        <w:ind w:right="100" w:firstLine="464"/>
        <w:spacing w:after="0" w:line="332" w:lineRule="auto"/>
        <w:tabs>
          <w:tab w:leader="none" w:pos="71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Custodian shall have no duties or responsibilities whatsoever except such duties and responsibilities as are specifically set forth in this Agreement, and no covenant or obligation shall be implied against Custodian in connection with this Agreement.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65" w:lineRule="exact"/>
        <w:rPr>
          <w:sz w:val="20"/>
          <w:szCs w:val="20"/>
          <w:color w:val="auto"/>
        </w:rPr>
      </w:pPr>
    </w:p>
    <w:p>
      <w:pPr>
        <w:ind w:right="80" w:firstLine="464"/>
        <w:spacing w:after="0" w:line="290" w:lineRule="auto"/>
        <w:tabs>
          <w:tab w:leader="none" w:pos="63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Either of the parties hereto may terminate this Agreement by giving to the other party a notice in writing specifying the date of such termination, which shall be not less than ninety (90) days after the date of giving of such notice. In the event such notice is given by the Fund, it shall be accompanied by a copy of a resolution of the board of the Fund, certified by the Secretary or any Assistant Secretary, electing to terminate this Agreement and designating a successor custodian or custodians, each of which shall be a bank or trust company eligible to serve as a custodian of a unit investment trust under the Investment Company Act of 1940, as amended. In the event such notice is given by Custodian, the Fund shall, on or before the termination date, deliver to Custodian a copy of a resolution of the board of the Fund, certified by the Secretary or any Assistant Secretary, designating a successor custodian or custodians. In the absence of such designation by the Fund, Custodian may designate a successor custodian</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20"/>
          </w:cols>
          <w:pgMar w:left="240" w:top="280" w:right="239" w:bottom="1440" w:gutter="0" w:footer="0" w:header="0"/>
        </w:sectPr>
      </w:pPr>
    </w:p>
    <w:bookmarkStart w:id="162" w:name="page163"/>
    <w:bookmarkEnd w:id="162"/>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shall be a bank or trust company eligible to serve as custodian for a unit investment trust under the Investment Company Act of 1940, as amended. Upon the date set forth in such notice this Agreement shall terminate, and Custodian shall upon receipt of a notice of acceptance by the successor custodian on that date deliver directly to the successor custodian all Securities and money then owned by the Fund and held by it as Custodian, after deducting all fees, expenses and other amounts for the payment or reimbursement of which it shall then be entitled.</w:t>
      </w:r>
    </w:p>
    <w:p>
      <w:pPr>
        <w:spacing w:after="0" w:line="143" w:lineRule="exact"/>
        <w:rPr>
          <w:sz w:val="20"/>
          <w:szCs w:val="20"/>
          <w:color w:val="auto"/>
        </w:rPr>
      </w:pPr>
    </w:p>
    <w:p>
      <w:pPr>
        <w:ind w:firstLine="464"/>
        <w:spacing w:after="0" w:line="255" w:lineRule="auto"/>
        <w:tabs>
          <w:tab w:leader="none" w:pos="63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a successor custodian is not designated by the Fund or Custodian in accordance with the preceding Section, the Fund shall upon the date specified in the notice of termination of this Agreement and upon the delivery by Custodian of all Securities (other than Securities which cannot be delivered to the Fund) and money then owned by the Fund be deemed to be its own custodian and Custodian shall thereby be relieved of all duties and responsibilities pursuant to this Agreement, other than the duty with respect to Securities which cannot be delivered to the Fund to hold such Securities hereunder in accordance with this Agreement.</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65" w:lineRule="exact"/>
        <w:rPr>
          <w:sz w:val="20"/>
          <w:szCs w:val="20"/>
          <w:color w:val="auto"/>
        </w:rPr>
      </w:pPr>
    </w:p>
    <w:p>
      <w:pPr>
        <w:jc w:val="both"/>
        <w:ind w:right="360" w:firstLine="464"/>
        <w:spacing w:after="0" w:line="370" w:lineRule="auto"/>
        <w:tabs>
          <w:tab w:leader="none" w:pos="632"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Fund agrees to furnish to Custodian a new Certificate of Authorized Persons in the event of any change in the then present Authorized Persons. Until such new Certificate is received, Custodian shall be fully protected in acting upon Certificates or Oral Instructions of such present Authorized Persons.</w:t>
      </w:r>
    </w:p>
    <w:p>
      <w:pPr>
        <w:spacing w:after="0" w:line="62" w:lineRule="exact"/>
        <w:rPr>
          <w:rFonts w:ascii="Arial" w:cs="Arial" w:eastAsia="Arial" w:hAnsi="Arial"/>
          <w:sz w:val="15"/>
          <w:szCs w:val="15"/>
          <w:color w:val="auto"/>
        </w:rPr>
      </w:pPr>
    </w:p>
    <w:p>
      <w:pPr>
        <w:ind w:firstLine="464"/>
        <w:spacing w:after="0" w:line="259" w:lineRule="auto"/>
        <w:tabs>
          <w:tab w:leader="none" w:pos="6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notice or other instrument in writing, authorized or required by this Agreement to be given to Custodian, shall be sufficiently given if addressed to Custodian and received by it at its offices at One Wall Street, New York, New York 10286, or at such other place as Custodian may from time to time designate in writing.</w:t>
      </w:r>
    </w:p>
    <w:p>
      <w:pPr>
        <w:spacing w:after="0" w:line="140" w:lineRule="exact"/>
        <w:rPr>
          <w:rFonts w:ascii="Arial" w:cs="Arial" w:eastAsia="Arial" w:hAnsi="Arial"/>
          <w:sz w:val="18"/>
          <w:szCs w:val="18"/>
          <w:color w:val="auto"/>
        </w:rPr>
      </w:pPr>
    </w:p>
    <w:p>
      <w:pPr>
        <w:ind w:firstLine="464"/>
        <w:spacing w:after="0" w:line="259" w:lineRule="auto"/>
        <w:tabs>
          <w:tab w:leader="none" w:pos="6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notice or other instrument in writing, authorized or required by this Agreement to be given to the Fund shall be sufficiently given if addressed to the Fund and received by it at its offices at 590 Madision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or at such other place as the Fund may from time to time designate in writing.</w:t>
      </w:r>
    </w:p>
    <w:p>
      <w:pPr>
        <w:spacing w:after="0" w:line="140" w:lineRule="exact"/>
        <w:rPr>
          <w:rFonts w:ascii="Arial" w:cs="Arial" w:eastAsia="Arial" w:hAnsi="Arial"/>
          <w:sz w:val="18"/>
          <w:szCs w:val="18"/>
          <w:color w:val="auto"/>
        </w:rPr>
      </w:pPr>
    </w:p>
    <w:p>
      <w:pPr>
        <w:jc w:val="both"/>
        <w:ind w:right="60" w:firstLine="464"/>
        <w:spacing w:after="0" w:line="256" w:lineRule="auto"/>
        <w:tabs>
          <w:tab w:leader="none" w:pos="6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and every right granted to either party hereunder or under any other document delivered hereunder or in connection herewith, or allowed it by law or equity, shall be cumulative and may be exercised from time to time. No failure on the part of either party to exercise, and no delay in exercising, any right will operate as a waiver thereof, nor will any single or partial exercise by either party of any right preclude any other or future exercise thereof or the exercise of any other right.</w:t>
      </w:r>
    </w:p>
    <w:p>
      <w:pPr>
        <w:spacing w:after="0" w:line="143" w:lineRule="exact"/>
        <w:rPr>
          <w:rFonts w:ascii="Arial" w:cs="Arial" w:eastAsia="Arial" w:hAnsi="Arial"/>
          <w:sz w:val="18"/>
          <w:szCs w:val="18"/>
          <w:color w:val="auto"/>
        </w:rPr>
      </w:pPr>
    </w:p>
    <w:p>
      <w:pPr>
        <w:ind w:right="20" w:firstLine="464"/>
        <w:spacing w:after="0" w:line="255" w:lineRule="auto"/>
        <w:tabs>
          <w:tab w:leader="none" w:pos="6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case any provision in or obligation under this Agreement shall be invalid, illegal or unenforceable in any exclusive jurisdiction, the validity, legality and enforceability of the remaining provisions shall not in any way be affected thereby. This Agreement may not be amended or modified in any manner except by a written agreement executed by both parties, except that any amendment to the Schedule I hereto need be signed only by the Fund and any amendment to Appendix I hereto need be signed only by Custodian. This Agreement shall extend to and shall be binding upon the parties hereto, and their respective successors and</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380"/>
          </w:cols>
          <w:pgMar w:left="240" w:top="280" w:right="27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assigns; provided, however, that this Agreement shall not be assignable by either party without the written consent of the other.</w:t>
      </w:r>
    </w:p>
    <w:p>
      <w:pPr>
        <w:spacing w:after="0" w:line="171" w:lineRule="exact"/>
        <w:rPr>
          <w:sz w:val="20"/>
          <w:szCs w:val="20"/>
          <w:color w:val="auto"/>
        </w:rPr>
      </w:pPr>
    </w:p>
    <w:p>
      <w:pPr>
        <w:ind w:right="20" w:firstLine="464"/>
        <w:spacing w:after="0" w:line="254" w:lineRule="auto"/>
        <w:tabs>
          <w:tab w:leader="none" w:pos="63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substantive laws of the State of New York, without regard to conflicts of laws principles thereof. The Fund and Custodian hereby consent to the jurisdiction of a state or federal court situated in New York City, New York in connection with any dispute arising hereunder. The Fund hereby irrevocably waives, to the fullest extent permitted by applicable law, any objection which it may now or hereafter have to the laying of venue of any such proceeding brought in such a court and any claim that such proceeding brought in such a court has been brought in an inconvenient forum. The Fund and Custodian each hereby irrevocably waives any and all rights to trial by jury in any legal proceeding arising out of or relating to this Agreement.</w:t>
      </w:r>
    </w:p>
    <w:p>
      <w:pPr>
        <w:spacing w:after="0" w:line="144" w:lineRule="exact"/>
        <w:rPr>
          <w:rFonts w:ascii="Arial" w:cs="Arial" w:eastAsia="Arial" w:hAnsi="Arial"/>
          <w:sz w:val="18"/>
          <w:szCs w:val="18"/>
          <w:color w:val="auto"/>
        </w:rPr>
      </w:pPr>
    </w:p>
    <w:p>
      <w:pPr>
        <w:ind w:firstLine="464"/>
        <w:spacing w:after="0" w:line="291" w:lineRule="auto"/>
        <w:tabs>
          <w:tab w:leader="none" w:pos="63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Fund hereby acknowledges that Custodian is subject to federal laws, including its Customer Identification Program (CIP) requirements under the USA PATRIOT Act and its implementing regulations, pursuant to which Custodian must obtain, verify and record information that allows Custodian to identify the Fund. Accordingly, prior to opening an Account hereunder Custodian will ask the Fund to provide certain information including, but not limited to, the Fund’s name, physical address, tax identification number and other information that will help Custodian to identify and verify the Fund’s identity such as organizational documents, certificate of good standing, license to do business, or other pertinent identifying information. The Fund agrees that Custodian cannot open an Account hereunder unless and until Custodian verifies the Fund’s identity in accordance with its CIP.</w:t>
      </w:r>
    </w:p>
    <w:p>
      <w:pPr>
        <w:spacing w:after="0" w:line="120" w:lineRule="exact"/>
        <w:rPr>
          <w:rFonts w:ascii="Arial" w:cs="Arial" w:eastAsia="Arial" w:hAnsi="Arial"/>
          <w:sz w:val="16"/>
          <w:szCs w:val="16"/>
          <w:color w:val="auto"/>
        </w:rPr>
      </w:pPr>
    </w:p>
    <w:p>
      <w:pPr>
        <w:ind w:right="140" w:firstLine="464"/>
        <w:spacing w:after="0" w:line="268" w:lineRule="auto"/>
        <w:tabs>
          <w:tab w:leader="none" w:pos="63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to be an original, but such counterparts shall, together, constitute only one instrument.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00"/>
          </w:cols>
          <w:pgMar w:left="240" w:top="280" w:right="259" w:bottom="1440" w:gutter="0" w:footer="0" w:header="0"/>
        </w:sectPr>
      </w:pPr>
    </w:p>
    <w:bookmarkStart w:id="164" w:name="page165"/>
    <w:bookmarkEnd w:id="164"/>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Fund and Custodian have caused this Agreement to be executed by their respective officers, thereunto duly authorized,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day and year first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-13970</wp:posOffset>
            </wp:positionV>
            <wp:extent cx="263271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Tax Identification No:</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340"/>
          </w:cols>
          <w:pgMar w:left="240" w:top="274" w:right="31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AUTHORIZED PERSONS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Fund - Oral and Written Instructions)</w:t>
      </w:r>
    </w:p>
    <w:p>
      <w:pPr>
        <w:spacing w:after="0" w:line="165" w:lineRule="exact"/>
        <w:rPr>
          <w:sz w:val="20"/>
          <w:szCs w:val="20"/>
          <w:color w:val="auto"/>
        </w:rPr>
      </w:pPr>
    </w:p>
    <w:p>
      <w:pPr>
        <w:ind w:left="460"/>
        <w:spacing w:after="0"/>
        <w:tabs>
          <w:tab w:leader="none" w:pos="6600" w:val="left"/>
        </w:tabs>
        <w:rPr>
          <w:sz w:val="20"/>
          <w:szCs w:val="20"/>
          <w:color w:val="auto"/>
        </w:rPr>
      </w:pPr>
      <w:r>
        <w:rPr>
          <w:rFonts w:ascii="Arial" w:cs="Arial" w:eastAsia="Arial" w:hAnsi="Arial"/>
          <w:sz w:val="18"/>
          <w:szCs w:val="18"/>
          <w:color w:val="auto"/>
        </w:rPr>
        <w:t>The undersigned hereby certifies that he/she is the duly elected and acting</w:t>
      </w:r>
      <w:r>
        <w:rPr>
          <w:sz w:val="20"/>
          <w:szCs w:val="20"/>
          <w:color w:val="auto"/>
        </w:rPr>
        <w:tab/>
      </w:r>
      <w:r>
        <w:rPr>
          <w:rFonts w:ascii="Arial" w:cs="Arial" w:eastAsia="Arial" w:hAnsi="Arial"/>
          <w:sz w:val="16"/>
          <w:szCs w:val="16"/>
          <w:color w:val="auto"/>
        </w:rPr>
        <w:t>of * (the “Fund”), and further certifies that the following officers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-13970</wp:posOffset>
            </wp:positionV>
            <wp:extent cx="5575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employees of the Fund have been duly authorized in conformity with the Fund’s Declaration of Trust and By-Laws to deliver Certificates and Oral Instructions to</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60" w:type="dxa"/>
            <w:vAlign w:val="bottom"/>
            <w:gridSpan w:val="6"/>
          </w:tcPr>
          <w:p>
            <w:pPr>
              <w:spacing w:after="0"/>
              <w:rPr>
                <w:sz w:val="20"/>
                <w:szCs w:val="20"/>
                <w:color w:val="auto"/>
              </w:rPr>
            </w:pPr>
            <w:r>
              <w:rPr>
                <w:rFonts w:ascii="Arial" w:cs="Arial" w:eastAsia="Arial" w:hAnsi="Arial"/>
                <w:sz w:val="18"/>
                <w:szCs w:val="18"/>
                <w:color w:val="auto"/>
                <w:w w:val="98"/>
              </w:rPr>
              <w:t>The Bank of New York Mellon (“Custodian”) pursuant to the Custody Agreement between the Fund and Custodian dated</w:t>
            </w:r>
          </w:p>
        </w:tc>
        <w:tc>
          <w:tcPr>
            <w:tcW w:w="1960" w:type="dxa"/>
            <w:vAlign w:val="bottom"/>
          </w:tcPr>
          <w:p>
            <w:pPr>
              <w:spacing w:after="0"/>
              <w:rPr>
                <w:sz w:val="20"/>
                <w:szCs w:val="20"/>
                <w:color w:val="auto"/>
              </w:rPr>
            </w:pPr>
            <w:r>
              <w:rPr>
                <w:rFonts w:ascii="Arial" w:cs="Arial" w:eastAsia="Arial" w:hAnsi="Arial"/>
                <w:sz w:val="18"/>
                <w:szCs w:val="18"/>
                <w:color w:val="auto"/>
              </w:rPr>
              <w:t>, and that the signatures</w:t>
            </w:r>
          </w:p>
        </w:tc>
      </w:tr>
      <w:tr>
        <w:trPr>
          <w:trHeight w:val="235"/>
        </w:trPr>
        <w:tc>
          <w:tcPr>
            <w:tcW w:w="4000" w:type="dxa"/>
            <w:vAlign w:val="bottom"/>
          </w:tcPr>
          <w:p>
            <w:pPr>
              <w:spacing w:after="0"/>
              <w:rPr>
                <w:sz w:val="20"/>
                <w:szCs w:val="20"/>
                <w:color w:val="auto"/>
              </w:rPr>
            </w:pPr>
            <w:r>
              <w:rPr>
                <w:rFonts w:ascii="Arial" w:cs="Arial" w:eastAsia="Arial" w:hAnsi="Arial"/>
                <w:sz w:val="18"/>
                <w:szCs w:val="18"/>
                <w:color w:val="auto"/>
                <w:w w:val="94"/>
              </w:rPr>
              <w:t>appearing opposite their names are true and correct:</w:t>
            </w:r>
          </w:p>
        </w:tc>
        <w:tc>
          <w:tcPr>
            <w:tcW w:w="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960" w:type="dxa"/>
            <w:vAlign w:val="bottom"/>
          </w:tcPr>
          <w:p>
            <w:pPr>
              <w:spacing w:after="0"/>
              <w:rPr>
                <w:sz w:val="20"/>
                <w:szCs w:val="20"/>
                <w:color w:val="auto"/>
              </w:rPr>
            </w:pPr>
          </w:p>
        </w:tc>
      </w:tr>
      <w:tr>
        <w:trPr>
          <w:trHeight w:val="421"/>
        </w:trPr>
        <w:tc>
          <w:tcPr>
            <w:tcW w:w="40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1960" w:type="dxa"/>
            <w:vAlign w:val="bottom"/>
          </w:tcPr>
          <w:p>
            <w:pPr>
              <w:spacing w:after="0"/>
              <w:rPr>
                <w:sz w:val="19"/>
                <w:szCs w:val="19"/>
                <w:color w:val="auto"/>
              </w:rPr>
            </w:pPr>
          </w:p>
        </w:tc>
      </w:tr>
      <w:tr>
        <w:trPr>
          <w:trHeight w:val="434"/>
        </w:trPr>
        <w:tc>
          <w:tcPr>
            <w:tcW w:w="40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1960" w:type="dxa"/>
            <w:vAlign w:val="bottom"/>
          </w:tcPr>
          <w:p>
            <w:pPr>
              <w:spacing w:after="0"/>
              <w:rPr>
                <w:sz w:val="19"/>
                <w:szCs w:val="19"/>
                <w:color w:val="auto"/>
              </w:rPr>
            </w:pPr>
          </w:p>
        </w:tc>
      </w:tr>
      <w:tr>
        <w:trPr>
          <w:trHeight w:val="434"/>
        </w:trPr>
        <w:tc>
          <w:tcPr>
            <w:tcW w:w="40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1960" w:type="dxa"/>
            <w:vAlign w:val="bottom"/>
          </w:tcPr>
          <w:p>
            <w:pPr>
              <w:spacing w:after="0"/>
              <w:rPr>
                <w:sz w:val="19"/>
                <w:szCs w:val="19"/>
                <w:color w:val="auto"/>
              </w:rPr>
            </w:pPr>
          </w:p>
        </w:tc>
      </w:tr>
      <w:tr>
        <w:trPr>
          <w:trHeight w:val="434"/>
        </w:trPr>
        <w:tc>
          <w:tcPr>
            <w:tcW w:w="40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1960" w:type="dxa"/>
            <w:vAlign w:val="bottom"/>
          </w:tcPr>
          <w:p>
            <w:pPr>
              <w:spacing w:after="0"/>
              <w:rPr>
                <w:sz w:val="19"/>
                <w:szCs w:val="19"/>
                <w:color w:val="auto"/>
              </w:rPr>
            </w:pPr>
          </w:p>
        </w:tc>
      </w:tr>
      <w:tr>
        <w:trPr>
          <w:trHeight w:val="434"/>
        </w:trPr>
        <w:tc>
          <w:tcPr>
            <w:tcW w:w="40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1960" w:type="dxa"/>
            <w:vAlign w:val="bottom"/>
          </w:tcPr>
          <w:p>
            <w:pPr>
              <w:spacing w:after="0"/>
              <w:rPr>
                <w:sz w:val="19"/>
                <w:szCs w:val="19"/>
                <w:color w:val="auto"/>
              </w:rPr>
            </w:pPr>
          </w:p>
        </w:tc>
      </w:tr>
      <w:tr>
        <w:trPr>
          <w:trHeight w:val="434"/>
        </w:trPr>
        <w:tc>
          <w:tcPr>
            <w:tcW w:w="40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1960" w:type="dxa"/>
            <w:vAlign w:val="bottom"/>
          </w:tcPr>
          <w:p>
            <w:pPr>
              <w:spacing w:after="0"/>
              <w:rPr>
                <w:sz w:val="19"/>
                <w:szCs w:val="19"/>
                <w:color w:val="auto"/>
              </w:rPr>
            </w:pPr>
          </w:p>
        </w:tc>
      </w:tr>
      <w:tr>
        <w:trPr>
          <w:trHeight w:val="434"/>
        </w:trPr>
        <w:tc>
          <w:tcPr>
            <w:tcW w:w="40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1960" w:type="dxa"/>
            <w:vAlign w:val="bottom"/>
          </w:tcPr>
          <w:p>
            <w:pPr>
              <w:spacing w:after="0"/>
              <w:rPr>
                <w:sz w:val="19"/>
                <w:szCs w:val="19"/>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certificate supersedes any certificate of Authorized Persons you may currently have on file.</w:t>
      </w:r>
    </w:p>
    <w:p>
      <w:pPr>
        <w:spacing w:after="0" w:line="212" w:lineRule="exact"/>
        <w:rPr>
          <w:sz w:val="20"/>
          <w:szCs w:val="20"/>
          <w:color w:val="auto"/>
        </w:rPr>
      </w:pPr>
    </w:p>
    <w:p>
      <w:pPr>
        <w:spacing w:after="0"/>
        <w:tabs>
          <w:tab w:leader="none" w:pos="7080" w:val="left"/>
        </w:tabs>
        <w:rPr>
          <w:sz w:val="20"/>
          <w:szCs w:val="20"/>
          <w:color w:val="auto"/>
        </w:rPr>
      </w:pPr>
      <w:r>
        <w:rPr>
          <w:rFonts w:ascii="Arial" w:cs="Arial" w:eastAsia="Arial" w:hAnsi="Arial"/>
          <w:sz w:val="18"/>
          <w:szCs w:val="18"/>
          <w:color w:val="auto"/>
        </w:rPr>
        <w:t>[seal]</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10795</wp:posOffset>
            </wp:positionV>
            <wp:extent cx="25126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2"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274"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SERIES</w:t>
      </w:r>
    </w:p>
    <w:p>
      <w:pPr>
        <w:sectPr>
          <w:pgSz w:w="11900" w:h="16838" w:orient="portrait"/>
          <w:cols w:equalWidth="0" w:num="1">
            <w:col w:w="9019"/>
          </w:cols>
          <w:pgMar w:left="1440" w:top="274" w:right="1440" w:bottom="1440" w:gutter="0" w:footer="0" w:header="0"/>
          <w:type w:val="continuous"/>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BANK OF NEW YORK MELLON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ON-LINE COMMUNICATIONS SYSTEM (THE “SYSTEM”)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177" w:lineRule="exact"/>
        <w:rPr>
          <w:sz w:val="20"/>
          <w:szCs w:val="20"/>
          <w:color w:val="auto"/>
        </w:rPr>
      </w:pPr>
    </w:p>
    <w:p>
      <w:pPr>
        <w:ind w:left="-80" w:firstLine="464"/>
        <w:spacing w:after="0" w:line="306" w:lineRule="auto"/>
        <w:tabs>
          <w:tab w:leader="none" w:pos="552" w:val="left"/>
        </w:tabs>
        <w:numPr>
          <w:ilvl w:val="0"/>
          <w:numId w:val="118"/>
        </w:numPr>
        <w:rPr>
          <w:rFonts w:ascii="Arial" w:cs="Arial" w:eastAsia="Arial" w:hAnsi="Arial"/>
          <w:sz w:val="15"/>
          <w:szCs w:val="15"/>
          <w:color w:val="auto"/>
        </w:rPr>
      </w:pPr>
      <w:r>
        <w:rPr>
          <w:rFonts w:ascii="Arial" w:cs="Arial" w:eastAsia="Arial" w:hAnsi="Arial"/>
          <w:sz w:val="15"/>
          <w:szCs w:val="15"/>
          <w:u w:val="single" w:color="auto"/>
          <w:color w:val="auto"/>
        </w:rPr>
        <w:t>License; Use</w:t>
      </w:r>
      <w:r>
        <w:rPr>
          <w:rFonts w:ascii="Arial" w:cs="Arial" w:eastAsia="Arial" w:hAnsi="Arial"/>
          <w:sz w:val="15"/>
          <w:szCs w:val="15"/>
          <w:color w:val="auto"/>
        </w:rPr>
        <w:t>. Upon delivery to an Authorized Person or a person reasonably believed by Custodian to be an Authorized Person, Fund of software enabling the Fund to obtain access to the System (the “Software”), Custodian grants to the Fund a personal, nontransferable and nonexclusive license to use the Software solely for the purpose of transmitting Written Instructions, receiving reports, making inquiries or otherwise communicating with Custodian in connection with the Account(s). The Fund shall use the Software solely for its own internal and proper business purposes and not in the operation of a service bureau. Except as set forth herein, no license or right of any kind is granted to the Fund with respect to the Software. The Fund acknowledges that Custodian and its suppliers retain and have title and exclusive proprietary rights to the Software, including any trade secrets or other ideas, concepts, know-how, methodologies, or information incorporated therein and the exclusive rights to any copyrights, trademarks and patents (including registrations and applications for registration of either), or other statutory or legal protections available in respect thereof. The Fund further acknowledges that all or a part of the Software may be copyrighted or trademarked (or a registration or claim made therefor) by Custodian or its suppliers. The Fund shall not take any action with respect to the Software inconsistent with the foregoing acknowledgments, nor shall the Fund attempt to decompile, reverse engineer or modify the Software. The Fund may not copy, sell, lease or provide, directly or indirectly, any of the Software or any portion thereof to any other person or entity without Custodian’s prior written consent. The Fund may not remove any statutory copyright notice or other notice included in the Software or on any media containing the Software. The Fund shall reproduce any such notice on any reproduction of the Software and shall add any statutory copyright notice or other notice to the Software or media upon Custodian’s request.</w:t>
      </w:r>
    </w:p>
    <w:p>
      <w:pPr>
        <w:spacing w:after="0" w:line="112" w:lineRule="exact"/>
        <w:rPr>
          <w:rFonts w:ascii="Arial" w:cs="Arial" w:eastAsia="Arial" w:hAnsi="Arial"/>
          <w:sz w:val="15"/>
          <w:szCs w:val="15"/>
          <w:color w:val="auto"/>
        </w:rPr>
      </w:pPr>
    </w:p>
    <w:p>
      <w:pPr>
        <w:ind w:left="-80" w:right="200" w:firstLine="464"/>
        <w:spacing w:after="0" w:line="259" w:lineRule="auto"/>
        <w:tabs>
          <w:tab w:leader="none" w:pos="55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Equipment</w:t>
      </w:r>
      <w:r>
        <w:rPr>
          <w:rFonts w:ascii="Arial" w:cs="Arial" w:eastAsia="Arial" w:hAnsi="Arial"/>
          <w:sz w:val="18"/>
          <w:szCs w:val="18"/>
          <w:color w:val="auto"/>
        </w:rPr>
        <w:t>. The Fund shall obtain and maintain at its own cost and expense all equipment and services, including but not limited to communications services, necessary for it to utilize the Software and obtain access to the System, and Custodian shall not be responsible for the reliability or availability of any such equipment or services.</w:t>
      </w:r>
    </w:p>
    <w:p>
      <w:pPr>
        <w:spacing w:after="0" w:line="140" w:lineRule="exact"/>
        <w:rPr>
          <w:rFonts w:ascii="Arial" w:cs="Arial" w:eastAsia="Arial" w:hAnsi="Arial"/>
          <w:sz w:val="18"/>
          <w:szCs w:val="18"/>
          <w:color w:val="auto"/>
        </w:rPr>
      </w:pPr>
    </w:p>
    <w:p>
      <w:pPr>
        <w:ind w:left="-80" w:right="200" w:firstLine="464"/>
        <w:spacing w:after="0" w:line="259" w:lineRule="auto"/>
        <w:tabs>
          <w:tab w:leader="none" w:pos="55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Proprietary Information</w:t>
      </w:r>
      <w:r>
        <w:rPr>
          <w:rFonts w:ascii="Arial" w:cs="Arial" w:eastAsia="Arial" w:hAnsi="Arial"/>
          <w:sz w:val="18"/>
          <w:szCs w:val="18"/>
          <w:color w:val="auto"/>
        </w:rPr>
        <w:t>. The Software, any data base and any proprietary data, processes, information and documentation made available to the Fund (other than which are or become part of the public domain or are legally required to be made available to the public) (collectively, the “Information”), are the exclusive and confidential property of Custodian or its suppliers. The Fund shall keep the Information</w:t>
      </w:r>
    </w:p>
    <w:p>
      <w:pPr>
        <w:sectPr>
          <w:pgSz w:w="11900" w:h="16838" w:orient="portrait"/>
          <w:cols w:equalWidth="0" w:num="1">
            <w:col w:w="11260"/>
          </w:cols>
          <w:pgMar w:left="320" w:top="274" w:right="319" w:bottom="1440" w:gutter="0" w:footer="0" w:header="0"/>
        </w:sectPr>
      </w:pPr>
    </w:p>
    <w:bookmarkStart w:id="168" w:name="page169"/>
    <w:bookmarkEnd w:id="168"/>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by using the same care and discretion that the Fund uses with respect to its own confidential property and trade secrets, but not less than reasonable care. Upon termination of the Agreement or the Software license granted herein for any reason, the Fund shall return to Custodian any and all copies of the Information which are in its possession or under its control.</w:t>
      </w:r>
    </w:p>
    <w:p>
      <w:pPr>
        <w:spacing w:after="0" w:line="140" w:lineRule="exact"/>
        <w:rPr>
          <w:sz w:val="20"/>
          <w:szCs w:val="20"/>
          <w:color w:val="auto"/>
        </w:rPr>
      </w:pPr>
    </w:p>
    <w:p>
      <w:pPr>
        <w:jc w:val="center"/>
        <w:ind w:right="100" w:firstLine="464"/>
        <w:spacing w:after="0" w:line="306" w:lineRule="auto"/>
        <w:tabs>
          <w:tab w:leader="none" w:pos="632"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Modifications</w:t>
      </w:r>
      <w:r>
        <w:rPr>
          <w:rFonts w:ascii="Arial" w:cs="Arial" w:eastAsia="Arial" w:hAnsi="Arial"/>
          <w:sz w:val="16"/>
          <w:szCs w:val="16"/>
          <w:color w:val="auto"/>
        </w:rPr>
        <w:t>. Custodian reserves the right to modify the Software from time to time and the Fund shall install new releases of the Software as Custodian may direct. The Fund agrees not to modify or attempt to modify the Software without Custodian’s prior written consent. The Fund acknowledges that any modifications to the Software, whether by the Fund or Custodian and whether with or without Custodian’s consent, shall become the property of Custodian.</w:t>
      </w:r>
    </w:p>
    <w:p>
      <w:pPr>
        <w:spacing w:after="0" w:line="106" w:lineRule="exact"/>
        <w:rPr>
          <w:rFonts w:ascii="Arial" w:cs="Arial" w:eastAsia="Arial" w:hAnsi="Arial"/>
          <w:sz w:val="16"/>
          <w:szCs w:val="16"/>
          <w:color w:val="auto"/>
        </w:rPr>
      </w:pPr>
    </w:p>
    <w:p>
      <w:pPr>
        <w:ind w:firstLine="464"/>
        <w:spacing w:after="0" w:line="288" w:lineRule="auto"/>
        <w:tabs>
          <w:tab w:leader="none" w:pos="632"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NO REPRESENTATIONS OR WARRANTIES</w:t>
      </w:r>
      <w:r>
        <w:rPr>
          <w:rFonts w:ascii="Arial" w:cs="Arial" w:eastAsia="Arial" w:hAnsi="Arial"/>
          <w:sz w:val="16"/>
          <w:szCs w:val="16"/>
          <w:color w:val="auto"/>
        </w:rPr>
        <w:t>. CUSTODIAN AND ITS MANUFACTURERS AND SUPPLIERS MAKE NO WARRANTIES OR REPRESENTATIONS WITH RESPECT TO THE SOFTWARE, SERVICES OR ANY DATABASE, EXPRESS OR IMPLIED, IN FACT OR IN LAW, INCLUDING BUT NOT LIMITED TO WARRANTIES OF MERCHANTABILITY AND FITNESS FOR A PARTICULAR PURPOSE. THE FUND ACKNOWLEDGES THAT THE SOFTWARE, SERVICES AND ANY DATABASE ARE PROVIDED “AS IS.” IN NO EVENT SHALL CUSTODIAN OR ANY SUPPLIER BE LIABLE FOR ANY DAMAGES, WHETHER DIRECT, INDIRECT SPECIAL, OR CONSEQUENTIAL, WHICH THE FUND MAY INCUR IN CONNECTION WITH THE SOFTWARE, SERVICES OR ANY DATABASE, EVEN IF CUSTODIAN OR SUCH SUPPLIER HAS BEEN ADVISED OF THE POSSIBILITY OF SUCH DAMAGES. IN NO EVENT SHALL CUSTODIAN OR ANY SUPPLIER BE LIABLE FOR ACTS OF GOD, MACHINE OR COMPUTER BREAKDOWN OR MALFUNCTION, INTERRUPTION OR MALFUNCTION OF COMMUNICATION FACILITIES, LABOR DIFFICULTIES OR ANY OTHER SIMILAR OR DISSIMILAR CAUSE BEYOND THEIR REASONABLE CONTROL.</w:t>
      </w:r>
    </w:p>
    <w:p>
      <w:pPr>
        <w:spacing w:after="0" w:line="119" w:lineRule="exact"/>
        <w:rPr>
          <w:rFonts w:ascii="Arial" w:cs="Arial" w:eastAsia="Arial" w:hAnsi="Arial"/>
          <w:sz w:val="16"/>
          <w:szCs w:val="16"/>
          <w:color w:val="auto"/>
        </w:rPr>
      </w:pPr>
    </w:p>
    <w:p>
      <w:pPr>
        <w:ind w:right="80" w:firstLine="464"/>
        <w:spacing w:after="0" w:line="294" w:lineRule="auto"/>
        <w:tabs>
          <w:tab w:leader="none" w:pos="632"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Security; Reliance; Unauthorized Use</w:t>
      </w:r>
      <w:r>
        <w:rPr>
          <w:rFonts w:ascii="Arial" w:cs="Arial" w:eastAsia="Arial" w:hAnsi="Arial"/>
          <w:sz w:val="16"/>
          <w:szCs w:val="16"/>
          <w:color w:val="auto"/>
        </w:rPr>
        <w:t>. The Fund will cause all persons utilizing the Software and System to treat all applicable user and authorization codes, passwords and authentication keys with extreme care, and it will establish internal control and safekeeping procedures to restrict the availability of the same to persons duly authorized to give Instructions. Custodian is hereby irrevocably authorized to act in accordance with and rely on Instructions received by it through the System. The Fund acknowledges that it is its sole responsibility to assure that only persons duly authorized use the System and that Custodian shall not be responsible nor liable for any unauthorized use thereof.</w:t>
      </w:r>
    </w:p>
    <w:p>
      <w:pPr>
        <w:sectPr>
          <w:pgSz w:w="11900" w:h="16838" w:orient="portrait"/>
          <w:cols w:equalWidth="0" w:num="1">
            <w:col w:w="11360"/>
          </w:cols>
          <w:pgMar w:left="240" w:top="280" w:right="299" w:bottom="1440" w:gutter="0" w:footer="0" w:header="0"/>
        </w:sectPr>
      </w:pPr>
    </w:p>
    <w:bookmarkStart w:id="169" w:name="page170"/>
    <w:bookmarkEnd w:id="169"/>
    <w:p>
      <w:pPr>
        <w:ind w:left="-464" w:right="60" w:firstLine="464"/>
        <w:spacing w:after="0" w:line="259" w:lineRule="auto"/>
        <w:tabs>
          <w:tab w:leader="none" w:pos="168"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System Acknowledgments</w:t>
      </w:r>
      <w:r>
        <w:rPr>
          <w:rFonts w:ascii="Arial" w:cs="Arial" w:eastAsia="Arial" w:hAnsi="Arial"/>
          <w:sz w:val="18"/>
          <w:szCs w:val="18"/>
          <w:color w:val="auto"/>
        </w:rPr>
        <w:t>. Custodian shall acknowledge through the System its receipt of each transmission communicated through the System, and in the absence of such acknowledgment Custodian shall not be liable for any failure to act in accordance with such transmission and the Fund may not claim that such transmission was received by Custodian.</w:t>
      </w:r>
    </w:p>
    <w:p>
      <w:pPr>
        <w:spacing w:after="0" w:line="140" w:lineRule="exact"/>
        <w:rPr>
          <w:rFonts w:ascii="Arial" w:cs="Arial" w:eastAsia="Arial" w:hAnsi="Arial"/>
          <w:sz w:val="18"/>
          <w:szCs w:val="18"/>
          <w:color w:val="auto"/>
        </w:rPr>
      </w:pPr>
    </w:p>
    <w:p>
      <w:pPr>
        <w:ind w:left="-464" w:firstLine="464"/>
        <w:spacing w:after="0" w:line="254" w:lineRule="auto"/>
        <w:tabs>
          <w:tab w:leader="none" w:pos="168"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EXPORT RESTRICTIONS</w:t>
      </w:r>
      <w:r>
        <w:rPr>
          <w:rFonts w:ascii="Arial" w:cs="Arial" w:eastAsia="Arial" w:hAnsi="Arial"/>
          <w:sz w:val="18"/>
          <w:szCs w:val="18"/>
          <w:color w:val="auto"/>
        </w:rPr>
        <w:t>. EXPORT OF THE SOFTWARE IS PROHIBITED BY UNITED STATES LAW. THE FUND MAY NOT UNDER ANY CIRCUMSTANCES RESELL, DIVERT, TRANSFER, TRANSSHIP OR OTHERWISE DISPOSE OF THE SOFTWARE (IN ANY FORM) IN OR TO ANY OTHER COUNTRY. IF CUSTODIAN DELIVERED THE SOFTWARE TO THE FUND OUTSIDE OF THE UNITED STATES, THE SOFTWARE WAS EXPORTED FROM THE UNITED STATES IN ACCORDANCE WITH THE EXPORTER ADMINISTRATION REGULATIONS. DIVERSION CONTRARY TO U.S. LAW IS PROHIBITED. The Fund hereby authorizes Custodian to report its name and address to government agencies to which Custodian is required to provide such information by law.</w:t>
      </w:r>
    </w:p>
    <w:p>
      <w:pPr>
        <w:spacing w:after="0" w:line="144" w:lineRule="exact"/>
        <w:rPr>
          <w:rFonts w:ascii="Arial" w:cs="Arial" w:eastAsia="Arial" w:hAnsi="Arial"/>
          <w:sz w:val="18"/>
          <w:szCs w:val="18"/>
          <w:color w:val="auto"/>
        </w:rPr>
      </w:pPr>
    </w:p>
    <w:p>
      <w:pPr>
        <w:ind w:left="-464" w:right="100" w:firstLine="464"/>
        <w:spacing w:after="0" w:line="259" w:lineRule="auto"/>
        <w:tabs>
          <w:tab w:leader="none" w:pos="168"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ENCRYPTION</w:t>
      </w:r>
      <w:r>
        <w:rPr>
          <w:rFonts w:ascii="Arial" w:cs="Arial" w:eastAsia="Arial" w:hAnsi="Arial"/>
          <w:sz w:val="18"/>
          <w:szCs w:val="18"/>
          <w:color w:val="auto"/>
        </w:rPr>
        <w:t>. The Fund acknowledges and agrees that encryption may not be available for every communication through the System, or for all data. The Fund agrees that Custodian may deactivate any encryption features at any time, without notice or liability to the Fund, for the purpose of maintaining, repairing or troubleshooting the System or the Software.</w:t>
      </w:r>
    </w:p>
    <w:p>
      <w:pPr>
        <w:sectPr>
          <w:pgSz w:w="11900" w:h="16838" w:orient="portrait"/>
          <w:cols w:equalWidth="0" w:num="1">
            <w:col w:w="10896"/>
          </w:cols>
          <w:pgMar w:left="704" w:top="280" w:right="29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(k)(1)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118110</wp:posOffset>
            </wp:positionV>
            <wp:extent cx="1809750" cy="14662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0975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CERTIFICATE OF APPOINTMENT</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AMERICAN STOCK TRANSFER</w:t>
      </w:r>
    </w:p>
    <w:p>
      <w:pPr>
        <w:spacing w:after="0" w:line="9" w:lineRule="exact"/>
        <w:rPr>
          <w:sz w:val="20"/>
          <w:szCs w:val="20"/>
          <w:color w:val="auto"/>
        </w:rPr>
      </w:pPr>
    </w:p>
    <w:p>
      <w:pPr>
        <w:ind w:left="4440" w:right="4620" w:hanging="1004"/>
        <w:spacing w:after="0" w:line="261" w:lineRule="auto"/>
        <w:tabs>
          <w:tab w:leader="none" w:pos="363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TRUST COMPANY, LLC as</w:t>
      </w:r>
    </w:p>
    <w:p>
      <w:pPr>
        <w:spacing w:after="0" w:line="105" w:lineRule="exact"/>
        <w:rPr>
          <w:sz w:val="20"/>
          <w:szCs w:val="20"/>
          <w:color w:val="auto"/>
        </w:rPr>
      </w:pPr>
    </w:p>
    <w:p>
      <w:pPr>
        <w:ind w:left="2360"/>
        <w:spacing w:after="0" w:line="207" w:lineRule="exact"/>
        <w:tabs>
          <w:tab w:leader="none" w:pos="2760" w:val="left"/>
          <w:tab w:leader="none" w:pos="5140" w:val="left"/>
          <w:tab w:leader="none" w:pos="56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ab/>
        <w:t>TRANSFER AGENT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REGISTRAR</w:t>
      </w:r>
    </w:p>
    <w:p>
      <w:pPr>
        <w:sectPr>
          <w:pgSz w:w="11900" w:h="16838" w:orient="portrait"/>
          <w:cols w:equalWidth="0" w:num="1">
            <w:col w:w="10220"/>
          </w:cols>
          <w:pgMar w:left="1440" w:top="125" w:right="239" w:bottom="1440" w:gutter="0" w:footer="0" w:header="0"/>
        </w:sectPr>
      </w:pPr>
    </w:p>
    <w:bookmarkStart w:id="171" w:name="page172"/>
    <w:bookmarkEnd w:id="171"/>
    <w:p>
      <w:pPr>
        <w:ind w:left="2620"/>
        <w:spacing w:after="0"/>
        <w:rPr>
          <w:sz w:val="20"/>
          <w:szCs w:val="20"/>
          <w:color w:val="auto"/>
        </w:rPr>
      </w:pPr>
      <w:r>
        <w:rPr>
          <w:rFonts w:ascii="Arial" w:cs="Arial" w:eastAsia="Arial" w:hAnsi="Arial"/>
          <w:sz w:val="18"/>
          <w:szCs w:val="18"/>
          <w:b w:val="1"/>
          <w:bCs w:val="1"/>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PennantPark Floating Rate Capital Ltd.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 of corporation)</w:t>
      </w:r>
    </w:p>
    <w:p>
      <w:pPr>
        <w:spacing w:after="0" w:line="219" w:lineRule="exact"/>
        <w:rPr>
          <w:sz w:val="20"/>
          <w:szCs w:val="20"/>
          <w:color w:val="auto"/>
        </w:rPr>
      </w:pPr>
    </w:p>
    <w:p>
      <w:pPr>
        <w:ind w:left="260" w:hanging="252"/>
        <w:spacing w:after="0"/>
        <w:tabs>
          <w:tab w:leader="none" w:pos="2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10795</wp:posOffset>
            </wp:positionV>
            <wp:extent cx="3310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(state of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7345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entity — e.g., corporation, partnership)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the following shares/units:</w:t>
      </w:r>
    </w:p>
    <w:p>
      <w:pPr>
        <w:spacing w:after="0" w:line="19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Number of</w:t>
            </w:r>
          </w:p>
        </w:tc>
      </w:tr>
      <w:tr>
        <w:trPr>
          <w:trHeight w:val="149"/>
        </w:trPr>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Shares/Units</w:t>
            </w:r>
          </w:p>
        </w:tc>
      </w:tr>
      <w:tr>
        <w:trPr>
          <w:trHeight w:val="159"/>
        </w:trPr>
        <w:tc>
          <w:tcPr>
            <w:tcW w:w="780" w:type="dxa"/>
            <w:vAlign w:val="bottom"/>
          </w:tcPr>
          <w:p>
            <w:pPr>
              <w:spacing w:after="0"/>
              <w:rPr>
                <w:sz w:val="13"/>
                <w:szCs w:val="13"/>
                <w:color w:val="auto"/>
              </w:rPr>
            </w:pPr>
          </w:p>
        </w:tc>
        <w:tc>
          <w:tcPr>
            <w:tcW w:w="820" w:type="dxa"/>
            <w:vAlign w:val="bottom"/>
          </w:tcPr>
          <w:p>
            <w:pPr>
              <w:ind w:left="20"/>
              <w:spacing w:after="0" w:line="159" w:lineRule="exact"/>
              <w:rPr>
                <w:sz w:val="20"/>
                <w:szCs w:val="20"/>
                <w:color w:val="auto"/>
              </w:rPr>
            </w:pPr>
            <w:r>
              <w:rPr>
                <w:rFonts w:ascii="Arial" w:cs="Arial" w:eastAsia="Arial" w:hAnsi="Arial"/>
                <w:sz w:val="14"/>
                <w:szCs w:val="14"/>
                <w:color w:val="auto"/>
                <w:w w:val="87"/>
              </w:rPr>
              <w:t>Class of Stock</w:t>
            </w:r>
          </w:p>
        </w:tc>
        <w:tc>
          <w:tcPr>
            <w:tcW w:w="1280" w:type="dxa"/>
            <w:vAlign w:val="bottom"/>
          </w:tcPr>
          <w:p>
            <w:pPr>
              <w:spacing w:after="0"/>
              <w:rPr>
                <w:sz w:val="13"/>
                <w:szCs w:val="13"/>
                <w:color w:val="auto"/>
              </w:rPr>
            </w:pPr>
          </w:p>
        </w:tc>
        <w:tc>
          <w:tcPr>
            <w:tcW w:w="1140" w:type="dxa"/>
            <w:vAlign w:val="bottom"/>
            <w:gridSpan w:val="2"/>
          </w:tcPr>
          <w:p>
            <w:pPr>
              <w:spacing w:after="0" w:line="159" w:lineRule="exact"/>
              <w:rPr>
                <w:sz w:val="20"/>
                <w:szCs w:val="20"/>
                <w:color w:val="auto"/>
              </w:rPr>
            </w:pPr>
            <w:r>
              <w:rPr>
                <w:rFonts w:ascii="Arial" w:cs="Arial" w:eastAsia="Arial" w:hAnsi="Arial"/>
                <w:sz w:val="14"/>
                <w:szCs w:val="14"/>
                <w:color w:val="auto"/>
              </w:rPr>
              <w:t>Par Value</w:t>
            </w:r>
          </w:p>
        </w:tc>
        <w:tc>
          <w:tcPr>
            <w:tcW w:w="102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9"/>
              </w:rPr>
              <w:t>Authorized</w:t>
            </w:r>
          </w:p>
        </w:tc>
      </w:tr>
      <w:tr>
        <w:trPr>
          <w:trHeight w:val="20"/>
        </w:trPr>
        <w:tc>
          <w:tcPr>
            <w:tcW w:w="7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242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  .001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100,000,000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Company to which Notices may be sent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3473450" cy="7029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73450" cy="702945"/>
                    </a:xfrm>
                    <a:prstGeom prst="rect">
                      <a:avLst/>
                    </a:prstGeom>
                    <a:noFill/>
                  </pic:spPr>
                </pic:pic>
              </a:graphicData>
            </a:graphic>
          </wp:anchor>
        </w:drawing>
      </w:r>
    </w:p>
    <w:p>
      <w:pPr>
        <w:spacing w:after="0" w:line="205" w:lineRule="exact"/>
        <w:rPr>
          <w:sz w:val="20"/>
          <w:szCs w:val="20"/>
          <w:color w:val="auto"/>
        </w:rPr>
      </w:pPr>
    </w:p>
    <w:p>
      <w:pPr>
        <w:ind w:left="2380" w:right="1760" w:hanging="378"/>
        <w:spacing w:after="0" w:line="305" w:lineRule="auto"/>
        <w:tabs>
          <w:tab w:leader="none" w:pos="2311" w:val="left"/>
        </w:tabs>
        <w:numPr>
          <w:ilvl w:val="0"/>
          <w:numId w:val="123"/>
        </w:numPr>
        <w:rPr>
          <w:rFonts w:ascii="Arial" w:cs="Arial" w:eastAsia="Arial" w:hAnsi="Arial"/>
          <w:sz w:val="15"/>
          <w:szCs w:val="15"/>
          <w:color w:val="auto"/>
        </w:rPr>
      </w:pPr>
      <w:r>
        <w:rPr>
          <w:rFonts w:ascii="Arial" w:cs="Arial" w:eastAsia="Arial" w:hAnsi="Arial"/>
          <w:sz w:val="15"/>
          <w:szCs w:val="15"/>
          <w:color w:val="auto"/>
        </w:rPr>
        <w:t>Madison Avenue 15th Floor</w:t>
      </w:r>
    </w:p>
    <w:p>
      <w:pPr>
        <w:ind w:left="1740"/>
        <w:spacing w:after="0"/>
        <w:rPr>
          <w:sz w:val="20"/>
          <w:szCs w:val="20"/>
          <w:color w:val="auto"/>
        </w:rPr>
      </w:pPr>
      <w:r>
        <w:rPr>
          <w:rFonts w:ascii="Arial" w:cs="Arial" w:eastAsia="Arial" w:hAnsi="Arial"/>
          <w:sz w:val="18"/>
          <w:szCs w:val="18"/>
          <w:color w:val="auto"/>
        </w:rPr>
        <w:t>New York, New York 10022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legal counsel for the Company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3473450" cy="5657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73450" cy="565785"/>
                    </a:xfrm>
                    <a:prstGeom prst="rect">
                      <a:avLst/>
                    </a:prstGeom>
                    <a:noFill/>
                  </pic:spPr>
                </pic:pic>
              </a:graphicData>
            </a:graphic>
          </wp:anchor>
        </w:drawing>
      </w:r>
    </w:p>
    <w:p>
      <w:pPr>
        <w:spacing w:after="0" w:line="205"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Dechert LLP</w:t>
      </w:r>
    </w:p>
    <w:p>
      <w:pPr>
        <w:spacing w:after="0" w:line="15"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1775 I Street, N.W.</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Washington, DC 20006</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Attached are true copies of the certificate of incorporation and bylaws (or such other comparable documents for non-corporate entities), as amended,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-513715</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2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If any provision of the certificate of incorporation or by-laws of the Corporation, any court or administrative order, or any other document, affects any transfer agency or registrar function or responsibility relating to the shares, attached is a statement of each such provision.</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All shares issued and outstanding as of the date hereof, or to be issued during the term of this appointment, are/shall be duly authorized, validly issued, fully paid and non-assessable. All such shares are (or, in the case of shares that have not yet been issued, will be) duly registered under the Securities Act of 1933 and the Securities Act of 1934. Any shares not so registered were or shall be issued or transferred in a transaction or series of transactions exempt from the registration provisions of the relevant Act, and in each such issuance or transfer, the Corporation was or shall be so advised by its legal counsel and all shares issued or to be issued bear or shall bear all appropriate legends.</w:t>
      </w:r>
    </w:p>
    <w:p>
      <w:pPr>
        <w:spacing w:after="0" w:line="1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American Stock Transfer &amp; Trust Company, LLC (“AST”) is hereby appointed as transfer agent and registrar for the shares/units of the Company set forth above, in accordance with the general practices of AST and its regulations set forth in the pamphlet entitled Regulations of American Stock Transfer &amp; Trust Company, LLC, a copy of which we have received and reviewed.</w:t>
      </w:r>
    </w:p>
    <w:p>
      <w:pPr>
        <w:spacing w:after="0" w:line="14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initial term of this Certificate of Appointment shall be one year from the date of this Certificate of Appointment and the appointment shall automatically be renewed for further one year successive terms without further action of the parties, unless written notice is provided by either party at least 90 days prior to the end of the initial or any subsequent three year period. The term of this appointment shall be governed in accordance with this paragraph, notwithstanding the cessation of active trading in the capital stock of the Company.</w:t>
      </w:r>
    </w:p>
    <w:p>
      <w:pPr>
        <w:spacing w:after="0" w:line="1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will advise AST promptly of any change in any information contained in this Certificate by a supplemental Certificate or otherwise in writing.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gridSpan w:val="5"/>
          </w:tcPr>
          <w:p>
            <w:pPr>
              <w:spacing w:after="0"/>
              <w:rPr>
                <w:sz w:val="20"/>
                <w:szCs w:val="20"/>
                <w:color w:val="auto"/>
              </w:rPr>
            </w:pPr>
            <w:r>
              <w:rPr>
                <w:rFonts w:ascii="Arial" w:cs="Arial" w:eastAsia="Arial" w:hAnsi="Arial"/>
                <w:sz w:val="18"/>
                <w:szCs w:val="18"/>
                <w:color w:val="auto"/>
                <w:w w:val="96"/>
              </w:rPr>
              <w:t>WITNESS my hand this   day of</w:t>
            </w: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 2011.</w:t>
            </w:r>
          </w:p>
        </w:tc>
        <w:tc>
          <w:tcPr>
            <w:tcW w:w="1240" w:type="dxa"/>
            <w:vAlign w:val="bottom"/>
          </w:tcPr>
          <w:p>
            <w:pPr>
              <w:spacing w:after="0"/>
              <w:rPr>
                <w:sz w:val="18"/>
                <w:szCs w:val="18"/>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43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Arthur H. Penn</w:t>
            </w:r>
          </w:p>
        </w:tc>
        <w:tc>
          <w:tcPr>
            <w:tcW w:w="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4"/>
                <w:szCs w:val="24"/>
                <w:color w:val="auto"/>
              </w:rPr>
            </w:pPr>
          </w:p>
        </w:tc>
        <w:tc>
          <w:tcPr>
            <w:tcW w:w="48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6"/>
              </w:rPr>
              <w:t>Chief Executive Officer and Chairman of the Board of Directors</w:t>
            </w:r>
          </w:p>
        </w:tc>
      </w:tr>
    </w:tbl>
    <w:p>
      <w:pPr>
        <w:sectPr>
          <w:pgSz w:w="11900" w:h="16838" w:orient="portrait"/>
          <w:cols w:equalWidth="0" w:num="2">
            <w:col w:w="5260" w:space="560"/>
            <w:col w:w="5480"/>
          </w:cols>
          <w:pgMar w:left="240" w:top="274" w:right="35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(k)(2)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AGREEMENT (this “Agreement”) made as of [ ], 2011 by and between PennantPark Floating Rate Capital Ltd., a Maryland corporation (hereinafter referred to as the “Corporation”), and PennantPark Investment Administration, LLC, a Delaware limited liability company, (hereinafter referred to as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-307975</wp:posOffset>
            </wp:positionV>
            <wp:extent cx="33464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WHEREAS, the Corporation is a newly formed closed-end non-diversified management investment company that has filed a notice with the Securities and Exchange Commission that it intends to elect to treated as a business development company under the Investment Company Act of 1940, as amended (hereinafter referred to as the “1940 Act”);</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WHEREAS, the Corporation desires to retain the Administrator to provide administrative services to the Corporation in the manner and on the terms hereinafter set forth;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Administrator is willing to provide administrative services to the Corporation on the terms and conditions hereafter set forth.</w:t>
      </w:r>
    </w:p>
    <w:p>
      <w:pPr>
        <w:spacing w:after="0" w:line="19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in consideration of the premises and the covenants hereinafter contained and for other good and valuable consideration, the receipt and adequacy of which is hereby acknowledged, the Corporation and the Administrator hereby agree as follows:</w:t>
      </w:r>
    </w:p>
    <w:p>
      <w:pPr>
        <w:spacing w:after="0" w:line="254"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Duties of the Administrator</w:t>
      </w:r>
    </w:p>
    <w:p>
      <w:pPr>
        <w:spacing w:after="0" w:line="90" w:lineRule="exact"/>
        <w:rPr>
          <w:rFonts w:ascii="Arial" w:cs="Arial" w:eastAsia="Arial" w:hAnsi="Arial"/>
          <w:sz w:val="18"/>
          <w:szCs w:val="18"/>
          <w:color w:val="auto"/>
        </w:rPr>
      </w:pPr>
    </w:p>
    <w:p>
      <w:pPr>
        <w:ind w:firstLine="464"/>
        <w:spacing w:after="0" w:line="314" w:lineRule="auto"/>
        <w:tabs>
          <w:tab w:leader="none" w:pos="695" w:val="left"/>
        </w:tabs>
        <w:numPr>
          <w:ilvl w:val="1"/>
          <w:numId w:val="124"/>
        </w:numPr>
        <w:rPr>
          <w:rFonts w:ascii="Arial" w:cs="Arial" w:eastAsia="Arial" w:hAnsi="Arial"/>
          <w:sz w:val="15"/>
          <w:szCs w:val="15"/>
          <w:color w:val="auto"/>
        </w:rPr>
      </w:pPr>
      <w:r>
        <w:rPr>
          <w:rFonts w:ascii="Arial" w:cs="Arial" w:eastAsia="Arial" w:hAnsi="Arial"/>
          <w:sz w:val="15"/>
          <w:szCs w:val="15"/>
          <w:u w:val="single" w:color="auto"/>
          <w:color w:val="auto"/>
        </w:rPr>
        <w:t>Employment of Administrator</w:t>
      </w:r>
      <w:r>
        <w:rPr>
          <w:rFonts w:ascii="Arial" w:cs="Arial" w:eastAsia="Arial" w:hAnsi="Arial"/>
          <w:sz w:val="15"/>
          <w:szCs w:val="15"/>
          <w:color w:val="auto"/>
        </w:rPr>
        <w:t>. The Corporation hereby employs the Administrator to act as administrator of the Corporation, and to furnish, or arrange for others to furnish, the administrative services, personnel and facilities described below, subject to review by and the overall control of the Board of Directors of the Corporation, for the period and on the terms and conditions set forth in this Agreement. The Administrator hereby accepts such employment and agrees during such period to render, or arrange for the rendering of, such services and to assume the obligations herein set forth subject to the reimbursement of costs and expenses provided for below. The Administrator and such others shall for all purposes herein be deemed to be independent contractors and shall, unless otherwise expressly provided or authorized herein, have no authority to act for or represent the Corporation in any way or otherwise be deemed agents of the Corporation.</w:t>
      </w:r>
    </w:p>
    <w:p>
      <w:pPr>
        <w:spacing w:after="0" w:line="104" w:lineRule="exact"/>
        <w:rPr>
          <w:rFonts w:ascii="Arial" w:cs="Arial" w:eastAsia="Arial" w:hAnsi="Arial"/>
          <w:sz w:val="15"/>
          <w:szCs w:val="15"/>
          <w:color w:val="auto"/>
        </w:rPr>
      </w:pPr>
    </w:p>
    <w:p>
      <w:pPr>
        <w:ind w:right="80" w:firstLine="464"/>
        <w:spacing w:after="0" w:line="255" w:lineRule="auto"/>
        <w:tabs>
          <w:tab w:leader="none" w:pos="705"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The Administrator shall perform (or oversee, or arrange for, the performance of) the administrative services necessary for the operation of the Corporation. Without limiting the generality of the foregoing, the Administrator shall provide the Corporation with office facilities, equipment, clerical, bookkeeping and record keeping services at such facilities and such other services as the Administrator, subject to review by the Board of Directors of the Corporation, shall from time to time determine to be necessary or useful to perform its obligations under this Agreement. The Administrator shall also, on behalf of the</w:t>
      </w:r>
    </w:p>
    <w:p>
      <w:pPr>
        <w:spacing w:after="0" w:line="129" w:lineRule="exact"/>
        <w:rPr>
          <w:rFonts w:ascii="Arial" w:cs="Arial" w:eastAsia="Arial" w:hAnsi="Arial"/>
          <w:sz w:val="18"/>
          <w:szCs w:val="18"/>
          <w:color w:val="auto"/>
        </w:rPr>
      </w:pPr>
    </w:p>
    <w:p>
      <w:pPr>
        <w:ind w:left="5680" w:hanging="112"/>
        <w:spacing w:after="0"/>
        <w:tabs>
          <w:tab w:leader="none" w:pos="568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125" w:right="239" w:bottom="1440" w:gutter="0" w:footer="0" w:header="0"/>
        </w:sectPr>
      </w:pPr>
    </w:p>
    <w:bookmarkStart w:id="173" w:name="page174"/>
    <w:bookmarkEnd w:id="17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conduct relations with custodians, depositories, transfer agents, dividend disbursing agents, other stockholder servicing agents, accountants, attorneys, underwriters, brokers and dealers, corporate fiduciaries, insurers, banks and such other persons in any such other capacity deemed to be necessary or desirable. The Administrator shall make reports to the Directors of its performance of obligations hereunder and furnish advice and recommendations with respect to such other aspects of the business and affairs of the Corporation as it shall determine to be desirable; provided that nothing herein shall be construed to require the Administrator to, and the Administrator shall not, provide any advice or recommendation relating to the securities and other assets that the Corporation should purchase, retain or sell or any other investment advisory services to the Corporation. The Administrator shall be responsible for the financial and other records that the Corporation is required to maintain and shall prepare reports to stockholders, and reports and other materials filed with the Securities and Exchange Commission (the “SEC”). The Administrator will provide on the Corporation’s behalf significant managerial assistance to those portfolio companies to which the Corporation is required to provide such assistance. In addition, the Administrator will assist the Corporation in determining and publishing the Corporation’s net asset value, overseeing the preparation and filing of the Corporation’s tax returns, and the printing and dissemination of reports to stockholders of the Corporation, and generally overseeing the payment of the Corporation’s expenses and the performance of administrative and professional services rendered to the Corporation by others.</w:t>
      </w:r>
    </w:p>
    <w:p>
      <w:pPr>
        <w:spacing w:after="0" w:line="246"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Records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Administrator agrees to maintain and keep all books, accounts and other records of the Corporation that relate to activities performed by the Administrator hereunder and, if required by the 1940 Act, will maintain and keep such books, accounts and records in accordance with that Act. In compliance with the requirements of Rule 31a-3 under the 1940 Act, the Administrator agrees that all records which it maintains for the Corporation shall at all times remain the property of the Corporation, shall be readily accessible during normal business hours, and shall be promptly surrendered upon the termination of the Agreement or otherwise on written request. The Administrator further agrees that all records which it maintains for the Corporation pursuant to Rule 31a-1 under the 1940 Act will be preserved for the periods prescribed by Rule 31a-2 under the 1940 Act unless any such records are earlier surrendered as provided above. Records shall be surrendered in usable machine-readable form. The Administrator shall have the right to retain copies of such records subject to observance of its confidentiality obligations under this Agreement.</w:t>
      </w:r>
    </w:p>
    <w:p>
      <w:pPr>
        <w:spacing w:after="0" w:line="240"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parties hereto agree that each shall treat confidentially the terms and conditions of this Agreement and all information provided by each party to the other regarding its business and operations. All confidential information provided by a party hereto, including nonpublic personal information pursuant to Regulation S-P of the SEC, shall be used by any other party hereto solely for the purpose of rendering services pursuant to this Agreement and, except as may be required in carrying out this Agreement, shall not be disclosed to any third party, without</w:t>
      </w:r>
    </w:p>
    <w:p>
      <w:pPr>
        <w:sectPr>
          <w:pgSz w:w="11900" w:h="16838" w:orient="portrait"/>
          <w:cols w:equalWidth="0" w:num="1">
            <w:col w:w="11420"/>
          </w:cols>
          <w:pgMar w:left="240" w:top="280" w:right="239" w:bottom="1440" w:gutter="0" w:footer="0" w:header="0"/>
        </w:sectPr>
      </w:pPr>
    </w:p>
    <w:bookmarkStart w:id="174" w:name="page175"/>
    <w:bookmarkEnd w:id="174"/>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prior consent of such providing party. The foregoing shall not be applicable to any information that is publicly available when provided or thereafter becomes publicly available other than through a breach of this Agreement, or that is required to be disclosed by any regulatory authority, any authority or legal counsel of the parties hereto, by judicial or administrative process or otherwise by applicable law or regulation.</w:t>
      </w:r>
    </w:p>
    <w:p>
      <w:pPr>
        <w:spacing w:after="0" w:line="262"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Compensation; Allocation of Costs and Expenses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full consideration of the provision of the services of the Administrator, the Corporation shall reimburse the Administrator for the costs and expenses incurred by the Administrator in performing its obligations and providing personnel and facilities hereunder. If requested to perform significant managerial assistance to portfolio companies of the Corporation, the Administrator will be paid an additional amount based on the services provided, which shall not exceed the amount the Corporation receives from the portfolio companies for providing this assistance.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Corporation will bear all costs and expenses that are incurred in its operation and transactions and not specifically assumed by the Corporation’s</w:t>
      </w:r>
    </w:p>
    <w:p>
      <w:pPr>
        <w:spacing w:after="0" w:line="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investment adviser (the “Adviser”), pursuant to that certain Investment Advisory Management Agreement, dated as of [ ], 2011 by and between the Corporation and the Adviser. Costs and expenses to be borne by the Corporation include, but are not limited to,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and expenses related to unsuccessful portfolio acquisition efforts; interest payable on debt, if any, incurred to finance the Corporation’s investments; offerings of the Corporation’s common stock and other securities; investment advisory and management fees; administration fees payable under this Agreement; fees payable to 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 costs of any reports, proxy statements or other notices to stockholders, including printing costs; costs associated with individual or groups of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and all other expenses incurred by the Corporation or the Administrator in connection with administering the Corporation’s business, including payments under this Agreement based upon the Corporation’s allocable portion of the Administrator’s overhead in performing its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-1960245</wp:posOffset>
            </wp:positionV>
            <wp:extent cx="33464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1">
            <w:col w:w="11380"/>
          </w:cols>
          <w:pgMar w:left="240" w:top="280" w:right="279" w:bottom="1440" w:gutter="0" w:footer="0" w:header="0"/>
        </w:sectPr>
      </w:pPr>
    </w:p>
    <w:bookmarkStart w:id="175" w:name="page176"/>
    <w:bookmarkEnd w:id="175"/>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this Agreement, including rent and the allocable portion of the cost of the Corporation’s chief compliance officer and chief financial officer and their respective staffs.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At its election, the Administrator may elect to receive payment under this Agreement in the form of a percentage of assets under management by the Corporation, rather than based on the sum of the actual expenses accrued. Such percentage shall be in an amount mutually agreed by the Administrator and the Corporation.</w:t>
      </w:r>
    </w:p>
    <w:p>
      <w:pPr>
        <w:spacing w:after="0" w:line="262"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Limitation of Liability of the Administrator; Indemnification</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Administrator (and its officers, managers, partners, agents, employees, controlling persons, members, and any other person or entity affiliated with the Administrator, including without limitation its sole member) shall not be liable to the Corporation for any action taken or omitted to be taken by the Administrator in connection with the performance of any of its duties or obligations under this Agreement or otherwise as administrator for the Corporation, and the Corporation shall indemnify, defend and protect the Administrator (and its officers, managers, partners, agents, employees, controlling persons, members, and any other person or entity affiliated with the Administrator, including without limitation the Adviser,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Administrator’s duties or obligations under this Agreement or otherwise as administrator for the Corporation. Notwithstanding the preceding sentence of this Paragraph 5 to the contrary, nothing contained herein shall protect or 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Administrator’s duties or by reason of the reckless disregard of the Administrator’s duties and obligations under this Agreement (to the extent applicable, as the same shall be determined in accordance with the 1940 Act and any interpretations or guidance by the SEC or its staff thereunder).</w:t>
      </w:r>
    </w:p>
    <w:p>
      <w:pPr>
        <w:spacing w:after="0" w:line="250"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Activities of the Administrator</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services of the Administrator to the Corporation are not to be deemed to be exclusive, and the Administrator and each affiliate is free to render services to others. It is understood that directors, officers, employees and stockholders of the Corporation are or may become interested in the Administrator and its affiliates, as directors, officers, members, managers, employees, partners, stockholders or otherwise, and that the Administrator and directors, officers, members, managers, employees, partners and stockholders of the Administrator and its affiliates are or may become similarly interested in the Corporation as stockholders or otherwise.</w:t>
      </w:r>
    </w:p>
    <w:p>
      <w:pPr>
        <w:sectPr>
          <w:pgSz w:w="11900" w:h="16838" w:orient="portrait"/>
          <w:cols w:equalWidth="0" w:num="1">
            <w:col w:w="11420"/>
          </w:cols>
          <w:pgMar w:left="240" w:top="280" w:right="239" w:bottom="1440" w:gutter="0" w:footer="0" w:header="0"/>
        </w:sectPr>
      </w:pPr>
    </w:p>
    <w:bookmarkStart w:id="176" w:name="page177"/>
    <w:bookmarkEnd w:id="176"/>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Duration and Termination of this Agreement</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This Agreement shall become effective as of the date hereof, and shall remain in force with respect to the Corporation for two years thereafter, and thereafter continue from year to year, but only so long as such continuance is specifically approved at least annually by (i) the Board of Directors of the Corporation and (ii) a majority of those directors who are not parties to this Agreement or “interested persons” (as defined in the 1940 Act) of any such party.</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This Agreement may be terminated at any time, without the payment of any penalty, by vote of the directors of the Corporation, or by the Administrator, upon 60 days’ written notice to the other party. This Agreement may not be assigned by a party without the consent of the other party.</w:t>
      </w:r>
    </w:p>
    <w:p>
      <w:pPr>
        <w:spacing w:after="0" w:line="207"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Amendments of this Agreement</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may be amended pursuant to a written instrument by mutual consent of the parties.</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Agreement shall be construed in accordance with laws of the State of New York and the applicable provisions of the 1940 Act, if any. To the extent that the applicable laws of the State of New York, or any of the provisions herein, conflict with the applicable provisions of the 1940 Act, if any, the latter shall control.</w:t>
      </w:r>
    </w:p>
    <w:p>
      <w:pPr>
        <w:spacing w:after="0" w:line="262"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Entire Agreement</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This Agreement contains the entire agreement of the parties and supercedes all prior agreements, understandings and arrangements with respect to the subject matter hereof.</w:t>
      </w:r>
    </w:p>
    <w:p>
      <w:pPr>
        <w:spacing w:after="0" w:line="254"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Any notice under this Agreement shall be given in writing, addressed and delivered or mailed, postage prepaid, to the other party at its principal office.</w:t>
      </w:r>
    </w:p>
    <w:p>
      <w:pPr>
        <w:spacing w:after="0" w:line="1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180"/>
          </w:cols>
          <w:pgMar w:left="240" w:top="280" w:right="47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and delivered this Agreement as of the date first above written.</w:t>
      </w:r>
    </w:p>
    <w:p>
      <w:pPr>
        <w:spacing w:after="0" w:line="206"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3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By:</w:t>
      </w:r>
    </w:p>
    <w:p>
      <w:pPr>
        <w:spacing w:after="0" w:line="35" w:lineRule="exact"/>
        <w:rPr>
          <w:sz w:val="20"/>
          <w:szCs w:val="20"/>
          <w:color w:val="auto"/>
        </w:rPr>
      </w:pPr>
    </w:p>
    <w:tbl>
      <w:tblPr>
        <w:tblLayout w:type="fixed"/>
        <w:tblInd w:w="6360" w:type="dxa"/>
        <w:tblCellMar>
          <w:top w:w="0" w:type="dxa"/>
          <w:left w:w="0" w:type="dxa"/>
          <w:bottom w:w="0" w:type="dxa"/>
          <w:right w:w="0" w:type="dxa"/>
        </w:tblCellMar>
      </w:tblPr>
      <w:tr>
        <w:trPr>
          <w:trHeight w:val="20"/>
        </w:trPr>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r>
        <w:trPr>
          <w:trHeight w:val="197"/>
        </w:trPr>
        <w:tc>
          <w:tcPr>
            <w:tcW w:w="560" w:type="dxa"/>
            <w:vAlign w:val="bottom"/>
            <w:gridSpan w:val="2"/>
          </w:tcPr>
          <w:p>
            <w:pPr>
              <w:spacing w:after="0" w:line="197" w:lineRule="exact"/>
              <w:rPr>
                <w:sz w:val="20"/>
                <w:szCs w:val="20"/>
                <w:color w:val="auto"/>
              </w:rPr>
            </w:pPr>
            <w:r>
              <w:rPr>
                <w:rFonts w:ascii="Arial" w:cs="Arial" w:eastAsia="Arial" w:hAnsi="Arial"/>
                <w:sz w:val="18"/>
                <w:szCs w:val="18"/>
                <w:color w:val="auto"/>
              </w:rPr>
              <w:t>Name:</w:t>
            </w:r>
          </w:p>
        </w:tc>
        <w:tc>
          <w:tcPr>
            <w:tcW w:w="4040" w:type="dxa"/>
            <w:vAlign w:val="bottom"/>
          </w:tcPr>
          <w:p>
            <w:pPr>
              <w:ind w:left="100"/>
              <w:spacing w:after="0" w:line="197" w:lineRule="exact"/>
              <w:rPr>
                <w:sz w:val="20"/>
                <w:szCs w:val="20"/>
                <w:color w:val="auto"/>
              </w:rPr>
            </w:pPr>
            <w:r>
              <w:rPr>
                <w:rFonts w:ascii="Arial" w:cs="Arial" w:eastAsia="Arial" w:hAnsi="Arial"/>
                <w:sz w:val="18"/>
                <w:szCs w:val="18"/>
                <w:color w:val="auto"/>
              </w:rPr>
              <w:t>Arthur H. Penn</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ind w:left="100"/>
              <w:spacing w:after="0"/>
              <w:rPr>
                <w:sz w:val="20"/>
                <w:szCs w:val="20"/>
                <w:color w:val="auto"/>
              </w:rPr>
            </w:pPr>
            <w:r>
              <w:rPr>
                <w:rFonts w:ascii="Arial" w:cs="Arial" w:eastAsia="Arial" w:hAnsi="Arial"/>
                <w:sz w:val="18"/>
                <w:szCs w:val="18"/>
                <w:color w:val="auto"/>
                <w:w w:val="92"/>
              </w:rPr>
              <w:t>Chief Executive Officer and Chairman of the Board of</w:t>
            </w:r>
          </w:p>
        </w:tc>
      </w:tr>
      <w:tr>
        <w:trPr>
          <w:trHeight w:val="222"/>
        </w:trPr>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Directors</w:t>
            </w:r>
          </w:p>
        </w:tc>
      </w:tr>
    </w:tbl>
    <w:p>
      <w:pPr>
        <w:spacing w:after="0" w:line="204" w:lineRule="exact"/>
        <w:rPr>
          <w:sz w:val="20"/>
          <w:szCs w:val="20"/>
          <w:color w:val="auto"/>
        </w:rPr>
      </w:pPr>
    </w:p>
    <w:p>
      <w:pPr>
        <w:ind w:left="6360"/>
        <w:spacing w:after="0"/>
        <w:rPr>
          <w:sz w:val="20"/>
          <w:szCs w:val="20"/>
          <w:color w:val="auto"/>
        </w:rPr>
      </w:pPr>
      <w:r>
        <w:rPr>
          <w:rFonts w:ascii="Arial" w:cs="Arial" w:eastAsia="Arial" w:hAnsi="Arial"/>
          <w:sz w:val="16"/>
          <w:szCs w:val="16"/>
          <w:b w:val="1"/>
          <w:bCs w:val="1"/>
          <w:color w:val="auto"/>
        </w:rPr>
        <w:t>PENNANTPARK INVESTMENT ADMINISTRATION LLC</w:t>
      </w:r>
    </w:p>
    <w:p>
      <w:pPr>
        <w:spacing w:after="0" w:line="254"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10795</wp:posOffset>
            </wp:positionV>
            <wp:extent cx="2727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6" w:lineRule="exact"/>
        <w:rPr>
          <w:sz w:val="20"/>
          <w:szCs w:val="20"/>
          <w:color w:val="auto"/>
        </w:rPr>
      </w:pPr>
    </w:p>
    <w:p>
      <w:pPr>
        <w:ind w:left="6360"/>
        <w:spacing w:after="0"/>
        <w:tabs>
          <w:tab w:leader="none" w:pos="7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Arthur H. Penn</w:t>
      </w:r>
    </w:p>
    <w:p>
      <w:pPr>
        <w:spacing w:after="0" w:line="15" w:lineRule="exact"/>
        <w:rPr>
          <w:sz w:val="20"/>
          <w:szCs w:val="20"/>
          <w:color w:val="auto"/>
        </w:rPr>
      </w:pPr>
    </w:p>
    <w:p>
      <w:pPr>
        <w:ind w:left="6360"/>
        <w:spacing w:after="0"/>
        <w:tabs>
          <w:tab w:leader="none" w:pos="7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60"/>
          </w:cols>
          <w:pgMar w:left="700" w:top="280" w:right="239" w:bottom="1440" w:gutter="0" w:footer="0" w:header="0"/>
        </w:sectPr>
      </w:pPr>
    </w:p>
    <w:bookmarkStart w:id="178" w:name="page179"/>
    <w:bookmarkEnd w:id="178"/>
    <w:tbl>
      <w:tblPr>
        <w:tblLayout w:type="fixed"/>
        <w:tblInd w:w="92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60" w:type="dxa"/>
            <w:vAlign w:val="bottom"/>
          </w:tcPr>
          <w:p>
            <w:pPr>
              <w:ind w:left="240"/>
              <w:spacing w:after="0"/>
              <w:rPr>
                <w:sz w:val="20"/>
                <w:szCs w:val="20"/>
                <w:color w:val="auto"/>
              </w:rPr>
            </w:pPr>
            <w:r>
              <w:rPr>
                <w:rFonts w:ascii="Arial" w:cs="Arial" w:eastAsia="Arial" w:hAnsi="Arial"/>
                <w:sz w:val="18"/>
                <w:szCs w:val="18"/>
                <w:b w:val="1"/>
                <w:bCs w:val="1"/>
                <w:color w:val="auto"/>
                <w:w w:val="91"/>
              </w:rPr>
              <w:t>Exhibit (k)(3)</w:t>
            </w:r>
          </w:p>
        </w:tc>
      </w:tr>
      <w:tr>
        <w:trPr>
          <w:trHeight w:val="340"/>
        </w:trPr>
        <w:tc>
          <w:tcPr>
            <w:tcW w:w="3200" w:type="dxa"/>
            <w:vAlign w:val="bottom"/>
          </w:tcPr>
          <w:p>
            <w:pPr>
              <w:spacing w:after="0"/>
              <w:rPr>
                <w:sz w:val="24"/>
                <w:szCs w:val="24"/>
                <w:color w:val="auto"/>
              </w:rPr>
            </w:pPr>
          </w:p>
        </w:tc>
        <w:tc>
          <w:tcPr>
            <w:tcW w:w="4100" w:type="dxa"/>
            <w:vAlign w:val="bottom"/>
            <w:gridSpan w:val="5"/>
          </w:tcPr>
          <w:p>
            <w:pPr>
              <w:spacing w:after="0"/>
              <w:rPr>
                <w:sz w:val="20"/>
                <w:szCs w:val="20"/>
                <w:color w:val="auto"/>
              </w:rPr>
            </w:pPr>
            <w:r>
              <w:rPr>
                <w:rFonts w:ascii="Arial" w:cs="Arial" w:eastAsia="Arial" w:hAnsi="Arial"/>
                <w:sz w:val="18"/>
                <w:szCs w:val="18"/>
                <w:b w:val="1"/>
                <w:bCs w:val="1"/>
                <w:color w:val="auto"/>
              </w:rPr>
              <w:t>TRADEMARK LICENSE AGREEMENT</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3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58"/>
        </w:trPr>
        <w:tc>
          <w:tcPr>
            <w:tcW w:w="7300" w:type="dxa"/>
            <w:vAlign w:val="bottom"/>
            <w:gridSpan w:val="6"/>
          </w:tcPr>
          <w:p>
            <w:pPr>
              <w:spacing w:after="0"/>
              <w:rPr>
                <w:sz w:val="20"/>
                <w:szCs w:val="20"/>
                <w:color w:val="auto"/>
              </w:rPr>
            </w:pPr>
            <w:r>
              <w:rPr>
                <w:rFonts w:ascii="Arial" w:cs="Arial" w:eastAsia="Arial" w:hAnsi="Arial"/>
                <w:sz w:val="18"/>
                <w:szCs w:val="18"/>
                <w:color w:val="auto"/>
                <w:w w:val="99"/>
              </w:rPr>
              <w:t>This TRADEMARK LICENSE AGREEMENT (this “Agreement”) is made and effective as of [</w:t>
            </w:r>
          </w:p>
        </w:tc>
        <w:tc>
          <w:tcPr>
            <w:tcW w:w="3200" w:type="dxa"/>
            <w:vAlign w:val="bottom"/>
            <w:gridSpan w:val="3"/>
          </w:tcPr>
          <w:p>
            <w:pPr>
              <w:spacing w:after="0"/>
              <w:rPr>
                <w:sz w:val="20"/>
                <w:szCs w:val="20"/>
                <w:color w:val="auto"/>
              </w:rPr>
            </w:pPr>
            <w:r>
              <w:rPr>
                <w:rFonts w:ascii="Arial" w:cs="Arial" w:eastAsia="Arial" w:hAnsi="Arial"/>
                <w:sz w:val="18"/>
                <w:szCs w:val="18"/>
                <w:color w:val="auto"/>
              </w:rPr>
              <w:t>], 2011 (the “Effective Date”), by and</w:t>
            </w:r>
          </w:p>
        </w:tc>
      </w:tr>
      <w:tr>
        <w:trPr>
          <w:trHeight w:val="20"/>
        </w:trPr>
        <w:tc>
          <w:tcPr>
            <w:tcW w:w="3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9"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between PennantPark Investment Advisers, LLC a Delaware limited liability company (the “</w:t>
      </w:r>
      <w:r>
        <w:rPr>
          <w:rFonts w:ascii="Arial" w:cs="Arial" w:eastAsia="Arial" w:hAnsi="Arial"/>
          <w:sz w:val="16"/>
          <w:szCs w:val="16"/>
          <w:u w:val="single" w:color="auto"/>
          <w:color w:val="auto"/>
        </w:rPr>
        <w:t>Licensor</w:t>
      </w:r>
      <w:r>
        <w:rPr>
          <w:rFonts w:ascii="Arial" w:cs="Arial" w:eastAsia="Arial" w:hAnsi="Arial"/>
          <w:sz w:val="16"/>
          <w:szCs w:val="16"/>
          <w:color w:val="auto"/>
        </w:rPr>
        <w:t>” or the “</w:t>
      </w:r>
      <w:r>
        <w:rPr>
          <w:rFonts w:ascii="Arial" w:cs="Arial" w:eastAsia="Arial" w:hAnsi="Arial"/>
          <w:sz w:val="16"/>
          <w:szCs w:val="16"/>
          <w:u w:val="single" w:color="auto"/>
          <w:color w:val="auto"/>
        </w:rPr>
        <w:t>Adviser</w:t>
      </w:r>
      <w:r>
        <w:rPr>
          <w:rFonts w:ascii="Arial" w:cs="Arial" w:eastAsia="Arial" w:hAnsi="Arial"/>
          <w:sz w:val="16"/>
          <w:szCs w:val="16"/>
          <w:color w:val="auto"/>
        </w:rPr>
        <w:t>”), and PennantPark Floating Rate Capital Ltd., a corporation organized under the laws of the State of Maryland (the “</w:t>
      </w:r>
      <w:r>
        <w:rPr>
          <w:rFonts w:ascii="Arial" w:cs="Arial" w:eastAsia="Arial" w:hAnsi="Arial"/>
          <w:sz w:val="16"/>
          <w:szCs w:val="16"/>
          <w:u w:val="single" w:color="auto"/>
          <w:color w:val="auto"/>
        </w:rPr>
        <w:t>Corporation</w:t>
      </w:r>
      <w:r>
        <w:rPr>
          <w:rFonts w:ascii="Arial" w:cs="Arial" w:eastAsia="Arial" w:hAnsi="Arial"/>
          <w:sz w:val="16"/>
          <w:szCs w:val="16"/>
          <w:color w:val="auto"/>
        </w:rPr>
        <w:t>”) (each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WHEREAS, the Adviser is the owner of the trade name “PENNANTPARK” (the “</w:t>
      </w:r>
      <w:r>
        <w:rPr>
          <w:rFonts w:ascii="Arial" w:cs="Arial" w:eastAsia="Arial" w:hAnsi="Arial"/>
          <w:sz w:val="16"/>
          <w:szCs w:val="16"/>
          <w:u w:val="single" w:color="auto"/>
          <w:color w:val="auto"/>
        </w:rPr>
        <w:t>Licensed Mark</w:t>
      </w:r>
      <w:r>
        <w:rPr>
          <w:rFonts w:ascii="Arial" w:cs="Arial" w:eastAsia="Arial" w:hAnsi="Arial"/>
          <w:sz w:val="16"/>
          <w:szCs w:val="16"/>
          <w:color w:val="auto"/>
        </w:rPr>
        <w:t>”) and has filed an application to register the mark in the United States of America (the “</w:t>
      </w:r>
      <w:r>
        <w:rPr>
          <w:rFonts w:ascii="Arial" w:cs="Arial" w:eastAsia="Arial" w:hAnsi="Arial"/>
          <w:sz w:val="16"/>
          <w:szCs w:val="16"/>
          <w:u w:val="single" w:color="auto"/>
          <w:color w:val="auto"/>
        </w:rPr>
        <w:t>Territory</w:t>
      </w:r>
      <w:r>
        <w:rPr>
          <w:rFonts w:ascii="Arial" w:cs="Arial" w:eastAsia="Arial" w:hAnsi="Arial"/>
          <w:sz w:val="16"/>
          <w:szCs w:val="16"/>
          <w:color w:val="auto"/>
        </w:rPr>
        <w:t>”) for investment management, investment consultation and investment advisory services.</w:t>
      </w:r>
    </w:p>
    <w:p>
      <w:pPr>
        <w:spacing w:after="0" w:line="85"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WHEREAS, the Corporation is a newly organized closed-end management investment company that has filed notice with the Securities and Exchange Commission that it intends to elect to be treated as a business development company under the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w:t>
      </w:r>
    </w:p>
    <w:p>
      <w:pPr>
        <w:spacing w:after="0" w:line="140"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WHEREAS, the Corporation is entering into an investment advisory and management agreement with the Adviser (the “</w:t>
      </w:r>
      <w:r>
        <w:rPr>
          <w:rFonts w:ascii="Arial" w:cs="Arial" w:eastAsia="Arial" w:hAnsi="Arial"/>
          <w:sz w:val="18"/>
          <w:szCs w:val="18"/>
          <w:u w:val="single" w:color="auto"/>
          <w:color w:val="auto"/>
        </w:rPr>
        <w:t>Advisory Agreement</w:t>
      </w:r>
      <w:r>
        <w:rPr>
          <w:rFonts w:ascii="Arial" w:cs="Arial" w:eastAsia="Arial" w:hAnsi="Arial"/>
          <w:sz w:val="18"/>
          <w:szCs w:val="18"/>
          <w:color w:val="auto"/>
        </w:rPr>
        <w:t>”), wherein the Corporation will engage the Adviser to act as the investment adviser to the Corporation; and</w:t>
      </w:r>
    </w:p>
    <w:p>
      <w:pPr>
        <w:spacing w:after="0" w:line="13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WHEREAS, the Corporation desires to use the Licensed Mark in connection with the operation of its business, and the Adviser is willing to permit the Corporation to use the Licensed Mark, subject to the terms and conditions of this Agreement.</w:t>
      </w:r>
    </w:p>
    <w:p>
      <w:pPr>
        <w:spacing w:after="0" w:line="13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agree as follows: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LICENSE GRANT</w:t>
      </w:r>
    </w:p>
    <w:p>
      <w:pPr>
        <w:spacing w:after="0" w:line="16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License</w:t>
      </w:r>
      <w:r>
        <w:rPr>
          <w:rFonts w:ascii="Arial" w:cs="Arial" w:eastAsia="Arial" w:hAnsi="Arial"/>
          <w:sz w:val="16"/>
          <w:szCs w:val="16"/>
          <w:color w:val="auto"/>
        </w:rPr>
        <w:t>. Subject to the terms and conditions of this Agreement, the Adviser hereby grants to The Corporation, and The Corporation hereby accepts from the Adviser, a personal, non-exclusive, royalty-free right and license to use the Licensed Mark solely and exclusively as an element of Corporation’s own corporate name and in connection with marketing the investment management, investment consultation and investment advisory services that the Adviser may provide to Corporation. During the term of this Agreement, the Corporation shall use the Licensed Mark only to the extent permitted under this License, and except as provided above, neither the Corporation nor any affiliate, owner, director, officer, employee, or agent thereof shall otherwise use the Licensed Mark or any derivative thereof in the Territory without the prior express written consent of the Adviser in its sole and absolute</w:t>
      </w:r>
    </w:p>
    <w:p>
      <w:pPr>
        <w:sectPr>
          <w:pgSz w:w="11900" w:h="16838" w:orient="portrait"/>
          <w:cols w:equalWidth="0" w:num="1">
            <w:col w:w="11420"/>
          </w:cols>
          <w:pgMar w:left="240" w:top="125" w:right="239" w:bottom="1440" w:gutter="0" w:footer="0" w:header="0"/>
        </w:sectPr>
      </w:pPr>
    </w:p>
    <w:bookmarkStart w:id="179" w:name="page180"/>
    <w:bookmarkEnd w:id="179"/>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discretion and shall not use the Licensed Mark for any purpose outside the Territory. All rights not expressly granted to the Corporation hereunder shall remain the exclusive property of the Adviser.</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Licensor’s Use</w:t>
      </w:r>
      <w:r>
        <w:rPr>
          <w:rFonts w:ascii="Arial" w:cs="Arial" w:eastAsia="Arial" w:hAnsi="Arial"/>
          <w:sz w:val="16"/>
          <w:szCs w:val="16"/>
          <w:color w:val="auto"/>
        </w:rPr>
        <w:t>. Nothing in this Agreement shall preclude Licensor or any of its successors or assigns from using or permitting other entities to use the Licensed Mark, whether or not such entity directly or indirectly competes or conflicts with the Corporation’s business in any manner.</w:t>
      </w:r>
    </w:p>
    <w:p>
      <w:pPr>
        <w:spacing w:after="0" w:line="24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OWNERSHIP</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Ownership</w:t>
      </w:r>
      <w:r>
        <w:rPr>
          <w:rFonts w:ascii="Arial" w:cs="Arial" w:eastAsia="Arial" w:hAnsi="Arial"/>
          <w:sz w:val="18"/>
          <w:szCs w:val="18"/>
          <w:color w:val="auto"/>
        </w:rPr>
        <w:t>. The Corporation acknowledges and agrees that the Adviser is the owner of all right, title, and interest in and to the Licensed Mark, and all such right, title and interest shall remain with the Adviser. The Corporation shall not contest, dispute, challenge, oppose or seek to cancel the Adviser’s right, title, and interest in and to the Licensed Mark. The Corporation shall not prosecute any application for registration of the Licensed Mark, or seek to register the Licensed Mark as a domain name or part of any domain name.</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Goodwill</w:t>
      </w:r>
      <w:r>
        <w:rPr>
          <w:rFonts w:ascii="Arial" w:cs="Arial" w:eastAsia="Arial" w:hAnsi="Arial"/>
          <w:sz w:val="18"/>
          <w:szCs w:val="18"/>
          <w:color w:val="auto"/>
        </w:rPr>
        <w:t>. The Corporation acknowledges that the Corporation shall not acquire any right, title, or interest in the Licensed Mark by virtue of this Agreement other than the license granted hereunder, and disclaims any such right, title, interest, or ownership. All goodwill and reputation generated by the Corporation’s use of the Licensed Mark shall inure to the exclusive benefit of the Adviser. The Corporation shall not by any act or omission use the Licensed Mark in any manner that disparages or reflects adversely on the Adviser or its business or reputation. The Corporation shall not take any action that would interfere with or prejudice the Adviser’s ownership or registration of the Licensed Mark, the validity of the Licensed Mark or the validity of the license granted by this Agreement.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COMPLIANCE</w:t>
      </w:r>
    </w:p>
    <w:p>
      <w:pPr>
        <w:spacing w:after="0" w:line="165"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Quality Control</w:t>
      </w:r>
      <w:r>
        <w:rPr>
          <w:rFonts w:ascii="Arial" w:cs="Arial" w:eastAsia="Arial" w:hAnsi="Arial"/>
          <w:sz w:val="18"/>
          <w:szCs w:val="18"/>
          <w:color w:val="auto"/>
        </w:rPr>
        <w:t>. In order to preserve the inherent value of the Licensed Mark, the Corporation agrees to use reasonable efforts to ensure that it maintains the quality of the Corporation’s business and the operation thereof equal to the standards prevailing in the operation of the Adviser’s and the Corporation’s business as of the date of this Agreement. The Adviser shall oversee the quality of the services provided under the Licensed Mark by virtue of its role as investment adviser to the Corporation, and shall approve, prior to their use, all prospectuses, advertisements, and other materials upon which the Corporation uses the Licensed Mark. The Corporation further agrees to use the Licensed Mark in accordance with such quality standards as may be reasonably established by Licensor and communicated to the Corporation from time to time in writing, or as may be agreed to by Licensor and the Corporation from time to time in writing.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80" w:right="239" w:bottom="1440" w:gutter="0" w:footer="0" w:header="0"/>
        </w:sectPr>
      </w:pPr>
    </w:p>
    <w:bookmarkStart w:id="180" w:name="page181"/>
    <w:bookmarkEnd w:id="180"/>
    <w:p>
      <w:pPr>
        <w:ind w:right="1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Corporation agrees that the business operated by it in connection with the Licensed Mark shall comply with all laws, rules, regulations and requirements of any governmental body in the Territory or elsewhere as may be applicable to the operation, advertising and promotion of the business and shall notify the Adviser of any action that must be taken by the Corporation to comply with such law, rules, regulations or requirements.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Notification of Infringement</w:t>
      </w:r>
      <w:r>
        <w:rPr>
          <w:rFonts w:ascii="Arial" w:cs="Arial" w:eastAsia="Arial" w:hAnsi="Arial"/>
          <w:sz w:val="16"/>
          <w:szCs w:val="16"/>
          <w:color w:val="auto"/>
        </w:rPr>
        <w:t>. Each party shall immediately notify the other party and provide to the other party all relevant background facts upon becoming aware of (a) any registrations of, or applications for registration of, marks in the Territory that do or may conflict with any Licensed Mark, and (b) any infringements, imitations, or illegal use or misuse of the Licensed Mark in the Territory. The Adviser shall have the exclusive right, but not the obligation, to prosecute, defend and/or settle in its sole discretion, all actions, proceedings and claims involving any Third Party Infringement or Third Party Claim, and to take any other action that it deems necessary or proper for the protection and preservation of its rights in the Licensed Mark. The Corporation shall cooperate with the Adviser in the prosecution, defense, or settlement of such actions, proceedings, or claims.</w:t>
      </w: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REPRESENTATIONS AND WARRANTIES</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4.1. The Corporation acknowledges that the Adviser has applied for registration in the Territory of PENNANTPARK, that the Adviser’s application for registration has not yet been examined or approved for registration, and that the Corporation accepts this license on an “as is” basis. The Corporation acknowledges that the Adviser makes no explicit or implicit representation or warranty as to the registrability, validity, enforceability, or ownership of the Licensed Mark, or as to the Corporation’s ability to use the Licensed Mark without infringing or otherwise violating the rights of others, and the Adviser has no obligation to indemnify the Corporation with respect to any claims arising from the Corporation’s use of the Licensed Mark.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Mutual Representations</w:t>
      </w:r>
      <w:r>
        <w:rPr>
          <w:rFonts w:ascii="Arial" w:cs="Arial" w:eastAsia="Arial" w:hAnsi="Arial"/>
          <w:sz w:val="18"/>
          <w:szCs w:val="18"/>
          <w:color w:val="auto"/>
        </w:rPr>
        <w:t>. Each party hereby represents and warrants to the other party as follows:</w:t>
      </w:r>
    </w:p>
    <w:p>
      <w:pPr>
        <w:spacing w:after="0" w:line="90" w:lineRule="exact"/>
        <w:rPr>
          <w:sz w:val="20"/>
          <w:szCs w:val="20"/>
          <w:color w:val="auto"/>
        </w:rPr>
      </w:pPr>
    </w:p>
    <w:p>
      <w:pPr>
        <w:ind w:left="460" w:right="120" w:firstLine="443"/>
        <w:spacing w:after="0" w:line="332" w:lineRule="auto"/>
        <w:tabs>
          <w:tab w:leader="none" w:pos="1137"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Due Authorization</w:t>
      </w:r>
      <w:r>
        <w:rPr>
          <w:rFonts w:ascii="Arial" w:cs="Arial" w:eastAsia="Arial" w:hAnsi="Arial"/>
          <w:sz w:val="16"/>
          <w:szCs w:val="16"/>
          <w:color w:val="auto"/>
        </w:rPr>
        <w:t>. Such party is a corporation duly incorporated and in good standing as of the Effective Date, and the execution, delivery and performance of this Agreement by such party have been duly authorized by all necessary action on the part of such party.</w:t>
      </w:r>
    </w:p>
    <w:p>
      <w:pPr>
        <w:spacing w:after="0" w:line="4" w:lineRule="exact"/>
        <w:rPr>
          <w:rFonts w:ascii="Arial" w:cs="Arial" w:eastAsia="Arial" w:hAnsi="Arial"/>
          <w:sz w:val="16"/>
          <w:szCs w:val="16"/>
          <w:color w:val="auto"/>
        </w:rPr>
      </w:pPr>
    </w:p>
    <w:p>
      <w:pPr>
        <w:ind w:left="460" w:right="120" w:firstLine="443"/>
        <w:spacing w:after="0" w:line="332" w:lineRule="auto"/>
        <w:tabs>
          <w:tab w:leader="none" w:pos="1147"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Due Execution</w:t>
      </w:r>
      <w:r>
        <w:rPr>
          <w:rFonts w:ascii="Arial" w:cs="Arial" w:eastAsia="Arial" w:hAnsi="Arial"/>
          <w:sz w:val="16"/>
          <w:szCs w:val="16"/>
          <w:color w:val="auto"/>
        </w:rPr>
        <w:t>. This Agreement has been duly executed and delivered by such party and, with due authorization, execution and delivery by the other party, constitutes a legal, valid and binding obligation of such party, enforceable against such party in accordance with its terms.</w:t>
      </w:r>
    </w:p>
    <w:p>
      <w:pPr>
        <w:spacing w:after="0" w:line="4" w:lineRule="exact"/>
        <w:rPr>
          <w:rFonts w:ascii="Arial" w:cs="Arial" w:eastAsia="Arial" w:hAnsi="Arial"/>
          <w:sz w:val="16"/>
          <w:szCs w:val="16"/>
          <w:color w:val="auto"/>
        </w:rPr>
      </w:pPr>
    </w:p>
    <w:p>
      <w:pPr>
        <w:ind w:left="460" w:right="160" w:firstLine="443"/>
        <w:spacing w:after="0" w:line="268" w:lineRule="auto"/>
        <w:tabs>
          <w:tab w:leader="none" w:pos="1137"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Such party’s execution, delivery and performance of this Agreement do not: (i) violate, conflict with or result in the breach of any provision of the</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40"/>
          </w:cols>
          <w:pgMar w:left="240" w:top="280" w:right="319" w:bottom="1440" w:gutter="0" w:footer="0" w:header="0"/>
        </w:sectPr>
      </w:pPr>
    </w:p>
    <w:bookmarkStart w:id="181" w:name="page182"/>
    <w:bookmarkEnd w:id="181"/>
    <w:p>
      <w:pPr>
        <w:ind w:left="46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charter or by-laws (or similar organizational documents) of such party; (ii) conflict with or violate any law or governmental order applicable to such party or any of its assets, properties or businesses; or (iii)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any contract, agreement, lease, sublease, license, permit, franchise or other instrument or arrangement to which it is a party.</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TERM AND TERMINATION</w:t>
      </w:r>
    </w:p>
    <w:p>
      <w:pPr>
        <w:spacing w:after="0" w:line="16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expire (a) upon expiration or termination of the Advisory Agreement; (b) if the Adviser ceases to serve as investment adviser to the Corporation; (c) by the Adviser or the Corporation upon sixty (60) days’ written notice to the other party, or (d) by the Adviser at any time in the event the Corporation assigns or attempts to assign or sublicense this Agreement or any of the Corporation’s rights or duties hereunder without the prior written consent of the Adviser.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Upon Termination</w:t>
      </w:r>
      <w:r>
        <w:rPr>
          <w:rFonts w:ascii="Arial" w:cs="Arial" w:eastAsia="Arial" w:hAnsi="Arial"/>
          <w:sz w:val="18"/>
          <w:szCs w:val="18"/>
          <w:color w:val="auto"/>
        </w:rPr>
        <w:t>. Upon expiration or termination of this Agreement, all rights granted to the Corporation under this Agreement with respect to the Licensed Mark shall cease, and the Corporation shall immediately discontinue all use of the Licensed Mark. The Corporation shall immediately change its corporate name by deleting the term “PENNANTPARK.” For twenty- four (24) months following termination of this Agreement, the Corporation shall specify on all public-facing materials in a prominent place and in prominent typeface that the Corporation is no longer operating under the Licensed Mark and is no longer associated with Licensor.</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The Corporation will not sublicense, assign, pledge, grant or otherwise encumber or transfer to any third party all or any part of its rights or duties under this Agreement, in whole or in part, without the prior written consent from the Adviser, which consent the Adviser may grant or withhold in its sole and absolute discretion. Any purported transfer without such consent shall be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Independent Contractor</w:t>
      </w:r>
      <w:r>
        <w:rPr>
          <w:rFonts w:ascii="Arial" w:cs="Arial" w:eastAsia="Arial" w:hAnsi="Arial"/>
          <w:sz w:val="16"/>
          <w:szCs w:val="16"/>
          <w:color w:val="auto"/>
        </w:rPr>
        <w:t>. Except as expressly provided or authorized in the Advisory Agreement, neither party shall have, or shall represent that it has, any power, right or authority to bind the other party to any obligation or liability, or to assume or create any obligation or liability on behalf of the other party.</w:t>
      </w:r>
    </w:p>
    <w:p>
      <w:pPr>
        <w:spacing w:after="0" w:line="85"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or made (and shall be deemed to have been duly given or made upon receipt) by delivery in person, by overnight courier service (with signature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80" w:right="259" w:bottom="1440" w:gutter="0" w:footer="0" w:header="0"/>
        </w:sectPr>
      </w:pPr>
    </w:p>
    <w:bookmarkStart w:id="182" w:name="page183"/>
    <w:bookmarkEnd w:id="18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by facsimile, or by registered or certified mail (postage prepaid, return receipt requested) to the respective parties at the following addresses:</w:t>
      </w:r>
    </w:p>
    <w:p>
      <w:pPr>
        <w:sectPr>
          <w:pgSz w:w="11900" w:h="16838" w:orient="portrait"/>
          <w:cols w:equalWidth="0" w:num="1">
            <w:col w:w="11320"/>
          </w:cols>
          <w:pgMar w:left="240" w:top="280" w:right="33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If to the Adviser:</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If to the Corporation:</w:t>
      </w:r>
    </w:p>
    <w:p>
      <w:pPr>
        <w:spacing w:after="0" w:line="200" w:lineRule="exact"/>
        <w:rPr>
          <w:sz w:val="20"/>
          <w:szCs w:val="20"/>
          <w:color w:val="auto"/>
        </w:rPr>
      </w:pPr>
    </w:p>
    <w:p>
      <w:pPr>
        <w:sectPr>
          <w:pgSz w:w="11900" w:h="16838" w:orient="portrait"/>
          <w:cols w:equalWidth="0" w:num="2">
            <w:col w:w="5340" w:space="720"/>
            <w:col w:w="5260"/>
          </w:cols>
          <w:pgMar w:left="240" w:top="280"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PennantPark Investment Advisers, LLC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No.: (212) 905-1000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(212 ) 905-1075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Compliance Officer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PennantPark Floating Rate Capital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No.: (212) 905-1000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(212 ) 905-1075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Compliance Officer</w:t>
      </w:r>
    </w:p>
    <w:p>
      <w:pPr>
        <w:spacing w:after="0" w:line="178" w:lineRule="exact"/>
        <w:rPr>
          <w:sz w:val="20"/>
          <w:szCs w:val="20"/>
          <w:color w:val="auto"/>
        </w:rPr>
      </w:pPr>
    </w:p>
    <w:p>
      <w:pPr>
        <w:sectPr>
          <w:pgSz w:w="11900" w:h="16838" w:orient="portrait"/>
          <w:cols w:equalWidth="0" w:num="2">
            <w:col w:w="5340" w:space="720"/>
            <w:col w:w="5260"/>
          </w:cols>
          <w:pgMar w:left="240" w:top="280" w:right="339" w:bottom="1440" w:gutter="0" w:footer="0" w:header="0"/>
          <w:type w:val="continuous"/>
        </w:sectPr>
      </w:pPr>
    </w:p>
    <w:p>
      <w:pPr>
        <w:ind w:right="20" w:firstLine="456"/>
        <w:spacing w:after="0" w:line="30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 The parties unconditionally and irrevocably consent to the exclusive jurisdiction of the courts located in the State of New York and waive any objection with respect thereto, for the purpose of any action, suit or proceeding arising out of or relating to this Agreement or the transactions contemplated hereby.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or modified except by an instrument in writing signed by each party hereto.</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either party to enforce at any time for any period the provisions of or any rights deriving from this Agreement shall not be construed to be a waiver of such provisions or rights or the right of such party thereafter to enforce such provisions, and no waiver shall be binding unless executed in writing by all parties hereto.</w:t>
      </w:r>
    </w:p>
    <w:p>
      <w:pPr>
        <w:spacing w:after="0" w:line="14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0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Headings</w:t>
      </w:r>
      <w:r>
        <w:rPr>
          <w:rFonts w:ascii="Arial" w:cs="Arial" w:eastAsia="Arial" w:hAnsi="Arial"/>
          <w:sz w:val="18"/>
          <w:szCs w:val="18"/>
          <w:color w:val="auto"/>
        </w:rPr>
        <w:t>. The descriptive headings contained in this Agreement are for convenience of reference only and shall not affect in any way the meaning or interpretation of this Agreement.</w:t>
      </w:r>
    </w:p>
    <w:p>
      <w:pPr>
        <w:spacing w:after="0" w:line="13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when executed shall be deemed to be an original instrument and all of which taken together shall constitute one and the same agreement.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20"/>
          </w:cols>
          <w:pgMar w:left="240" w:top="280" w:right="339" w:bottom="1440" w:gutter="0" w:footer="0" w:header="0"/>
          <w:type w:val="continuous"/>
        </w:sectPr>
      </w:pPr>
    </w:p>
    <w:bookmarkStart w:id="183" w:name="page184"/>
    <w:bookmarkEnd w:id="183"/>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of the parties with respect to the subject matter hereof and supersedes all prior agreements and undertakings, both written and oral, between the parties with respect to such subject matter.</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Nothing in this Agreement, either express or implied, is intended to or shall confer upon any third party any legal or equitable right, benefit or remedy of any nature whatsoever under or by reason of this Agreement.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WITNESS WHEREOF, each party has caused this Agreement to be executed as of the Effective Date by its duly authorized officer.</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ADVISER: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INVESTMENT ADVISERS,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Arthur H. Penn</w:t>
      </w:r>
    </w:p>
    <w:p>
      <w:pPr>
        <w:spacing w:after="0" w:line="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Managing Member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Chief Executive Officer and Chairman of the Board of</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Directors</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00"/>
          </w:cols>
          <w:pgMar w:left="240" w:top="280" w:right="459" w:bottom="1440" w:gutter="0" w:footer="0" w:header="0"/>
        </w:sectPr>
      </w:pPr>
    </w:p>
    <w:bookmarkStart w:id="184" w:name="page185"/>
    <w:bookmarkEnd w:id="184"/>
    <w:tbl>
      <w:tblPr>
        <w:tblLayout w:type="fixed"/>
        <w:tblInd w:w="460" w:type="dxa"/>
        <w:tblCellMar>
          <w:top w:w="0" w:type="dxa"/>
          <w:left w:w="0" w:type="dxa"/>
          <w:bottom w:w="0" w:type="dxa"/>
          <w:right w:w="0" w:type="dxa"/>
        </w:tblCellMar>
      </w:tblPr>
      <w:tr>
        <w:trPr>
          <w:trHeight w:val="228"/>
        </w:trPr>
        <w:tc>
          <w:tcPr>
            <w:tcW w:w="1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960" w:type="dxa"/>
            <w:vAlign w:val="bottom"/>
          </w:tcPr>
          <w:p>
            <w:pPr>
              <w:ind w:left="1940"/>
              <w:spacing w:after="0"/>
              <w:rPr>
                <w:sz w:val="20"/>
                <w:szCs w:val="20"/>
                <w:color w:val="auto"/>
              </w:rPr>
            </w:pPr>
            <w:r>
              <w:rPr>
                <w:rFonts w:ascii="Arial" w:cs="Arial" w:eastAsia="Arial" w:hAnsi="Arial"/>
                <w:sz w:val="18"/>
                <w:szCs w:val="18"/>
                <w:b w:val="1"/>
                <w:bCs w:val="1"/>
                <w:color w:val="auto"/>
                <w:w w:val="91"/>
              </w:rPr>
              <w:t>Exhibit (k)(4)</w:t>
            </w:r>
          </w:p>
        </w:tc>
      </w:tr>
      <w:tr>
        <w:trPr>
          <w:trHeight w:val="340"/>
        </w:trPr>
        <w:tc>
          <w:tcPr>
            <w:tcW w:w="1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SUB-ADMINISTRATIVE AND ACCOUNTING SERVICES AGREEMENT</w:t>
            </w:r>
          </w:p>
        </w:tc>
      </w:tr>
      <w:tr>
        <w:trPr>
          <w:trHeight w:val="20"/>
        </w:trPr>
        <w:tc>
          <w:tcPr>
            <w:tcW w:w="1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58"/>
        </w:trPr>
        <w:tc>
          <w:tcPr>
            <w:tcW w:w="1940" w:type="dxa"/>
            <w:vAlign w:val="bottom"/>
          </w:tcPr>
          <w:p>
            <w:pPr>
              <w:spacing w:after="0"/>
              <w:rPr>
                <w:sz w:val="20"/>
                <w:szCs w:val="20"/>
                <w:color w:val="auto"/>
              </w:rPr>
            </w:pPr>
            <w:r>
              <w:rPr>
                <w:rFonts w:ascii="Arial" w:cs="Arial" w:eastAsia="Arial" w:hAnsi="Arial"/>
                <w:sz w:val="18"/>
                <w:szCs w:val="18"/>
                <w:color w:val="auto"/>
                <w:w w:val="92"/>
              </w:rPr>
              <w:t>AGREEMENT made as of</w:t>
            </w:r>
          </w:p>
        </w:tc>
        <w:tc>
          <w:tcPr>
            <w:tcW w:w="520" w:type="dxa"/>
            <w:vAlign w:val="bottom"/>
            <w:tcBorders>
              <w:bottom w:val="single" w:sz="8" w:color="auto"/>
            </w:tcBorders>
          </w:tcPr>
          <w:p>
            <w:pPr>
              <w:spacing w:after="0"/>
              <w:rPr>
                <w:sz w:val="24"/>
                <w:szCs w:val="24"/>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w w:val="95"/>
              </w:rPr>
              <w:t>, 2011 by and between Pennantpark Administration, LLC (the “Administrator”), The Bank of New York Mellon, a</w:t>
            </w:r>
          </w:p>
        </w:tc>
      </w:tr>
    </w:tbl>
    <w:p>
      <w:pPr>
        <w:spacing w:after="0" w:line="1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corporation organized under the laws of the State of New York, through its Alternative Investment Services division, (“BNYM-AIS”) and PennantPark Floating Rate Capital Ltd. (the “Fund”).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WHEREAS, the Fund is a closed-end investment company that intends to file an election to be treated as a business development company under the Investment Company Act of 1940 (the “1940 Act”);</w:t>
      </w:r>
    </w:p>
    <w:p>
      <w:pPr>
        <w:sectPr>
          <w:pgSz w:w="11900" w:h="16838" w:orient="portrait"/>
          <w:cols w:equalWidth="0" w:num="1">
            <w:col w:w="11420"/>
          </w:cols>
          <w:pgMar w:left="240" w:top="125"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260" w:hanging="493"/>
        <w:spacing w:after="0" w:line="268" w:lineRule="auto"/>
        <w:rPr>
          <w:sz w:val="20"/>
          <w:szCs w:val="20"/>
          <w:color w:val="auto"/>
        </w:rPr>
      </w:pPr>
      <w:r>
        <w:rPr>
          <w:rFonts w:ascii="Arial" w:cs="Arial" w:eastAsia="Arial" w:hAnsi="Arial"/>
          <w:sz w:val="18"/>
          <w:szCs w:val="18"/>
          <w:color w:val="auto"/>
        </w:rPr>
        <w:t>WHEREAS, the Fund has engaged the Administrator to provide the Fund administrative services, as set forth in the Administration Services Agreement , 2011;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-38735</wp:posOffset>
            </wp:positionV>
            <wp:extent cx="33464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2" w:lineRule="exact"/>
        <w:rPr>
          <w:sz w:val="20"/>
          <w:szCs w:val="20"/>
          <w:color w:val="auto"/>
        </w:rPr>
      </w:pPr>
    </w:p>
    <w:p>
      <w:pPr>
        <w:sectPr>
          <w:pgSz w:w="11900" w:h="16838" w:orient="portrait"/>
          <w:cols w:equalWidth="0" w:num="2">
            <w:col w:w="380" w:space="580"/>
            <w:col w:w="10460"/>
          </w:cols>
          <w:pgMar w:left="240" w:top="125" w:right="239" w:bottom="1440" w:gutter="0" w:footer="0" w:header="0"/>
          <w:type w:val="continuous"/>
        </w:sectPr>
      </w:pPr>
    </w:p>
    <w:p>
      <w:pPr>
        <w:ind w:right="760" w:firstLine="456"/>
        <w:spacing w:after="0" w:line="268" w:lineRule="auto"/>
        <w:rPr>
          <w:sz w:val="20"/>
          <w:szCs w:val="20"/>
          <w:color w:val="auto"/>
        </w:rPr>
      </w:pPr>
      <w:r>
        <w:rPr>
          <w:rFonts w:ascii="Arial" w:cs="Arial" w:eastAsia="Arial" w:hAnsi="Arial"/>
          <w:sz w:val="18"/>
          <w:szCs w:val="18"/>
          <w:color w:val="auto"/>
        </w:rPr>
        <w:t>WHEREAS, the Administrator wishes to retain BNYM-AIS to provide the various administration services to the Fund described herein as a sub-administrator to the Fund, and BNYM-AIS is willing to provide such services, all as more fully set forth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promises and agreements contained herein, the parties hereby agree as follows:</w:t>
      </w:r>
    </w:p>
    <w:p>
      <w:pPr>
        <w:spacing w:after="0" w:line="293"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Whenever used in this Agreement, unless the context otherwise requires, the following words shall have the meanings set forth below:</w:t>
      </w:r>
    </w:p>
    <w:p>
      <w:pPr>
        <w:spacing w:after="0" w:line="17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“Authorized Person” shall mean each person, whether or not an officer or employee of a Fund, duly authorized by the Board to give Instructions on behalf of such Fund as set forth in Exhibit A hereto. The persons set forth in Exhibit A may be changed only in a writing substantially in the form of Exhibit A actually received and acknowledged by BNYM-AIS.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“BNYM Affiliate” shall mean any office, branch, or subsidiary of The Bank of New York Mellon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shall mean a Fund’s board of directors or general partner, as applicable.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“Confidential Information” shall have the meaning given in Section 5(aa)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“Documents” shall mean the documents described in Exhibit B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“Interests” means the shares or units of beneficial interests of any series or class of the Fund.</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“Instructions” shall mean written communications actually received by BNYM-AIS by S.W.I.F.T., tested telex, letter, facsimile transmission, or other method or system specified by</w:t>
      </w:r>
    </w:p>
    <w:p>
      <w:pPr>
        <w:sectPr>
          <w:pgSz w:w="11900" w:h="16838" w:orient="portrait"/>
          <w:cols w:equalWidth="0" w:num="1">
            <w:col w:w="11420"/>
          </w:cols>
          <w:pgMar w:left="240" w:top="125" w:right="239"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BNYM-AIS as available for use in connection with the services hereunder, whether from a Subscriber or a Fund.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Advisor” shall mean the entity identified by the Fund to BNYM-AIS as the entity having investment responsibility with respect to the Fund.</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“Net Assets” shall mean total assets less total liabilities, including unrealized profits and losses on open positions, accrued income and expense, calculated in accordance with generally accepted accounting principles as more fully described in the Fund Offering Materials.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“Offering Materials” shall mean the Fund effective prospectus used in connection with the offering of the Interests.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“Organizational Documents” shall mean a Fund’s certificate of incorporation, certificate of formation or organization, certificate of limited partnership, bylaws, limited partnership agreement, memorandum of association, limited liability company agreement, or similar documents of formation or organization, as applicable.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“Subscriber” shall mean a person or entity subscribing to purchase, or already owning, Interests.</w:t>
      </w:r>
    </w:p>
    <w:p>
      <w:pPr>
        <w:spacing w:after="0" w:line="293" w:lineRule="exact"/>
        <w:rPr>
          <w:sz w:val="20"/>
          <w:szCs w:val="20"/>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Appointment.</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Administrator hereby appoints BNYM-AIS for the term of this Agreement to perform the services described herein for the Fund. BNYM-AIS hereby accepts such appointment and agrees to perform the duties hereinafter set forth.</w:t>
      </w:r>
    </w:p>
    <w:p>
      <w:pPr>
        <w:spacing w:after="0" w:line="254" w:lineRule="exact"/>
        <w:rPr>
          <w:sz w:val="20"/>
          <w:szCs w:val="20"/>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Fund and the Administrator each hereby represent and warrant to BNYM-AIS, which representations and warranties shall be deemed to be continuing,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65" w:lineRule="exact"/>
        <w:rPr>
          <w:sz w:val="20"/>
          <w:szCs w:val="20"/>
          <w:color w:val="auto"/>
        </w:rPr>
      </w:pPr>
    </w:p>
    <w:p>
      <w:pPr>
        <w:ind w:right="120" w:firstLine="921"/>
        <w:spacing w:after="0" w:line="268" w:lineRule="auto"/>
        <w:tabs>
          <w:tab w:leader="none" w:pos="11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It is duly organized and existing under the laws of the jurisdiction of its organization, with full power to carry on its business as now conducted, to enter into this Agreement and to perform its obligations hereunder;</w:t>
      </w:r>
    </w:p>
    <w:p>
      <w:pPr>
        <w:spacing w:after="0" w:line="131" w:lineRule="exact"/>
        <w:rPr>
          <w:rFonts w:ascii="Arial" w:cs="Arial" w:eastAsia="Arial" w:hAnsi="Arial"/>
          <w:sz w:val="18"/>
          <w:szCs w:val="18"/>
          <w:color w:val="auto"/>
        </w:rPr>
      </w:pPr>
    </w:p>
    <w:p>
      <w:pPr>
        <w:ind w:right="100" w:firstLine="921"/>
        <w:spacing w:after="0" w:line="332" w:lineRule="auto"/>
        <w:tabs>
          <w:tab w:leader="none" w:pos="116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This Agreement has been duly authorized, executed and delivered in accordance with all requisite corporate or limited liability company action, as the case may be, and constitutes a valid and legally binding obligation of the Administrator and the Fund, enforceable in accordance with its terms;</w:t>
      </w:r>
    </w:p>
    <w:p>
      <w:pPr>
        <w:spacing w:after="0" w:line="85" w:lineRule="exact"/>
        <w:rPr>
          <w:rFonts w:ascii="Arial" w:cs="Arial" w:eastAsia="Arial" w:hAnsi="Arial"/>
          <w:sz w:val="16"/>
          <w:szCs w:val="16"/>
          <w:color w:val="auto"/>
        </w:rPr>
      </w:pPr>
    </w:p>
    <w:p>
      <w:pPr>
        <w:jc w:val="both"/>
        <w:ind w:firstLine="921"/>
        <w:spacing w:after="0" w:line="259" w:lineRule="auto"/>
        <w:tabs>
          <w:tab w:leader="none" w:pos="11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Fund’s Investment Advisor is in good standing and qualified to do business in each jurisdiction in which the nature or conduct of its business requires such qualification. The Fund and its Investment Advisor are knowledgeable about securities and/or commodities trading, as applicable, and aware of the risk of substantial loss in such trading;</w:t>
      </w:r>
    </w:p>
    <w:p>
      <w:pPr>
        <w:sectPr>
          <w:pgSz w:w="11900" w:h="16838" w:orient="portrait"/>
          <w:cols w:equalWidth="0" w:num="1">
            <w:col w:w="11380"/>
          </w:cols>
          <w:pgMar w:left="240" w:top="280" w:right="279" w:bottom="1440" w:gutter="0" w:footer="0" w:header="0"/>
        </w:sectPr>
      </w:pPr>
    </w:p>
    <w:bookmarkStart w:id="186" w:name="page187"/>
    <w:bookmarkEnd w:id="186"/>
    <w:p>
      <w:pPr>
        <w:jc w:val="both"/>
        <w:ind w:left="-454" w:right="280" w:firstLine="921"/>
        <w:spacing w:after="0" w:line="298" w:lineRule="auto"/>
        <w:tabs>
          <w:tab w:leader="none" w:pos="708" w:val="left"/>
        </w:tabs>
        <w:numPr>
          <w:ilvl w:val="1"/>
          <w:numId w:val="1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conducting its business in compliance with all applicable laws and regulations, has made and will continue to make all necessary filings including tax filings, and has obtained all regulatory licenses, approvals and consents necessary to carry on its business as now conducted; there is no statute, regulation, rule, order or judgment binding on it and no provision of its Organizational Documents nor of any mortgage, indenture, credit agreement or other contract binding on it or affecting its property that would prohibit its execution or performance of this Agreement; and</w:t>
      </w:r>
    </w:p>
    <w:p>
      <w:pPr>
        <w:spacing w:after="0" w:line="112" w:lineRule="exact"/>
        <w:rPr>
          <w:rFonts w:ascii="Arial" w:cs="Arial" w:eastAsia="Arial" w:hAnsi="Arial"/>
          <w:sz w:val="16"/>
          <w:szCs w:val="16"/>
          <w:color w:val="auto"/>
        </w:rPr>
      </w:pPr>
    </w:p>
    <w:p>
      <w:pPr>
        <w:ind w:left="706" w:hanging="239"/>
        <w:spacing w:after="0"/>
        <w:tabs>
          <w:tab w:leader="none" w:pos="70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Each person named on Exhibit A hereto is duly authorized by such Fund to be an Authorized Person hereunder.</w:t>
      </w:r>
    </w:p>
    <w:p>
      <w:pPr>
        <w:spacing w:after="0" w:line="292" w:lineRule="exact"/>
        <w:rPr>
          <w:rFonts w:ascii="Arial" w:cs="Arial" w:eastAsia="Arial" w:hAnsi="Arial"/>
          <w:sz w:val="18"/>
          <w:szCs w:val="18"/>
          <w:color w:val="auto"/>
        </w:rPr>
      </w:pPr>
    </w:p>
    <w:p>
      <w:pPr>
        <w:ind w:left="446" w:hanging="446"/>
        <w:spacing w:after="0"/>
        <w:tabs>
          <w:tab w:leader="none" w:pos="446"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Certain Duties of the Fund.</w:t>
      </w:r>
    </w:p>
    <w:p>
      <w:pPr>
        <w:spacing w:after="0" w:line="90" w:lineRule="exact"/>
        <w:rPr>
          <w:rFonts w:ascii="Arial" w:cs="Arial" w:eastAsia="Arial" w:hAnsi="Arial"/>
          <w:sz w:val="18"/>
          <w:szCs w:val="18"/>
          <w:color w:val="auto"/>
        </w:rPr>
      </w:pPr>
    </w:p>
    <w:p>
      <w:pPr>
        <w:ind w:left="-454" w:right="240" w:firstLine="921"/>
        <w:spacing w:after="0" w:line="268" w:lineRule="auto"/>
        <w:tabs>
          <w:tab w:leader="none" w:pos="69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Administrator shall be solely responsible for accurately and timely supplying BNYM-AIS with complete financial and other information relating to the Fund in order for BNYM-AIS to provide the services set forth on Schedule I.</w:t>
      </w:r>
    </w:p>
    <w:p>
      <w:pPr>
        <w:spacing w:after="0" w:line="131" w:lineRule="exact"/>
        <w:rPr>
          <w:rFonts w:ascii="Arial" w:cs="Arial" w:eastAsia="Arial" w:hAnsi="Arial"/>
          <w:sz w:val="18"/>
          <w:szCs w:val="18"/>
          <w:color w:val="auto"/>
        </w:rPr>
      </w:pPr>
    </w:p>
    <w:p>
      <w:pPr>
        <w:jc w:val="both"/>
        <w:ind w:left="-454" w:right="120" w:firstLine="921"/>
        <w:spacing w:after="0" w:line="259" w:lineRule="auto"/>
        <w:tabs>
          <w:tab w:leader="none" w:pos="70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Fund acknowledges that BNYM-AIS is not a public accounting or auditing firm, is not a fiduciary of a public accounting or auditing firm, and does not provide public accounting or auditing services or advice and will not be making any tax filings or doing any tax reporting on its behalf, other than those specifically agreed to hereunder.</w:t>
      </w:r>
    </w:p>
    <w:p>
      <w:pPr>
        <w:spacing w:after="0" w:line="140" w:lineRule="exact"/>
        <w:rPr>
          <w:rFonts w:ascii="Arial" w:cs="Arial" w:eastAsia="Arial" w:hAnsi="Arial"/>
          <w:sz w:val="18"/>
          <w:szCs w:val="18"/>
          <w:color w:val="auto"/>
        </w:rPr>
      </w:pPr>
    </w:p>
    <w:p>
      <w:pPr>
        <w:ind w:left="-454" w:firstLine="921"/>
        <w:spacing w:after="0" w:line="294" w:lineRule="auto"/>
        <w:tabs>
          <w:tab w:leader="none" w:pos="698"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The Fund acknowledges that it may be considered a U.S. withholding agent and/or may be required to file information or other tax returns under the U.S. Internal Revenue Code and related regulations (“IRC and Regulations”). The Fund agrees that it or its designated agents are, and will continue to be, in compliance with all withholding and reporting required by the IRC and Regulations. Therefore, unless otherwise specified in a written agreement, BNYM-AIS and BNYM Affiliates will not be responsible for withholding or depositing taxes, nor will it/they be responsible for any related tax filings or information reporting, including but not limited to Forms 1099, 945, 1042S, 1042, 1065, 1065 K-1, 8804, 8805, 1120 or 1120F.</w:t>
      </w:r>
    </w:p>
    <w:p>
      <w:pPr>
        <w:spacing w:after="0" w:line="115" w:lineRule="exact"/>
        <w:rPr>
          <w:rFonts w:ascii="Arial" w:cs="Arial" w:eastAsia="Arial" w:hAnsi="Arial"/>
          <w:sz w:val="16"/>
          <w:szCs w:val="16"/>
          <w:color w:val="auto"/>
        </w:rPr>
      </w:pPr>
    </w:p>
    <w:p>
      <w:pPr>
        <w:jc w:val="both"/>
        <w:ind w:left="-454" w:firstLine="921"/>
        <w:spacing w:after="0" w:line="259" w:lineRule="auto"/>
        <w:tabs>
          <w:tab w:leader="none" w:pos="70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Fund, and not BNYM-AIS, shall bear and pay the expenses of all brokerage commissions, margins, option premiums, interest charges, floor commissions and fees, and other transaction costs and expenses charged and incurred by broker-dealers and/or futures commission merchants and their agents in connection with the services provided hereunder.</w:t>
      </w:r>
    </w:p>
    <w:p>
      <w:pPr>
        <w:spacing w:after="0" w:line="140" w:lineRule="exact"/>
        <w:rPr>
          <w:rFonts w:ascii="Arial" w:cs="Arial" w:eastAsia="Arial" w:hAnsi="Arial"/>
          <w:sz w:val="18"/>
          <w:szCs w:val="18"/>
          <w:color w:val="auto"/>
        </w:rPr>
      </w:pPr>
    </w:p>
    <w:p>
      <w:pPr>
        <w:ind w:left="-454" w:firstLine="921"/>
        <w:spacing w:after="0" w:line="268" w:lineRule="auto"/>
        <w:tabs>
          <w:tab w:leader="none" w:pos="69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Fund shall provide BNYM-AIS with certified copies of all Organizational Documents of the Fund and all filings relating to the organization of the Fund (excluding any state blue sky or securities law filings) required to be filed by the Fund with an official body or office.</w:t>
      </w:r>
    </w:p>
    <w:p>
      <w:pPr>
        <w:spacing w:after="0" w:line="131" w:lineRule="exact"/>
        <w:rPr>
          <w:rFonts w:ascii="Arial" w:cs="Arial" w:eastAsia="Arial" w:hAnsi="Arial"/>
          <w:sz w:val="18"/>
          <w:szCs w:val="18"/>
          <w:color w:val="auto"/>
        </w:rPr>
      </w:pPr>
    </w:p>
    <w:p>
      <w:pPr>
        <w:ind w:left="-454" w:firstLine="921"/>
        <w:spacing w:after="0" w:line="256" w:lineRule="auto"/>
        <w:tabs>
          <w:tab w:leader="none" w:pos="67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Administrator shall deliver, or cause to be delivered from time to time, to BNYM-AIS the Fund’s Documents and other materials used in the distribution of Interests and all amendments thereto, and of such resolutions, votes and other proceedings as may be necessary for BNYM-AIS to perform its duties hereunder. BNYM-AIS shall not be deemed to have notice of any information (other than information supplied by BNYM-AIS) contained in such Documents or materials until they are actually received by BNYM-AIS.</w:t>
      </w:r>
    </w:p>
    <w:p>
      <w:pPr>
        <w:sectPr>
          <w:pgSz w:w="11900" w:h="16838" w:orient="portrait"/>
          <w:cols w:equalWidth="0" w:num="1">
            <w:col w:w="10866"/>
          </w:cols>
          <w:pgMar w:left="694" w:top="280" w:right="339" w:bottom="1440" w:gutter="0" w:footer="0" w:header="0"/>
        </w:sectPr>
      </w:pPr>
    </w:p>
    <w:bookmarkStart w:id="187" w:name="page188"/>
    <w:bookmarkEnd w:id="187"/>
    <w:p>
      <w:pPr>
        <w:ind w:left="-454" w:firstLine="921"/>
        <w:spacing w:after="0" w:line="290" w:lineRule="auto"/>
        <w:tabs>
          <w:tab w:leader="none" w:pos="708" w:val="left"/>
        </w:tabs>
        <w:numPr>
          <w:ilvl w:val="1"/>
          <w:numId w:val="1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Administrator and the Fund shall cause the Fund’s Authorized Persons, Investment Advisor, distributor, legal counsel, independent accountant, previous administrator (if any) and transfer agent (if other than BNYM-AIS) to cooperate with BNYM-AIS and to provide BNYM-AIS, upon request, with such information, documents and advice relating to such Fund as is within the possession or knowledge of such persons, in order to enable BNYM-AIS to perform its duties hereunder. In connection with its duties hereunder, BNYM-AIS shall be entitled to rely, and shall be held harmless by the Fund when acting in reliance upon, such information, advice or documents provided to BNYM-AIS by any of the aforementioned persons. BNYM-AIS shall not be liable for any loss, damage or expense resulting from or arising out of the failure of the Fund to cause any information, documents or advice to be provided to BNYM-AIS as provided herein. All fees or costs charged by such persons shall be borne by the Fund.</w:t>
      </w:r>
    </w:p>
    <w:p>
      <w:pPr>
        <w:spacing w:after="0" w:line="118" w:lineRule="exact"/>
        <w:rPr>
          <w:rFonts w:ascii="Arial" w:cs="Arial" w:eastAsia="Arial" w:hAnsi="Arial"/>
          <w:sz w:val="16"/>
          <w:szCs w:val="16"/>
          <w:color w:val="auto"/>
        </w:rPr>
      </w:pPr>
    </w:p>
    <w:p>
      <w:pPr>
        <w:ind w:left="-454" w:right="60" w:firstLine="921"/>
        <w:spacing w:after="0" w:line="268" w:lineRule="auto"/>
        <w:tabs>
          <w:tab w:leader="none" w:pos="70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Fund and the Administrator shall promptly notify BNYM-AIS in writing of any and all legal proceedings or securities investigations filed or commenced against any Fund, the Investment Advisor, or the Board.</w:t>
      </w:r>
    </w:p>
    <w:p>
      <w:pPr>
        <w:spacing w:after="0" w:line="253" w:lineRule="exact"/>
        <w:rPr>
          <w:rFonts w:ascii="Arial" w:cs="Arial" w:eastAsia="Arial" w:hAnsi="Arial"/>
          <w:sz w:val="18"/>
          <w:szCs w:val="18"/>
          <w:color w:val="auto"/>
        </w:rPr>
      </w:pPr>
    </w:p>
    <w:p>
      <w:pPr>
        <w:ind w:left="446" w:hanging="446"/>
        <w:spacing w:after="0"/>
        <w:tabs>
          <w:tab w:leader="none" w:pos="446"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Duties and Obligations of BNYM-AIS.</w:t>
      </w:r>
    </w:p>
    <w:p>
      <w:pPr>
        <w:spacing w:after="0" w:line="90" w:lineRule="exact"/>
        <w:rPr>
          <w:rFonts w:ascii="Arial" w:cs="Arial" w:eastAsia="Arial" w:hAnsi="Arial"/>
          <w:sz w:val="18"/>
          <w:szCs w:val="18"/>
          <w:color w:val="auto"/>
        </w:rPr>
      </w:pPr>
    </w:p>
    <w:p>
      <w:pPr>
        <w:ind w:left="-454" w:right="60" w:firstLine="921"/>
        <w:spacing w:after="0" w:line="268" w:lineRule="auto"/>
        <w:tabs>
          <w:tab w:leader="none" w:pos="69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Subject to the direction and control of the Administrator and the terms and conditions of this Agreement, including Schedule I, BNYM-AIS shall provide to the Fund the services set forth in Schedule I.</w:t>
      </w:r>
    </w:p>
    <w:p>
      <w:pPr>
        <w:spacing w:after="0" w:line="131" w:lineRule="exact"/>
        <w:rPr>
          <w:rFonts w:ascii="Arial" w:cs="Arial" w:eastAsia="Arial" w:hAnsi="Arial"/>
          <w:sz w:val="18"/>
          <w:szCs w:val="18"/>
          <w:color w:val="auto"/>
        </w:rPr>
      </w:pPr>
    </w:p>
    <w:p>
      <w:pPr>
        <w:ind w:left="-454" w:right="20" w:firstLine="921"/>
        <w:spacing w:after="0" w:line="370" w:lineRule="auto"/>
        <w:tabs>
          <w:tab w:leader="none" w:pos="708" w:val="left"/>
        </w:tabs>
        <w:numPr>
          <w:ilvl w:val="1"/>
          <w:numId w:val="142"/>
        </w:numPr>
        <w:rPr>
          <w:rFonts w:ascii="Arial" w:cs="Arial" w:eastAsia="Arial" w:hAnsi="Arial"/>
          <w:sz w:val="15"/>
          <w:szCs w:val="15"/>
          <w:color w:val="auto"/>
        </w:rPr>
      </w:pPr>
      <w:r>
        <w:rPr>
          <w:rFonts w:ascii="Arial" w:cs="Arial" w:eastAsia="Arial" w:hAnsi="Arial"/>
          <w:sz w:val="15"/>
          <w:szCs w:val="15"/>
          <w:color w:val="auto"/>
        </w:rPr>
        <w:t>Except to the extent otherwise indicated on Schedule I, BNYM-AIS shall not provide any services relating to the management, investment advisory or sub-advisory functions of the Fund, distribution of Interests, or services normally performed by the Fund’s respective counsel or independent auditors.</w:t>
      </w:r>
    </w:p>
    <w:p>
      <w:pPr>
        <w:spacing w:after="0" w:line="62" w:lineRule="exact"/>
        <w:rPr>
          <w:rFonts w:ascii="Arial" w:cs="Arial" w:eastAsia="Arial" w:hAnsi="Arial"/>
          <w:sz w:val="15"/>
          <w:szCs w:val="15"/>
          <w:color w:val="auto"/>
        </w:rPr>
      </w:pPr>
    </w:p>
    <w:p>
      <w:pPr>
        <w:ind w:left="-454" w:right="120" w:firstLine="921"/>
        <w:spacing w:after="0" w:line="290" w:lineRule="auto"/>
        <w:tabs>
          <w:tab w:leader="none" w:pos="698" w:val="left"/>
        </w:tabs>
        <w:numPr>
          <w:ilvl w:val="1"/>
          <w:numId w:val="142"/>
        </w:numPr>
        <w:rPr>
          <w:rFonts w:ascii="Arial" w:cs="Arial" w:eastAsia="Arial" w:hAnsi="Arial"/>
          <w:sz w:val="16"/>
          <w:szCs w:val="16"/>
          <w:color w:val="auto"/>
        </w:rPr>
      </w:pPr>
      <w:r>
        <w:rPr>
          <w:rFonts w:ascii="Arial" w:cs="Arial" w:eastAsia="Arial" w:hAnsi="Arial"/>
          <w:sz w:val="16"/>
          <w:szCs w:val="16"/>
          <w:color w:val="auto"/>
        </w:rPr>
        <w:t>Subject to the Administrator’s prior written consent (which shall not be unreasonably withheld), BNYM-AIS may delegate any of its duties and obligations hereunder to any delegee or agent whenever and on such terms and conditions as it deems necessary or appropriate. Notwithstanding the foregoing, the Administrator consent shall not be required for any such delegation to any BNYM Affiliate notwithstanding the domicile of such BNYM Affiliate, but BNYM-AIS shall consult with the Fund prior to any such delegation where BNYM-AIS deems such consultation appropriate. BNYM-AIS shall not be liable for any loss, damage or expense incurred as a result of errors or omissions of any permitted delegee or agent; provided, that BNYM-AIS shall have selected such delegee or agent with reasonable care; provided, further, that BNYM-AIS shall be liable for the acts or omissions of any BNYM Affiliate to the same extent it would be liable under the terms hereof had it committed such act or omission and not delegated the same to such BNYM Affiliate.</w:t>
      </w:r>
    </w:p>
    <w:p>
      <w:pPr>
        <w:spacing w:after="0" w:line="118" w:lineRule="exact"/>
        <w:rPr>
          <w:rFonts w:ascii="Arial" w:cs="Arial" w:eastAsia="Arial" w:hAnsi="Arial"/>
          <w:sz w:val="16"/>
          <w:szCs w:val="16"/>
          <w:color w:val="auto"/>
        </w:rPr>
      </w:pPr>
    </w:p>
    <w:p>
      <w:pPr>
        <w:ind w:left="-454" w:right="100" w:firstLine="921"/>
        <w:spacing w:after="0" w:line="298" w:lineRule="auto"/>
        <w:tabs>
          <w:tab w:leader="none" w:pos="708" w:val="left"/>
        </w:tabs>
        <w:numPr>
          <w:ilvl w:val="1"/>
          <w:numId w:val="142"/>
        </w:numPr>
        <w:rPr>
          <w:rFonts w:ascii="Arial" w:cs="Arial" w:eastAsia="Arial" w:hAnsi="Arial"/>
          <w:sz w:val="16"/>
          <w:szCs w:val="16"/>
          <w:color w:val="auto"/>
        </w:rPr>
      </w:pPr>
      <w:r>
        <w:rPr>
          <w:rFonts w:ascii="Arial" w:cs="Arial" w:eastAsia="Arial" w:hAnsi="Arial"/>
          <w:sz w:val="16"/>
          <w:szCs w:val="16"/>
          <w:color w:val="auto"/>
        </w:rPr>
        <w:t>BNYM-AIS shall, as sub-agent for the Fund, maintain and keep current such books, accounts and other documents as it is required to maintain pursuant to Rule 31a-1 and of the 1940 Act, as such Rules may be amended in connection with services provided hereunder. Such books and records shall be prepared and maintained as required by the 1940 Act and other applicable securities laws, rules and regulations. Such books, accounts and other documents shall be made available upon reasonable request for inspection by officers, employees</w:t>
      </w:r>
    </w:p>
    <w:p>
      <w:pPr>
        <w:sectPr>
          <w:pgSz w:w="11900" w:h="16838" w:orient="portrait"/>
          <w:cols w:equalWidth="0" w:num="1">
            <w:col w:w="10966"/>
          </w:cols>
          <w:pgMar w:left="694" w:top="280" w:right="239" w:bottom="1440" w:gutter="0" w:footer="0" w:header="0"/>
        </w:sectPr>
      </w:pPr>
    </w:p>
    <w:bookmarkStart w:id="188" w:name="page189"/>
    <w:bookmarkEnd w:id="188"/>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auditors of the Fund and the Administrator during BNYM-AIS’s normal business hours. To the extent permitted by and consistent with applicable requirements of any laws, rules and regulations applicable to the Fund, the Administrator or BNYM-AIS, any such books or records may be maintained in the form of electronic media and stored on any magnetic disk or tape or similar recording method. Except as otherwise authorized by the Fund, the Administrator or their agents, all such records (other than those which are not of a material nature) shall be preserved by BNYM-AIS for a period of at least six (6) years, unless delivered to a duly appointed successor or to the Fund.</w:t>
      </w:r>
    </w:p>
    <w:p>
      <w:pPr>
        <w:spacing w:after="0" w:line="143" w:lineRule="exact"/>
        <w:rPr>
          <w:sz w:val="20"/>
          <w:szCs w:val="20"/>
          <w:color w:val="auto"/>
        </w:rPr>
      </w:pPr>
    </w:p>
    <w:p>
      <w:pPr>
        <w:ind w:right="80" w:firstLine="921"/>
        <w:spacing w:after="0" w:line="294" w:lineRule="auto"/>
        <w:tabs>
          <w:tab w:leader="none" w:pos="115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All records maintained and preserved by BNYM-AIS in hard copy pursuant to this Agreement shall be and remain the property of the Fund and shall be surrendered to the Fund promptly upon request in the form in which such records have been maintained and preserved. Upon reasonable request of the Fund or the Administrator and payment of a fee specified by BNYM-AIS, BNYM-AIS shall provide in hard copy or electronic format any records included in any such delivery which are maintained by BNYM-AIS in the form of electronic media and stored on any magnetic disk or tape or similar recording method, and the Fund shall reimburse BNYM-AIS for its expenses incurred in providing such records.</w:t>
      </w:r>
    </w:p>
    <w:p>
      <w:pPr>
        <w:spacing w:after="0" w:line="115" w:lineRule="exact"/>
        <w:rPr>
          <w:rFonts w:ascii="Arial" w:cs="Arial" w:eastAsia="Arial" w:hAnsi="Arial"/>
          <w:sz w:val="16"/>
          <w:szCs w:val="16"/>
          <w:color w:val="auto"/>
        </w:rPr>
      </w:pPr>
    </w:p>
    <w:p>
      <w:pPr>
        <w:ind w:firstLine="921"/>
        <w:spacing w:after="0" w:line="288" w:lineRule="auto"/>
        <w:tabs>
          <w:tab w:leader="none" w:pos="113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Administrator shall furnish BNYM-AIS with any and all Instructions, explanations, information, specifications and documentation reasonably deemed necessary by BNYM-AIS in the performance of its duties hereunder, including the amounts or written formula for calculating the amounts and times of accrual of the Fund liabilities and expenses. BNYM-AIS shall not be required to include as the Fund liabilities and expenses, nor as a reduction of Net Assets, any accrual for any income taxes unless the Fund shall have specified to BNYM-AIS the precise amount of the same to be included in liabilities and expenses or used to reduce Net Assets. BNYM-AIS shall endeavor to determine the value of securities owned by the Fund in the manner described in the Offering Materials. At any time and from time to time, the Fund may, if consistent with and to the extent permitted by the Offering Materials, furnish BNYM-AIS with bid, offer, or market values of securities and instruct BNYM-AIS to use such information in its calculations hereunder. BNYM-AIS shall at no time be required or obligated to commence or maintain either any utilization of, or subscriptions to, any securities pricing or similar service or any arrangements with any brokers, dealers or market makers or specialists described in the Offering Materials.</w:t>
      </w:r>
    </w:p>
    <w:p>
      <w:pPr>
        <w:spacing w:after="0" w:line="119" w:lineRule="exact"/>
        <w:rPr>
          <w:rFonts w:ascii="Arial" w:cs="Arial" w:eastAsia="Arial" w:hAnsi="Arial"/>
          <w:sz w:val="16"/>
          <w:szCs w:val="16"/>
          <w:color w:val="auto"/>
        </w:rPr>
      </w:pPr>
    </w:p>
    <w:p>
      <w:pPr>
        <w:ind w:firstLine="921"/>
        <w:spacing w:after="0" w:line="253" w:lineRule="auto"/>
        <w:tabs>
          <w:tab w:leader="none" w:pos="116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the event BNYM-AIS’s computations hereunder rely, in whole or in part, upon information, including (i) bid, offer or market values of securities or other assets, or accruals of interest or earnings thereon, from a pricing or similar service utilized, or subscribed to, by BNYM-AIS which BNYM-AIS in its judgment deems reliable, or (ii) prices or values supplied by the Fund or by brokers, dealers, market makers, or specialists described in the Offering Materials, BNYM-AIS shall not be responsible for, under any duty to inquire into, or deemed to make any assurances with respect to, the accuracy or completeness of such information. BNYM-AIS shall not be required to inquire into any valuation of securities or other assets by the Fund or any third party described above, even though BNYM-AIS in performing services similar to the services provided pursuant to this Agreement for others may receive different valuations of the same or different securities of the same issuers. BNYM-AIS, in performing the services required of it under the terms of this Agreement, shall not be responsible</w:t>
      </w:r>
    </w:p>
    <w:p>
      <w:pPr>
        <w:sectPr>
          <w:pgSz w:w="11900" w:h="16838" w:orient="portrait"/>
          <w:cols w:equalWidth="0" w:num="1">
            <w:col w:w="11420"/>
          </w:cols>
          <w:pgMar w:left="240" w:top="280" w:right="239" w:bottom="1440" w:gutter="0" w:footer="0" w:header="0"/>
        </w:sectPr>
      </w:pPr>
    </w:p>
    <w:bookmarkStart w:id="189" w:name="page190"/>
    <w:bookmarkEnd w:id="18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determining whether any interest accruable to the Fund is or will be actually paid, but will accrue such interest until otherwise instructed by the Fund.</w:t>
      </w:r>
    </w:p>
    <w:p>
      <w:pPr>
        <w:spacing w:after="0" w:line="194" w:lineRule="exact"/>
        <w:rPr>
          <w:sz w:val="20"/>
          <w:szCs w:val="20"/>
          <w:color w:val="auto"/>
        </w:rPr>
      </w:pPr>
    </w:p>
    <w:p>
      <w:pPr>
        <w:ind w:right="80" w:firstLine="921"/>
        <w:spacing w:after="0" w:line="288" w:lineRule="auto"/>
        <w:tabs>
          <w:tab w:leader="none" w:pos="116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method of valuation of securities and the method of computing the Net Assets shall be as set forth in the then currently effective Offering Materials of the Fund. To the extent the description of the valuation methodology of securities or computation of Net Assets as specified in the Fund’s then currently effective Offering Materials is at any time inconsistent with any applicable laws or regulations, the Administrator shall immediately so notify BNYM-AIS in writing and thereafter shall either furnish BNYM-AIS at all appropriate times with the values of such securities and Net Assets, or subject to the prior approval of BNYM-AIS, instruct BNYM-AIS in writing as to the appropriate valuation methodology to be employed by BNYM-AIS to compute Net Assets in a manner that the Administrator then represents in writing to be consistent with all applicable laws and regulations. The Administrator may also from time to time, subject to the prior approval of BNYM-AIS, instruct BNYM-AIS in writing to compute the value of the securities or Net Assets in a manner other than as specified in this Agreement. By giving such instruction, the Fund shall be deemed to have represented that such instruction is consistent with all applicable laws and regulations and the then currently effective Offering Materials.</w:t>
      </w:r>
    </w:p>
    <w:p>
      <w:pPr>
        <w:spacing w:after="0" w:line="119" w:lineRule="exact"/>
        <w:rPr>
          <w:rFonts w:ascii="Arial" w:cs="Arial" w:eastAsia="Arial" w:hAnsi="Arial"/>
          <w:sz w:val="16"/>
          <w:szCs w:val="16"/>
          <w:color w:val="auto"/>
        </w:rPr>
      </w:pPr>
    </w:p>
    <w:p>
      <w:pPr>
        <w:ind w:right="80" w:firstLine="921"/>
        <w:spacing w:after="0" w:line="255" w:lineRule="auto"/>
        <w:tabs>
          <w:tab w:leader="none" w:pos="112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BNYM-AIS, in performing the services required of it under the terms of this Agreement, shall be entitled to rely fully on the accuracy and validity of any and all Instructions, explanations, information, specifications and documentation furnished to it on behalf of the Fund and shall have no duty or obligation to review the accuracy, validity or propriety of such Instructions, explanations, information, specifications or documentation, including the amounts or formula for calculating the amounts and times of accrual liabilities and expenses; and the amounts receivable and the amounts payable on the sale or purchase of securities.</w:t>
      </w:r>
    </w:p>
    <w:p>
      <w:pPr>
        <w:spacing w:after="0" w:line="142" w:lineRule="exact"/>
        <w:rPr>
          <w:rFonts w:ascii="Arial" w:cs="Arial" w:eastAsia="Arial" w:hAnsi="Arial"/>
          <w:sz w:val="18"/>
          <w:szCs w:val="18"/>
          <w:color w:val="auto"/>
        </w:rPr>
      </w:pPr>
    </w:p>
    <w:p>
      <w:pPr>
        <w:ind w:firstLine="921"/>
        <w:spacing w:after="0" w:line="290" w:lineRule="auto"/>
        <w:tabs>
          <w:tab w:leader="none" w:pos="112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BNYM-AIS may apply to an Authorized Person of the Fund for Instructions with respect to any matter arising in connection with BNYM-AIS’s performance hereunder, and BNYM-AIS shall not be liable for any action taken or omitted to be taken by it in good faith without gross negligence or willful misconduct in accordance with such Instructions. Such application for Instructions may, at the option of BNYM-AIS, set forth in writing any action proposed to be taken or omitted to be taken by BNYM-AIS with respect to its duties or obligations under this Agreement and the date on and/or after which such action shall be taken. BNYM-AIS shall not be liable for any action taken or omitted to be taken in accordance with a proposal included in any such application on or after the date specified therein unless, prior to such date for taking or omitting to take any such action, BNYM-AIS has received Instructions from an Authorized Person in response to such application specifying the action to be taken or omitted.</w:t>
      </w:r>
    </w:p>
    <w:p>
      <w:pPr>
        <w:spacing w:after="0" w:line="118" w:lineRule="exact"/>
        <w:rPr>
          <w:rFonts w:ascii="Arial" w:cs="Arial" w:eastAsia="Arial" w:hAnsi="Arial"/>
          <w:sz w:val="16"/>
          <w:szCs w:val="16"/>
          <w:color w:val="auto"/>
        </w:rPr>
      </w:pPr>
    </w:p>
    <w:p>
      <w:pPr>
        <w:ind w:right="20" w:firstLine="921"/>
        <w:spacing w:after="0" w:line="268" w:lineRule="auto"/>
        <w:tabs>
          <w:tab w:leader="none" w:pos="116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BNYM-AIS may consult with counsel to the Fund or its own counsel, at the Fund’s expense, and shall be fully protected with respect to anything done or omitted by it in good faith in accordance with the advice or opinion of such counsel.</w:t>
      </w:r>
    </w:p>
    <w:p>
      <w:pPr>
        <w:spacing w:after="0" w:line="131" w:lineRule="exact"/>
        <w:rPr>
          <w:rFonts w:ascii="Arial" w:cs="Arial" w:eastAsia="Arial" w:hAnsi="Arial"/>
          <w:sz w:val="18"/>
          <w:szCs w:val="18"/>
          <w:color w:val="auto"/>
        </w:rPr>
      </w:pPr>
    </w:p>
    <w:p>
      <w:pPr>
        <w:ind w:right="460" w:firstLine="921"/>
        <w:spacing w:after="0" w:line="268" w:lineRule="auto"/>
        <w:tabs>
          <w:tab w:leader="none" w:pos="112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BNYM-AIS shall have no duties or responsibilities whatsoever including any custodial duties, except such duties and responsibilities as are specifically set forth in this</w:t>
      </w:r>
    </w:p>
    <w:p>
      <w:pPr>
        <w:sectPr>
          <w:pgSz w:w="11900" w:h="16838" w:orient="portrait"/>
          <w:cols w:equalWidth="0" w:num="1">
            <w:col w:w="11400"/>
          </w:cols>
          <w:pgMar w:left="240" w:top="280" w:right="259" w:bottom="1440" w:gutter="0" w:footer="0" w:header="0"/>
        </w:sectPr>
      </w:pPr>
    </w:p>
    <w:bookmarkStart w:id="190" w:name="page191"/>
    <w:bookmarkEnd w:id="190"/>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including Schedule I, or as are otherwise required of BNYM-AIS by laws or regulations applicable to BNYM-AIS, and no covenant or obligation shall be implied against BNYM-AIS in connection with this Agreement.</w:t>
      </w:r>
    </w:p>
    <w:p>
      <w:pPr>
        <w:spacing w:after="0" w:line="132" w:lineRule="exact"/>
        <w:rPr>
          <w:sz w:val="20"/>
          <w:szCs w:val="20"/>
          <w:color w:val="auto"/>
        </w:rPr>
      </w:pPr>
    </w:p>
    <w:p>
      <w:pPr>
        <w:ind w:firstLine="921"/>
        <w:spacing w:after="0" w:line="282" w:lineRule="auto"/>
        <w:tabs>
          <w:tab w:leader="none" w:pos="121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BNYM-AIS agrees to treat as confidential information all accounting and Subscriber information and other business records of the Fund and the Administrator, including any information relating to any Fund investment, disclosed to BNYM-AIS in connection with its provision of services pursuant to the terms of this Agreement (all such information, the “Confidential Information”) and BNYM-AIS shall not disclose the Confidential Information to any other person, except to (i) its employees, BNYM Affiliates, delegees, agents and other service providers to the Fund as may be required in connection with BNYM-AIS’s provision of services hereunder, (ii) its and the Fund’s respective regulators, examiners, internal and external accountants, auditors, and counsel, or (iii) any other person when required by a court order or legal process, or whenever advised by its counsel that it would be liable for a failure to make such disclosure. BNYM-AIS shall instruct its employees, regulators, examiners, internal and external accountants, auditors, and counsel, and instruct any BNYM Affiliate, delegee or agent to instruct its employees, regulators, examiners, internal and external accountants, auditors, and counsel, who may be afforded access to Confidential Information of such obligations of confidentiality, and shall not use the Confidential Information for any purpose other than the provision of services hereunder. Confidential Information shall not include any information that (i) is or becomes public knowledge through no act or omission of the receiving person,</w:t>
      </w:r>
    </w:p>
    <w:p>
      <w:pPr>
        <w:spacing w:after="0" w:line="5" w:lineRule="exact"/>
        <w:rPr>
          <w:rFonts w:ascii="Arial" w:cs="Arial" w:eastAsia="Arial" w:hAnsi="Arial"/>
          <w:sz w:val="16"/>
          <w:szCs w:val="16"/>
          <w:color w:val="auto"/>
        </w:rPr>
      </w:pPr>
    </w:p>
    <w:p>
      <w:pPr>
        <w:ind w:right="620" w:firstLine="8"/>
        <w:spacing w:after="0" w:line="261" w:lineRule="auto"/>
        <w:tabs>
          <w:tab w:leader="none" w:pos="25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is publicly disclosed by a Fund or any Subscriber, or (iii) is otherwise obtained from third parties not known by BNYM-AIS to be bound by a duty of confidentiality.</w:t>
      </w:r>
    </w:p>
    <w:p>
      <w:pPr>
        <w:spacing w:after="0" w:line="137" w:lineRule="exact"/>
        <w:rPr>
          <w:rFonts w:ascii="Arial" w:cs="Arial" w:eastAsia="Arial" w:hAnsi="Arial"/>
          <w:sz w:val="18"/>
          <w:szCs w:val="18"/>
          <w:color w:val="auto"/>
        </w:rPr>
      </w:pPr>
    </w:p>
    <w:p>
      <w:pPr>
        <w:ind w:right="40" w:firstLine="921"/>
        <w:spacing w:after="0" w:line="255" w:lineRule="auto"/>
        <w:tabs>
          <w:tab w:leader="none" w:pos="116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BNYM-AIS will take reasonable precautions to ensure the security of Subscriber records and information, protect against any anticipated threats or hazards to the security or integrity of such records or information, and protect against unauthorized access to or use of such records or information that would result in substantial harm or inconvenience to any Subscriber and will maintain reasonable procedures to detect and respond to any internal or external security breaches. BNYM-AIS will monitor and review its procedures periodically and revise them, as necessary, to ensure they appropriately address any reasonably foreseeable risks.</w:t>
      </w:r>
    </w:p>
    <w:p>
      <w:pPr>
        <w:spacing w:after="0" w:line="142" w:lineRule="exact"/>
        <w:rPr>
          <w:rFonts w:ascii="Arial" w:cs="Arial" w:eastAsia="Arial" w:hAnsi="Arial"/>
          <w:sz w:val="18"/>
          <w:szCs w:val="18"/>
          <w:color w:val="auto"/>
        </w:rPr>
      </w:pPr>
    </w:p>
    <w:p>
      <w:pPr>
        <w:ind w:right="120" w:firstLine="921"/>
        <w:spacing w:after="0" w:line="254" w:lineRule="auto"/>
        <w:tabs>
          <w:tab w:leader="none" w:pos="116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BNYM-AIS may utilize systems and/or software designed, and databases provided, by certain third parties, and shall not be liable for any loss, damage or expense that occur as a result of the failure of any such systems, software, and/or databases not caused by BNYM-AIS’s own bad faith, gross negligence or willful misconduct. In providing the services hereunder, BNYM-AIS is authorized to utilize any vendor (including pricing and valuation services) reasonably believed by BNYM-AIS to be reliable. BNYM-AIS shall not be liable for any loss, damage or expense incurred as a result of errors or omissions of any vendor utilized by BNYM-AIS hereunder, provided, that such vendor was selected with reasonable care. No such vendor shall be an agent or delegee of BNYM-AIS hereunder.</w:t>
      </w:r>
    </w:p>
    <w:p>
      <w:pPr>
        <w:spacing w:after="0" w:line="144" w:lineRule="exact"/>
        <w:rPr>
          <w:rFonts w:ascii="Arial" w:cs="Arial" w:eastAsia="Arial" w:hAnsi="Arial"/>
          <w:sz w:val="18"/>
          <w:szCs w:val="18"/>
          <w:color w:val="auto"/>
        </w:rPr>
      </w:pPr>
    </w:p>
    <w:p>
      <w:pPr>
        <w:jc w:val="both"/>
        <w:ind w:right="100" w:firstLine="921"/>
        <w:spacing w:after="0" w:line="306" w:lineRule="auto"/>
        <w:tabs>
          <w:tab w:leader="none" w:pos="1162" w:val="left"/>
        </w:tabs>
        <w:numPr>
          <w:ilvl w:val="1"/>
          <w:numId w:val="146"/>
        </w:numPr>
        <w:rPr>
          <w:rFonts w:ascii="Arial" w:cs="Arial" w:eastAsia="Arial" w:hAnsi="Arial"/>
          <w:sz w:val="16"/>
          <w:szCs w:val="16"/>
          <w:color w:val="auto"/>
        </w:rPr>
      </w:pPr>
      <w:r>
        <w:rPr>
          <w:rFonts w:ascii="Arial" w:cs="Arial" w:eastAsia="Arial" w:hAnsi="Arial"/>
          <w:sz w:val="16"/>
          <w:szCs w:val="16"/>
          <w:color w:val="auto"/>
        </w:rPr>
        <w:t>BNYM-AIS shall make reasonable provisions for emergency use of electronic data processing equipment to the extent appropriate equipment is available and, in the event of equipment failures, BNYM-AIS shall, at no additional expense to the Fund, take reasonable steps to minimize service interruption. BNYM-AIS shall have no liability with respect to the loss of data or service caused by equipment failure, provided such loss or</w:t>
      </w:r>
    </w:p>
    <w:p>
      <w:pPr>
        <w:sectPr>
          <w:pgSz w:w="11900" w:h="16838" w:orient="portrait"/>
          <w:cols w:equalWidth="0" w:num="1">
            <w:col w:w="11380"/>
          </w:cols>
          <w:pgMar w:left="240" w:top="280" w:right="27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interruption is not caused by BNYM-AIS’s own bad faith, gross negligence or willful misconduct.</w:t>
      </w:r>
    </w:p>
    <w:p>
      <w:pPr>
        <w:spacing w:after="0" w:line="293" w:lineRule="exact"/>
        <w:rPr>
          <w:sz w:val="20"/>
          <w:szCs w:val="20"/>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Allocation of Expenses.</w:t>
      </w:r>
    </w:p>
    <w:p>
      <w:pPr>
        <w:spacing w:after="0" w:line="90" w:lineRule="exact"/>
        <w:rPr>
          <w:rFonts w:ascii="Arial" w:cs="Arial" w:eastAsia="Arial" w:hAnsi="Arial"/>
          <w:sz w:val="18"/>
          <w:szCs w:val="18"/>
          <w:color w:val="auto"/>
        </w:rPr>
      </w:pPr>
    </w:p>
    <w:p>
      <w:pPr>
        <w:ind w:right="40" w:firstLine="921"/>
        <w:spacing w:after="0" w:line="289" w:lineRule="auto"/>
        <w:tabs>
          <w:tab w:leader="none" w:pos="1152" w:val="left"/>
        </w:tabs>
        <w:numPr>
          <w:ilvl w:val="1"/>
          <w:numId w:val="147"/>
        </w:numPr>
        <w:rPr>
          <w:rFonts w:ascii="Arial" w:cs="Arial" w:eastAsia="Arial" w:hAnsi="Arial"/>
          <w:sz w:val="16"/>
          <w:szCs w:val="16"/>
          <w:color w:val="auto"/>
        </w:rPr>
      </w:pPr>
      <w:r>
        <w:rPr>
          <w:rFonts w:ascii="Arial" w:cs="Arial" w:eastAsia="Arial" w:hAnsi="Arial"/>
          <w:sz w:val="16"/>
          <w:szCs w:val="16"/>
          <w:color w:val="auto"/>
        </w:rPr>
        <w:t>Except as otherwise provided herein, all costs and expenses arising or incurred in connection with the performance of this Agreement shall be paid by the Fund, including but not limited to, organizational costs and costs of maintaining the Fund existence, taxes, interest, brokerage fees and commissions, insurance premiums, compensation and expenses of the Fund employees, legal, accounting and audit expenses, management, advisory, sub-advisory, administration and servicing fees, charges of custodians, transfer and disbursing agents, expenses (including clerical expenses) incident to the issuance, cancellation, repurchase or redemption of Interests, fees and expenses incident to the registration or qualification of the Interests under applicable securities laws, costs (including printing and mailing costs) of preparing and distributing Offering Materials, reports, notices and proxy material, if any, to the owners of Interests, all expenses incidental to holding annual or other meetings, if any, and extraordinary expenses as may arise, including litigation affecting the Fund and legal obligations relating thereto.</w:t>
      </w:r>
    </w:p>
    <w:p>
      <w:pPr>
        <w:spacing w:after="0" w:line="118" w:lineRule="exact"/>
        <w:rPr>
          <w:rFonts w:ascii="Arial" w:cs="Arial" w:eastAsia="Arial" w:hAnsi="Arial"/>
          <w:sz w:val="16"/>
          <w:szCs w:val="16"/>
          <w:color w:val="auto"/>
        </w:rPr>
      </w:pPr>
    </w:p>
    <w:p>
      <w:pPr>
        <w:ind w:right="20" w:firstLine="921"/>
        <w:spacing w:after="0" w:line="256" w:lineRule="auto"/>
        <w:tabs>
          <w:tab w:leader="none" w:pos="116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BNYM-AIS shall be reimbursed for all reasonable out-of-pocket expenses (excluding telephone, facsimile, and photocopy expenses) incurred in connection with the performance of any administrative services required, as well as any fees, costs and expenses permitted to be procured for the Fund by BNYM-AIS pursuant to this Agreement. BNYM-AIS shall supply supporting expense documentation to the Administrator and the Fund if so requested and to the extent such documentation is available.</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Standard of Care; Indemnification.</w:t>
      </w:r>
    </w:p>
    <w:p>
      <w:pPr>
        <w:spacing w:after="0" w:line="90" w:lineRule="exact"/>
        <w:rPr>
          <w:rFonts w:ascii="Arial" w:cs="Arial" w:eastAsia="Arial" w:hAnsi="Arial"/>
          <w:sz w:val="18"/>
          <w:szCs w:val="18"/>
          <w:color w:val="auto"/>
        </w:rPr>
      </w:pPr>
    </w:p>
    <w:p>
      <w:pPr>
        <w:ind w:firstLine="921"/>
        <w:spacing w:after="0" w:line="294" w:lineRule="auto"/>
        <w:tabs>
          <w:tab w:leader="none" w:pos="1152" w:val="left"/>
        </w:tabs>
        <w:numPr>
          <w:ilvl w:val="1"/>
          <w:numId w:val="147"/>
        </w:numPr>
        <w:rPr>
          <w:rFonts w:ascii="Arial" w:cs="Arial" w:eastAsia="Arial" w:hAnsi="Arial"/>
          <w:sz w:val="16"/>
          <w:szCs w:val="16"/>
          <w:color w:val="auto"/>
        </w:rPr>
      </w:pPr>
      <w:r>
        <w:rPr>
          <w:rFonts w:ascii="Arial" w:cs="Arial" w:eastAsia="Arial" w:hAnsi="Arial"/>
          <w:sz w:val="16"/>
          <w:szCs w:val="16"/>
          <w:color w:val="auto"/>
        </w:rPr>
        <w:t>Except as otherwise provided herein, BNYM-AIS shall not be liable for any costs, expenses, damages, liabilities or claims (including attorneys’ and accountants’ fees) resulting from, arising out of, or in connection with its performance hereunder, except those costs, expenses, damages, liabilities or claims arising out of BNYM-AIS’s or any BNYM Affiliate’s own bad faith, grossnegligence or willful misconduct. In no event shall BNYM-AIS be liable to the Fund or any third party for special, indirect or consequential damages, or lost profits or loss of business, resulting from, arising out of, or in connection with its performance hereunder, even if previously informed of the possibility of such damages and regardless of the form of action.</w:t>
      </w:r>
    </w:p>
    <w:p>
      <w:pPr>
        <w:spacing w:after="0" w:line="115" w:lineRule="exact"/>
        <w:rPr>
          <w:rFonts w:ascii="Arial" w:cs="Arial" w:eastAsia="Arial" w:hAnsi="Arial"/>
          <w:sz w:val="16"/>
          <w:szCs w:val="16"/>
          <w:color w:val="auto"/>
        </w:rPr>
      </w:pPr>
    </w:p>
    <w:p>
      <w:pPr>
        <w:ind w:right="420" w:firstLine="921"/>
        <w:spacing w:after="0" w:line="268" w:lineRule="auto"/>
        <w:tabs>
          <w:tab w:leader="none" w:pos="116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Without limiting the generality of the foregoing, BNYM-AIS shall not be responsible for any loss, damage or expense suffered by any Fund arising from any one or more of the following:</w:t>
      </w:r>
    </w:p>
    <w:p>
      <w:pPr>
        <w:spacing w:after="0" w:line="131" w:lineRule="exact"/>
        <w:rPr>
          <w:rFonts w:ascii="Arial" w:cs="Arial" w:eastAsia="Arial" w:hAnsi="Arial"/>
          <w:sz w:val="18"/>
          <w:szCs w:val="18"/>
          <w:color w:val="auto"/>
        </w:rPr>
      </w:pPr>
    </w:p>
    <w:p>
      <w:pPr>
        <w:jc w:val="both"/>
        <w:ind w:right="240" w:firstLine="1492"/>
        <w:spacing w:after="0" w:line="259" w:lineRule="auto"/>
        <w:tabs>
          <w:tab w:leader="none" w:pos="1693" w:val="left"/>
        </w:tabs>
        <w:numPr>
          <w:ilvl w:val="2"/>
          <w:numId w:val="147"/>
        </w:numPr>
        <w:rPr>
          <w:rFonts w:ascii="Arial" w:cs="Arial" w:eastAsia="Arial" w:hAnsi="Arial"/>
          <w:sz w:val="18"/>
          <w:szCs w:val="18"/>
          <w:color w:val="auto"/>
        </w:rPr>
      </w:pPr>
      <w:r>
        <w:rPr>
          <w:rFonts w:ascii="Arial" w:cs="Arial" w:eastAsia="Arial" w:hAnsi="Arial"/>
          <w:sz w:val="18"/>
          <w:szCs w:val="18"/>
          <w:color w:val="auto"/>
        </w:rPr>
        <w:t>Errors in records or Instructions, explanations, information, specifications or documentation of any kind, as the case may be, including any valuations or prices of securities or specification of Net Assets, supplied to BNYM-AIS by any third party described in Section 5 hereof or by, or on behalf of, a Fund;</w:t>
      </w:r>
    </w:p>
    <w:p>
      <w:pPr>
        <w:sectPr>
          <w:pgSz w:w="11900" w:h="16838" w:orient="portrait"/>
          <w:cols w:equalWidth="0" w:num="1">
            <w:col w:w="11420"/>
          </w:cols>
          <w:pgMar w:left="240" w:top="280" w:right="239" w:bottom="1440" w:gutter="0" w:footer="0" w:header="0"/>
        </w:sectPr>
      </w:pPr>
    </w:p>
    <w:bookmarkStart w:id="192" w:name="page193"/>
    <w:bookmarkEnd w:id="192"/>
    <w:p>
      <w:pPr>
        <w:ind w:left="-8" w:right="140" w:firstLine="1492"/>
        <w:spacing w:after="0" w:line="298" w:lineRule="auto"/>
        <w:tabs>
          <w:tab w:leader="none" w:pos="1734" w:val="left"/>
        </w:tabs>
        <w:numPr>
          <w:ilvl w:val="2"/>
          <w:numId w:val="1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failure by BNYM-AIS to receive any instruction (whether oral, written or by email, facsimile or other electronic transmission), record, explanation, information, specifications or documentation, including any failure to actually receive any application or other document from a Subscriber. In this context, any application or other document shall not be deemed actually received by BNYM-AIS unless and until the Subscriber has received from BNYM-AIS a confirmation of receipt in writing in the form currently in use by BNYM-AIS for those types of confirmations;</w:t>
      </w:r>
    </w:p>
    <w:p>
      <w:pPr>
        <w:spacing w:after="0" w:line="112" w:lineRule="exact"/>
        <w:rPr>
          <w:rFonts w:ascii="Arial" w:cs="Arial" w:eastAsia="Arial" w:hAnsi="Arial"/>
          <w:sz w:val="16"/>
          <w:szCs w:val="16"/>
          <w:color w:val="auto"/>
        </w:rPr>
      </w:pPr>
    </w:p>
    <w:p>
      <w:pPr>
        <w:ind w:left="-8" w:firstLine="1492"/>
        <w:spacing w:after="0" w:line="268" w:lineRule="auto"/>
        <w:tabs>
          <w:tab w:leader="none" w:pos="1783" w:val="left"/>
        </w:tabs>
        <w:numPr>
          <w:ilvl w:val="2"/>
          <w:numId w:val="148"/>
        </w:numPr>
        <w:rPr>
          <w:rFonts w:ascii="Arial" w:cs="Arial" w:eastAsia="Arial" w:hAnsi="Arial"/>
          <w:sz w:val="18"/>
          <w:szCs w:val="18"/>
          <w:color w:val="auto"/>
        </w:rPr>
      </w:pPr>
      <w:r>
        <w:rPr>
          <w:rFonts w:ascii="Arial" w:cs="Arial" w:eastAsia="Arial" w:hAnsi="Arial"/>
          <w:sz w:val="18"/>
          <w:szCs w:val="18"/>
          <w:color w:val="auto"/>
        </w:rPr>
        <w:t>Any improper use by a Fund or its agents, distributors or Investment Advisor of any valuations or computations supplied by BNYM-AIS in accordance with its standard of care under this Agreement; or</w:t>
      </w:r>
    </w:p>
    <w:p>
      <w:pPr>
        <w:spacing w:after="0" w:line="131" w:lineRule="exact"/>
        <w:rPr>
          <w:rFonts w:ascii="Arial" w:cs="Arial" w:eastAsia="Arial" w:hAnsi="Arial"/>
          <w:sz w:val="18"/>
          <w:szCs w:val="18"/>
          <w:color w:val="auto"/>
        </w:rPr>
      </w:pPr>
    </w:p>
    <w:p>
      <w:pPr>
        <w:ind w:left="-8" w:right="200" w:firstLine="1492"/>
        <w:spacing w:after="0" w:line="268" w:lineRule="auto"/>
        <w:tabs>
          <w:tab w:leader="none" w:pos="1773"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method of valuation of the securities and the method of computing Net Assets, as set forth in the Offering Materials or as directed by a Fund, and if the Offering Materials so indicate, the value of Net Assets per Share.</w:t>
      </w:r>
    </w:p>
    <w:p>
      <w:pPr>
        <w:spacing w:after="0" w:line="131" w:lineRule="exact"/>
        <w:rPr>
          <w:rFonts w:ascii="Arial" w:cs="Arial" w:eastAsia="Arial" w:hAnsi="Arial"/>
          <w:sz w:val="18"/>
          <w:szCs w:val="18"/>
          <w:color w:val="auto"/>
        </w:rPr>
      </w:pPr>
    </w:p>
    <w:p>
      <w:pPr>
        <w:ind w:left="-8" w:right="40" w:firstLine="1492"/>
        <w:spacing w:after="0" w:line="268" w:lineRule="auto"/>
        <w:tabs>
          <w:tab w:leader="none" w:pos="1724" w:val="left"/>
        </w:tabs>
        <w:numPr>
          <w:ilvl w:val="2"/>
          <w:numId w:val="148"/>
        </w:numPr>
        <w:rPr>
          <w:rFonts w:ascii="Arial" w:cs="Arial" w:eastAsia="Arial" w:hAnsi="Arial"/>
          <w:sz w:val="18"/>
          <w:szCs w:val="18"/>
          <w:color w:val="auto"/>
        </w:rPr>
      </w:pPr>
      <w:r>
        <w:rPr>
          <w:rFonts w:ascii="Arial" w:cs="Arial" w:eastAsia="Arial" w:hAnsi="Arial"/>
          <w:sz w:val="18"/>
          <w:szCs w:val="18"/>
          <w:color w:val="auto"/>
        </w:rPr>
        <w:t>Any taxes, penalties or interest imposed upon BNYM-AIS with respect to the applicable Fund’s withholding, depositing and/or reporting obligations under the IRC and Regulations.</w:t>
      </w:r>
    </w:p>
    <w:p>
      <w:pPr>
        <w:spacing w:after="0" w:line="131" w:lineRule="exact"/>
        <w:rPr>
          <w:rFonts w:ascii="Arial" w:cs="Arial" w:eastAsia="Arial" w:hAnsi="Arial"/>
          <w:sz w:val="18"/>
          <w:szCs w:val="18"/>
          <w:color w:val="auto"/>
        </w:rPr>
      </w:pPr>
    </w:p>
    <w:p>
      <w:pPr>
        <w:ind w:left="-8" w:right="20" w:firstLine="921"/>
        <w:spacing w:after="0" w:line="284" w:lineRule="auto"/>
        <w:tabs>
          <w:tab w:leader="none" w:pos="1144" w:val="left"/>
        </w:tabs>
        <w:numPr>
          <w:ilvl w:val="1"/>
          <w:numId w:val="149"/>
        </w:numPr>
        <w:rPr>
          <w:rFonts w:ascii="Arial" w:cs="Arial" w:eastAsia="Arial" w:hAnsi="Arial"/>
          <w:sz w:val="16"/>
          <w:szCs w:val="16"/>
          <w:color w:val="auto"/>
        </w:rPr>
      </w:pPr>
      <w:r>
        <w:rPr>
          <w:rFonts w:ascii="Arial" w:cs="Arial" w:eastAsia="Arial" w:hAnsi="Arial"/>
          <w:sz w:val="16"/>
          <w:szCs w:val="16"/>
          <w:color w:val="auto"/>
        </w:rPr>
        <w:t>Notwithstanding any other provision contained in this Agreement, BNYM-AIS shall have no duty or obligation with respect to, including any duty or obligation to determine, or advise or notify the Fund of: (i) the taxable nature of any distribution or amount received or deemed received by, or payable to, the Fund; (ii) the taxable nature or effect on the Fund or their Subscribers of any corporate actions, class actions, tax reclaims, tax refunds, or similar events;</w:t>
      </w:r>
    </w:p>
    <w:p>
      <w:pPr>
        <w:spacing w:after="0" w:line="1" w:lineRule="exact"/>
        <w:rPr>
          <w:rFonts w:ascii="Arial" w:cs="Arial" w:eastAsia="Arial" w:hAnsi="Arial"/>
          <w:sz w:val="16"/>
          <w:szCs w:val="16"/>
          <w:color w:val="auto"/>
        </w:rPr>
      </w:pPr>
    </w:p>
    <w:p>
      <w:pPr>
        <w:ind w:left="-8" w:right="240" w:firstLine="8"/>
        <w:spacing w:after="0" w:line="323" w:lineRule="auto"/>
        <w:tabs>
          <w:tab w:leader="none" w:pos="29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taxable nature or taxable amount of any distribution or dividend paid, payable or deemed paid, by the Fund to their Subscribers; or (iv) the effect under any income tax laws of the Fund making or not making any distribution, dividend payment, or election with respect thereto.</w:t>
      </w:r>
    </w:p>
    <w:p>
      <w:pPr>
        <w:spacing w:after="0" w:line="92" w:lineRule="exact"/>
        <w:rPr>
          <w:rFonts w:ascii="Arial" w:cs="Arial" w:eastAsia="Arial" w:hAnsi="Arial"/>
          <w:sz w:val="16"/>
          <w:szCs w:val="16"/>
          <w:color w:val="auto"/>
        </w:rPr>
      </w:pPr>
    </w:p>
    <w:p>
      <w:pPr>
        <w:ind w:left="-8" w:right="20" w:firstLine="921"/>
        <w:spacing w:after="0" w:line="256" w:lineRule="auto"/>
        <w:tabs>
          <w:tab w:leader="none" w:pos="115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Actions taken or omitted in reliance on Instructions (whether oral, written or by email, facsimile or other electronic transmission), or upon any information, order, indenture, power of attorney, assignment, affidavit or other instrument reasonably believed by BNYM-AIS to be genuine or reasonably believed by BNYM-AIS to be from an Authorized Person, or upon the opinion of legal counsel for the Fund or its own counsel, shall be conclusively presumed to have been taken or omitted in good faith.</w:t>
      </w:r>
    </w:p>
    <w:p>
      <w:pPr>
        <w:spacing w:after="0" w:line="143" w:lineRule="exact"/>
        <w:rPr>
          <w:rFonts w:ascii="Arial" w:cs="Arial" w:eastAsia="Arial" w:hAnsi="Arial"/>
          <w:sz w:val="18"/>
          <w:szCs w:val="18"/>
          <w:color w:val="auto"/>
        </w:rPr>
      </w:pPr>
    </w:p>
    <w:p>
      <w:pPr>
        <w:ind w:left="-8" w:firstLine="921"/>
        <w:spacing w:after="0" w:line="291" w:lineRule="auto"/>
        <w:tabs>
          <w:tab w:leader="none" w:pos="1144"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The Fund shall indemnify and hold harmless BNYM-AIS and any BNYM Affiliate from and against any and all costs, expenses, damages, liabilities and claims (including claims asserted by any Fund), and reasonable attorneys’ and accountants’ fees relating thereto, which are sustained or incurred or which may be asserted against BNYM-AIS or any BNYM Affiliate, by reason of or as a result of any action taken or omitted to be taken by BNYM-AIS or any BNYM Affiliate hereunder without bad faith, gross negligence, or willful misconduct, or in reasonable reliance upon (i) any law, act, regulation or interpretation of the same even though the same may thereafter have been altered, changed, amended or repealed, (ii) the Offering Materials (excluding information provided by BNYM-AIS), (iii) any Instructions (whether oral, written or by email, facsimile or other electronic transmission) of a person reasonably believed to be an</w:t>
      </w:r>
    </w:p>
    <w:p>
      <w:pPr>
        <w:sectPr>
          <w:pgSz w:w="11900" w:h="16838" w:orient="portrait"/>
          <w:cols w:equalWidth="0" w:num="1">
            <w:col w:w="11412"/>
          </w:cols>
          <w:pgMar w:left="248" w:top="280" w:right="239" w:bottom="1440" w:gutter="0" w:footer="0" w:header="0"/>
        </w:sectPr>
      </w:pPr>
    </w:p>
    <w:bookmarkStart w:id="193" w:name="page194"/>
    <w:bookmarkEnd w:id="193"/>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Authorized Person, or (iv) any opinion of legal counsel for the Fund or BNYM-AIS, or arising out of transactions or other activities of the Fund which occurred prior to the commencement of this Agreement; provided, that neither BNYM-AIS nor any BNYM Affiliate shall be entitled to indemnification hereunder for costs, expenses, damages, liabilities or claims arising out of its own gross negligence, bad faith or willful misconduct. This indemnity shall be a continuing obligation of the Fund and the Administrator, their successors and assigns, notwithstanding the termination of this Agreement.</w:t>
      </w:r>
    </w:p>
    <w:p>
      <w:pPr>
        <w:spacing w:after="0" w:line="234" w:lineRule="exact"/>
        <w:rPr>
          <w:sz w:val="20"/>
          <w:szCs w:val="20"/>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consideration of the Services to be rendered to the Fund by BNYM-AIS under this Agreement, the Fund shall pay BNYM-AIS a fee in accordance with Exhibit C hereto.</w:t>
      </w:r>
    </w:p>
    <w:p>
      <w:pPr>
        <w:spacing w:after="0" w:line="254" w:lineRule="exact"/>
        <w:rPr>
          <w:sz w:val="20"/>
          <w:szCs w:val="20"/>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60" w:firstLine="921"/>
        <w:spacing w:after="0" w:line="288" w:lineRule="auto"/>
        <w:tabs>
          <w:tab w:leader="none" w:pos="1148"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This Agreement shall be for an initial term ending on the first anniversary of the date first above written, and shall continue for successive one year periods thereafter, except that the term of this Agreement may at any time be terminated by either BNYM-AIS giving to the Fund, or the Fund giving to BNYM-AIS, a notice in writing specifying the date of such termination, which date shall be not less than 90 days after the date of the giving of such notice, and the term of this Agreement shall immediately terminate upon dissolution of the Fund. Upon termination, other than a termination by the Fund pursuant to the succeeding Section 9(b), the Fund shall pay to BNYM-AIS: (i) if terminated prior to the first anniversary of the date first above written, the total fees which would have been payable through such first anniversary if this Agreement were not terminated, and (ii) if terminated after the first anniversary, such compensation as may be due as of the date of such termination, and, in each case, the Fund shall reimburse BNYM-AIS for any disbursements and expenses made or incurred by BNYM-AIS and payable or reimbursable hereunder, including fees and compensation for work done or services provided by BNYM-AIS after the termination date.</w:t>
      </w:r>
    </w:p>
    <w:p>
      <w:pPr>
        <w:spacing w:after="0" w:line="119" w:lineRule="exact"/>
        <w:rPr>
          <w:rFonts w:ascii="Arial" w:cs="Arial" w:eastAsia="Arial" w:hAnsi="Arial"/>
          <w:sz w:val="16"/>
          <w:szCs w:val="16"/>
          <w:color w:val="auto"/>
        </w:rPr>
      </w:pPr>
    </w:p>
    <w:p>
      <w:pPr>
        <w:ind w:firstLine="921"/>
        <w:spacing w:after="0" w:line="291" w:lineRule="auto"/>
        <w:tabs>
          <w:tab w:leader="none" w:pos="1162"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This Agreement may be terminated by the Fund at any time if BNYM-AIS (A) commits a material breach of its obligations under this Agreement and shall fail to cure such breach within 20 days of receipt of written notice served by the Fund specifying in reasonable detail the nature of such breach; (B) goes into liquidation or if a receiver is appointed for any of its assets; or (C) there is a petition of insolvency filed by or against it. This Agreement may be terminated by BNYM-AIS at any time if the Fund (A) commits a material breach of its obligations under this Agreement and shall fail to cure such breach within 20 days of receipt of written notice served by BNYM-AIS specifying in reasonable detail the nature of such breach; (B) goes into liquidation or if a receiver is appointed for any of its assets; or (C) there is a petition of insolvency filed by or against it.</w:t>
      </w:r>
    </w:p>
    <w:p>
      <w:pPr>
        <w:spacing w:after="0" w:line="120" w:lineRule="exact"/>
        <w:rPr>
          <w:rFonts w:ascii="Arial" w:cs="Arial" w:eastAsia="Arial" w:hAnsi="Arial"/>
          <w:sz w:val="16"/>
          <w:szCs w:val="16"/>
          <w:color w:val="auto"/>
        </w:rPr>
      </w:pPr>
    </w:p>
    <w:p>
      <w:pPr>
        <w:ind w:right="600" w:firstLine="921"/>
        <w:spacing w:after="0" w:line="268" w:lineRule="auto"/>
        <w:tabs>
          <w:tab w:leader="none" w:pos="115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Upon termination and settlement of all amounts due under this Agreement, including unpaid compensation due pursuant to Section 8 and amounts due pursuant to Section</w:t>
      </w:r>
    </w:p>
    <w:p>
      <w:pPr>
        <w:sectPr>
          <w:pgSz w:w="11900" w:h="16838" w:orient="portrait"/>
          <w:cols w:equalWidth="0" w:num="1">
            <w:col w:w="11400"/>
          </w:cols>
          <w:pgMar w:left="240" w:top="280" w:right="259" w:bottom="1440" w:gutter="0" w:footer="0" w:header="0"/>
        </w:sectPr>
      </w:pPr>
    </w:p>
    <w:bookmarkStart w:id="194" w:name="page195"/>
    <w:bookmarkEnd w:id="194"/>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9(b), BNYM-AIS shall, at the expense of the Fund, return to the Fund any Confidential Information provided by the Fund to BNYM-AIS pursuant to this Agreement.</w:t>
      </w:r>
    </w:p>
    <w:p>
      <w:pPr>
        <w:spacing w:after="0" w:line="254" w:lineRule="exact"/>
        <w:rPr>
          <w:sz w:val="20"/>
          <w:szCs w:val="20"/>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Force Majeure.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Neither BNYM-AIS nor any Fund shall be responsible or liable for any failure or delay in the performance of its obligations under this Agreement arising out of or caused, directly or indirectly, by circumstances beyond its reasonable control, including acts of God; acts of war or terrorism; earthquakes; fires; floods; wars; civil or military disturbances; sabotage; epidemics; riots; interruptions, loss or malfunctions of utilities, computer (hardware or software) or communications service; accidents; labor disputes; acts of civil or military authority or governmental actions; it being understood that the Fund or BNYM-AIS, as the case may be, shall use their best efforts to resume performance as soon as practicable under the circumstances. BNYM-AIS has a reasonably designed contingency plan which has provisions for emergency use of electronic data processing equipment to the extent appropriate equipment is available. In the event of equipment failures, BNYM-AIS shall, at no additional expense to the Fund, take reasonable steps to minimize service interruptions.</w:t>
      </w:r>
    </w:p>
    <w:p>
      <w:pPr>
        <w:spacing w:after="0" w:line="240" w:lineRule="exact"/>
        <w:rPr>
          <w:sz w:val="20"/>
          <w:szCs w:val="20"/>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may not be amended or modified in any manner except by a written agreement executed by BNYM-AIS and the Fund.</w:t>
      </w:r>
    </w:p>
    <w:p>
      <w:pPr>
        <w:spacing w:after="0" w:line="293" w:lineRule="exact"/>
        <w:rPr>
          <w:sz w:val="20"/>
          <w:szCs w:val="20"/>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90"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This Agreement shall extend to and shall be binding upon the parties hereto, and their respective successors and assigns; provided, however, that this Agreement shall not be assignable by the Fund or BNYM-AIS without the written consent of the other, which consent shall not be unreasonably withheld, provided that notwithstanding the foregoing, BNYM-AIS may assign all or any portion of this Agreement to any BNYM Affiliate.</w:t>
      </w:r>
    </w:p>
    <w:p>
      <w:pPr>
        <w:spacing w:after="0" w:line="228" w:lineRule="exact"/>
        <w:rPr>
          <w:sz w:val="20"/>
          <w:szCs w:val="20"/>
          <w:color w:val="auto"/>
        </w:rPr>
      </w:pPr>
    </w:p>
    <w:p>
      <w:pPr>
        <w:ind w:left="900" w:hanging="446"/>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Governing Law; Consent to Jurisdiction</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This Agreement shall be construed in accordance with the laws of the State of New York, without regard to conflict of laws principles thereof. The Fund hereby consents to the jurisdiction of a court situated in the City and State of New York in connection with any dispute arising hereunder. THE PARTIES TO THIS AGREEMENT EACH HEREBY IRREVOCABLY WAIVE ANY AND ALL RIGHTS TO TRIAL BY JURY IN ANY LEGAL PROCEEDING ARISING OUT OF OR RELATING TO THIS AGREEMENT. TO THE EXTENT THAT IN ANY JURISDICTION THE PARTIES TO THIS AGREEMENT MAY NOW OR HEREAFTER BE ENTITLED TO CLAIM, FOR ITSELF OR ITS ASSETS, IMMUNITY FROM SUIT, EXECUTION, ATTACHMENT (BEFORE OR AFTER JUDGMENT) OR OTHER LEGAL PROCESS, THE PARTIES TO THIS AGREEMENT IRREVOCABLY AGREE NOT TO CLAIM, AND THEY HEREBY WAIVE, SUCH IMMUNITY.</w:t>
      </w:r>
    </w:p>
    <w:p>
      <w:pPr>
        <w:sectPr>
          <w:pgSz w:w="11900" w:h="16838" w:orient="portrait"/>
          <w:cols w:equalWidth="0" w:num="1">
            <w:col w:w="11400"/>
          </w:cols>
          <w:pgMar w:left="240" w:top="280" w:right="259" w:bottom="1440" w:gutter="0" w:footer="0" w:header="0"/>
        </w:sectPr>
      </w:pPr>
    </w:p>
    <w:bookmarkStart w:id="195" w:name="page196"/>
    <w:bookmarkEnd w:id="195"/>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Severability</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case any provision in or obligation under this Agreement shall be invalid, illegal or unenforceable in any jurisdiction, the validity, legality and enforceability of the remaining provisions or obligations shall not in any way be affected or impaired thereby, and if any provision is inapplicable to any person or circumstances, it shall nevertheless remain applicable to all other persons and circumstances; and in each case the invalid, illegal, unenforceable or inapplicable provision shall be substituted with a valid, legal, enforceable and applicable provision that meets the business intent of the parties hereto as closely as possible.</w:t>
      </w:r>
    </w:p>
    <w:p>
      <w:pPr>
        <w:spacing w:after="0" w:line="234" w:lineRule="exact"/>
        <w:rPr>
          <w:sz w:val="20"/>
          <w:szCs w:val="20"/>
          <w:color w:val="auto"/>
        </w:rPr>
      </w:pPr>
    </w:p>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Each and every right granted to BNYM-AIS, the Administrator or the Fund hereunder or under any other document delivered hereunder or in connection herewith, or allowed it by law or equity, shall be cumulative and may be exercised from time to time. No failure on the part of BNYM-AIS, the Administrator or the Fund to exercise, and no delay in exercising, any right will operate as a waiver thereof, nor will any single or partial exercise by BNYM-AIS, the Administrator or the Fund of any right preclude any other or future exercise thereof or the exercise of any other right.</w:t>
      </w:r>
    </w:p>
    <w:p>
      <w:pPr>
        <w:spacing w:after="0" w:line="234" w:lineRule="exact"/>
        <w:rPr>
          <w:sz w:val="20"/>
          <w:szCs w:val="20"/>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Non-Exclusiveness</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 provision of this Agreement shall prevent BNYM-AIS from offering services similar or identical to those covered by this Agreement to any other corporations, associations or entities of any kind. Any and all operational procedures, techniques and devices developed by BNYM-AIS in connection with the performance of its duties and obligations under this Agreement, including those developed in conjunction with the Fund, shall be and remain the property of BNYM-AIS, and BNYM-AIS shall be free to employ such procedures, techniques and devices in connection with the performance of any other contract with any other person whether or not such contract is similar or identical to this Agreement.</w:t>
      </w:r>
    </w:p>
    <w:p>
      <w:pPr>
        <w:spacing w:after="0" w:line="237" w:lineRule="exact"/>
        <w:rPr>
          <w:sz w:val="20"/>
          <w:szCs w:val="20"/>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Liabilities of a Fund</w:t>
      </w:r>
      <w:r>
        <w:rPr>
          <w:rFonts w:ascii="Arial" w:cs="Arial" w:eastAsia="Arial" w:hAnsi="Arial"/>
          <w:sz w:val="18"/>
          <w:szCs w:val="18"/>
          <w:color w:val="auto"/>
        </w:rPr>
        <w:t>.</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liabilities of each Fund shall be limited such that the debts, liabilities, obligations and expenses incurred, contracted for or otherwise existing and relating to this Agreement with respect to a particular Fund shall be enforceable against the assets of that particular Fund only, and not against the assets of any other Fund.</w:t>
      </w:r>
    </w:p>
    <w:p>
      <w:pPr>
        <w:spacing w:after="0" w:line="262" w:lineRule="exact"/>
        <w:rPr>
          <w:sz w:val="20"/>
          <w:szCs w:val="20"/>
          <w:color w:val="auto"/>
        </w:rPr>
      </w:pPr>
    </w:p>
    <w:p>
      <w:pPr>
        <w:ind w:left="900" w:hanging="446"/>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Administrative Staff</w:t>
      </w:r>
      <w:r>
        <w:rPr>
          <w:rFonts w:ascii="Arial" w:cs="Arial" w:eastAsia="Arial" w:hAnsi="Arial"/>
          <w:sz w:val="18"/>
          <w:szCs w:val="18"/>
          <w:color w:val="auto"/>
        </w:rPr>
        <w:t>.</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Fund hereby agrees, and agrees to cause their affiliated companies (including the Investment Advisor) to agree, to refrain from hiring any employees of BNYM-AIS during the term of this Agreement and for a period of one (1) year after the termination date of this Agreement. Should the Fund, or any of their affiliated companies (including the Investment Advisor), hire any such employee during the stated time period, the Fund, or any of their affiliated companies (including the Investment Advisor), hereby agree to compensate BNYM-AIS in an amount equivalent to the hired employee’s annual salary to cover the cost of recruiting, hiring, and training a replacement employee.</w:t>
      </w:r>
    </w:p>
    <w:p>
      <w:pPr>
        <w:sectPr>
          <w:pgSz w:w="11900" w:h="16838" w:orient="portrait"/>
          <w:cols w:equalWidth="0" w:num="1">
            <w:col w:w="11400"/>
          </w:cols>
          <w:pgMar w:left="240" w:top="280" w:right="259" w:bottom="1440" w:gutter="0" w:footer="0" w:header="0"/>
        </w:sectPr>
      </w:pPr>
    </w:p>
    <w:bookmarkStart w:id="196" w:name="page197"/>
    <w:bookmarkEnd w:id="196"/>
    <w:p>
      <w:pPr>
        <w:ind w:left="900" w:hanging="446"/>
        <w:spacing w:after="0"/>
        <w:tabs>
          <w:tab w:leader="none" w:pos="900"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 Electronic Communications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2"/>
          <w:numId w:val="162"/>
        </w:numPr>
        <w:rPr>
          <w:rFonts w:ascii="Arial" w:cs="Arial" w:eastAsia="Arial" w:hAnsi="Arial"/>
          <w:sz w:val="16"/>
          <w:szCs w:val="16"/>
          <w:color w:val="auto"/>
        </w:rPr>
      </w:pPr>
      <w:r>
        <w:rPr>
          <w:rFonts w:ascii="Arial" w:cs="Arial" w:eastAsia="Arial" w:hAnsi="Arial"/>
          <w:sz w:val="16"/>
          <w:szCs w:val="16"/>
          <w:color w:val="auto"/>
        </w:rPr>
        <w:t>All notices required or permitted under this Agreement in writing shall be validly given or made in writing if (i) personally delivered,</w:t>
      </w:r>
    </w:p>
    <w:p>
      <w:pPr>
        <w:spacing w:after="0" w:line="38" w:lineRule="exact"/>
        <w:rPr>
          <w:rFonts w:ascii="Arial" w:cs="Arial" w:eastAsia="Arial" w:hAnsi="Arial"/>
          <w:sz w:val="16"/>
          <w:szCs w:val="16"/>
          <w:color w:val="auto"/>
        </w:rPr>
      </w:pPr>
    </w:p>
    <w:p>
      <w:pPr>
        <w:ind w:right="120" w:firstLine="8"/>
        <w:spacing w:after="0" w:line="261" w:lineRule="auto"/>
        <w:tabs>
          <w:tab w:leader="none" w:pos="25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delivered and confirmed by facsimile, (iii) delivered by reputable overnight courier delivery service or (iv) deposited in the mail, first class, postage prepaid, certified or registered, return receipt requested as follows:</w:t>
      </w:r>
    </w:p>
    <w:p>
      <w:pPr>
        <w:spacing w:after="0" w:line="13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the Administrator or the Fund, at: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Aviv Efrat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10022</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BNYM-AIS, at: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Bank of New York Mellon</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101 Barclay Street, 20W</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10286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Ian Shaw</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(203) 601-4629</w:t>
      </w:r>
    </w:p>
    <w:p>
      <w:pPr>
        <w:spacing w:after="0" w:line="16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or at such other place as may from time to time be designated in writing. Notices sent via mail shall be deemed given on the third business day following the day they are sent, notices sent via overnight carrier shall be deemed given on the business day following the day they are sent, notices delivered personally shall be deemed given on the day of confirmed receipt, and notices transmitted by facsimile transmission shall be deemed given on the date of transmission with confirmation of receipt.</w:t>
      </w:r>
    </w:p>
    <w:p>
      <w:pPr>
        <w:spacing w:after="0" w:line="143" w:lineRule="exact"/>
        <w:rPr>
          <w:sz w:val="20"/>
          <w:szCs w:val="20"/>
          <w:color w:val="auto"/>
        </w:rPr>
      </w:pPr>
    </w:p>
    <w:p>
      <w:pPr>
        <w:ind w:firstLine="921"/>
        <w:spacing w:after="0" w:line="290" w:lineRule="auto"/>
        <w:tabs>
          <w:tab w:leader="none" w:pos="116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Administrator and the Fund authorizes BNYM-AIS to (i) accept consents, approvals, waivers, requests, Instructions and other communications BNYM-AIS receives by email, facsimile or other electronic transmission as if those communications had been given personally in writing and signed by an Authorized Person; (ii) respond to consents, approvals, waivers, requests, Instructions and other communications BNYM-AIS receives from any Fund by means of email, facsimile or other electronic transmission; (iii) communicate with, and accept communications from, the Administrator, the Fund, its counsel, accountants, auditors, prime broker and other service providers, the Board and Subscribers by means of email, facsimile or other electronic transmission; and (iv) transmit and receive Confidential Information in connection with its performance hereunder by means of email, facsimile or other electronic transmission. If the Administrator elects to transmit Instructions through an on-line</w:t>
      </w:r>
    </w:p>
    <w:p>
      <w:pPr>
        <w:sectPr>
          <w:pgSz w:w="11900" w:h="16838" w:orient="portrait"/>
          <w:cols w:equalWidth="0" w:num="1">
            <w:col w:w="11380"/>
          </w:cols>
          <w:pgMar w:left="240" w:top="280" w:right="279" w:bottom="1440" w:gutter="0" w:footer="0" w:header="0"/>
        </w:sectPr>
      </w:pPr>
    </w:p>
    <w:bookmarkStart w:id="197" w:name="page198"/>
    <w:bookmarkEnd w:id="19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communication system offered by BNYM-AIS, its use thereof shall be subject to the Terms and Conditions attached hereto as Appendix I. BNYM-AIS shall not be liable to the Fund or any other person for any loss or damage suffered as a result of the Fund use of email, facsimile or other electronic transmission to communicate with BNYM-AIS, or the use of email, facsimile or other electronic transmission by BNYM-AIS to transmit Confidential Information or communicate with any Fund or any other person, including any loss or damage resulting from or arising out of loss of data or malfunction of equipment or communications services in connection with the transmission of such communications. In the event any Instructions are given, whether upon application of BNYM-AIS or otherwise, by means of email, facsimile or other electronic transmission, BNYM-AIS is authorized to, but is not obligated to, seek clarification of such Instructions by telephone call-back to an Authorized Person, and BNYM-AIS may rely upon the clarification of anyone purporting to be such Authorized Person. If BNYM-AIS considers that any email, facsimile or other electronic communication may conflict with any other Instructions from, or agreements with, any Fund, it may delay acting on such communication until clarification by telephone call-back to an Authorized Person. Any Instructions received from a Subscriber in the manner set forth in this paragraph shall not be deemed actually received by BNYM-AIS unless and until the Subscriber has received from BNYM-AIS a confirmation of receipt in writing in the form currently in use by BNYM-AIS for those types of confirmations.</w:t>
      </w:r>
    </w:p>
    <w:p>
      <w:pPr>
        <w:spacing w:after="0" w:line="249" w:lineRule="exact"/>
        <w:rPr>
          <w:sz w:val="20"/>
          <w:szCs w:val="20"/>
          <w:color w:val="auto"/>
        </w:rPr>
      </w:pPr>
    </w:p>
    <w:p>
      <w:pPr>
        <w:ind w:left="900" w:hanging="446"/>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Beneficiary</w:t>
      </w:r>
      <w:r>
        <w:rPr>
          <w:rFonts w:ascii="Arial" w:cs="Arial" w:eastAsia="Arial" w:hAnsi="Arial"/>
          <w:sz w:val="18"/>
          <w:szCs w:val="18"/>
          <w:color w:val="auto"/>
        </w:rPr>
        <w:t>.</w:t>
      </w:r>
    </w:p>
    <w:p>
      <w:pPr>
        <w:spacing w:after="0" w:line="9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terms and provisions of this Agreement shall inure to the benefit of the parties and their respective successors and assigns, and is made solely and specifically for their benefit. No other person, including but not limited to Subscribers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shall have any rights, interest or claims hereunder or be entitled to any benefits under or on account of this Agreement as a third-party beneficiary or otherwise.</w:t>
      </w:r>
    </w:p>
    <w:p>
      <w:pPr>
        <w:spacing w:after="0" w:line="262" w:lineRule="exact"/>
        <w:rPr>
          <w:sz w:val="20"/>
          <w:szCs w:val="20"/>
          <w:color w:val="auto"/>
        </w:rPr>
      </w:pPr>
    </w:p>
    <w:p>
      <w:pPr>
        <w:ind w:left="900" w:hanging="446"/>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Rules of Construction.</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All articles or section titles or captions in this Agreement shall be for convenience only, shall not be deemed part of this Agreement and shall in no way define, limit, extend or describe the scope or intent of any provisions of this Agreement. Except as specifically provided otherwise, alphanumerical references to “Articles,” “Sections,” “Exhibits” and “Schedules” are to the respective articles and sections of, and exhibits and schedules to, this Agreement. Whenever the context may require, any pronoun used in this Agreement shall include the corresponding masculine, feminine or neuter forms, and the singular form of nouns, pronouns and verbs shall include the plural and vice versa. The Schedules and Exhibits attached hereto are hereby incorporated herein and made a part of this Agreement. Any reference in this Agreement to schedules and exhibits shall be deemed to be a reference to such schedules and exhibits as amended and in effect from time to time. Whenever the word “including” is used herein, it shall be construed to mean “including without limitation.”</w:t>
      </w:r>
    </w:p>
    <w:p>
      <w:pPr>
        <w:spacing w:after="0" w:line="240" w:lineRule="exact"/>
        <w:rPr>
          <w:sz w:val="20"/>
          <w:szCs w:val="20"/>
          <w:color w:val="auto"/>
        </w:rPr>
      </w:pPr>
    </w:p>
    <w:p>
      <w:pPr>
        <w:ind w:left="900" w:hanging="446"/>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Agreement may be executed in any number of counterparts, each of which shall be deemed to be an original; but such counterparts together shall constitute only one instrument.</w:t>
      </w:r>
    </w:p>
    <w:p>
      <w:pPr>
        <w:sectPr>
          <w:pgSz w:w="11900" w:h="16838" w:orient="portrait"/>
          <w:cols w:equalWidth="0" w:num="1">
            <w:col w:w="11360"/>
          </w:cols>
          <w:pgMar w:left="240" w:top="280" w:right="299" w:bottom="1440" w:gutter="0" w:footer="0" w:header="0"/>
        </w:sectPr>
      </w:pPr>
    </w:p>
    <w:bookmarkStart w:id="198" w:name="page199"/>
    <w:bookmarkEnd w:id="19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the foregoing instrument to be executed by their duly authorized officers and their seals to be hereunto affixed, all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ADMINISTRATION,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100"/>
          </w:cols>
          <w:pgMar w:left="240" w:top="280" w:right="55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ELECTRONIC SERVICES TERMS AND CONDITIONS</w:t>
      </w:r>
    </w:p>
    <w:p>
      <w:pPr>
        <w:spacing w:after="0" w:line="177" w:lineRule="exact"/>
        <w:rPr>
          <w:sz w:val="20"/>
          <w:szCs w:val="20"/>
          <w:color w:val="auto"/>
        </w:rPr>
      </w:pPr>
    </w:p>
    <w:p>
      <w:pPr>
        <w:ind w:left="-40" w:right="20" w:firstLine="464"/>
        <w:spacing w:after="0" w:line="294" w:lineRule="auto"/>
        <w:tabs>
          <w:tab w:leader="none" w:pos="592"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License; Use</w:t>
      </w:r>
      <w:r>
        <w:rPr>
          <w:rFonts w:ascii="Arial" w:cs="Arial" w:eastAsia="Arial" w:hAnsi="Arial"/>
          <w:sz w:val="16"/>
          <w:szCs w:val="16"/>
          <w:color w:val="auto"/>
        </w:rPr>
        <w:t>. (a) This Appendix I shall govern the Administrator’s and the Fund’s use of electronic communications, information delivery, portfolio management and banking services, that The Bank of New York Mellon and its affiliates (“BNYM”) may provide to Fund, such as The Bank of New York Mellon Inform ™ and The Bank of New York Mellon CA$H-Register Plus</w:t>
      </w:r>
      <w:r>
        <w:rPr>
          <w:rFonts w:ascii="Arial" w:cs="Arial" w:eastAsia="Arial" w:hAnsi="Arial"/>
          <w:sz w:val="10"/>
          <w:szCs w:val="10"/>
          <w:color w:val="auto"/>
        </w:rPr>
        <w:t>®</w:t>
      </w:r>
      <w:r>
        <w:rPr>
          <w:rFonts w:ascii="Arial" w:cs="Arial" w:eastAsia="Arial" w:hAnsi="Arial"/>
          <w:sz w:val="16"/>
          <w:szCs w:val="16"/>
          <w:color w:val="auto"/>
        </w:rPr>
        <w:t xml:space="preserve">, and any computer software, proprietary data and documentation provided by BNYM to Fund in connection therewith (collectively, the </w:t>
      </w:r>
      <w:r>
        <w:rPr>
          <w:rFonts w:ascii="Arial" w:cs="Arial" w:eastAsia="Arial" w:hAnsi="Arial"/>
          <w:sz w:val="16"/>
          <w:szCs w:val="16"/>
          <w:b w:val="1"/>
          <w:bCs w:val="1"/>
          <w:color w:val="auto"/>
        </w:rPr>
        <w:t>“Electronic Services”</w:t>
      </w:r>
      <w:r>
        <w:rPr>
          <w:rFonts w:ascii="Arial" w:cs="Arial" w:eastAsia="Arial" w:hAnsi="Arial"/>
          <w:sz w:val="16"/>
          <w:szCs w:val="16"/>
          <w:color w:val="auto"/>
        </w:rPr>
        <w:t>). In the event of any conflict between the terms of this Appendix I and the main body of this Agreement with respect to Fund’s use of the Electronic Services, the terms of this Appendix I shall control.</w:t>
      </w:r>
    </w:p>
    <w:p>
      <w:pPr>
        <w:spacing w:after="0" w:line="116" w:lineRule="exact"/>
        <w:rPr>
          <w:sz w:val="20"/>
          <w:szCs w:val="20"/>
          <w:color w:val="auto"/>
        </w:rPr>
      </w:pPr>
    </w:p>
    <w:p>
      <w:pPr>
        <w:ind w:left="-40" w:firstLine="464"/>
        <w:spacing w:after="0" w:line="285" w:lineRule="auto"/>
        <w:tabs>
          <w:tab w:leader="none" w:pos="66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BNYM grants to the Administrator and the Fund a personal, nontransferable and nonexclusive license to use the Electronic Services to which the Fund subscribes solely for the purpose of transmitting instructions and information (“Written Instructions”), obtaining reports, analyses and statements and other information and data, making inquiries and otherwise communicating with BNYM in connection with the Fund’s relationship with BNYM. The Administrator and the Fund shall use the Electronic Services solely for its own internal and proper business purposes and not in the operation of a service bureau. Except as set forth herein, no license or right of any kind is granted to the Administrator or the Fund with respect to the Electronic Services. The Administrator and the Fund acknowledge that BNYM and its suppliers retain and have title and exclusive proprietary rights to the Electronic Services, including any trade secrets or other ideas, concepts, know-how, methodologies, and information incorporated therein and the exclusive rights to any copyrights, trade dress, look and feel, trademarks and patents (including registrations and applications for registration of either), and other legal protections available in respect thereof. The Administrator and the Fund further acknowledge that all or a part of the Electronic Services may be copyrighted or trademarked (or a registration or claim made therefor) by BNYM or its suppliers. The Administrator and the Fund shall not take any action with respect to the Electronic Services inconsistent with the foregoing acknowledgments, nor attempt to decompile, reverse engineer or modify the Electronic Services. The Administrator and the Fund may not copy, distribute, sell, lease or provide, directly or indirectly, the Electronic Services or any portion thereof to any other person or entity without BNYM’s prior written consent. The Fund may not, remove any statutory copyright notice or other notice included in the Electronic Services. The Fund shall reproduce any such notice on any reproduction of any portion of the Electronic Services and shall add any statutory copyright notice or other notice upon BNYM’s request.</w:t>
      </w:r>
    </w:p>
    <w:p>
      <w:pPr>
        <w:spacing w:after="0" w:line="128" w:lineRule="exact"/>
        <w:rPr>
          <w:rFonts w:ascii="Arial" w:cs="Arial" w:eastAsia="Arial" w:hAnsi="Arial"/>
          <w:sz w:val="16"/>
          <w:szCs w:val="16"/>
          <w:color w:val="auto"/>
        </w:rPr>
      </w:pPr>
    </w:p>
    <w:p>
      <w:pPr>
        <w:ind w:left="-40" w:firstLine="464"/>
        <w:spacing w:after="0" w:line="294" w:lineRule="auto"/>
        <w:tabs>
          <w:tab w:leader="none" w:pos="65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Portions of the Electronic Services may contain, deliver or rely on data supplied by third parties (“Third Party Data”), such as pricing data and indicative data, and services supplied by third parties (“Third Party Services”) such as analytic and accounting services. Third Party Data and Third Party Services supplied hereunder are obtained from sources that BNYM believes to be reliable but are provided without any independent investigation by BNYM. BNYM and its suppliers do not represent or warrant that the Third Party Data or Third Party Services are correct, complete or current. Third Party Data and Third Party Services are proprietary to their suppliers, are provided solely for Fund’s internal use, and may not be reused,</w:t>
      </w:r>
    </w:p>
    <w:p>
      <w:pPr>
        <w:sectPr>
          <w:pgSz w:w="11900" w:h="16838" w:orient="portrait"/>
          <w:cols w:equalWidth="0" w:num="1">
            <w:col w:w="11340"/>
          </w:cols>
          <w:pgMar w:left="280" w:top="274" w:right="279" w:bottom="1440" w:gutter="0" w:footer="0" w:header="0"/>
        </w:sectPr>
      </w:pPr>
    </w:p>
    <w:bookmarkStart w:id="200" w:name="page201"/>
    <w:bookmarkEnd w:id="200"/>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disseminated or redistributed in any form. Fund shall not use any Third Party Data in any manner that would act as a substitute for obtaining a license for the data directly from the supplier. Third Party Data and Third Party Services should not be used in making any investment decision. BNYM AND ITS SUPPLIERS ARE NOT RESPONSIBLE FOR ANY RESULTS OBTAINED FROM THE USE OF OR RELIANCE UPON THIRD PARTY DATA OR THIRD PARTY SERVICES. BNYM’s suppliers of Third Party Data and Services are intended third party beneficiaries of this Section 1(c) and Section 5 below.</w:t>
      </w:r>
    </w:p>
    <w:p>
      <w:pPr>
        <w:spacing w:after="0" w:line="113" w:lineRule="exact"/>
        <w:rPr>
          <w:sz w:val="20"/>
          <w:szCs w:val="20"/>
          <w:color w:val="auto"/>
        </w:rPr>
      </w:pPr>
    </w:p>
    <w:p>
      <w:pPr>
        <w:ind w:right="20" w:firstLine="464"/>
        <w:spacing w:after="0" w:line="294" w:lineRule="auto"/>
        <w:tabs>
          <w:tab w:leader="none" w:pos="70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Fund understands and agrees that any links in the Electronic Services to Internet sites may be to sites sponsored and maintained by third parties. BNYM make no guarantees, representations or warranties concerning the information contained in any third party site (including without limitation that such information is correct, current, complete or free of viruses or other contamination), or any products or services sold through third party sites. All such links to third party Internet sites are provided solely as a convenience to Fund and Fund accesses and uses such sites at its own risk. A link in the Electronic Services to a third party site does not constitute BNYM’s endorsement, authorisation or sponsorship of such site or any products and services available from such site.</w:t>
      </w:r>
    </w:p>
    <w:p>
      <w:pPr>
        <w:spacing w:after="0" w:line="116" w:lineRule="exact"/>
        <w:rPr>
          <w:sz w:val="20"/>
          <w:szCs w:val="20"/>
          <w:color w:val="auto"/>
        </w:rPr>
      </w:pPr>
    </w:p>
    <w:p>
      <w:pPr>
        <w:jc w:val="both"/>
        <w:ind w:firstLine="464"/>
        <w:spacing w:after="0" w:line="259" w:lineRule="auto"/>
        <w:tabs>
          <w:tab w:leader="none" w:pos="632"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Equipment</w:t>
      </w:r>
      <w:r>
        <w:rPr>
          <w:rFonts w:ascii="Arial" w:cs="Arial" w:eastAsia="Arial" w:hAnsi="Arial"/>
          <w:sz w:val="18"/>
          <w:szCs w:val="18"/>
          <w:color w:val="auto"/>
        </w:rPr>
        <w:t>. Fund shall obtain and maintain at its own cost and expense all equipment and services, including but not limited to communications services, necessary for it to utilize and obtain access to the Electronic Services, and BNYM shall not be responsible for the reliability or availability of any such equipment or services.</w:t>
      </w:r>
    </w:p>
    <w:p>
      <w:pPr>
        <w:spacing w:after="0" w:line="140" w:lineRule="exact"/>
        <w:rPr>
          <w:rFonts w:ascii="Arial" w:cs="Arial" w:eastAsia="Arial" w:hAnsi="Arial"/>
          <w:sz w:val="18"/>
          <w:szCs w:val="18"/>
          <w:color w:val="auto"/>
        </w:rPr>
      </w:pPr>
    </w:p>
    <w:p>
      <w:pPr>
        <w:ind w:firstLine="464"/>
        <w:spacing w:after="0" w:line="288" w:lineRule="auto"/>
        <w:tabs>
          <w:tab w:leader="none" w:pos="632"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Proprietary Information</w:t>
      </w:r>
      <w:r>
        <w:rPr>
          <w:rFonts w:ascii="Arial" w:cs="Arial" w:eastAsia="Arial" w:hAnsi="Arial"/>
          <w:sz w:val="16"/>
          <w:szCs w:val="16"/>
          <w:color w:val="auto"/>
        </w:rPr>
        <w:t>. The Electronic Services, and any proprietary data (including Third Party Data), processes, software, information and documentation made available to Fund (other than which are or become part of the public domain or are legally required to be made available to the public) (collectively, the “Information”), are the exclusive and confidential property of BNYM or its suppliers. However, for the avoidance of doubt, reports generated by Fund containing information relating to its account(s) (except for Third Party Data contained therein) are not deemed to be within the meaning of the term “Information.” Fund shall keep the Information confidential by using the same care and discretion that Fund uses with respect to its own confidential property and trade secrets, but not less than reasonable care. Upon termination of the Agreement or the licenses granted herein for any reason, Fund shall return to BNYM any and all copies of the Information which are in its possession or under its control (except that Fund may retain reports containing Third Party Data, provided that such Third Party Data remains subject to the provisions of this Appendix). The provisions of this Section 3 shall not affect the copyright status of any of the Information which may be copyrighted and shall apply to all information whether or not copyrighted.</w:t>
      </w:r>
    </w:p>
    <w:p>
      <w:pPr>
        <w:spacing w:after="0" w:line="119" w:lineRule="exact"/>
        <w:rPr>
          <w:rFonts w:ascii="Arial" w:cs="Arial" w:eastAsia="Arial" w:hAnsi="Arial"/>
          <w:sz w:val="16"/>
          <w:szCs w:val="16"/>
          <w:color w:val="auto"/>
        </w:rPr>
      </w:pPr>
    </w:p>
    <w:p>
      <w:pPr>
        <w:ind w:right="300" w:firstLine="464"/>
        <w:spacing w:after="0" w:line="259" w:lineRule="auto"/>
        <w:tabs>
          <w:tab w:leader="none" w:pos="632"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Modifications</w:t>
      </w:r>
      <w:r>
        <w:rPr>
          <w:rFonts w:ascii="Arial" w:cs="Arial" w:eastAsia="Arial" w:hAnsi="Arial"/>
          <w:sz w:val="18"/>
          <w:szCs w:val="18"/>
          <w:color w:val="auto"/>
        </w:rPr>
        <w:t>. BNYM reserves the right to modify the Electronic Services from time to time. Fund agrees not to modify or attempt to modify the Electronic Services without BNYM’s prior written consent. Fund acknowledges that any modifications to the Electronic Services, whether by Fund or BNYM and whether with or without BNYM’s consent, shall become the property of BNYM.</w:t>
      </w:r>
    </w:p>
    <w:p>
      <w:pPr>
        <w:sectPr>
          <w:pgSz w:w="11900" w:h="16838" w:orient="portrait"/>
          <w:cols w:equalWidth="0" w:num="1">
            <w:col w:w="11420"/>
          </w:cols>
          <w:pgMar w:left="240" w:top="280" w:right="239" w:bottom="1440" w:gutter="0" w:footer="0" w:header="0"/>
        </w:sectPr>
      </w:pPr>
    </w:p>
    <w:bookmarkStart w:id="201" w:name="page202"/>
    <w:bookmarkEnd w:id="201"/>
    <w:p>
      <w:pPr>
        <w:ind w:left="-464" w:right="40" w:firstLine="464"/>
        <w:spacing w:after="0" w:line="287" w:lineRule="auto"/>
        <w:tabs>
          <w:tab w:leader="none" w:pos="168"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REPRESENTATIONS OR WARRANTIES; LIMITATION OF LIABILITY</w:t>
      </w:r>
      <w:r>
        <w:rPr>
          <w:rFonts w:ascii="Arial" w:cs="Arial" w:eastAsia="Arial" w:hAnsi="Arial"/>
          <w:sz w:val="16"/>
          <w:szCs w:val="16"/>
          <w:color w:val="auto"/>
        </w:rPr>
        <w:t>. BNYM AND ITS MANUFACTURERS AND SUPPLIERS MAKE NO WARRANTIES OR REPRESENTATIONS WITH RESPECT TO THE ELECTRONIC SERVICES OR ANY THIRD PARTY DATA OR THIRD PARTY SERVICES, EXPRESS OR IMPLIED, IN FACT OR IN LAW, INCLUDING BUT NOT LIMITED TO WARRANTIES OF MERCHANTABILITY, NON-INFRINGEMENT AND FITNESS FOR A PARTICULAR PURPOSE. FUND ACKNOWLEDGES THAT THE ELECTRONIC SERVICES, THIRD PARTY DATA AND THIRD PARTY SERVICES ARE PROVIDED “AS IS.” TO THE FULLEST EXTENT PERMITTED BY APPLICABLE LAW, IN NO EVENT SHALL BNYM OR ANY SUPPLIER BE LIABLE FOR ANY DAMAGES, WHETHER DIRECT, INDIRECT SPECIAL, OR CONSEQUENTIAL, WHICH FUND MAY INCUR IN CONNECTION WITH THE ELECTRONIC SERVICES, THIRD PARTY DATA OR THIRD PARTY SERVICES, EVEN IF BNYM OR SUCH SUPPLIER KNEW OF THE POSSIBILITY OF SUCH DAMAGES. IN NO EVENT SHALL BNYM OR ANY SUPPLIER BE LIABLE FOR ACTS OF GOD, MACHINE OR COMPUTER BREAKDOWN OR MALFUNCTION, INTERRUPTION OR MALFUNCTION OF COMMUNICATION FACILITIES, LABOR DIFFICULTIES OR ANY OTHER SIMILAR OR DISSIMILAR CAUSE BEYOND THEIR REASONABLE CONTROL.</w:t>
      </w:r>
    </w:p>
    <w:p>
      <w:pPr>
        <w:spacing w:after="0" w:line="122" w:lineRule="exact"/>
        <w:rPr>
          <w:rFonts w:ascii="Arial" w:cs="Arial" w:eastAsia="Arial" w:hAnsi="Arial"/>
          <w:sz w:val="16"/>
          <w:szCs w:val="16"/>
          <w:color w:val="auto"/>
        </w:rPr>
      </w:pPr>
    </w:p>
    <w:p>
      <w:pPr>
        <w:ind w:left="-464" w:firstLine="464"/>
        <w:spacing w:after="0" w:line="285" w:lineRule="auto"/>
        <w:tabs>
          <w:tab w:leader="none" w:pos="168"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Security; Reliance; Unauthorized Use; Funds Transfers</w:t>
      </w:r>
      <w:r>
        <w:rPr>
          <w:rFonts w:ascii="Arial" w:cs="Arial" w:eastAsia="Arial" w:hAnsi="Arial"/>
          <w:sz w:val="16"/>
          <w:szCs w:val="16"/>
          <w:color w:val="auto"/>
        </w:rPr>
        <w:t>. BNYM will establish security procedures to be followed in connection with the use of the Electronic Services, and Fund agrees to comply with the security procedures. Fund understands and agrees that the security procedures are intended to determine whether instructions received by BNYM through the Electronic Services are authorized but are not (unless otherwise specified in writing) intended to detect any errors contained in such instructions. Fund will cause all persons utilizing the Electronic Services to treat any user and authorization codes, passwords, authentication keys and other security devices with the highest degree of care and confidentiality. Upon termination of Fund’s use of the Electronic Services, Fund shall return to BNYM any security devices (e.g., token cards) provided by BNYM. BNYM is hereby irrevocably authorized to comply with and rely upon on Written Instructions and other communications, whether or not authorized, received by it through the Electronic Services. Fund acknowledges that it has sole responsibility for ensuring that only Authorized Persons use the Electronic Services and that to the fullest extent permitted by applicable law BNYM shall not be responsible nor liable for any unauthorized use thereof or for any losses sustained by Fund arising from or in connection with the use of the Electronic Services or BNYM’s reliance upon and compliance with Written Instructions and other communications received through the Electronic Services. With respect to instructions for a transfer of funds issued through the Electronic Services, when instructed to credit or pay a party by both name and a unique numeric or alpha-numeric identifier (e.g. ABA number or account number), the BNYM, its affiliates, and any other bank participating in the funds transfer, may rely solely on the unique identifier, even if it identifies a party different than the party named. Such reliance on a unique identifier shall apply to beneficiaries named in such instructions as well as any financial institution which is designated in such instructions to act as an intermediary in a funds transfer. It is understood and agreed that unless otherwise specifically provided herein, and to the extent permitted by applicable law, the parties hereto shall be bound by the rules of any funds transfer system utilized to effect a funds transfer hereunder.</w:t>
      </w:r>
    </w:p>
    <w:p>
      <w:pPr>
        <w:sectPr>
          <w:pgSz w:w="11900" w:h="16838" w:orient="portrait"/>
          <w:cols w:equalWidth="0" w:num="1">
            <w:col w:w="10956"/>
          </w:cols>
          <w:pgMar w:left="704" w:top="280" w:right="239" w:bottom="1440" w:gutter="0" w:footer="0" w:header="0"/>
        </w:sectPr>
      </w:pPr>
    </w:p>
    <w:bookmarkStart w:id="202" w:name="page203"/>
    <w:bookmarkEnd w:id="202"/>
    <w:p>
      <w:pPr>
        <w:ind w:left="-464" w:right="80" w:firstLine="464"/>
        <w:spacing w:after="0" w:line="255" w:lineRule="auto"/>
        <w:tabs>
          <w:tab w:leader="none" w:pos="16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Acknowledgments</w:t>
      </w:r>
      <w:r>
        <w:rPr>
          <w:rFonts w:ascii="Arial" w:cs="Arial" w:eastAsia="Arial" w:hAnsi="Arial"/>
          <w:sz w:val="18"/>
          <w:szCs w:val="18"/>
          <w:color w:val="auto"/>
        </w:rPr>
        <w:t>. BNYM shall acknowledge through the Electronic Services its receipt of each Written Instruction communicated through the Electronic Services, and in the absence of such acknowledgment BNYM shall not be liable for any failure to act in accordance with such Written Instruction and Fund may not claim that such Written Instruction was received by BNYM. BNYM may in its discretion decline to act upon any instructions or communications that are insufficient or incomplete or are not received by BNYM in sufficient time for BNYM to act upon, or in accordance with such instructions or communications.</w:t>
      </w:r>
    </w:p>
    <w:p>
      <w:pPr>
        <w:spacing w:after="0" w:line="142" w:lineRule="exact"/>
        <w:rPr>
          <w:rFonts w:ascii="Arial" w:cs="Arial" w:eastAsia="Arial" w:hAnsi="Arial"/>
          <w:sz w:val="18"/>
          <w:szCs w:val="18"/>
          <w:color w:val="auto"/>
        </w:rPr>
      </w:pPr>
    </w:p>
    <w:p>
      <w:pPr>
        <w:jc w:val="both"/>
        <w:ind w:left="-464" w:right="300" w:firstLine="464"/>
        <w:spacing w:after="0" w:line="259" w:lineRule="auto"/>
        <w:tabs>
          <w:tab w:leader="none" w:pos="16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Viruses</w:t>
      </w:r>
      <w:r>
        <w:rPr>
          <w:rFonts w:ascii="Arial" w:cs="Arial" w:eastAsia="Arial" w:hAnsi="Arial"/>
          <w:sz w:val="18"/>
          <w:szCs w:val="18"/>
          <w:color w:val="auto"/>
        </w:rPr>
        <w:t>. Fund agrees to use reasonable efforts to prevent the transmission through the Electronic Services of any software or file which contains any viruses, worms, harmful component or corrupted data and agrees not to use any device, software, or routine to interfere or attempt to interfere with the proper working of the Electronic Services.</w:t>
      </w:r>
    </w:p>
    <w:p>
      <w:pPr>
        <w:spacing w:after="0" w:line="140" w:lineRule="exact"/>
        <w:rPr>
          <w:rFonts w:ascii="Arial" w:cs="Arial" w:eastAsia="Arial" w:hAnsi="Arial"/>
          <w:sz w:val="18"/>
          <w:szCs w:val="18"/>
          <w:color w:val="auto"/>
        </w:rPr>
      </w:pPr>
    </w:p>
    <w:p>
      <w:pPr>
        <w:ind w:left="-464" w:right="40" w:firstLine="464"/>
        <w:spacing w:after="0" w:line="259" w:lineRule="auto"/>
        <w:tabs>
          <w:tab w:leader="none" w:pos="16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Encryption</w:t>
      </w:r>
      <w:r>
        <w:rPr>
          <w:rFonts w:ascii="Arial" w:cs="Arial" w:eastAsia="Arial" w:hAnsi="Arial"/>
          <w:sz w:val="18"/>
          <w:szCs w:val="18"/>
          <w:color w:val="auto"/>
        </w:rPr>
        <w:t>. Fund acknowledges and agrees that encryption may not be available for every communication through the Electronic Services, or for all data. Fund agrees that BNYM may deactivate any encryption features at any time, without notice or liability to Fund, for the purpose of maintaining, repairing or troubleshooting its systems.</w:t>
      </w:r>
    </w:p>
    <w:p>
      <w:pPr>
        <w:spacing w:after="0" w:line="140" w:lineRule="exact"/>
        <w:rPr>
          <w:rFonts w:ascii="Arial" w:cs="Arial" w:eastAsia="Arial" w:hAnsi="Arial"/>
          <w:sz w:val="18"/>
          <w:szCs w:val="18"/>
          <w:color w:val="auto"/>
        </w:rPr>
      </w:pPr>
    </w:p>
    <w:p>
      <w:pPr>
        <w:ind w:left="-464" w:firstLine="464"/>
        <w:spacing w:after="0" w:line="294" w:lineRule="auto"/>
        <w:tabs>
          <w:tab w:leader="none" w:pos="255"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On-Line Inquiry and Modification of Records</w:t>
      </w:r>
      <w:r>
        <w:rPr>
          <w:rFonts w:ascii="Arial" w:cs="Arial" w:eastAsia="Arial" w:hAnsi="Arial"/>
          <w:sz w:val="16"/>
          <w:szCs w:val="16"/>
          <w:color w:val="auto"/>
        </w:rPr>
        <w:t>. In connection with Fund’s use of the Electronic Services, BNYM may, at Fund’s request, permit Fund to enter data directly into a BNYM database for the purpose of modifying certain information maintained by BNYM’s systems, including, but not limited to, change of address information. To the extent that Fund is granted such access, Fund agrees to indemnify and hold BNYM harmless from all loss, liability, cost, damage and expense (including attorney’s fees and expenses) to which BNYM may be subjected or which may be incurred in connection with any claim which may arise out of or as a result of changes to BNYM database records initiated by Fund.</w:t>
      </w:r>
    </w:p>
    <w:p>
      <w:pPr>
        <w:spacing w:after="0" w:line="115" w:lineRule="exact"/>
        <w:rPr>
          <w:rFonts w:ascii="Arial" w:cs="Arial" w:eastAsia="Arial" w:hAnsi="Arial"/>
          <w:sz w:val="16"/>
          <w:szCs w:val="16"/>
          <w:color w:val="auto"/>
        </w:rPr>
      </w:pPr>
    </w:p>
    <w:p>
      <w:pPr>
        <w:ind w:left="-464" w:right="20" w:firstLine="464"/>
        <w:spacing w:after="0" w:line="286" w:lineRule="auto"/>
        <w:tabs>
          <w:tab w:leader="none" w:pos="249"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Agents.</w:t>
      </w:r>
      <w:r>
        <w:rPr>
          <w:rFonts w:ascii="Arial" w:cs="Arial" w:eastAsia="Arial" w:hAnsi="Arial"/>
          <w:sz w:val="16"/>
          <w:szCs w:val="16"/>
          <w:color w:val="auto"/>
        </w:rPr>
        <w:t xml:space="preserve"> Fund may, on advance written notice to the BNYM, permit its agents and contractors (“Agents”) to access and use the Electronic Services on Fund’s behalf, except that the BNYM reserves the right to prohibit Fund’s use of any particular Agent for any reason. Fund shall require its Agent(s) to agree in writing to be bound by the terms of the Agreement, and Fund shall be liable and responsible for any act or omission of such Agent in the same manner, and to the same extent, as though such act or omission were that of Fund. Each submission of a Written Instruction or other communication by the Agent through the Electronic Services shall constitute a representation and warranty by the Fund that the Agent continues to be duly authorized by the Fund to so act on its behalf and the BNYM may rely on the representations and warranties made herein in complying with such Written Instruction or communication. Any Written Instruction or other communication through the Electronic Services by an Agent shall be deemed that of Fund, and Fund shall be bound thereby whether or not authorized. Fund may, subject to the terms of this Agreement and upon advance written notice to the Bank, provide a copy of the Electronic Service user manuals to its Agent if the Agent requires such copies to use the Electronic Services on Fund’s behalf. Upon cessation of any such Agent’s services, Fund shall promptly terminate such Agent’s access to the Electronic Services, retrieve from the Agent any copies of the manuals and destroy them, and retrieve from the Agent any token cards or other security devices provided by BNYM and return them to BNYM.</w:t>
      </w:r>
    </w:p>
    <w:p>
      <w:pPr>
        <w:sectPr>
          <w:pgSz w:w="11900" w:h="16838" w:orient="portrait"/>
          <w:cols w:equalWidth="0" w:num="1">
            <w:col w:w="10916"/>
          </w:cols>
          <w:pgMar w:left="704" w:top="280" w:right="279" w:bottom="1440" w:gutter="0" w:footer="0" w:header="0"/>
        </w:sectPr>
      </w:pPr>
    </w:p>
    <w:bookmarkStart w:id="203" w:name="page204"/>
    <w:bookmarkEnd w:id="203"/>
    <w:p>
      <w:pPr>
        <w:jc w:val="center"/>
        <w:ind w:right="-2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The following persons, whether or not an officer or employee of the Fund, are hereby designated Authorized Persons under the Administrative Services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sz w:val="20"/>
                <w:szCs w:val="20"/>
                <w:color w:val="auto"/>
              </w:rPr>
            </w:pPr>
            <w:r>
              <w:rPr>
                <w:rFonts w:ascii="Arial" w:cs="Arial" w:eastAsia="Arial" w:hAnsi="Arial"/>
                <w:sz w:val="18"/>
                <w:szCs w:val="18"/>
                <w:color w:val="auto"/>
                <w:w w:val="88"/>
              </w:rPr>
              <w:t>Agreement dated as of</w:t>
            </w:r>
          </w:p>
        </w:tc>
        <w:tc>
          <w:tcPr>
            <w:tcW w:w="520" w:type="dxa"/>
            <w:vAlign w:val="bottom"/>
          </w:tcPr>
          <w:p>
            <w:pPr>
              <w:spacing w:after="0"/>
              <w:rPr>
                <w:sz w:val="17"/>
                <w:szCs w:val="17"/>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w w:val="96"/>
              </w:rPr>
              <w:t>, 200  , between the Fund and The Bank of New York Mellon</w:t>
            </w:r>
          </w:p>
        </w:tc>
        <w:tc>
          <w:tcPr>
            <w:tcW w:w="1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37"/>
        </w:trPr>
        <w:tc>
          <w:tcPr>
            <w:tcW w:w="1640" w:type="dxa"/>
            <w:vAlign w:val="bottom"/>
            <w:gridSpan w:val="2"/>
          </w:tcPr>
          <w:p>
            <w:pPr>
              <w:spacing w:after="0"/>
              <w:rPr>
                <w:sz w:val="20"/>
                <w:szCs w:val="20"/>
                <w:color w:val="auto"/>
              </w:rPr>
            </w:pPr>
            <w:r>
              <w:rPr>
                <w:rFonts w:ascii="Arial" w:cs="Arial" w:eastAsia="Arial" w:hAnsi="Arial"/>
                <w:sz w:val="18"/>
                <w:szCs w:val="18"/>
                <w:color w:val="auto"/>
              </w:rPr>
              <w:t>Name</w:t>
            </w:r>
          </w:p>
        </w:tc>
        <w:tc>
          <w:tcPr>
            <w:tcW w:w="5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Company</w:t>
            </w:r>
          </w:p>
        </w:tc>
        <w:tc>
          <w:tcPr>
            <w:tcW w:w="2860" w:type="dxa"/>
            <w:vAlign w:val="bottom"/>
            <w:gridSpan w:val="2"/>
          </w:tcPr>
          <w:p>
            <w:pPr>
              <w:ind w:left="1980"/>
              <w:spacing w:after="0"/>
              <w:rPr>
                <w:sz w:val="20"/>
                <w:szCs w:val="20"/>
                <w:color w:val="auto"/>
              </w:rPr>
            </w:pPr>
            <w:r>
              <w:rPr>
                <w:rFonts w:ascii="Arial" w:cs="Arial" w:eastAsia="Arial" w:hAnsi="Arial"/>
                <w:sz w:val="18"/>
                <w:szCs w:val="18"/>
                <w:color w:val="auto"/>
              </w:rPr>
              <w:t>Signature</w:t>
            </w:r>
          </w:p>
        </w:tc>
        <w:tc>
          <w:tcPr>
            <w:tcW w:w="19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Phone No.</w:t>
            </w:r>
          </w:p>
        </w:tc>
      </w:tr>
      <w:tr>
        <w:trPr>
          <w:trHeight w:val="394"/>
        </w:trPr>
        <w:tc>
          <w:tcPr>
            <w:tcW w:w="88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412"/>
        </w:trPr>
        <w:tc>
          <w:tcPr>
            <w:tcW w:w="88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412"/>
        </w:trPr>
        <w:tc>
          <w:tcPr>
            <w:tcW w:w="88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412"/>
        </w:trPr>
        <w:tc>
          <w:tcPr>
            <w:tcW w:w="88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412"/>
        </w:trPr>
        <w:tc>
          <w:tcPr>
            <w:tcW w:w="88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412"/>
        </w:trPr>
        <w:tc>
          <w:tcPr>
            <w:tcW w:w="88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1120"/>
          </w:cols>
          <w:pgMar w:left="240" w:top="280" w:right="539" w:bottom="1440" w:gutter="0" w:footer="0" w:header="0"/>
        </w:sectPr>
      </w:pPr>
    </w:p>
    <w:bookmarkStart w:id="204" w:name="page205"/>
    <w:bookmarkEnd w:id="204"/>
    <w:p>
      <w:pPr>
        <w:ind w:left="5272"/>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ind w:left="5312"/>
        <w:spacing w:after="0"/>
        <w:rPr>
          <w:sz w:val="20"/>
          <w:szCs w:val="20"/>
          <w:color w:val="auto"/>
        </w:rPr>
      </w:pPr>
      <w:r>
        <w:rPr>
          <w:rFonts w:ascii="Arial" w:cs="Arial" w:eastAsia="Arial" w:hAnsi="Arial"/>
          <w:sz w:val="18"/>
          <w:szCs w:val="18"/>
          <w:u w:val="single" w:color="auto"/>
          <w:color w:val="auto"/>
        </w:rPr>
        <w:t>Documents</w:t>
      </w:r>
    </w:p>
    <w:p>
      <w:pPr>
        <w:spacing w:after="0" w:line="171" w:lineRule="exact"/>
        <w:rPr>
          <w:sz w:val="20"/>
          <w:szCs w:val="20"/>
          <w:color w:val="auto"/>
        </w:rPr>
      </w:pPr>
    </w:p>
    <w:p>
      <w:pPr>
        <w:ind w:left="172" w:hanging="172"/>
        <w:spacing w:after="0"/>
        <w:tabs>
          <w:tab w:leader="none" w:pos="17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Fund’s Organizational Documents and all amendments thereto.</w:t>
      </w:r>
    </w:p>
    <w:p>
      <w:pPr>
        <w:spacing w:after="0" w:line="171" w:lineRule="exact"/>
        <w:rPr>
          <w:rFonts w:ascii="Arial" w:cs="Arial" w:eastAsia="Arial" w:hAnsi="Arial"/>
          <w:sz w:val="18"/>
          <w:szCs w:val="18"/>
          <w:color w:val="auto"/>
        </w:rPr>
      </w:pPr>
    </w:p>
    <w:p>
      <w:pPr>
        <w:ind w:left="172" w:hanging="172"/>
        <w:spacing w:after="0"/>
        <w:tabs>
          <w:tab w:leader="none" w:pos="17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Fund Offering Materials.</w:t>
      </w:r>
    </w:p>
    <w:p>
      <w:pPr>
        <w:spacing w:after="0" w:line="171" w:lineRule="exact"/>
        <w:rPr>
          <w:rFonts w:ascii="Arial" w:cs="Arial" w:eastAsia="Arial" w:hAnsi="Arial"/>
          <w:sz w:val="18"/>
          <w:szCs w:val="18"/>
          <w:color w:val="auto"/>
        </w:rPr>
      </w:pPr>
    </w:p>
    <w:p>
      <w:pPr>
        <w:ind w:left="-8" w:firstLine="8"/>
        <w:spacing w:after="0" w:line="268" w:lineRule="auto"/>
        <w:tabs>
          <w:tab w:leader="none" w:pos="16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investment advisory, custodian, prime brokerage or similar contract or agreement between any of the Fund and any other party, including any contract or agreement described in the Offering Materials.</w:t>
      </w:r>
    </w:p>
    <w:p>
      <w:pPr>
        <w:sectPr>
          <w:pgSz w:w="11900" w:h="16838" w:orient="portrait"/>
          <w:cols w:equalWidth="0" w:num="1">
            <w:col w:w="11252"/>
          </w:cols>
          <w:pgMar w:left="248" w:top="280" w:right="399" w:bottom="1440" w:gutter="0" w:footer="0" w:header="0"/>
        </w:sectPr>
      </w:pPr>
    </w:p>
    <w:bookmarkStart w:id="205" w:name="page206"/>
    <w:bookmarkEnd w:id="20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SERVICES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Sub-Administration Services on a Continuous Basis</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Sub-Administrator will perform the following sub-administration services with respect to the Fund:</w:t>
      </w:r>
    </w:p>
    <w:p>
      <w:pPr>
        <w:spacing w:after="0" w:line="171" w:lineRule="exact"/>
        <w:rPr>
          <w:sz w:val="20"/>
          <w:szCs w:val="20"/>
          <w:color w:val="auto"/>
        </w:rPr>
      </w:pPr>
    </w:p>
    <w:p>
      <w:pPr>
        <w:ind w:left="220" w:hanging="212"/>
        <w:spacing w:after="0"/>
        <w:tabs>
          <w:tab w:leader="none" w:pos="2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Supply various normal and customary Fund statistical data as requested on an ongoing basis;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Prepare for execution the Fund’s Federal and state tax returns;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Assist the Fund during SEC audits, including provision of documents in the possession of the Sub-Administrator and on the SEC’s “document request” lists;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(vi) Monitor the Fund’s status as a regulated investment company under Sub-chapter M of the Internal Revenue Code of 1986,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Accounting Services on a Continuous Basis.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BNYM-AIS will perform the following accounting services with respect to the Fund:</w:t>
      </w:r>
    </w:p>
    <w:p>
      <w:pPr>
        <w:spacing w:after="0" w:line="171" w:lineRule="exact"/>
        <w:rPr>
          <w:sz w:val="20"/>
          <w:szCs w:val="20"/>
          <w:color w:val="auto"/>
        </w:rPr>
      </w:pPr>
    </w:p>
    <w:p>
      <w:pPr>
        <w:ind w:left="220" w:hanging="212"/>
        <w:spacing w:after="0"/>
        <w:tabs>
          <w:tab w:leader="none" w:pos="2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Journalize investment, capital share and income and expense activities;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Verify investment buy/sell trade tickets when received from the investment adviser for the Fund (the “Adviser”);</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Maintain individual ledgers for investment securities;</w:t>
      </w:r>
    </w:p>
    <w:p>
      <w:pPr>
        <w:spacing w:after="0" w:line="171" w:lineRule="exact"/>
        <w:rPr>
          <w:rFonts w:ascii="Arial" w:cs="Arial" w:eastAsia="Arial" w:hAnsi="Arial"/>
          <w:sz w:val="18"/>
          <w:szCs w:val="18"/>
          <w:color w:val="auto"/>
        </w:rPr>
      </w:pPr>
    </w:p>
    <w:p>
      <w:pPr>
        <w:ind w:left="300" w:hanging="292"/>
        <w:spacing w:after="0"/>
        <w:tabs>
          <w:tab w:leader="none" w:pos="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Maintain historical tax lots for each security;</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Reconcile cash and investment balances with the Custodian, and provide the Adviser with the beginning cash balance available for investment purposes;</w:t>
      </w:r>
    </w:p>
    <w:p>
      <w:pPr>
        <w:spacing w:after="0" w:line="194" w:lineRule="exact"/>
        <w:rPr>
          <w:rFonts w:ascii="Arial" w:cs="Arial" w:eastAsia="Arial" w:hAnsi="Arial"/>
          <w:sz w:val="16"/>
          <w:szCs w:val="16"/>
          <w:color w:val="auto"/>
        </w:rPr>
      </w:pPr>
    </w:p>
    <w:p>
      <w:pPr>
        <w:ind w:left="300" w:hanging="292"/>
        <w:spacing w:after="0"/>
        <w:tabs>
          <w:tab w:leader="none" w:pos="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Prepare the financial data only for the Fund’s Form 10-K and 10-Q;</w:t>
      </w:r>
    </w:p>
    <w:p>
      <w:pPr>
        <w:spacing w:after="0" w:line="171" w:lineRule="exact"/>
        <w:rPr>
          <w:rFonts w:ascii="Arial" w:cs="Arial" w:eastAsia="Arial" w:hAnsi="Arial"/>
          <w:sz w:val="18"/>
          <w:szCs w:val="18"/>
          <w:color w:val="auto"/>
        </w:rPr>
      </w:pPr>
    </w:p>
    <w:p>
      <w:pPr>
        <w:ind w:left="360" w:hanging="352"/>
        <w:spacing w:after="0"/>
        <w:tabs>
          <w:tab w:leader="none" w:pos="3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Update the cash availability as required by the Adviser;</w:t>
      </w:r>
    </w:p>
    <w:p>
      <w:pPr>
        <w:sectPr>
          <w:pgSz w:w="11900" w:h="16838" w:orient="portrait"/>
          <w:cols w:equalWidth="0" w:num="1">
            <w:col w:w="11320"/>
          </w:cols>
          <w:pgMar w:left="240" w:top="274" w:right="339" w:bottom="1440" w:gutter="0" w:footer="0" w:header="0"/>
        </w:sectPr>
      </w:pPr>
    </w:p>
    <w:bookmarkStart w:id="206" w:name="page207"/>
    <w:bookmarkEnd w:id="206"/>
    <w:p>
      <w:pPr>
        <w:ind w:left="400" w:hanging="392"/>
        <w:spacing w:after="0"/>
        <w:tabs>
          <w:tab w:leader="none" w:pos="4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Calculate various contractual expenses (e.g. advisory and custody fees);</w:t>
      </w:r>
    </w:p>
    <w:p>
      <w:pPr>
        <w:spacing w:after="0" w:line="171" w:lineRule="exact"/>
        <w:rPr>
          <w:rFonts w:ascii="Arial" w:cs="Arial" w:eastAsia="Arial" w:hAnsi="Arial"/>
          <w:sz w:val="18"/>
          <w:szCs w:val="18"/>
          <w:color w:val="auto"/>
        </w:rPr>
      </w:pPr>
    </w:p>
    <w:p>
      <w:pPr>
        <w:ind w:left="300" w:hanging="292"/>
        <w:spacing w:after="0"/>
        <w:tabs>
          <w:tab w:leader="none" w:pos="3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Monitor the expense accruals and notify an officer of the Fund of any proposed adjustments;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Control all disbursements and authorize such disbursements upon Written Instructions;</w:t>
      </w:r>
    </w:p>
    <w:p>
      <w:pPr>
        <w:spacing w:after="0" w:line="171" w:lineRule="exact"/>
        <w:rPr>
          <w:rFonts w:ascii="Arial" w:cs="Arial" w:eastAsia="Arial" w:hAnsi="Arial"/>
          <w:sz w:val="18"/>
          <w:szCs w:val="18"/>
          <w:color w:val="auto"/>
        </w:rPr>
      </w:pPr>
    </w:p>
    <w:p>
      <w:pPr>
        <w:ind w:left="300" w:hanging="292"/>
        <w:spacing w:after="0"/>
        <w:tabs>
          <w:tab w:leader="none" w:pos="3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Calculate capital gains and losses;</w:t>
      </w:r>
    </w:p>
    <w:p>
      <w:pPr>
        <w:spacing w:after="0" w:line="171" w:lineRule="exact"/>
        <w:rPr>
          <w:rFonts w:ascii="Arial" w:cs="Arial" w:eastAsia="Arial" w:hAnsi="Arial"/>
          <w:sz w:val="18"/>
          <w:szCs w:val="18"/>
          <w:color w:val="auto"/>
        </w:rPr>
      </w:pPr>
    </w:p>
    <w:p>
      <w:pPr>
        <w:ind w:left="360" w:hanging="352"/>
        <w:spacing w:after="0"/>
        <w:tabs>
          <w:tab w:leader="none" w:pos="3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Determine net income;</w:t>
      </w:r>
    </w:p>
    <w:p>
      <w:pPr>
        <w:spacing w:after="0" w:line="171" w:lineRule="exact"/>
        <w:rPr>
          <w:rFonts w:ascii="Arial" w:cs="Arial" w:eastAsia="Arial" w:hAnsi="Arial"/>
          <w:sz w:val="18"/>
          <w:szCs w:val="18"/>
          <w:color w:val="auto"/>
        </w:rPr>
      </w:pPr>
    </w:p>
    <w:p>
      <w:pPr>
        <w:ind w:right="120" w:firstLine="8"/>
        <w:spacing w:after="0" w:line="268" w:lineRule="auto"/>
        <w:tabs>
          <w:tab w:leader="none" w:pos="39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Obtain security market quotes from independent pricing services approved by the Adviser, or if such quotes are unavailable, then obtain such prices from the Adviser, and in either case calculate the market value of the Fund’s investments;</w:t>
      </w:r>
    </w:p>
    <w:p>
      <w:pPr>
        <w:spacing w:after="0" w:line="131" w:lineRule="exact"/>
        <w:rPr>
          <w:rFonts w:ascii="Arial" w:cs="Arial" w:eastAsia="Arial" w:hAnsi="Arial"/>
          <w:sz w:val="18"/>
          <w:szCs w:val="18"/>
          <w:color w:val="auto"/>
        </w:rPr>
      </w:pPr>
    </w:p>
    <w:p>
      <w:pPr>
        <w:ind w:left="400" w:hanging="392"/>
        <w:spacing w:after="0"/>
        <w:tabs>
          <w:tab w:leader="none" w:pos="4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Transmit or mail a copy of the daily portfolio valuation to the Adviser;</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Compute net asset value;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As appropriate, compute yields, total return, expense ratios, portfolio turnover rate, and, if required, portfolio average dollar-weighted maturity.</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BNYM-AIS will bear no responsibility for the Fund’s compliance with business development company requirements under the 1940 Act to the extent such requirements are in place of, in addition to, or different from those of registered investment companies that are not business development companies or except as otherwise agreed in writing.</w:t>
      </w:r>
    </w:p>
    <w:p>
      <w:pPr>
        <w:sectPr>
          <w:pgSz w:w="11900" w:h="16838" w:orient="portrait"/>
          <w:cols w:equalWidth="0" w:num="1">
            <w:col w:w="11300"/>
          </w:cols>
          <w:pgMar w:left="240" w:top="280" w:right="35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8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consent to the use of our report, dated March 4, 2011, included herein and to the references to our firm under the headings “Independent Registered Public Accounting Firm” in the prospectus.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KPMG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28, 2011</w:t>
      </w:r>
    </w:p>
    <w:p>
      <w:pPr>
        <w:sectPr>
          <w:pgSz w:w="11900" w:h="16838" w:orient="portrait"/>
          <w:cols w:equalWidth="0" w:num="1">
            <w:col w:w="11420"/>
          </w:cols>
          <w:pgMar w:left="240" w:top="126"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(r)(1)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CODE OF ETHICS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ADVISERS, LLC</w:t>
      </w:r>
    </w:p>
    <w:p>
      <w:pPr>
        <w:spacing w:after="0" w:line="1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Section I</w:t>
      </w:r>
      <w:r>
        <w:rPr>
          <w:sz w:val="20"/>
          <w:szCs w:val="20"/>
          <w:color w:val="auto"/>
        </w:rPr>
        <w:tab/>
      </w:r>
      <w:r>
        <w:rPr>
          <w:rFonts w:ascii="Arial" w:cs="Arial" w:eastAsia="Arial" w:hAnsi="Arial"/>
          <w:sz w:val="16"/>
          <w:szCs w:val="16"/>
          <w:b w:val="1"/>
          <w:bCs w:val="1"/>
          <w:color w:val="auto"/>
        </w:rPr>
        <w:t>Statement of General Fiduciary Principles</w:t>
      </w:r>
    </w:p>
    <w:p>
      <w:pPr>
        <w:spacing w:after="0" w:line="96" w:lineRule="exact"/>
        <w:rPr>
          <w:sz w:val="20"/>
          <w:szCs w:val="20"/>
          <w:color w:val="auto"/>
        </w:rPr>
      </w:pPr>
    </w:p>
    <w:p>
      <w:pPr>
        <w:ind w:right="20" w:firstLine="913"/>
        <w:spacing w:after="0" w:line="312" w:lineRule="auto"/>
        <w:rPr>
          <w:sz w:val="20"/>
          <w:szCs w:val="20"/>
          <w:color w:val="auto"/>
        </w:rPr>
      </w:pPr>
      <w:r>
        <w:rPr>
          <w:rFonts w:ascii="Arial" w:cs="Arial" w:eastAsia="Arial" w:hAnsi="Arial"/>
          <w:sz w:val="15"/>
          <w:szCs w:val="15"/>
          <w:color w:val="auto"/>
        </w:rPr>
        <w:t>This Joint Code of Ethics (the “Code”) has been adopted by each of PennantPark Floating Rate Capital Ltd. (the “Corporation”), and PennantPark Investment Advisers, LLC, the Corporation’s investment adviser (the “Adviser”), in compliance with Rule 17j-1 under the Investment Company Act of 1940, as amended (the “1940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 may abuse their fiduciary duty to the Corporation,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0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The Code is based on the principle that the directors and officers of the Corporation, and the managers, partners, officers and employees of the Adviser, who provide services to the Corporation, owe a fiduciary duty to the Corporation to conduct their personal securities transactions in a manner that does not interfere with the Corporation’s transactions or otherwise take unfair advantage of their relationship with the Corporation. All directors, managers, partners, officers and employees of the Corporation,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12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Covered Personnel must read and retain this Code.</w:t>
      </w:r>
    </w:p>
    <w:p>
      <w:pPr>
        <w:spacing w:after="0" w:line="24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Section II</w:t>
      </w:r>
      <w:r>
        <w:rPr>
          <w:sz w:val="20"/>
          <w:szCs w:val="20"/>
          <w:color w:val="auto"/>
        </w:rPr>
        <w:tab/>
      </w:r>
      <w:r>
        <w:rPr>
          <w:rFonts w:ascii="Arial" w:cs="Arial" w:eastAsia="Arial" w:hAnsi="Arial"/>
          <w:sz w:val="15"/>
          <w:szCs w:val="15"/>
          <w:b w:val="1"/>
          <w:bCs w:val="1"/>
          <w:color w:val="auto"/>
        </w:rPr>
        <w:t>Definitions</w:t>
      </w:r>
    </w:p>
    <w:p>
      <w:pPr>
        <w:spacing w:after="0" w:line="96" w:lineRule="exact"/>
        <w:rPr>
          <w:sz w:val="20"/>
          <w:szCs w:val="20"/>
          <w:color w:val="auto"/>
        </w:rPr>
      </w:pPr>
    </w:p>
    <w:p>
      <w:pPr>
        <w:ind w:left="900" w:hanging="446"/>
        <w:spacing w:after="0"/>
        <w:tabs>
          <w:tab w:leader="none" w:pos="9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“Access Person” means any director, officer, general partner or Advisory Person (as defined below) of the Corporation or the Adviser.</w:t>
      </w:r>
    </w:p>
    <w:p>
      <w:pPr>
        <w:sectPr>
          <w:pgSz w:w="11900" w:h="16838" w:orient="portrait"/>
          <w:cols w:equalWidth="0" w:num="1">
            <w:col w:w="11420"/>
          </w:cols>
          <w:pgMar w:left="240" w:top="125" w:right="239" w:bottom="1440" w:gutter="0" w:footer="0" w:header="0"/>
        </w:sectPr>
      </w:pPr>
    </w:p>
    <w:bookmarkStart w:id="209" w:name="page210"/>
    <w:bookmarkEnd w:id="209"/>
    <w:p>
      <w:pPr>
        <w:ind w:left="446" w:right="40" w:hanging="446"/>
        <w:spacing w:after="0" w:line="254" w:lineRule="auto"/>
        <w:tabs>
          <w:tab w:leader="none" w:pos="446"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63" w:lineRule="exact"/>
        <w:rPr>
          <w:rFonts w:ascii="Arial" w:cs="Arial" w:eastAsia="Arial" w:hAnsi="Arial"/>
          <w:sz w:val="18"/>
          <w:szCs w:val="18"/>
          <w:color w:val="auto"/>
        </w:rPr>
      </w:pPr>
    </w:p>
    <w:p>
      <w:pPr>
        <w:ind w:left="446" w:right="380" w:hanging="446"/>
        <w:spacing w:after="0" w:line="259" w:lineRule="auto"/>
        <w:tabs>
          <w:tab w:leader="none" w:pos="44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59" w:lineRule="exact"/>
        <w:rPr>
          <w:rFonts w:ascii="Arial" w:cs="Arial" w:eastAsia="Arial" w:hAnsi="Arial"/>
          <w:sz w:val="18"/>
          <w:szCs w:val="18"/>
          <w:color w:val="auto"/>
        </w:rPr>
      </w:pPr>
    </w:p>
    <w:p>
      <w:pPr>
        <w:ind w:left="446" w:right="220" w:hanging="446"/>
        <w:spacing w:after="0" w:line="306" w:lineRule="auto"/>
        <w:tabs>
          <w:tab w:leader="none" w:pos="44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“Chief Compliance Officer” means the Chief Compliance Officer of the Corporation (who also may serve as the compliance officer of the Adviser and/or one or more affiliates of the Adviser). Corporation shall initially have no Chief Compliance Officer. Prior to the completion of the Corporation’s initial public offering, the Corporation will appoint a Chief Compliance Officer or appoint a company to act in that capacity.</w:t>
      </w:r>
    </w:p>
    <w:p>
      <w:pPr>
        <w:spacing w:after="0" w:line="25" w:lineRule="exact"/>
        <w:rPr>
          <w:rFonts w:ascii="Arial" w:cs="Arial" w:eastAsia="Arial" w:hAnsi="Arial"/>
          <w:sz w:val="16"/>
          <w:szCs w:val="16"/>
          <w:color w:val="auto"/>
        </w:rPr>
      </w:pPr>
    </w:p>
    <w:p>
      <w:pPr>
        <w:ind w:left="446" w:hanging="446"/>
        <w:spacing w:after="0"/>
        <w:tabs>
          <w:tab w:leader="none" w:pos="44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“Control” shall have the same meaning as that set forth in Section 2(a)(9) of the 1940 Act.</w:t>
      </w:r>
    </w:p>
    <w:p>
      <w:pPr>
        <w:spacing w:after="0" w:line="90" w:lineRule="exact"/>
        <w:rPr>
          <w:rFonts w:ascii="Arial" w:cs="Arial" w:eastAsia="Arial" w:hAnsi="Arial"/>
          <w:sz w:val="18"/>
          <w:szCs w:val="18"/>
          <w:color w:val="auto"/>
        </w:rPr>
      </w:pPr>
    </w:p>
    <w:p>
      <w:pPr>
        <w:ind w:left="446" w:hanging="446"/>
        <w:spacing w:after="0" w:line="289" w:lineRule="auto"/>
        <w:tabs>
          <w:tab w:leader="none" w:pos="44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“Covered Security” means a security as defined in Section 2(a)(36) of the 1940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37" w:lineRule="exact"/>
        <w:rPr>
          <w:sz w:val="20"/>
          <w:szCs w:val="20"/>
          <w:color w:val="auto"/>
        </w:rPr>
      </w:pPr>
    </w:p>
    <w:p>
      <w:pPr>
        <w:ind w:left="466" w:right="240"/>
        <w:spacing w:after="0" w:line="259" w:lineRule="auto"/>
        <w:rPr>
          <w:sz w:val="20"/>
          <w:szCs w:val="20"/>
          <w:color w:val="auto"/>
        </w:rPr>
      </w:pPr>
      <w:r>
        <w:rPr>
          <w:rFonts w:ascii="Arial" w:cs="Arial" w:eastAsia="Arial" w:hAnsi="Arial"/>
          <w:sz w:val="18"/>
          <w:szCs w:val="18"/>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w:t>
      </w:r>
    </w:p>
    <w:p>
      <w:pPr>
        <w:spacing w:after="0" w:line="12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6"/>
          </w:cols>
          <w:pgMar w:left="694" w:top="280" w:right="239" w:bottom="1440" w:gutter="0" w:footer="0" w:header="0"/>
        </w:sectPr>
      </w:pPr>
    </w:p>
    <w:bookmarkStart w:id="210" w:name="page211"/>
    <w:bookmarkEnd w:id="210"/>
    <w:p>
      <w:pPr>
        <w:ind w:left="920"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registered under the 1940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37" w:lineRule="exact"/>
        <w:rPr>
          <w:sz w:val="20"/>
          <w:szCs w:val="20"/>
          <w:color w:val="auto"/>
        </w:rPr>
      </w:pPr>
    </w:p>
    <w:p>
      <w:pPr>
        <w:ind w:left="900" w:right="80" w:hanging="446"/>
        <w:spacing w:after="0" w:line="268"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“Independent Director” means a director of the Corporation who is not an “interested person” of the Corporation within the meaning of Section 2(a) (19) of the 1940 Act.</w:t>
      </w:r>
    </w:p>
    <w:p>
      <w:pPr>
        <w:spacing w:after="0" w:line="50" w:lineRule="exact"/>
        <w:rPr>
          <w:rFonts w:ascii="Arial" w:cs="Arial" w:eastAsia="Arial" w:hAnsi="Arial"/>
          <w:sz w:val="18"/>
          <w:szCs w:val="18"/>
          <w:color w:val="auto"/>
        </w:rPr>
      </w:pPr>
    </w:p>
    <w:p>
      <w:pPr>
        <w:ind w:left="900" w:right="820" w:hanging="446"/>
        <w:spacing w:after="0" w:line="332" w:lineRule="auto"/>
        <w:tabs>
          <w:tab w:leader="none" w:pos="90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4" w:lineRule="exact"/>
        <w:rPr>
          <w:rFonts w:ascii="Arial" w:cs="Arial" w:eastAsia="Arial" w:hAnsi="Arial"/>
          <w:sz w:val="16"/>
          <w:szCs w:val="16"/>
          <w:color w:val="auto"/>
        </w:rPr>
      </w:pPr>
    </w:p>
    <w:p>
      <w:pPr>
        <w:ind w:left="900" w:right="600" w:hanging="446"/>
        <w:spacing w:after="0" w:line="268"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“Limited Offering” means an offering that is exempt from registration under the 1933 Act pursuant to Section 4(2) or Section 4(6) thereof or pursuant to Rule 504, Rule 505, or Rule 506 thereunder.</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“Security Held or to be Acquired” by the Corporation means: (i) any Covered Security which, within the most recent 15 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“17j-1 Organization” means the Corporation or the Adviser, as the context requires.</w:t>
      </w:r>
    </w:p>
    <w:p>
      <w:pPr>
        <w:spacing w:after="0" w:line="2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III</w:t>
      </w:r>
      <w:r>
        <w:rPr>
          <w:sz w:val="20"/>
          <w:szCs w:val="20"/>
          <w:color w:val="auto"/>
        </w:rPr>
        <w:tab/>
      </w:r>
      <w:r>
        <w:rPr>
          <w:rFonts w:ascii="Arial" w:cs="Arial" w:eastAsia="Arial" w:hAnsi="Arial"/>
          <w:sz w:val="15"/>
          <w:szCs w:val="15"/>
          <w:b w:val="1"/>
          <w:bCs w:val="1"/>
          <w:color w:val="auto"/>
        </w:rPr>
        <w:t>Objective and General Prohibitions</w:t>
      </w:r>
    </w:p>
    <w:p>
      <w:pPr>
        <w:spacing w:after="0" w:line="96"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211" w:name="page212"/>
    <w:bookmarkEnd w:id="211"/>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32" w:lineRule="exact"/>
        <w:rPr>
          <w:sz w:val="20"/>
          <w:szCs w:val="20"/>
          <w:color w:val="auto"/>
        </w:rPr>
      </w:pPr>
    </w:p>
    <w:p>
      <w:pPr>
        <w:ind w:left="1480" w:hanging="567"/>
        <w:spacing w:after="0"/>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employ any device, scheme or artifice to defraud the Corporation;</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engage in any act, practice or course of business that operates or would operate as a fraud or deceit upon the Corporation; or</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engage in any manipulative practice with respect to the Corporation.</w:t>
      </w:r>
    </w:p>
    <w:p>
      <w:pPr>
        <w:spacing w:after="0" w:line="171"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Section IV</w:t>
      </w:r>
      <w:r>
        <w:rPr>
          <w:sz w:val="20"/>
          <w:szCs w:val="20"/>
          <w:color w:val="auto"/>
        </w:rPr>
        <w:tab/>
      </w:r>
      <w:r>
        <w:rPr>
          <w:rFonts w:ascii="Arial" w:cs="Arial" w:eastAsia="Arial" w:hAnsi="Arial"/>
          <w:sz w:val="15"/>
          <w:szCs w:val="15"/>
          <w:b w:val="1"/>
          <w:bCs w:val="1"/>
          <w:color w:val="auto"/>
        </w:rPr>
        <w:t>Prohibited Transactions</w:t>
      </w:r>
    </w:p>
    <w:p>
      <w:pPr>
        <w:spacing w:after="0" w:line="96" w:lineRule="exact"/>
        <w:rPr>
          <w:sz w:val="20"/>
          <w:szCs w:val="20"/>
          <w:color w:val="auto"/>
        </w:rPr>
      </w:pPr>
    </w:p>
    <w:p>
      <w:pPr>
        <w:ind w:left="900" w:right="80" w:hanging="446"/>
        <w:spacing w:after="0" w:line="291" w:lineRule="auto"/>
        <w:tabs>
          <w:tab w:leader="none" w:pos="9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 Access Person may not purchase or otherwise acquire direct or indirect Beneficial Ownership of any Covered Security, and may not sell or otherwise dispose of any Covered Security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39" w:lineRule="exact"/>
        <w:rPr>
          <w:rFonts w:ascii="Arial" w:cs="Arial" w:eastAsia="Arial" w:hAnsi="Arial"/>
          <w:sz w:val="16"/>
          <w:szCs w:val="16"/>
          <w:color w:val="auto"/>
        </w:rPr>
      </w:pPr>
    </w:p>
    <w:p>
      <w:pPr>
        <w:ind w:left="900" w:right="100" w:hanging="446"/>
        <w:spacing w:after="0" w:line="256"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62"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 Access Person shall recommend any transaction in any Covered Securities by the Corporation without having disclosed to the Chief Compliance Officer his or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212" w:name="page213"/>
    <w:bookmarkEnd w:id="212"/>
    <w:p>
      <w:pPr>
        <w:jc w:val="both"/>
        <w:ind w:left="920"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21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V</w:t>
      </w:r>
      <w:r>
        <w:rPr>
          <w:sz w:val="20"/>
          <w:szCs w:val="20"/>
          <w:color w:val="auto"/>
        </w:rPr>
        <w:tab/>
      </w:r>
      <w:r>
        <w:rPr>
          <w:rFonts w:ascii="Arial" w:cs="Arial" w:eastAsia="Arial" w:hAnsi="Arial"/>
          <w:sz w:val="15"/>
          <w:szCs w:val="15"/>
          <w:b w:val="1"/>
          <w:bCs w:val="1"/>
          <w:color w:val="auto"/>
        </w:rPr>
        <w:t>Reports by Access Persons</w:t>
      </w:r>
    </w:p>
    <w:p>
      <w:pPr>
        <w:spacing w:after="0" w:line="96" w:lineRule="exact"/>
        <w:rPr>
          <w:sz w:val="20"/>
          <w:szCs w:val="20"/>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Personal Securities Holdings Reports.</w:t>
      </w:r>
    </w:p>
    <w:p>
      <w:pPr>
        <w:spacing w:after="0" w:line="90"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240" w:lineRule="exact"/>
        <w:rPr>
          <w:sz w:val="20"/>
          <w:szCs w:val="20"/>
          <w:color w:val="auto"/>
        </w:rPr>
      </w:pPr>
    </w:p>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Quarterly Transaction Reports.</w:t>
      </w:r>
    </w:p>
    <w:p>
      <w:pPr>
        <w:spacing w:after="0" w:line="9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Within 10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14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132" w:lineRule="exact"/>
        <w:rPr>
          <w:sz w:val="20"/>
          <w:szCs w:val="20"/>
          <w:color w:val="auto"/>
        </w:rPr>
      </w:pPr>
    </w:p>
    <w:p>
      <w:pPr>
        <w:ind w:left="1160" w:hanging="239"/>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Date and nature of the transaction (purchase, sale or any other type of acquisition or disposition);</w:t>
      </w:r>
    </w:p>
    <w:p>
      <w:pPr>
        <w:spacing w:after="0" w:line="171"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Title, interest rate and maturity date (if applicable), number of shares and principal amount of each Covered Security involved and the price of the Covered Security at which the transaction was effected;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Name of the broker, dealer or bank with or through whom the transaction was effected;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13" w:name="page214"/>
    <w:bookmarkEnd w:id="213"/>
    <w:p>
      <w:pPr>
        <w:ind w:left="1160" w:hanging="239"/>
        <w:spacing w:after="0"/>
        <w:tabs>
          <w:tab w:leader="none" w:pos="11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the report is submitted by the Access Person.</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Independent Directors.</w:t>
      </w:r>
    </w:p>
    <w:p>
      <w:pPr>
        <w:spacing w:after="0" w:line="90"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242" w:lineRule="exact"/>
        <w:rPr>
          <w:sz w:val="20"/>
          <w:szCs w:val="20"/>
          <w:color w:val="auto"/>
        </w:rPr>
      </w:pPr>
    </w:p>
    <w:p>
      <w:pPr>
        <w:ind w:left="900" w:hanging="446"/>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Access Persons of the Adviser.</w:t>
      </w:r>
    </w:p>
    <w:p>
      <w:pPr>
        <w:spacing w:after="0" w:line="90"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An Access Person of the Adviser need not make a Quarterly Transaction Report if all of the information in the report would duplicate information required to be recorded pursuant to Rules 204-2(a)(12) or (13) under the Advisers Act.</w:t>
      </w:r>
    </w:p>
    <w:p>
      <w:pPr>
        <w:spacing w:after="0" w:line="254" w:lineRule="exact"/>
        <w:rPr>
          <w:sz w:val="20"/>
          <w:szCs w:val="20"/>
          <w:color w:val="auto"/>
        </w:rPr>
      </w:pPr>
    </w:p>
    <w:p>
      <w:pPr>
        <w:ind w:left="900" w:hanging="446"/>
        <w:spacing w:after="0"/>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Brokerage Accounts and Statements.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Access Persons, except Independent Directors, shall:</w:t>
      </w:r>
    </w:p>
    <w:p>
      <w:pPr>
        <w:spacing w:after="0" w:line="171" w:lineRule="exact"/>
        <w:rPr>
          <w:sz w:val="20"/>
          <w:szCs w:val="20"/>
          <w:color w:val="auto"/>
        </w:rPr>
      </w:pPr>
    </w:p>
    <w:p>
      <w:pPr>
        <w:ind w:firstLine="921"/>
        <w:spacing w:after="0" w:line="306" w:lineRule="auto"/>
        <w:tabs>
          <w:tab w:leader="none" w:pos="1162" w:val="left"/>
        </w:tabs>
        <w:numPr>
          <w:ilvl w:val="1"/>
          <w:numId w:val="190"/>
        </w:numPr>
        <w:rPr>
          <w:rFonts w:ascii="Arial" w:cs="Arial" w:eastAsia="Arial" w:hAnsi="Arial"/>
          <w:sz w:val="16"/>
          <w:szCs w:val="16"/>
          <w:color w:val="auto"/>
        </w:rPr>
      </w:pPr>
      <w:r>
        <w:rPr>
          <w:rFonts w:ascii="Arial" w:cs="Arial" w:eastAsia="Arial" w:hAnsi="Arial"/>
          <w:sz w:val="16"/>
          <w:szCs w:val="16"/>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190"/>
        </w:numPr>
        <w:rPr>
          <w:rFonts w:ascii="Arial" w:cs="Arial" w:eastAsia="Arial" w:hAnsi="Arial"/>
          <w:sz w:val="15"/>
          <w:szCs w:val="15"/>
          <w:color w:val="auto"/>
        </w:rPr>
      </w:pPr>
      <w:r>
        <w:rPr>
          <w:rFonts w:ascii="Arial" w:cs="Arial" w:eastAsia="Arial" w:hAnsi="Arial"/>
          <w:sz w:val="15"/>
          <w:szCs w:val="15"/>
          <w:color w:val="auto"/>
        </w:rPr>
        <w:t>instruct the brokers, dealers or banks with whom they maintain such an account to provide duplicate account statements to the Chief Compliance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Officer.</w:t>
      </w:r>
    </w:p>
    <w:p>
      <w:pPr>
        <w:spacing w:after="0" w:line="164" w:lineRule="exact"/>
        <w:rPr>
          <w:rFonts w:ascii="Arial" w:cs="Arial" w:eastAsia="Arial" w:hAnsi="Arial"/>
          <w:sz w:val="15"/>
          <w:szCs w:val="15"/>
          <w:color w:val="auto"/>
        </w:rPr>
      </w:pPr>
    </w:p>
    <w:p>
      <w:pPr>
        <w:ind w:left="1160" w:hanging="239"/>
        <w:spacing w:after="0"/>
        <w:tabs>
          <w:tab w:leader="none" w:pos="11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on an annual basis, certify that they have complied with the requirements of (1) and (2) above.</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Form of Reports.</w:t>
      </w:r>
    </w:p>
    <w:p>
      <w:pPr>
        <w:spacing w:after="0" w:line="90"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207" w:lineRule="exact"/>
        <w:rPr>
          <w:sz w:val="20"/>
          <w:szCs w:val="20"/>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Responsibility to Report.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14" w:name="page215"/>
    <w:bookmarkEnd w:id="214"/>
    <w:p>
      <w:pPr>
        <w:jc w:val="both"/>
        <w:ind w:right="10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228" w:lineRule="exact"/>
        <w:rPr>
          <w:sz w:val="20"/>
          <w:szCs w:val="20"/>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Where to File Reports.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Quarterly Securities Transaction Reports and Personal Securities Holdings Reports must be filed with the Chief Compliance Officer.</w:t>
      </w:r>
    </w:p>
    <w:p>
      <w:pPr>
        <w:spacing w:after="0" w:line="293" w:lineRule="exact"/>
        <w:rPr>
          <w:sz w:val="20"/>
          <w:szCs w:val="20"/>
          <w:color w:val="auto"/>
        </w:rPr>
      </w:pPr>
    </w:p>
    <w:p>
      <w:pPr>
        <w:ind w:left="900" w:hanging="446"/>
        <w:spacing w:after="0"/>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Disclaimers.</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Section VI</w:t>
      </w:r>
      <w:r>
        <w:rPr>
          <w:sz w:val="20"/>
          <w:szCs w:val="20"/>
          <w:color w:val="auto"/>
        </w:rPr>
        <w:tab/>
      </w:r>
      <w:r>
        <w:rPr>
          <w:rFonts w:ascii="Arial" w:cs="Arial" w:eastAsia="Arial" w:hAnsi="Arial"/>
          <w:sz w:val="15"/>
          <w:szCs w:val="15"/>
          <w:b w:val="1"/>
          <w:bCs w:val="1"/>
          <w:color w:val="auto"/>
        </w:rPr>
        <w:t>Additional Prohibitions</w:t>
      </w:r>
    </w:p>
    <w:p>
      <w:pPr>
        <w:spacing w:after="0" w:line="96" w:lineRule="exact"/>
        <w:rPr>
          <w:sz w:val="20"/>
          <w:szCs w:val="20"/>
          <w:color w:val="auto"/>
        </w:rPr>
      </w:pPr>
    </w:p>
    <w:p>
      <w:pPr>
        <w:ind w:left="900" w:hanging="446"/>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Confidentiality of the Corporation’s Transactions.</w:t>
      </w:r>
    </w:p>
    <w:p>
      <w:pPr>
        <w:spacing w:after="0" w:line="90"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228" w:lineRule="exact"/>
        <w:rPr>
          <w:sz w:val="20"/>
          <w:szCs w:val="20"/>
          <w:color w:val="auto"/>
        </w:rPr>
      </w:pPr>
    </w:p>
    <w:p>
      <w:pPr>
        <w:ind w:left="900" w:hanging="446"/>
        <w:spacing w:after="0"/>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Outside Business Activities and Directorships.</w:t>
      </w:r>
    </w:p>
    <w:p>
      <w:pPr>
        <w:spacing w:after="0" w:line="9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262" w:lineRule="exact"/>
        <w:rPr>
          <w:sz w:val="20"/>
          <w:szCs w:val="20"/>
          <w:color w:val="auto"/>
        </w:rPr>
      </w:pP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Gratuities.</w:t>
      </w:r>
    </w:p>
    <w:p>
      <w:pPr>
        <w:spacing w:after="0" w:line="9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15" w:name="page216"/>
    <w:bookmarkEnd w:id="21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VII</w:t>
      </w:r>
      <w:r>
        <w:rPr>
          <w:sz w:val="20"/>
          <w:szCs w:val="20"/>
          <w:color w:val="auto"/>
        </w:rPr>
        <w:tab/>
      </w:r>
      <w:r>
        <w:rPr>
          <w:rFonts w:ascii="Arial" w:cs="Arial" w:eastAsia="Arial" w:hAnsi="Arial"/>
          <w:sz w:val="16"/>
          <w:szCs w:val="16"/>
          <w:b w:val="1"/>
          <w:bCs w:val="1"/>
          <w:color w:val="auto"/>
        </w:rPr>
        <w:t>Prohibition Against Insider Trading</w:t>
      </w:r>
    </w:p>
    <w:p>
      <w:pPr>
        <w:spacing w:after="0" w:line="96"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39" w:lineRule="exact"/>
        <w:rPr>
          <w:sz w:val="20"/>
          <w:szCs w:val="20"/>
          <w:color w:val="auto"/>
        </w:rPr>
      </w:pPr>
    </w:p>
    <w:p>
      <w:pPr>
        <w:ind w:left="900" w:right="140" w:hanging="446"/>
        <w:spacing w:after="0" w:line="259"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59"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37" w:lineRule="exact"/>
        <w:rPr>
          <w:rFonts w:ascii="Arial" w:cs="Arial" w:eastAsia="Arial" w:hAnsi="Arial"/>
          <w:sz w:val="16"/>
          <w:szCs w:val="16"/>
          <w:color w:val="auto"/>
        </w:rPr>
      </w:pPr>
    </w:p>
    <w:p>
      <w:pPr>
        <w:ind w:left="900" w:hanging="446"/>
        <w:spacing w:after="0" w:line="306" w:lineRule="auto"/>
        <w:tabs>
          <w:tab w:leader="none" w:pos="9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6"/>
          <w:szCs w:val="16"/>
          <w:i w:val="1"/>
          <w:iCs w:val="1"/>
          <w:color w:val="auto"/>
        </w:rPr>
        <w:t>The Wall Street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Journal </w:t>
      </w:r>
      <w:r>
        <w:rPr>
          <w:rFonts w:ascii="Arial" w:cs="Arial" w:eastAsia="Arial" w:hAnsi="Arial"/>
          <w:sz w:val="16"/>
          <w:szCs w:val="16"/>
          <w:color w:val="auto"/>
        </w:rPr>
        <w:t>or some other publication of general circulation, and after sufficient time has passed so that the information has been disseminated widely.</w:t>
      </w:r>
    </w:p>
    <w:p>
      <w:pPr>
        <w:spacing w:after="0" w:line="25" w:lineRule="exact"/>
        <w:rPr>
          <w:rFonts w:ascii="Arial" w:cs="Arial" w:eastAsia="Arial" w:hAnsi="Arial"/>
          <w:sz w:val="16"/>
          <w:szCs w:val="16"/>
          <w:color w:val="auto"/>
        </w:rPr>
      </w:pPr>
    </w:p>
    <w:p>
      <w:pPr>
        <w:ind w:left="900" w:right="560" w:hanging="446"/>
        <w:spacing w:after="0" w:line="268"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 Advisory Person, before executing any trade for himself or herself, or others, including the Corporation or other accounts managed by the Adviser or by a stockholder of the Adviser, or any affiliate of the stockholder (“Client Accounts”),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16" w:name="page217"/>
    <w:bookmarkEnd w:id="216"/>
    <w:p>
      <w:pPr>
        <w:ind w:left="920"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must determine whether he or she has material, non-public information. Any Advisory Person who believes he or she is in possession of material, non-public information must take the following steps:</w:t>
      </w:r>
    </w:p>
    <w:p>
      <w:pPr>
        <w:spacing w:after="0" w:line="51" w:lineRule="exact"/>
        <w:rPr>
          <w:sz w:val="20"/>
          <w:szCs w:val="20"/>
          <w:color w:val="auto"/>
        </w:rPr>
      </w:pPr>
    </w:p>
    <w:p>
      <w:pPr>
        <w:ind w:left="1480" w:hanging="567"/>
        <w:spacing w:after="0"/>
        <w:tabs>
          <w:tab w:leader="none" w:pos="14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Report the information and proposed trade immediately to the Chief Compliance Officer.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Do not purchase or sell the securities on behalf of anyone, including Client Accounts.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Do not communicate the information to any person, other than to the Chief Compliance Officer.</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59" w:lineRule="exact"/>
        <w:rPr>
          <w:sz w:val="20"/>
          <w:szCs w:val="20"/>
          <w:color w:val="auto"/>
        </w:rPr>
      </w:pPr>
    </w:p>
    <w:p>
      <w:pPr>
        <w:ind w:left="900" w:hanging="446"/>
        <w:spacing w:after="0" w:line="289" w:lineRule="auto"/>
        <w:tabs>
          <w:tab w:leader="none" w:pos="90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37" w:lineRule="exact"/>
        <w:rPr>
          <w:rFonts w:ascii="Arial" w:cs="Arial" w:eastAsia="Arial" w:hAnsi="Arial"/>
          <w:sz w:val="16"/>
          <w:szCs w:val="16"/>
          <w:color w:val="auto"/>
        </w:rPr>
      </w:pPr>
    </w:p>
    <w:p>
      <w:pPr>
        <w:ind w:left="900" w:right="20" w:hanging="446"/>
        <w:spacing w:after="0" w:line="254"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17" w:name="page218"/>
    <w:bookmarkEnd w:id="217"/>
    <w:p>
      <w:pPr>
        <w:ind w:left="920"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clients and the Adviser, you should contact the Chief Compliance Officer immediately if you believe that you may have received material, non-public information.</w:t>
      </w:r>
    </w:p>
    <w:p>
      <w:pPr>
        <w:spacing w:after="0" w:line="20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VIII</w:t>
      </w:r>
      <w:r>
        <w:rPr>
          <w:sz w:val="20"/>
          <w:szCs w:val="20"/>
          <w:color w:val="auto"/>
        </w:rPr>
        <w:tab/>
      </w:r>
      <w:r>
        <w:rPr>
          <w:rFonts w:ascii="Arial" w:cs="Arial" w:eastAsia="Arial" w:hAnsi="Arial"/>
          <w:sz w:val="16"/>
          <w:szCs w:val="16"/>
          <w:b w:val="1"/>
          <w:bCs w:val="1"/>
          <w:color w:val="auto"/>
        </w:rPr>
        <w:t>Annual Certification</w:t>
      </w:r>
    </w:p>
    <w:p>
      <w:pPr>
        <w:spacing w:after="0" w:line="96" w:lineRule="exact"/>
        <w:rPr>
          <w:sz w:val="20"/>
          <w:szCs w:val="20"/>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Access Persons.</w:t>
      </w:r>
    </w:p>
    <w:p>
      <w:pPr>
        <w:spacing w:after="0" w:line="90"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262" w:lineRule="exact"/>
        <w:rPr>
          <w:sz w:val="20"/>
          <w:szCs w:val="20"/>
          <w:color w:val="auto"/>
        </w:rPr>
      </w:pPr>
    </w:p>
    <w:p>
      <w:pPr>
        <w:ind w:left="900" w:hanging="446"/>
        <w:spacing w:after="0"/>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Board Review.</w:t>
      </w:r>
    </w:p>
    <w:p>
      <w:pPr>
        <w:spacing w:after="0" w:line="9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1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Section IX</w:t>
      </w:r>
      <w:r>
        <w:rPr>
          <w:sz w:val="20"/>
          <w:szCs w:val="20"/>
          <w:color w:val="auto"/>
        </w:rPr>
        <w:tab/>
      </w:r>
      <w:r>
        <w:rPr>
          <w:rFonts w:ascii="Arial" w:cs="Arial" w:eastAsia="Arial" w:hAnsi="Arial"/>
          <w:sz w:val="15"/>
          <w:szCs w:val="15"/>
          <w:b w:val="1"/>
          <w:bCs w:val="1"/>
          <w:color w:val="auto"/>
        </w:rPr>
        <w:t>Sanctions</w:t>
      </w:r>
    </w:p>
    <w:p>
      <w:pPr>
        <w:spacing w:after="0" w:line="96"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9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X</w:t>
      </w:r>
      <w:r>
        <w:rPr>
          <w:sz w:val="20"/>
          <w:szCs w:val="20"/>
          <w:color w:val="auto"/>
        </w:rPr>
        <w:tab/>
      </w:r>
      <w:r>
        <w:rPr>
          <w:rFonts w:ascii="Arial" w:cs="Arial" w:eastAsia="Arial" w:hAnsi="Arial"/>
          <w:sz w:val="16"/>
          <w:szCs w:val="16"/>
          <w:b w:val="1"/>
          <w:bCs w:val="1"/>
          <w:color w:val="auto"/>
        </w:rPr>
        <w:t>Administration and Construction</w:t>
      </w:r>
    </w:p>
    <w:p>
      <w:pPr>
        <w:spacing w:after="0" w:line="96" w:lineRule="exact"/>
        <w:rPr>
          <w:sz w:val="20"/>
          <w:szCs w:val="20"/>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administration of this Code shall be the responsibility of the Chief Compliance Officer.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duties of the Chief Compliance Officer are as follows:</w:t>
      </w:r>
    </w:p>
    <w:p>
      <w:pPr>
        <w:spacing w:after="0" w:line="171" w:lineRule="exact"/>
        <w:rPr>
          <w:rFonts w:ascii="Arial" w:cs="Arial" w:eastAsia="Arial" w:hAnsi="Arial"/>
          <w:sz w:val="18"/>
          <w:szCs w:val="18"/>
          <w:color w:val="auto"/>
        </w:rPr>
      </w:pPr>
    </w:p>
    <w:p>
      <w:pPr>
        <w:ind w:right="640" w:firstLine="921"/>
        <w:spacing w:after="0" w:line="268" w:lineRule="auto"/>
        <w:tabs>
          <w:tab w:leader="none" w:pos="116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Continuous maintenance of a current list of the names of all Access Persons with an appropriate description of their title or employment, including a notation of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18" w:name="page219"/>
    <w:bookmarkEnd w:id="21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directorships held by Access Persons who are officers or employees of the Adviser or of any company that controls the Adviser, and informing all Access Persons of their reporting obligations hereunder;</w:t>
      </w:r>
    </w:p>
    <w:p>
      <w:pPr>
        <w:spacing w:after="0" w:line="132" w:lineRule="exact"/>
        <w:rPr>
          <w:sz w:val="20"/>
          <w:szCs w:val="20"/>
          <w:color w:val="auto"/>
        </w:rPr>
      </w:pPr>
    </w:p>
    <w:p>
      <w:pPr>
        <w:ind w:right="240" w:firstLine="921"/>
        <w:spacing w:after="0" w:line="268" w:lineRule="auto"/>
        <w:tabs>
          <w:tab w:leader="none" w:pos="116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On an annual basis, providing all Covered Personnel a copy of this Code and informing such persons of their duties and obligations hereunder including any supplemental training that may be required from time to time;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Maintaining or supervising the maintenance of all records and reports required by this Code;</w:t>
      </w:r>
    </w:p>
    <w:p>
      <w:pPr>
        <w:spacing w:after="0" w:line="171" w:lineRule="exact"/>
        <w:rPr>
          <w:rFonts w:ascii="Arial" w:cs="Arial" w:eastAsia="Arial" w:hAnsi="Arial"/>
          <w:sz w:val="18"/>
          <w:szCs w:val="18"/>
          <w:color w:val="auto"/>
        </w:rPr>
      </w:pPr>
    </w:p>
    <w:p>
      <w:pPr>
        <w:ind w:right="500" w:firstLine="921"/>
        <w:spacing w:after="0" w:line="268" w:lineRule="auto"/>
        <w:tabs>
          <w:tab w:leader="none" w:pos="116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131" w:lineRule="exact"/>
        <w:rPr>
          <w:rFonts w:ascii="Arial" w:cs="Arial" w:eastAsia="Arial" w:hAnsi="Arial"/>
          <w:sz w:val="18"/>
          <w:szCs w:val="18"/>
          <w:color w:val="auto"/>
        </w:rPr>
      </w:pPr>
    </w:p>
    <w:p>
      <w:pPr>
        <w:ind w:right="160" w:firstLine="921"/>
        <w:spacing w:after="0" w:line="268" w:lineRule="auto"/>
        <w:tabs>
          <w:tab w:leader="none" w:pos="116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Issuance either personally or with the assistance of counsel as may be appropriate, of any interpretation of this Code that may appear consistent with the objectives of Rule 17j-1 and this Code;</w:t>
      </w:r>
    </w:p>
    <w:p>
      <w:pPr>
        <w:spacing w:after="0" w:line="131" w:lineRule="exact"/>
        <w:rPr>
          <w:rFonts w:ascii="Arial" w:cs="Arial" w:eastAsia="Arial" w:hAnsi="Arial"/>
          <w:sz w:val="18"/>
          <w:szCs w:val="18"/>
          <w:color w:val="auto"/>
        </w:rPr>
      </w:pPr>
    </w:p>
    <w:p>
      <w:pPr>
        <w:ind w:firstLine="921"/>
        <w:spacing w:after="0" w:line="268" w:lineRule="auto"/>
        <w:tabs>
          <w:tab w:leader="none" w:pos="116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Conduct such inspections or investigations as shall reasonably be required to detect and report, with recommendations, any apparent violations of this Code to the board of directors of the Corporation;</w:t>
      </w:r>
    </w:p>
    <w:p>
      <w:pPr>
        <w:spacing w:after="0" w:line="131" w:lineRule="exact"/>
        <w:rPr>
          <w:rFonts w:ascii="Arial" w:cs="Arial" w:eastAsia="Arial" w:hAnsi="Arial"/>
          <w:sz w:val="18"/>
          <w:szCs w:val="18"/>
          <w:color w:val="auto"/>
        </w:rPr>
      </w:pPr>
    </w:p>
    <w:p>
      <w:pPr>
        <w:ind w:right="300" w:firstLine="921"/>
        <w:spacing w:after="0" w:line="332" w:lineRule="auto"/>
        <w:tabs>
          <w:tab w:leader="none" w:pos="1162" w:val="left"/>
        </w:tabs>
        <w:numPr>
          <w:ilvl w:val="1"/>
          <w:numId w:val="204"/>
        </w:numPr>
        <w:rPr>
          <w:rFonts w:ascii="Arial" w:cs="Arial" w:eastAsia="Arial" w:hAnsi="Arial"/>
          <w:sz w:val="16"/>
          <w:szCs w:val="16"/>
          <w:color w:val="auto"/>
        </w:rPr>
      </w:pPr>
      <w:r>
        <w:rPr>
          <w:rFonts w:ascii="Arial" w:cs="Arial" w:eastAsia="Arial" w:hAnsi="Arial"/>
          <w:sz w:val="16"/>
          <w:szCs w:val="16"/>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4" w:lineRule="exact"/>
        <w:rPr>
          <w:rFonts w:ascii="Arial" w:cs="Arial" w:eastAsia="Arial" w:hAnsi="Arial"/>
          <w:sz w:val="16"/>
          <w:szCs w:val="16"/>
          <w:color w:val="auto"/>
        </w:rPr>
      </w:pPr>
    </w:p>
    <w:p>
      <w:pPr>
        <w:ind w:left="900" w:right="360" w:hanging="446"/>
        <w:spacing w:after="0" w:line="268"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Chief Financial Officer shall maintain and cause to be maintained in an easily accessible place at the principal place of business of the 17j-1 Organization, the following records:</w:t>
      </w:r>
    </w:p>
    <w:p>
      <w:pPr>
        <w:spacing w:after="0" w:line="131" w:lineRule="exact"/>
        <w:rPr>
          <w:rFonts w:ascii="Arial" w:cs="Arial" w:eastAsia="Arial" w:hAnsi="Arial"/>
          <w:sz w:val="18"/>
          <w:szCs w:val="18"/>
          <w:color w:val="auto"/>
        </w:rPr>
      </w:pPr>
    </w:p>
    <w:p>
      <w:pPr>
        <w:ind w:right="300" w:firstLine="921"/>
        <w:spacing w:after="0" w:line="268" w:lineRule="auto"/>
        <w:tabs>
          <w:tab w:leader="none" w:pos="116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 copy of all codes of ethics adopted by the Corporation or the Adviser and its affiliates, as the case may be, pursuant to Rule 17j-1 that have been in effect at any time during the past five (5) years;</w:t>
      </w:r>
    </w:p>
    <w:p>
      <w:pPr>
        <w:spacing w:after="0" w:line="131" w:lineRule="exact"/>
        <w:rPr>
          <w:rFonts w:ascii="Arial" w:cs="Arial" w:eastAsia="Arial" w:hAnsi="Arial"/>
          <w:sz w:val="18"/>
          <w:szCs w:val="18"/>
          <w:color w:val="auto"/>
        </w:rPr>
      </w:pPr>
    </w:p>
    <w:p>
      <w:pPr>
        <w:ind w:right="220" w:firstLine="921"/>
        <w:spacing w:after="0" w:line="268" w:lineRule="auto"/>
        <w:tabs>
          <w:tab w:leader="none" w:pos="116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 record of each violation of such codes of ethics and of any action taken as a result of such violation for at least five (5) years after the end of the fiscal year in which the violation occurs;</w:t>
      </w:r>
    </w:p>
    <w:p>
      <w:pPr>
        <w:spacing w:after="0" w:line="131" w:lineRule="exact"/>
        <w:rPr>
          <w:rFonts w:ascii="Arial" w:cs="Arial" w:eastAsia="Arial" w:hAnsi="Arial"/>
          <w:sz w:val="18"/>
          <w:szCs w:val="18"/>
          <w:color w:val="auto"/>
        </w:rPr>
      </w:pPr>
    </w:p>
    <w:p>
      <w:pPr>
        <w:ind w:right="120" w:firstLine="921"/>
        <w:spacing w:after="0" w:line="268" w:lineRule="auto"/>
        <w:tabs>
          <w:tab w:leader="none" w:pos="116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 copy of each report made by an Access Person for at least two (2) years after the end of the fiscal year in which the report is made, and for an additional three (3) years in a place that need not be easily accessible;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19" w:name="page220"/>
    <w:bookmarkEnd w:id="219"/>
    <w:p>
      <w:pPr>
        <w:ind w:right="360" w:firstLine="921"/>
        <w:spacing w:after="0" w:line="332" w:lineRule="auto"/>
        <w:tabs>
          <w:tab w:leader="none" w:pos="1162" w:val="left"/>
        </w:tabs>
        <w:numPr>
          <w:ilvl w:val="1"/>
          <w:numId w:val="2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85" w:lineRule="exact"/>
        <w:rPr>
          <w:rFonts w:ascii="Arial" w:cs="Arial" w:eastAsia="Arial" w:hAnsi="Arial"/>
          <w:sz w:val="16"/>
          <w:szCs w:val="16"/>
          <w:color w:val="auto"/>
        </w:rPr>
      </w:pPr>
    </w:p>
    <w:p>
      <w:pPr>
        <w:ind w:right="20" w:firstLine="921"/>
        <w:spacing w:after="0" w:line="268" w:lineRule="auto"/>
        <w:tabs>
          <w:tab w:leader="none" w:pos="116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 list of all persons who are, or within the past five (5) years have been, required to make reports pursuant to the Rule and this Code of Ethics, or who are or were responsible for reviewing such reports;</w:t>
      </w:r>
    </w:p>
    <w:p>
      <w:pPr>
        <w:spacing w:after="0" w:line="131" w:lineRule="exact"/>
        <w:rPr>
          <w:rFonts w:ascii="Arial" w:cs="Arial" w:eastAsia="Arial" w:hAnsi="Arial"/>
          <w:sz w:val="18"/>
          <w:szCs w:val="18"/>
          <w:color w:val="auto"/>
        </w:rPr>
      </w:pPr>
    </w:p>
    <w:p>
      <w:pPr>
        <w:ind w:right="640" w:firstLine="921"/>
        <w:spacing w:after="0" w:line="268" w:lineRule="auto"/>
        <w:tabs>
          <w:tab w:leader="none" w:pos="116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 copy of each report required by Section VII (B) for at least two (2) years after the end of the fiscal year in which it is made, and for an additional three (3) years in a place that need not be easily accessible; and</w:t>
      </w:r>
    </w:p>
    <w:p>
      <w:pPr>
        <w:spacing w:after="0" w:line="131" w:lineRule="exact"/>
        <w:rPr>
          <w:rFonts w:ascii="Arial" w:cs="Arial" w:eastAsia="Arial" w:hAnsi="Arial"/>
          <w:sz w:val="18"/>
          <w:szCs w:val="18"/>
          <w:color w:val="auto"/>
        </w:rPr>
      </w:pPr>
    </w:p>
    <w:p>
      <w:pPr>
        <w:ind w:right="340" w:firstLine="921"/>
        <w:spacing w:after="0" w:line="332" w:lineRule="auto"/>
        <w:tabs>
          <w:tab w:leader="none" w:pos="1162"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This Code may not be amended or modified except in a written form that is specifically approved by majority vote of the Independent Directors.</w:t>
      </w:r>
    </w:p>
    <w:p>
      <w:pPr>
        <w:spacing w:after="0" w:line="19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This Joint Code of Ethics was adopted and approved by the Board of Directors of the Corporation, including a majority of the Independent Directors, at a meeting on March 10,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20" w:name="page221"/>
    <w:bookmarkEnd w:id="220"/>
    <w:p>
      <w:pPr>
        <w:ind w:left="9600"/>
        <w:spacing w:after="0"/>
        <w:rPr>
          <w:sz w:val="20"/>
          <w:szCs w:val="20"/>
          <w:color w:val="auto"/>
        </w:rPr>
      </w:pPr>
      <w:r>
        <w:rPr>
          <w:rFonts w:ascii="Arial" w:cs="Arial" w:eastAsia="Arial" w:hAnsi="Arial"/>
          <w:sz w:val="14"/>
          <w:szCs w:val="14"/>
          <w:b w:val="1"/>
          <w:bCs w:val="1"/>
          <w:color w:val="auto"/>
        </w:rPr>
        <w:t>THOMAS FRIEDMANN</w:t>
      </w:r>
    </w:p>
    <w:p>
      <w:pPr>
        <w:spacing w:after="0" w:line="192" w:lineRule="exact"/>
        <w:rPr>
          <w:sz w:val="20"/>
          <w:szCs w:val="20"/>
          <w:color w:val="auto"/>
        </w:rPr>
      </w:pPr>
    </w:p>
    <w:p>
      <w:pPr>
        <w:ind w:left="9600"/>
        <w:spacing w:after="0"/>
        <w:rPr>
          <w:sz w:val="20"/>
          <w:szCs w:val="20"/>
          <w:color w:val="auto"/>
        </w:rPr>
      </w:pPr>
      <w:r>
        <w:rPr>
          <w:rFonts w:ascii="Arial" w:cs="Arial" w:eastAsia="Arial" w:hAnsi="Arial"/>
          <w:sz w:val="12"/>
          <w:szCs w:val="12"/>
          <w:color w:val="auto"/>
        </w:rPr>
        <w:t>thomas.friedmann@dechert.com</w:t>
      </w:r>
    </w:p>
    <w:p>
      <w:pPr>
        <w:spacing w:after="0" w:line="10" w:lineRule="exact"/>
        <w:rPr>
          <w:sz w:val="20"/>
          <w:szCs w:val="20"/>
          <w:color w:val="auto"/>
        </w:rPr>
      </w:pPr>
    </w:p>
    <w:p>
      <w:pPr>
        <w:ind w:left="9600"/>
        <w:spacing w:after="0"/>
        <w:rPr>
          <w:sz w:val="20"/>
          <w:szCs w:val="20"/>
          <w:color w:val="auto"/>
        </w:rPr>
      </w:pPr>
      <w:r>
        <w:rPr>
          <w:rFonts w:ascii="Arial" w:cs="Arial" w:eastAsia="Arial" w:hAnsi="Arial"/>
          <w:sz w:val="14"/>
          <w:szCs w:val="14"/>
          <w:color w:val="auto"/>
        </w:rPr>
        <w:t>+1 202 261 3313 Direct</w:t>
      </w:r>
    </w:p>
    <w:p>
      <w:pPr>
        <w:ind w:left="9600"/>
        <w:spacing w:after="0"/>
        <w:rPr>
          <w:sz w:val="20"/>
          <w:szCs w:val="20"/>
          <w:color w:val="auto"/>
        </w:rPr>
      </w:pPr>
      <w:r>
        <w:rPr>
          <w:rFonts w:ascii="Arial" w:cs="Arial" w:eastAsia="Arial" w:hAnsi="Arial"/>
          <w:sz w:val="14"/>
          <w:szCs w:val="14"/>
          <w:color w:val="auto"/>
        </w:rPr>
        <w:t>+1 202 261 3016 Fax</w:t>
      </w:r>
    </w:p>
    <w:p>
      <w:pPr>
        <w:spacing w:after="0"/>
        <w:rPr>
          <w:sz w:val="20"/>
          <w:szCs w:val="20"/>
          <w:color w:val="auto"/>
        </w:rPr>
      </w:pPr>
      <w:r>
        <w:rPr>
          <w:rFonts w:ascii="Arial" w:cs="Arial" w:eastAsia="Arial" w:hAnsi="Arial"/>
          <w:sz w:val="18"/>
          <w:szCs w:val="18"/>
          <w:color w:val="auto"/>
        </w:rPr>
        <w:t>March 29, 2011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John M. Ganley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Floating Rate Capital Ltd. (the “Company”)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Registration Statement on Form N-2—File Nos. 333-170243 and 811-22489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Dear Mr. Ganley:</w:t>
      </w:r>
    </w:p>
    <w:p>
      <w:pPr>
        <w:spacing w:after="0" w:line="17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Thank you for your comments on March 24, 2011, regarding Pre-Effective Amendment No. 2 to the Company’s Registration Statement on Form N-2 (Registration Nos. 333-170243 and 811-22489; “</w:t>
      </w:r>
      <w:r>
        <w:rPr>
          <w:rFonts w:ascii="Arial" w:cs="Arial" w:eastAsia="Arial" w:hAnsi="Arial"/>
          <w:sz w:val="15"/>
          <w:szCs w:val="15"/>
          <w:u w:val="single" w:color="auto"/>
          <w:color w:val="auto"/>
        </w:rPr>
        <w:t>PEA 2</w:t>
      </w:r>
      <w:r>
        <w:rPr>
          <w:rFonts w:ascii="Arial" w:cs="Arial" w:eastAsia="Arial" w:hAnsi="Arial"/>
          <w:sz w:val="15"/>
          <w:szCs w:val="15"/>
          <w:color w:val="auto"/>
        </w:rPr>
        <w:t>”) filed with the Securities and Exchange Commission (the “</w:t>
      </w:r>
      <w:r>
        <w:rPr>
          <w:rFonts w:ascii="Arial" w:cs="Arial" w:eastAsia="Arial" w:hAnsi="Arial"/>
          <w:sz w:val="15"/>
          <w:szCs w:val="15"/>
          <w:u w:val="single" w:color="auto"/>
          <w:color w:val="auto"/>
        </w:rPr>
        <w:t>Commission</w:t>
      </w:r>
      <w:r>
        <w:rPr>
          <w:rFonts w:ascii="Arial" w:cs="Arial" w:eastAsia="Arial" w:hAnsi="Arial"/>
          <w:sz w:val="15"/>
          <w:szCs w:val="15"/>
          <w:color w:val="auto"/>
        </w:rPr>
        <w:t>”) on February 9, 2011. We describe below the changes that we have made in response to your comments in Pre-Effective Amendment No. 3 (“</w:t>
      </w:r>
      <w:r>
        <w:rPr>
          <w:rFonts w:ascii="Arial" w:cs="Arial" w:eastAsia="Arial" w:hAnsi="Arial"/>
          <w:sz w:val="15"/>
          <w:szCs w:val="15"/>
          <w:u w:val="single" w:color="auto"/>
          <w:color w:val="auto"/>
        </w:rPr>
        <w:t>PEA 3</w:t>
      </w:r>
      <w:r>
        <w:rPr>
          <w:rFonts w:ascii="Arial" w:cs="Arial" w:eastAsia="Arial" w:hAnsi="Arial"/>
          <w:sz w:val="15"/>
          <w:szCs w:val="15"/>
          <w:color w:val="auto"/>
        </w:rPr>
        <w:t>”) to the Registration Statement that the Company filed on March 29, 2011. For your convenience, your comments are numbered and presented in italicized text below, and each comment is followed by our proposed response. We will also provide you under separate cover courtesy copies of PEA 3 as-filed and marked to reflect the changes from PEA 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responding to your comments, PEA 3 updates and completes certain disclosures and includes audited financial statements, among other things.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 Page</w:t>
      </w:r>
    </w:p>
    <w:p>
      <w:pPr>
        <w:spacing w:after="0" w:line="177" w:lineRule="exact"/>
        <w:rPr>
          <w:sz w:val="20"/>
          <w:szCs w:val="20"/>
          <w:color w:val="auto"/>
        </w:rPr>
      </w:pPr>
    </w:p>
    <w:p>
      <w:pPr>
        <w:ind w:right="140" w:firstLine="8"/>
        <w:spacing w:after="0" w:line="259" w:lineRule="auto"/>
        <w:tabs>
          <w:tab w:leader="none" w:pos="176" w:val="left"/>
        </w:tabs>
        <w:numPr>
          <w:ilvl w:val="0"/>
          <w:numId w:val="208"/>
        </w:numPr>
        <w:rPr>
          <w:rFonts w:ascii="Arial" w:cs="Arial" w:eastAsia="Arial" w:hAnsi="Arial"/>
          <w:sz w:val="18"/>
          <w:szCs w:val="18"/>
          <w:color w:val="auto"/>
        </w:rPr>
      </w:pPr>
      <w:r>
        <w:rPr>
          <w:rFonts w:ascii="Arial" w:cs="Arial" w:eastAsia="Arial" w:hAnsi="Arial"/>
          <w:sz w:val="18"/>
          <w:szCs w:val="18"/>
          <w:b w:val="1"/>
          <w:bCs w:val="1"/>
          <w:i w:val="1"/>
          <w:iCs w:val="1"/>
          <w:color w:val="auto"/>
        </w:rPr>
        <w:t>The first sentence of the first paragraph states that the Company has elected to be treated as a business development company under the Investment Company Act of 1940. Please revise the disclosure here and elsewhere in the prospectus so that such disclosure accurately reflects the circumstances on the date of the red herring prospectus.</w:t>
      </w:r>
    </w:p>
    <w:p>
      <w:pPr>
        <w:sectPr>
          <w:pgSz w:w="11900" w:h="16838" w:orient="portrait"/>
          <w:cols w:equalWidth="0" w:num="1">
            <w:col w:w="11380"/>
          </w:cols>
          <w:pgMar w:left="240" w:top="127" w:right="279" w:bottom="1440" w:gutter="0" w:footer="0" w:header="0"/>
        </w:sectPr>
      </w:pPr>
    </w:p>
    <w:bookmarkStart w:id="221" w:name="page222"/>
    <w:bookmarkEnd w:id="221"/>
    <w:p>
      <w:pPr>
        <w:ind w:left="101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M. Ganley</w:t>
      </w:r>
    </w:p>
    <w:p>
      <w:pPr>
        <w:spacing w:after="0" w:line="38" w:lineRule="exact"/>
        <w:rPr>
          <w:sz w:val="20"/>
          <w:szCs w:val="20"/>
          <w:color w:val="auto"/>
        </w:rPr>
      </w:pPr>
    </w:p>
    <w:p>
      <w:pPr>
        <w:ind w:left="10180"/>
        <w:spacing w:after="0"/>
        <w:rPr>
          <w:sz w:val="20"/>
          <w:szCs w:val="20"/>
          <w:color w:val="auto"/>
        </w:rPr>
      </w:pPr>
      <w:r>
        <w:rPr>
          <w:rFonts w:ascii="Arial" w:cs="Arial" w:eastAsia="Arial" w:hAnsi="Arial"/>
          <w:sz w:val="16"/>
          <w:szCs w:val="16"/>
          <w:color w:val="auto"/>
        </w:rPr>
        <w:t>March 29, 2011</w:t>
      </w:r>
    </w:p>
    <w:p>
      <w:pPr>
        <w:spacing w:after="0" w:line="32" w:lineRule="exact"/>
        <w:rPr>
          <w:sz w:val="20"/>
          <w:szCs w:val="20"/>
          <w:color w:val="auto"/>
        </w:rPr>
      </w:pPr>
    </w:p>
    <w:p>
      <w:pPr>
        <w:ind w:left="10180"/>
        <w:spacing w:after="0"/>
        <w:rPr>
          <w:sz w:val="20"/>
          <w:szCs w:val="20"/>
          <w:color w:val="auto"/>
        </w:rPr>
      </w:pPr>
      <w:r>
        <w:rPr>
          <w:rFonts w:ascii="Arial" w:cs="Arial" w:eastAsia="Arial" w:hAnsi="Arial"/>
          <w:sz w:val="18"/>
          <w:szCs w:val="18"/>
          <w:color w:val="auto"/>
        </w:rPr>
        <w:t>Page 2</w:t>
      </w:r>
    </w:p>
    <w:p>
      <w:pPr>
        <w:spacing w:after="0" w:line="17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As requested, the Company has revised the disclosure to make clear that, on the date of the red herring prospectus, the Company will not yet have filed an election to be treated as a business development company on Form N-54A and that, on such date, it will still “intend to elect to be treated” as a business development company under the Investment Company Act of 1940 (the “Investment Company Act”). In addition, the Company has made consistent revisions to its prospectus disclosure with respect to the timing of certain actions that it expects to take in connection with the offering.</w:t>
      </w:r>
    </w:p>
    <w:p>
      <w:pPr>
        <w:spacing w:after="0" w:line="113" w:lineRule="exact"/>
        <w:rPr>
          <w:sz w:val="20"/>
          <w:szCs w:val="20"/>
          <w:color w:val="auto"/>
        </w:rPr>
      </w:pPr>
    </w:p>
    <w:p>
      <w:pPr>
        <w:ind w:right="360" w:firstLine="8"/>
        <w:spacing w:after="0" w:line="318" w:lineRule="auto"/>
        <w:tabs>
          <w:tab w:leader="none" w:pos="176" w:val="left"/>
        </w:tabs>
        <w:numPr>
          <w:ilvl w:val="0"/>
          <w:numId w:val="209"/>
        </w:numPr>
        <w:rPr>
          <w:rFonts w:ascii="Arial" w:cs="Arial" w:eastAsia="Arial" w:hAnsi="Arial"/>
          <w:sz w:val="15"/>
          <w:szCs w:val="15"/>
          <w:color w:val="auto"/>
        </w:rPr>
      </w:pPr>
      <w:r>
        <w:rPr>
          <w:rFonts w:ascii="Arial" w:cs="Arial" w:eastAsia="Arial" w:hAnsi="Arial"/>
          <w:sz w:val="15"/>
          <w:szCs w:val="15"/>
          <w:b w:val="1"/>
          <w:bCs w:val="1"/>
          <w:i w:val="1"/>
          <w:iCs w:val="1"/>
          <w:color w:val="auto"/>
        </w:rPr>
        <w:t>The first sentence of the second paragraph states that the Company’s primary investment objective is to seek high current income, with a secondary objective to seek preservation of capital, consistent with the primary goal of high current income. Elsewhere in the prospectus, the Company states that it intends to invest in securities issued by non-investment grade companies that may be considered speculative and that its ability to obtain the secondary investment objective is limited by its investment policy. Accordingly, please revise the formulation of the Company’s investment objective to remove the reference to a secondary objective of preservation of capital or revise the prospectus disclosure to reconcile these apparent inconsistencies.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Company has revised its investment objective to state: “Our investment objective is to seek current income.”</w:t>
      </w:r>
    </w:p>
    <w:p>
      <w:pPr>
        <w:spacing w:after="0" w:line="171" w:lineRule="exact"/>
        <w:rPr>
          <w:sz w:val="20"/>
          <w:szCs w:val="20"/>
          <w:color w:val="auto"/>
        </w:rPr>
      </w:pPr>
    </w:p>
    <w:p>
      <w:pPr>
        <w:jc w:val="both"/>
        <w:ind w:right="280" w:firstLine="8"/>
        <w:spacing w:after="0" w:line="306" w:lineRule="auto"/>
        <w:tabs>
          <w:tab w:leader="none" w:pos="176" w:val="left"/>
        </w:tabs>
        <w:numPr>
          <w:ilvl w:val="0"/>
          <w:numId w:val="210"/>
        </w:numPr>
        <w:rPr>
          <w:rFonts w:ascii="Arial" w:cs="Arial" w:eastAsia="Arial" w:hAnsi="Arial"/>
          <w:sz w:val="16"/>
          <w:szCs w:val="16"/>
          <w:color w:val="auto"/>
        </w:rPr>
      </w:pPr>
      <w:r>
        <w:rPr>
          <w:rFonts w:ascii="Arial" w:cs="Arial" w:eastAsia="Arial" w:hAnsi="Arial"/>
          <w:sz w:val="16"/>
          <w:szCs w:val="16"/>
          <w:b w:val="1"/>
          <w:bCs w:val="1"/>
          <w:i w:val="1"/>
          <w:iCs w:val="1"/>
          <w:color w:val="auto"/>
        </w:rPr>
        <w:t>The first sentence of the third paragraph states that under normal market conditions, at least 80% of the Company’s Managed Assets will be invested in Floating Rate Loans and investments with similar economic characteristics. Since the Company has floating rate in its name, please revise this section to state that the Company will invest 80% of its Managed Assets in “floating rate” securities</w:t>
      </w:r>
      <w:r>
        <w:rPr>
          <w:rFonts w:ascii="Arial" w:cs="Arial" w:eastAsia="Arial" w:hAnsi="Arial"/>
          <w:sz w:val="16"/>
          <w:szCs w:val="16"/>
          <w:i w:val="1"/>
          <w:iCs w:val="1"/>
          <w:color w:val="auto"/>
        </w:rPr>
        <w:t>.</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requested, the Company has revised the disclosure to make clear that at least 80% of the Company’s assets will be invested in floating rate instruments and has deleted the reference to “investments with similar economic characteristics.”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 Risks Related To Our Business and Structure</w:t>
      </w:r>
    </w:p>
    <w:p>
      <w:pPr>
        <w:spacing w:after="0" w:line="96" w:lineRule="exact"/>
        <w:rPr>
          <w:sz w:val="20"/>
          <w:szCs w:val="20"/>
          <w:color w:val="auto"/>
        </w:rPr>
      </w:pPr>
    </w:p>
    <w:p>
      <w:pPr>
        <w:jc w:val="both"/>
        <w:ind w:firstLine="8"/>
        <w:spacing w:after="0" w:line="323" w:lineRule="auto"/>
        <w:tabs>
          <w:tab w:leader="none" w:pos="176" w:val="left"/>
        </w:tabs>
        <w:numPr>
          <w:ilvl w:val="0"/>
          <w:numId w:val="211"/>
        </w:numPr>
        <w:rPr>
          <w:rFonts w:ascii="Arial" w:cs="Arial" w:eastAsia="Arial" w:hAnsi="Arial"/>
          <w:sz w:val="15"/>
          <w:szCs w:val="15"/>
          <w:color w:val="auto"/>
        </w:rPr>
      </w:pPr>
      <w:r>
        <w:rPr>
          <w:rFonts w:ascii="Arial" w:cs="Arial" w:eastAsia="Arial" w:hAnsi="Arial"/>
          <w:sz w:val="15"/>
          <w:szCs w:val="15"/>
          <w:b w:val="1"/>
          <w:bCs w:val="1"/>
          <w:i w:val="1"/>
          <w:iCs w:val="1"/>
          <w:color w:val="auto"/>
        </w:rPr>
        <w:t>Please provide additional disclosure related to the Company’s plans to securitize assets as a mechanism for funding future investments. Specifically, please state affirmatively that debt incurred in connection with the securitization transaction contemplated by the Company would be consolidated on the Company’s balance sheet for financial reporting purposes and that the Company would treat any debt incurred by such securitization vehicle as debt of the Company for purposes of determining the Company’s compliance with the asset coverage requirement under the Investment Company Act.</w:t>
      </w:r>
    </w:p>
    <w:p>
      <w:pPr>
        <w:sectPr>
          <w:pgSz w:w="11900" w:h="16838" w:orient="portrait"/>
          <w:cols w:equalWidth="0" w:num="1">
            <w:col w:w="11400"/>
          </w:cols>
          <w:pgMar w:left="240" w:top="280" w:right="25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John M. Ganley</w:t>
      </w:r>
    </w:p>
    <w:p>
      <w:pPr>
        <w:spacing w:after="0" w:line="15" w:lineRule="exact"/>
        <w:rPr>
          <w:sz w:val="20"/>
          <w:szCs w:val="20"/>
          <w:color w:val="auto"/>
        </w:rPr>
      </w:pPr>
    </w:p>
    <w:p>
      <w:pPr>
        <w:ind w:left="10180"/>
        <w:spacing w:after="0"/>
        <w:rPr>
          <w:sz w:val="20"/>
          <w:szCs w:val="20"/>
          <w:color w:val="auto"/>
        </w:rPr>
      </w:pPr>
      <w:r>
        <w:rPr>
          <w:rFonts w:ascii="Arial" w:cs="Arial" w:eastAsia="Arial" w:hAnsi="Arial"/>
          <w:sz w:val="16"/>
          <w:szCs w:val="16"/>
          <w:color w:val="auto"/>
        </w:rPr>
        <w:t>March 29, 2011</w:t>
      </w:r>
    </w:p>
    <w:p>
      <w:pPr>
        <w:spacing w:after="0" w:line="32" w:lineRule="exact"/>
        <w:rPr>
          <w:sz w:val="20"/>
          <w:szCs w:val="20"/>
          <w:color w:val="auto"/>
        </w:rPr>
      </w:pPr>
    </w:p>
    <w:p>
      <w:pPr>
        <w:ind w:left="10180"/>
        <w:spacing w:after="0"/>
        <w:rPr>
          <w:sz w:val="20"/>
          <w:szCs w:val="20"/>
          <w:color w:val="auto"/>
        </w:rPr>
      </w:pPr>
      <w:r>
        <w:rPr>
          <w:rFonts w:ascii="Arial" w:cs="Arial" w:eastAsia="Arial" w:hAnsi="Arial"/>
          <w:sz w:val="18"/>
          <w:szCs w:val="18"/>
          <w:color w:val="auto"/>
        </w:rPr>
        <w:t>Page 3</w:t>
      </w:r>
    </w:p>
    <w:p>
      <w:pPr>
        <w:spacing w:after="0" w:line="178" w:lineRule="exact"/>
        <w:rPr>
          <w:sz w:val="20"/>
          <w:szCs w:val="20"/>
          <w:color w:val="auto"/>
        </w:rPr>
      </w:pPr>
    </w:p>
    <w:p>
      <w:pPr>
        <w:ind w:right="720"/>
        <w:spacing w:after="0" w:line="306" w:lineRule="auto"/>
        <w:rPr>
          <w:sz w:val="20"/>
          <w:szCs w:val="20"/>
          <w:color w:val="auto"/>
        </w:rPr>
      </w:pPr>
      <w:r>
        <w:rPr>
          <w:rFonts w:ascii="Arial" w:cs="Arial" w:eastAsia="Arial" w:hAnsi="Arial"/>
          <w:sz w:val="16"/>
          <w:szCs w:val="16"/>
          <w:color w:val="auto"/>
        </w:rPr>
        <w:t>As requested, the Company has confirmed in its disclosure that it intends to consolidate indebtedness incurred by any subsidiary in connection with its contemplated securitization facility for financial reporting purposes and, in addition, that any such indebtedness would be included in the Company’s determination of its compliance with the asset coverage test under the Investment Company Act.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2440" w:firstLine="8"/>
        <w:spacing w:after="0" w:line="344" w:lineRule="auto"/>
        <w:tabs>
          <w:tab w:leader="none" w:pos="176" w:val="left"/>
        </w:tabs>
        <w:numPr>
          <w:ilvl w:val="0"/>
          <w:numId w:val="212"/>
        </w:numPr>
        <w:rPr>
          <w:rFonts w:ascii="Arial" w:cs="Arial" w:eastAsia="Arial" w:hAnsi="Arial"/>
          <w:sz w:val="18"/>
          <w:szCs w:val="18"/>
          <w:color w:val="auto"/>
        </w:rPr>
      </w:pPr>
      <w:r>
        <w:rPr>
          <w:rFonts w:ascii="Arial" w:cs="Arial" w:eastAsia="Arial" w:hAnsi="Arial"/>
          <w:sz w:val="18"/>
          <w:szCs w:val="18"/>
          <w:b w:val="1"/>
          <w:bCs w:val="1"/>
          <w:i w:val="1"/>
          <w:iCs w:val="1"/>
          <w:color w:val="auto"/>
        </w:rPr>
        <w:t>Please state whether the Company will launch a consolidated Small Business Investment Company, “SBIC,” subsidiary</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no present intention to organize and launch an SBIC subsidiary.</w:t>
      </w:r>
    </w:p>
    <w:p>
      <w:pPr>
        <w:ind w:left="5280"/>
        <w:spacing w:after="0"/>
        <w:rPr>
          <w:rFonts w:ascii="Arial" w:cs="Arial" w:eastAsia="Arial" w:hAnsi="Arial"/>
          <w:sz w:val="18"/>
          <w:szCs w:val="18"/>
          <w:color w:val="auto"/>
        </w:rPr>
      </w:pPr>
      <w:r>
        <w:rPr>
          <w:rFonts w:ascii="Arial" w:cs="Arial" w:eastAsia="Arial" w:hAnsi="Arial"/>
          <w:sz w:val="18"/>
          <w:szCs w:val="18"/>
          <w:color w:val="auto"/>
        </w:rPr>
        <w:t>* * * * * * *</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you have any further comments, or if you require additional information, please do not hesitate to contact me at (202) 261-3313 or David Harris at (202) 261-3385.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Thomas J. Friedman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Arthur Penn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Harris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Dechert LLP</w:t>
      </w:r>
    </w:p>
    <w:sectPr>
      <w:pgSz w:w="11900" w:h="16838" w:orient="portrait"/>
      <w:cols w:equalWidth="0" w:num="1">
        <w:col w:w="11300"/>
      </w:cols>
      <w:pgMar w:left="240" w:top="2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1)"/>
      <w:numFmt w:val="decimal"/>
      <w:start w:val="1"/>
    </w:lvl>
  </w:abstractNum>
  <w:abstractNum w:abstractNumId="2">
    <w:nsid w:val="59ADEA3D"/>
    <w:multiLevelType w:val="hybridMultilevel"/>
    <w:lvl w:ilvl="0">
      <w:lvlJc w:val="left"/>
      <w:lvlText w:val="(%1)"/>
      <w:numFmt w:val="decimal"/>
      <w:start w:val="1"/>
    </w:lvl>
  </w:abstractNum>
  <w:abstractNum w:abstractNumId="3">
    <w:nsid w:val="288F1A34"/>
    <w:multiLevelType w:val="hybridMultilevel"/>
    <w:lvl w:ilvl="0">
      <w:lvlJc w:val="left"/>
      <w:lvlText w:val="(%1)"/>
      <w:numFmt w:val="decimal"/>
      <w:start w:val="3"/>
    </w:lvl>
  </w:abstractNum>
  <w:abstractNum w:abstractNumId="4">
    <w:nsid w:val="2A155DBC"/>
    <w:multiLevelType w:val="hybridMultilevel"/>
    <w:lvl w:ilvl="0">
      <w:lvlJc w:val="left"/>
      <w:lvlText w:val="•"/>
      <w:numFmt w:val="bullet"/>
      <w:start w:val="1"/>
    </w:lvl>
  </w:abstractNum>
  <w:abstractNum w:abstractNumId="5">
    <w:nsid w:val="1D9F6E5F"/>
    <w:multiLevelType w:val="hybridMultilevel"/>
    <w:lvl w:ilvl="0">
      <w:lvlJc w:val="left"/>
      <w:lvlText w:val="•"/>
      <w:numFmt w:val="bullet"/>
      <w:start w:val="1"/>
    </w:lvl>
  </w:abstractNum>
  <w:abstractNum w:abstractNumId="6">
    <w:nsid w:val="97E1B4E"/>
    <w:multiLevelType w:val="hybridMultilevel"/>
    <w:lvl w:ilvl="0">
      <w:lvlJc w:val="left"/>
      <w:lvlText w:val="•"/>
      <w:numFmt w:val="bullet"/>
      <w:start w:val="1"/>
    </w:lvl>
  </w:abstractNum>
  <w:abstractNum w:abstractNumId="7">
    <w:nsid w:val="51088277"/>
    <w:multiLevelType w:val="hybridMultilevel"/>
    <w:lvl w:ilvl="0">
      <w:lvlJc w:val="left"/>
      <w:lvlText w:val="•"/>
      <w:numFmt w:val="bullet"/>
      <w:start w:val="1"/>
    </w:lvl>
  </w:abstractNum>
  <w:abstractNum w:abstractNumId="8">
    <w:nsid w:val="1CA0C5FA"/>
    <w:multiLevelType w:val="hybridMultilevel"/>
    <w:lvl w:ilvl="0">
      <w:lvlJc w:val="left"/>
      <w:lvlText w:val="(%1)"/>
      <w:numFmt w:val="decimal"/>
      <w:start w:val="1"/>
    </w:lvl>
    <w:lvl w:ilvl="1">
      <w:lvlJc w:val="left"/>
      <w:lvlText w:val="•"/>
      <w:numFmt w:val="bullet"/>
      <w:start w:val="1"/>
    </w:lvl>
  </w:abstractNum>
  <w:abstractNum w:abstractNumId="9">
    <w:nsid w:val="53584BCB"/>
    <w:multiLevelType w:val="hybridMultilevel"/>
    <w:lvl w:ilvl="0">
      <w:lvlJc w:val="left"/>
      <w:lvlText w:val="(%1)"/>
      <w:numFmt w:val="decimal"/>
      <w:start w:val="7"/>
    </w:lvl>
  </w:abstractNum>
  <w:abstractNum w:abstractNumId="10">
    <w:nsid w:val="415E286C"/>
    <w:multiLevelType w:val="hybridMultilevel"/>
    <w:lvl w:ilvl="0">
      <w:lvlJc w:val="left"/>
      <w:lvlText w:val="(%1)"/>
      <w:numFmt w:val="decimal"/>
      <w:start w:val="1"/>
    </w:lvl>
  </w:abstractNum>
  <w:abstractNum w:abstractNumId="11">
    <w:nsid w:val="7C58FD05"/>
    <w:multiLevelType w:val="hybridMultilevel"/>
    <w:lvl w:ilvl="0">
      <w:lvlJc w:val="left"/>
      <w:lvlText w:val="•"/>
      <w:numFmt w:val="bullet"/>
      <w:start w:val="1"/>
    </w:lvl>
  </w:abstractNum>
  <w:abstractNum w:abstractNumId="12">
    <w:nsid w:val="23D86AAC"/>
    <w:multiLevelType w:val="hybridMultilevel"/>
    <w:lvl w:ilvl="0">
      <w:lvlJc w:val="left"/>
      <w:lvlText w:val="•"/>
      <w:numFmt w:val="bullet"/>
      <w:start w:val="1"/>
    </w:lvl>
  </w:abstractNum>
  <w:abstractNum w:abstractNumId="13">
    <w:nsid w:val="45E6D486"/>
    <w:multiLevelType w:val="hybridMultilevel"/>
    <w:lvl w:ilvl="0">
      <w:lvlJc w:val="left"/>
      <w:lvlText w:val="•"/>
      <w:numFmt w:val="bullet"/>
      <w:start w:val="1"/>
    </w:lvl>
  </w:abstractNum>
  <w:abstractNum w:abstractNumId="14">
    <w:nsid w:val="5C10FE21"/>
    <w:multiLevelType w:val="hybridMultilevel"/>
    <w:lvl w:ilvl="0">
      <w:lvlJc w:val="left"/>
      <w:lvlText w:val="•"/>
      <w:numFmt w:val="bullet"/>
      <w:start w:val="1"/>
    </w:lvl>
  </w:abstractNum>
  <w:abstractNum w:abstractNumId="15">
    <w:nsid w:val="E7FFA2B"/>
    <w:multiLevelType w:val="hybridMultilevel"/>
    <w:lvl w:ilvl="0">
      <w:lvlJc w:val="left"/>
      <w:lvlText w:val="•"/>
      <w:numFmt w:val="bullet"/>
      <w:start w:val="1"/>
    </w:lvl>
  </w:abstractNum>
  <w:abstractNum w:abstractNumId="16">
    <w:nsid w:val="3C5991AA"/>
    <w:multiLevelType w:val="hybridMultilevel"/>
    <w:lvl w:ilvl="0">
      <w:lvlJc w:val="left"/>
      <w:lvlText w:val="•"/>
      <w:numFmt w:val="bullet"/>
      <w:start w:val="1"/>
    </w:lvl>
  </w:abstractNum>
  <w:abstractNum w:abstractNumId="17">
    <w:nsid w:val="4BD8591A"/>
    <w:multiLevelType w:val="hybridMultilevel"/>
    <w:lvl w:ilvl="0">
      <w:lvlJc w:val="left"/>
      <w:lvlText w:val="%1."/>
      <w:numFmt w:val="decimal"/>
      <w:start w:val="1"/>
    </w:lvl>
  </w:abstractNum>
  <w:abstractNum w:abstractNumId="18">
    <w:nsid w:val="78DF6A55"/>
    <w:multiLevelType w:val="hybridMultilevel"/>
    <w:lvl w:ilvl="0">
      <w:lvlJc w:val="left"/>
      <w:lvlText w:val="•"/>
      <w:numFmt w:val="bullet"/>
      <w:start w:val="1"/>
    </w:lvl>
  </w:abstractNum>
  <w:abstractNum w:abstractNumId="19">
    <w:nsid w:val="39B7AAA2"/>
    <w:multiLevelType w:val="hybridMultilevel"/>
    <w:lvl w:ilvl="0">
      <w:lvlJc w:val="left"/>
      <w:lvlText w:val="•"/>
      <w:numFmt w:val="bullet"/>
      <w:start w:val="1"/>
    </w:lvl>
  </w:abstractNum>
  <w:abstractNum w:abstractNumId="20">
    <w:nsid w:val="2B0D8DBE"/>
    <w:multiLevelType w:val="hybridMultilevel"/>
    <w:lvl w:ilvl="0">
      <w:lvlJc w:val="left"/>
      <w:lvlText w:val="•"/>
      <w:numFmt w:val="bullet"/>
      <w:start w:val="1"/>
    </w:lvl>
  </w:abstractNum>
  <w:abstractNum w:abstractNumId="21">
    <w:nsid w:val="6C80EC70"/>
    <w:multiLevelType w:val="hybridMultilevel"/>
    <w:lvl w:ilvl="0">
      <w:lvlJc w:val="left"/>
      <w:lvlText w:val="•"/>
      <w:numFmt w:val="bullet"/>
      <w:start w:val="1"/>
    </w:lvl>
  </w:abstractNum>
  <w:abstractNum w:abstractNumId="22">
    <w:nsid w:val="379E21B5"/>
    <w:multiLevelType w:val="hybridMultilevel"/>
    <w:lvl w:ilvl="0">
      <w:lvlJc w:val="left"/>
      <w:lvlText w:val="%1."/>
      <w:numFmt w:val="decimal"/>
      <w:start w:val="1"/>
    </w:lvl>
  </w:abstractNum>
  <w:abstractNum w:abstractNumId="23">
    <w:nsid w:val="69E373"/>
    <w:multiLevelType w:val="hybridMultilevel"/>
    <w:lvl w:ilvl="0">
      <w:lvlJc w:val="left"/>
      <w:lvlText w:val="(%1)"/>
      <w:numFmt w:val="decimal"/>
      <w:start w:val="1"/>
    </w:lvl>
  </w:abstractNum>
  <w:abstractNum w:abstractNumId="24">
    <w:nsid w:val="2C27173B"/>
    <w:multiLevelType w:val="hybridMultilevel"/>
    <w:lvl w:ilvl="0">
      <w:lvlJc w:val="left"/>
      <w:lvlText w:val="(%1)"/>
      <w:numFmt w:val="decimal"/>
      <w:start w:val="1"/>
    </w:lvl>
  </w:abstractNum>
  <w:abstractNum w:abstractNumId="25">
    <w:nsid w:val="4C9B0904"/>
    <w:multiLevelType w:val="hybridMultilevel"/>
    <w:lvl w:ilvl="0">
      <w:lvlJc w:val="left"/>
      <w:lvlText w:val="(%1)"/>
      <w:numFmt w:val="decimal"/>
      <w:start w:val="4"/>
    </w:lvl>
  </w:abstractNum>
  <w:abstractNum w:abstractNumId="26">
    <w:nsid w:val="6AA7B75C"/>
    <w:multiLevelType w:val="hybridMultilevel"/>
    <w:lvl w:ilvl="0">
      <w:lvlJc w:val="left"/>
      <w:lvlText w:val="(%1)"/>
      <w:numFmt w:val="decimal"/>
      <w:start w:val="1"/>
    </w:lvl>
  </w:abstractNum>
  <w:abstractNum w:abstractNumId="27">
    <w:nsid w:val="1DF029D3"/>
    <w:multiLevelType w:val="hybridMultilevel"/>
    <w:lvl w:ilvl="0">
      <w:lvlJc w:val="left"/>
      <w:lvlText w:val="(%1)"/>
      <w:numFmt w:val="decimal"/>
      <w:start w:val="1"/>
    </w:lvl>
  </w:abstractNum>
  <w:abstractNum w:abstractNumId="28">
    <w:nsid w:val="5675FF36"/>
    <w:multiLevelType w:val="hybridMultilevel"/>
    <w:lvl w:ilvl="0">
      <w:lvlJc w:val="left"/>
      <w:lvlText w:val="(%1)"/>
      <w:numFmt w:val="decimal"/>
      <w:start w:val="1"/>
    </w:lvl>
  </w:abstractNum>
  <w:abstractNum w:abstractNumId="29">
    <w:nsid w:val="3DD15094"/>
    <w:multiLevelType w:val="hybridMultilevel"/>
    <w:lvl w:ilvl="0">
      <w:lvlJc w:val="left"/>
      <w:lvlText w:val="*"/>
      <w:numFmt w:val="bullet"/>
      <w:start w:val="1"/>
    </w:lvl>
  </w:abstractNum>
  <w:abstractNum w:abstractNumId="30">
    <w:nsid w:val="3DB012B3"/>
    <w:multiLevelType w:val="hybridMultilevel"/>
    <w:lvl w:ilvl="0">
      <w:lvlJc w:val="left"/>
      <w:lvlText w:val="(%1)"/>
      <w:numFmt w:val="decimal"/>
      <w:start w:val="1"/>
    </w:lvl>
  </w:abstractNum>
  <w:abstractNum w:abstractNumId="31">
    <w:nsid w:val="2708C9AF"/>
    <w:multiLevelType w:val="hybridMultilevel"/>
    <w:lvl w:ilvl="0">
      <w:lvlJc w:val="left"/>
      <w:lvlText w:val="•"/>
      <w:numFmt w:val="bullet"/>
      <w:start w:val="1"/>
    </w:lvl>
  </w:abstractNum>
  <w:abstractNum w:abstractNumId="32">
    <w:nsid w:val="5B25ACE2"/>
    <w:multiLevelType w:val="hybridMultilevel"/>
    <w:lvl w:ilvl="0">
      <w:lvlJc w:val="left"/>
      <w:lvlText w:val="•"/>
      <w:numFmt w:val="bullet"/>
      <w:start w:val="1"/>
    </w:lvl>
  </w:abstractNum>
  <w:abstractNum w:abstractNumId="33">
    <w:nsid w:val="175DFCF0"/>
    <w:multiLevelType w:val="hybridMultilevel"/>
    <w:lvl w:ilvl="0">
      <w:lvlJc w:val="left"/>
      <w:lvlText w:val="="/>
      <w:numFmt w:val="bullet"/>
      <w:start w:val="1"/>
    </w:lvl>
  </w:abstractNum>
  <w:abstractNum w:abstractNumId="34">
    <w:nsid w:val="4F97E3E4"/>
    <w:multiLevelType w:val="hybridMultilevel"/>
    <w:lvl w:ilvl="0">
      <w:lvlJc w:val="left"/>
      <w:lvlText w:val="(*)"/>
      <w:numFmt w:val="bullet"/>
      <w:start w:val="1"/>
    </w:lvl>
    <w:lvl w:ilvl="1">
      <w:lvlJc w:val="left"/>
      <w:lvlText w:val="="/>
      <w:numFmt w:val="bullet"/>
      <w:start w:val="1"/>
    </w:lvl>
  </w:abstractNum>
  <w:abstractNum w:abstractNumId="35">
    <w:nsid w:val="53B0A9E"/>
    <w:multiLevelType w:val="hybridMultilevel"/>
    <w:lvl w:ilvl="0">
      <w:lvlJc w:val="left"/>
      <w:lvlText w:val="(%1)"/>
      <w:numFmt w:val="decimal"/>
      <w:start w:val="1"/>
    </w:lvl>
  </w:abstractNum>
  <w:abstractNum w:abstractNumId="36">
    <w:nsid w:val="34FD6B4F"/>
    <w:multiLevelType w:val="hybridMultilevel"/>
    <w:lvl w:ilvl="0">
      <w:lvlJc w:val="left"/>
      <w:lvlText w:val="•"/>
      <w:numFmt w:val="bullet"/>
      <w:start w:val="1"/>
    </w:lvl>
  </w:abstractNum>
  <w:abstractNum w:abstractNumId="37">
    <w:nsid w:val="5915FF32"/>
    <w:multiLevelType w:val="hybridMultilevel"/>
    <w:lvl w:ilvl="0">
      <w:lvlJc w:val="left"/>
      <w:lvlText w:val="•"/>
      <w:numFmt w:val="bullet"/>
      <w:start w:val="1"/>
    </w:lvl>
  </w:abstractNum>
  <w:abstractNum w:abstractNumId="38">
    <w:nsid w:val="56438D15"/>
    <w:multiLevelType w:val="hybridMultilevel"/>
    <w:lvl w:ilvl="0">
      <w:lvlJc w:val="left"/>
      <w:lvlText w:val="•"/>
      <w:numFmt w:val="bullet"/>
      <w:start w:val="1"/>
    </w:lvl>
  </w:abstractNum>
  <w:abstractNum w:abstractNumId="39">
    <w:nsid w:val="519E3149"/>
    <w:multiLevelType w:val="hybridMultilevel"/>
    <w:lvl w:ilvl="0">
      <w:lvlJc w:val="left"/>
      <w:lvlText w:val="•"/>
      <w:numFmt w:val="bullet"/>
      <w:start w:val="1"/>
    </w:lvl>
  </w:abstractNum>
  <w:abstractNum w:abstractNumId="40">
    <w:nsid w:val="2C6E4AFD"/>
    <w:multiLevelType w:val="hybridMultilevel"/>
    <w:lvl w:ilvl="0">
      <w:lvlJc w:val="left"/>
      <w:lvlText w:val="•"/>
      <w:numFmt w:val="bullet"/>
      <w:start w:val="1"/>
    </w:lvl>
  </w:abstractNum>
  <w:abstractNum w:abstractNumId="41">
    <w:nsid w:val="17A1B582"/>
    <w:multiLevelType w:val="hybridMultilevel"/>
    <w:lvl w:ilvl="0">
      <w:lvlJc w:val="left"/>
      <w:lvlText w:val="•"/>
      <w:numFmt w:val="bullet"/>
      <w:start w:val="1"/>
    </w:lvl>
  </w:abstractNum>
  <w:abstractNum w:abstractNumId="42">
    <w:nsid w:val="4DF72E4E"/>
    <w:multiLevelType w:val="hybridMultilevel"/>
    <w:lvl w:ilvl="0">
      <w:lvlJc w:val="left"/>
      <w:lvlText w:val="(%1)"/>
      <w:numFmt w:val="decimal"/>
      <w:start w:val="1"/>
    </w:lvl>
  </w:abstractNum>
  <w:abstractNum w:abstractNumId="43">
    <w:nsid w:val="5046B5A9"/>
    <w:multiLevelType w:val="hybridMultilevel"/>
    <w:lvl w:ilvl="0">
      <w:lvlJc w:val="left"/>
      <w:lvlText w:val="•"/>
      <w:numFmt w:val="bullet"/>
      <w:start w:val="1"/>
    </w:lvl>
  </w:abstractNum>
  <w:abstractNum w:abstractNumId="44">
    <w:nsid w:val="5D888A08"/>
    <w:multiLevelType w:val="hybridMultilevel"/>
    <w:lvl w:ilvl="0">
      <w:lvlJc w:val="left"/>
      <w:lvlText w:val="•"/>
      <w:numFmt w:val="bullet"/>
      <w:start w:val="1"/>
    </w:lvl>
  </w:abstractNum>
  <w:abstractNum w:abstractNumId="45">
    <w:nsid w:val="2A082C70"/>
    <w:multiLevelType w:val="hybridMultilevel"/>
    <w:lvl w:ilvl="0">
      <w:lvlJc w:val="left"/>
      <w:lvlText w:val="•"/>
      <w:numFmt w:val="bullet"/>
      <w:start w:val="1"/>
    </w:lvl>
  </w:abstractNum>
  <w:abstractNum w:abstractNumId="46">
    <w:nsid w:val="5EC6AFD4"/>
    <w:multiLevelType w:val="hybridMultilevel"/>
    <w:lvl w:ilvl="0">
      <w:lvlJc w:val="left"/>
      <w:lvlText w:val="•"/>
      <w:numFmt w:val="bullet"/>
      <w:start w:val="1"/>
    </w:lvl>
  </w:abstractNum>
  <w:abstractNum w:abstractNumId="47">
    <w:nsid w:val="19E21BB2"/>
    <w:multiLevelType w:val="hybridMultilevel"/>
    <w:lvl w:ilvl="0">
      <w:lvlJc w:val="left"/>
      <w:lvlText w:val="•"/>
      <w:numFmt w:val="bullet"/>
      <w:start w:val="1"/>
    </w:lvl>
  </w:abstractNum>
  <w:abstractNum w:abstractNumId="48">
    <w:nsid w:val="75E0858A"/>
    <w:multiLevelType w:val="hybridMultilevel"/>
    <w:lvl w:ilvl="0">
      <w:lvlJc w:val="left"/>
      <w:lvlText w:val="(%1)"/>
      <w:numFmt w:val="decimal"/>
      <w:start w:val="1"/>
    </w:lvl>
    <w:lvl w:ilvl="1">
      <w:lvlJc w:val="left"/>
      <w:lvlText w:val="(%2)"/>
      <w:numFmt w:val="lowerLetter"/>
      <w:start w:val="1"/>
    </w:lvl>
  </w:abstractNum>
  <w:abstractNum w:abstractNumId="49">
    <w:nsid w:val="57A61A29"/>
    <w:multiLevelType w:val="hybridMultilevel"/>
    <w:lvl w:ilvl="0">
      <w:lvlJc w:val="left"/>
      <w:lvlText w:val="•"/>
      <w:numFmt w:val="bullet"/>
      <w:start w:val="1"/>
    </w:lvl>
  </w:abstractNum>
  <w:abstractNum w:abstractNumId="50">
    <w:nsid w:val="5399C654"/>
    <w:multiLevelType w:val="hybridMultilevel"/>
    <w:lvl w:ilvl="0">
      <w:lvlJc w:val="left"/>
      <w:lvlText w:val="•"/>
      <w:numFmt w:val="bullet"/>
      <w:start w:val="1"/>
    </w:lvl>
  </w:abstractNum>
  <w:abstractNum w:abstractNumId="51">
    <w:nsid w:val="20EE1348"/>
    <w:multiLevelType w:val="hybridMultilevel"/>
    <w:lvl w:ilvl="0">
      <w:lvlJc w:val="left"/>
      <w:lvlText w:val="•"/>
      <w:numFmt w:val="bullet"/>
      <w:start w:val="1"/>
    </w:lvl>
  </w:abstractNum>
  <w:abstractNum w:abstractNumId="52">
    <w:nsid w:val="4427069A"/>
    <w:multiLevelType w:val="hybridMultilevel"/>
    <w:lvl w:ilvl="0">
      <w:lvlJc w:val="left"/>
      <w:lvlText w:val="(%1)"/>
      <w:numFmt w:val="decimal"/>
      <w:start w:val="2"/>
    </w:lvl>
  </w:abstractNum>
  <w:abstractNum w:abstractNumId="53">
    <w:nsid w:val="B37E80A"/>
    <w:multiLevelType w:val="hybridMultilevel"/>
    <w:lvl w:ilvl="0">
      <w:lvlJc w:val="left"/>
      <w:lvlText w:val="•"/>
      <w:numFmt w:val="bullet"/>
      <w:start w:val="1"/>
    </w:lvl>
  </w:abstractNum>
  <w:abstractNum w:abstractNumId="54">
    <w:nsid w:val="2157F6BC"/>
    <w:multiLevelType w:val="hybridMultilevel"/>
    <w:lvl w:ilvl="0">
      <w:lvlJc w:val="left"/>
      <w:lvlText w:val="(%1)"/>
      <w:numFmt w:val="decimal"/>
      <w:start w:val="3"/>
    </w:lvl>
  </w:abstractNum>
  <w:abstractNum w:abstractNumId="55">
    <w:nsid w:val="704E1DD5"/>
    <w:multiLevelType w:val="hybridMultilevel"/>
    <w:lvl w:ilvl="0">
      <w:lvlJc w:val="left"/>
      <w:lvlText w:val="•"/>
      <w:numFmt w:val="bullet"/>
      <w:start w:val="1"/>
    </w:lvl>
  </w:abstractNum>
  <w:abstractNum w:abstractNumId="56">
    <w:nsid w:val="57D2F10E"/>
    <w:multiLevelType w:val="hybridMultilevel"/>
    <w:lvl w:ilvl="0">
      <w:lvlJc w:val="left"/>
      <w:lvlText w:val="•"/>
      <w:numFmt w:val="bullet"/>
      <w:start w:val="1"/>
    </w:lvl>
  </w:abstractNum>
  <w:abstractNum w:abstractNumId="57">
    <w:nsid w:val="BFFAE18"/>
    <w:multiLevelType w:val="hybridMultilevel"/>
    <w:lvl w:ilvl="0">
      <w:lvlJc w:val="left"/>
      <w:lvlText w:val="(%1)"/>
      <w:numFmt w:val="lowerLetter"/>
      <w:start w:val="1"/>
    </w:lvl>
  </w:abstractNum>
  <w:abstractNum w:abstractNumId="58">
    <w:nsid w:val="E3E47A8"/>
    <w:multiLevelType w:val="hybridMultilevel"/>
    <w:lvl w:ilvl="0">
      <w:lvlJc w:val="left"/>
      <w:lvlText w:val="(%1)"/>
      <w:numFmt w:val="decimal"/>
      <w:start w:val="1"/>
    </w:lvl>
  </w:abstractNum>
  <w:abstractNum w:abstractNumId="59">
    <w:nsid w:val="2E48F044"/>
    <w:multiLevelType w:val="hybridMultilevel"/>
    <w:lvl w:ilvl="0">
      <w:lvlJc w:val="left"/>
      <w:lvlText w:val="(%1)"/>
      <w:numFmt w:val="lowerLetter"/>
      <w:start w:val="1"/>
    </w:lvl>
  </w:abstractNum>
  <w:abstractNum w:abstractNumId="60">
    <w:nsid w:val="49D0FEAC"/>
    <w:multiLevelType w:val="hybridMultilevel"/>
    <w:lvl w:ilvl="0">
      <w:lvlJc w:val="left"/>
      <w:lvlText w:val="(%1)"/>
      <w:numFmt w:val="lowerLetter"/>
      <w:start w:val="9"/>
    </w:lvl>
  </w:abstractNum>
  <w:abstractNum w:abstractNumId="61">
    <w:nsid w:val="4BEE5A5B"/>
    <w:multiLevelType w:val="hybridMultilevel"/>
    <w:lvl w:ilvl="0">
      <w:lvlJc w:val="left"/>
      <w:lvlText w:val="(%1)"/>
      <w:numFmt w:val="lowerLetter"/>
      <w:start w:val="13"/>
    </w:lvl>
  </w:abstractNum>
  <w:abstractNum w:abstractNumId="62">
    <w:nsid w:val="5551B9F3"/>
    <w:multiLevelType w:val="hybridMultilevel"/>
    <w:lvl w:ilvl="0">
      <w:lvlJc w:val="left"/>
      <w:lvlText w:val="(%1)"/>
      <w:numFmt w:val="decimal"/>
      <w:start w:val="1"/>
    </w:lvl>
  </w:abstractNum>
  <w:abstractNum w:abstractNumId="63">
    <w:nsid w:val="24F6AB8E"/>
    <w:multiLevelType w:val="hybridMultilevel"/>
    <w:lvl w:ilvl="0">
      <w:lvlJc w:val="left"/>
      <w:lvlText w:val="(%1)"/>
      <w:numFmt w:val="decimal"/>
      <w:start w:val="1"/>
    </w:lvl>
  </w:abstractNum>
  <w:abstractNum w:abstractNumId="64">
    <w:nsid w:val="634C574C"/>
    <w:multiLevelType w:val="hybridMultilevel"/>
    <w:lvl w:ilvl="0">
      <w:lvlJc w:val="left"/>
      <w:lvlText w:val="%1."/>
      <w:numFmt w:val="decimal"/>
      <w:start w:val="1"/>
    </w:lvl>
    <w:lvl w:ilvl="1">
      <w:lvlJc w:val="left"/>
      <w:lvlText w:val="(%2)"/>
      <w:numFmt w:val="lowerLetter"/>
      <w:start w:val="1"/>
    </w:lvl>
  </w:abstractNum>
  <w:abstractNum w:abstractNumId="65">
    <w:nsid w:val="24E99DD7"/>
    <w:multiLevelType w:val="hybridMultilevel"/>
    <w:lvl w:ilvl="0">
      <w:lvlJc w:val="left"/>
      <w:lvlText w:val="*"/>
      <w:numFmt w:val="bullet"/>
      <w:start w:val="1"/>
    </w:lvl>
  </w:abstractNum>
  <w:abstractNum w:abstractNumId="66">
    <w:nsid w:val="2A31B62D"/>
    <w:multiLevelType w:val="hybridMultilevel"/>
    <w:lvl w:ilvl="0">
      <w:lvlJc w:val="left"/>
      <w:lvlText w:val="(%1)"/>
      <w:numFmt w:val="lowerLetter"/>
      <w:start w:val="2"/>
    </w:lvl>
  </w:abstractNum>
  <w:abstractNum w:abstractNumId="67">
    <w:nsid w:val="1849C29B"/>
    <w:multiLevelType w:val="hybridMultilevel"/>
    <w:lvl w:ilvl="0">
      <w:lvlJc w:val="left"/>
      <w:lvlText w:val="(%1)"/>
      <w:numFmt w:val="lowerLetter"/>
      <w:start w:val="1"/>
    </w:lvl>
    <w:lvl w:ilvl="1">
      <w:lvlJc w:val="left"/>
      <w:lvlText w:val="(%2)"/>
      <w:numFmt w:val="lowerRoman"/>
      <w:start w:val="1"/>
    </w:lvl>
  </w:abstractNum>
  <w:abstractNum w:abstractNumId="68">
    <w:nsid w:val="7DFF9D09"/>
    <w:multiLevelType w:val="hybridMultilevel"/>
    <w:lvl w:ilvl="0">
      <w:lvlJc w:val="left"/>
      <w:lvlText w:val="(%1)"/>
      <w:numFmt w:val="lowerLetter"/>
      <w:start w:val="2"/>
    </w:lvl>
  </w:abstractNum>
  <w:abstractNum w:abstractNumId="69">
    <w:nsid w:val="754342"/>
    <w:multiLevelType w:val="hybridMultilevel"/>
    <w:lvl w:ilvl="0">
      <w:lvlJc w:val="left"/>
      <w:lvlText w:val="(%1)"/>
      <w:numFmt w:val="lowerLetter"/>
      <w:start w:val="6"/>
    </w:lvl>
  </w:abstractNum>
  <w:abstractNum w:abstractNumId="70">
    <w:nsid w:val="69E7F3E5"/>
    <w:multiLevelType w:val="hybridMultilevel"/>
    <w:lvl w:ilvl="0">
      <w:lvlJc w:val="left"/>
      <w:lvlText w:val="(%1)"/>
      <w:numFmt w:val="lowerLetter"/>
      <w:start w:val="2"/>
    </w:lvl>
  </w:abstractNum>
  <w:abstractNum w:abstractNumId="71">
    <w:nsid w:val="2A6DE806"/>
    <w:multiLevelType w:val="hybridMultilevel"/>
    <w:lvl w:ilvl="0">
      <w:lvlJc w:val="left"/>
      <w:lvlText w:val="%1."/>
      <w:numFmt w:val="decimal"/>
      <w:start w:val="1"/>
    </w:lvl>
  </w:abstractNum>
  <w:abstractNum w:abstractNumId="72">
    <w:nsid w:val="1816F8C4"/>
    <w:multiLevelType w:val="hybridMultilevel"/>
    <w:lvl w:ilvl="0">
      <w:lvlJc w:val="left"/>
      <w:lvlText w:val="%1."/>
      <w:numFmt w:val="decimal"/>
      <w:start w:val="6"/>
    </w:lvl>
  </w:abstractNum>
  <w:abstractNum w:abstractNumId="73">
    <w:nsid w:val="37DF2233"/>
    <w:multiLevelType w:val="hybridMultilevel"/>
    <w:lvl w:ilvl="0">
      <w:lvlJc w:val="left"/>
      <w:lvlText w:val="%1."/>
      <w:numFmt w:val="decimal"/>
      <w:start w:val="11"/>
    </w:lvl>
  </w:abstractNum>
  <w:abstractNum w:abstractNumId="74">
    <w:nsid w:val="7AB49DAF"/>
    <w:multiLevelType w:val="hybridMultilevel"/>
    <w:lvl w:ilvl="0">
      <w:lvlJc w:val="left"/>
      <w:lvlText w:val="%1."/>
      <w:numFmt w:val="decimal"/>
      <w:start w:val="1"/>
    </w:lvl>
    <w:lvl w:ilvl="1">
      <w:lvlJc w:val="left"/>
      <w:lvlText w:val="(%2)"/>
      <w:numFmt w:val="lowerLetter"/>
      <w:start w:val="1"/>
    </w:lvl>
  </w:abstractNum>
  <w:abstractNum w:abstractNumId="75">
    <w:nsid w:val="759F82CD"/>
    <w:multiLevelType w:val="hybridMultilevel"/>
    <w:lvl w:ilvl="0">
      <w:lvlJc w:val="left"/>
      <w:lvlText w:val="(%1)"/>
      <w:numFmt w:val="lowerLetter"/>
      <w:start w:val="61"/>
    </w:lvl>
    <w:lvl w:ilvl="1">
      <w:lvlJc w:val="left"/>
      <w:lvlText w:val="(%2)"/>
      <w:numFmt w:val="lowerLetter"/>
      <w:start w:val="2"/>
    </w:lvl>
    <w:lvl w:ilvl="2">
      <w:lvlJc w:val="left"/>
      <w:lvlText w:val="-"/>
      <w:numFmt w:val="bullet"/>
      <w:start w:val="1"/>
    </w:lvl>
  </w:abstractNum>
  <w:abstractNum w:abstractNumId="76">
    <w:nsid w:val="61E74EA3"/>
    <w:multiLevelType w:val="hybridMultilevel"/>
    <w:lvl w:ilvl="0">
      <w:lvlJc w:val="left"/>
      <w:lvlText w:val="%1."/>
      <w:numFmt w:val="decimal"/>
      <w:start w:val="2"/>
    </w:lvl>
    <w:lvl w:ilvl="1">
      <w:lvlJc w:val="left"/>
      <w:lvlText w:val="-"/>
      <w:numFmt w:val="bullet"/>
      <w:start w:val="1"/>
    </w:lvl>
  </w:abstractNum>
  <w:abstractNum w:abstractNumId="77">
    <w:nsid w:val="597B4D8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8">
    <w:nsid w:val="F819E7F"/>
    <w:multiLevelType w:val="hybridMultilevel"/>
    <w:lvl w:ilvl="0">
      <w:lvlJc w:val="left"/>
      <w:lvlText w:val="%1"/>
      <w:numFmt w:val="decimal"/>
      <w:start w:val="1"/>
    </w:lvl>
    <w:lvl w:ilvl="1">
      <w:lvlJc w:val="left"/>
      <w:lvlText w:val="%2"/>
      <w:numFmt w:val="lowerRoman"/>
      <w:start w:val="1"/>
    </w:lvl>
    <w:lvl w:ilvl="2">
      <w:lvlJc w:val="left"/>
      <w:lvlText w:val="(%3)"/>
      <w:numFmt w:val="decimal"/>
      <w:start w:val="3"/>
    </w:lvl>
    <w:lvl w:ilvl="3">
      <w:lvlJc w:val="left"/>
      <w:lvlText w:val="-"/>
      <w:numFmt w:val="bullet"/>
      <w:start w:val="1"/>
    </w:lvl>
  </w:abstractNum>
  <w:abstractNum w:abstractNumId="79">
    <w:nsid w:val="57C7D42D"/>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80">
    <w:nsid w:val="312167AD"/>
    <w:multiLevelType w:val="hybridMultilevel"/>
    <w:lvl w:ilvl="0">
      <w:lvlJc w:val="left"/>
      <w:lvlText w:val="%1."/>
      <w:numFmt w:val="decimal"/>
      <w:start w:val="4"/>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81">
    <w:nsid w:val="631B64D4"/>
    <w:multiLevelType w:val="hybridMultilevel"/>
    <w:lvl w:ilvl="0">
      <w:lvlJc w:val="left"/>
      <w:lvlText w:val="%1."/>
      <w:numFmt w:val="decimal"/>
      <w:start w:val="6"/>
    </w:lvl>
    <w:lvl w:ilvl="1">
      <w:lvlJc w:val="left"/>
      <w:lvlText w:val="-"/>
      <w:numFmt w:val="bullet"/>
      <w:start w:val="1"/>
    </w:lvl>
  </w:abstractNum>
  <w:abstractNum w:abstractNumId="82">
    <w:nsid w:val="78B5E776"/>
    <w:multiLevelType w:val="hybridMultilevel"/>
    <w:lvl w:ilvl="0">
      <w:lvlJc w:val="left"/>
      <w:lvlText w:val="%1"/>
      <w:numFmt w:val="lowerLetter"/>
      <w:start w:val="1"/>
    </w:lvl>
    <w:lvl w:ilvl="1">
      <w:lvlJc w:val="left"/>
      <w:lvlText w:val="%2."/>
      <w:numFmt w:val="decimal"/>
      <w:start w:val="9"/>
    </w:lvl>
    <w:lvl w:ilvl="2">
      <w:lvlJc w:val="left"/>
      <w:lvlText w:val="-"/>
      <w:numFmt w:val="bullet"/>
      <w:start w:val="1"/>
    </w:lvl>
  </w:abstractNum>
  <w:abstractNum w:abstractNumId="83">
    <w:nsid w:val="75486E47"/>
    <w:multiLevelType w:val="hybridMultilevel"/>
    <w:lvl w:ilvl="0">
      <w:lvlJc w:val="left"/>
      <w:lvlText w:val="(%1)"/>
      <w:numFmt w:val="lowerLetter"/>
      <w:start w:val="2"/>
    </w:lvl>
    <w:lvl w:ilvl="1">
      <w:lvlJc w:val="left"/>
      <w:lvlText w:val="%2."/>
      <w:numFmt w:val="decimal"/>
      <w:start w:val="10"/>
    </w:lvl>
    <w:lvl w:ilvl="2">
      <w:lvlJc w:val="left"/>
      <w:lvlText w:val="-"/>
      <w:numFmt w:val="bullet"/>
      <w:start w:val="1"/>
    </w:lvl>
  </w:abstractNum>
  <w:abstractNum w:abstractNumId="84">
    <w:nsid w:val="6E534CDE"/>
    <w:multiLevelType w:val="hybridMultilevel"/>
    <w:lvl w:ilvl="0">
      <w:lvlJc w:val="left"/>
      <w:lvlText w:val="%1."/>
      <w:numFmt w:val="decimal"/>
      <w:start w:val="11"/>
    </w:lvl>
  </w:abstractNum>
  <w:abstractNum w:abstractNumId="85">
    <w:nsid w:val="1A0DDE32"/>
    <w:multiLevelType w:val="hybridMultilevel"/>
    <w:lvl w:ilvl="0">
      <w:lvlJc w:val="left"/>
      <w:lvlText w:val="%1."/>
      <w:numFmt w:val="decimal"/>
      <w:start w:val="1"/>
    </w:lvl>
  </w:abstractNum>
  <w:abstractNum w:abstractNumId="86">
    <w:nsid w:val="65968C1C"/>
    <w:multiLevelType w:val="hybridMultilevel"/>
    <w:lvl w:ilvl="0">
      <w:lvlJc w:val="left"/>
      <w:lvlText w:val="%1."/>
      <w:numFmt w:val="decimal"/>
      <w:start w:val="8"/>
    </w:lvl>
  </w:abstractNum>
  <w:abstractNum w:abstractNumId="87">
    <w:nsid w:val="46263DEC"/>
    <w:multiLevelType w:val="hybridMultilevel"/>
    <w:lvl w:ilvl="0">
      <w:lvlJc w:val="left"/>
      <w:lvlText w:val="%1."/>
      <w:numFmt w:val="decimal"/>
      <w:start w:val="10"/>
    </w:lvl>
  </w:abstractNum>
  <w:abstractNum w:abstractNumId="88">
    <w:nsid w:val="260D8C4A"/>
    <w:multiLevelType w:val="hybridMultilevel"/>
    <w:lvl w:ilvl="0">
      <w:lvlJc w:val="left"/>
      <w:lvlText w:val="(%1)"/>
      <w:numFmt w:val="lowerLetter"/>
      <w:start w:val="2"/>
    </w:lvl>
    <w:lvl w:ilvl="1">
      <w:lvlJc w:val="left"/>
      <w:lvlText w:val="-"/>
      <w:numFmt w:val="bullet"/>
      <w:start w:val="1"/>
    </w:lvl>
  </w:abstractNum>
  <w:abstractNum w:abstractNumId="89">
    <w:nsid w:val="73D4D3C4"/>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90">
    <w:nsid w:val="746F2E30"/>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91">
    <w:nsid w:val="6FDE8AF6"/>
    <w:multiLevelType w:val="hybridMultilevel"/>
    <w:lvl w:ilvl="0">
      <w:lvlJc w:val="left"/>
      <w:lvlText w:val="(%1)"/>
      <w:numFmt w:val="lowerLetter"/>
      <w:start w:val="8"/>
    </w:lvl>
  </w:abstractNum>
  <w:abstractNum w:abstractNumId="92">
    <w:nsid w:val="3FC32E2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
      <w:numFmt w:val="bullet"/>
      <w:start w:val="1"/>
    </w:lvl>
  </w:abstractNum>
  <w:abstractNum w:abstractNumId="93">
    <w:nsid w:val="49C0E823"/>
    <w:multiLevelType w:val="hybridMultilevel"/>
    <w:lvl w:ilvl="0">
      <w:lvlJc w:val="left"/>
      <w:lvlText w:val="%1"/>
      <w:numFmt w:val="decimal"/>
      <w:start w:val="1"/>
    </w:lvl>
    <w:lvl w:ilvl="1">
      <w:lvlJc w:val="left"/>
      <w:lvlText w:val="(%2)"/>
      <w:numFmt w:val="lowerLetter"/>
      <w:start w:val="12"/>
    </w:lvl>
    <w:lvl w:ilvl="2">
      <w:lvlJc w:val="left"/>
      <w:lvlText w:val="%3"/>
      <w:numFmt w:val="lowerLetter"/>
      <w:start w:val="1"/>
    </w:lvl>
    <w:lvl w:ilvl="3">
      <w:lvlJc w:val="left"/>
      <w:lvlText w:val="-"/>
      <w:numFmt w:val="bullet"/>
      <w:start w:val="1"/>
    </w:lvl>
  </w:abstractNum>
  <w:abstractNum w:abstractNumId="94">
    <w:nsid w:val="14D5368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95">
    <w:nsid w:val="230F856C"/>
    <w:multiLevelType w:val="hybridMultilevel"/>
    <w:lvl w:ilvl="0">
      <w:lvlJc w:val="left"/>
      <w:lvlText w:val="%1"/>
      <w:numFmt w:val="decimal"/>
      <w:start w:val="1"/>
    </w:lvl>
    <w:lvl w:ilvl="1">
      <w:lvlJc w:val="left"/>
      <w:lvlText w:val="(%2)"/>
      <w:numFmt w:val="lowerLetter"/>
      <w:start w:val="4"/>
    </w:lvl>
  </w:abstractNum>
  <w:abstractNum w:abstractNumId="96">
    <w:nsid w:val="6EAA85FB"/>
    <w:multiLevelType w:val="hybridMultilevel"/>
    <w:lvl w:ilvl="0">
      <w:lvlJc w:val="left"/>
      <w:lvlText w:val="%1."/>
      <w:numFmt w:val="decimal"/>
      <w:start w:val="4"/>
    </w:lvl>
    <w:lvl w:ilvl="1">
      <w:lvlJc w:val="left"/>
      <w:lvlText w:val="%2"/>
      <w:numFmt w:val="lowerLetter"/>
      <w:start w:val="1"/>
    </w:lvl>
  </w:abstractNum>
  <w:abstractNum w:abstractNumId="97">
    <w:nsid w:val="3F06ECB2"/>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98">
    <w:nsid w:val="3B59480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
      <w:numFmt w:val="bullet"/>
      <w:start w:val="1"/>
    </w:lvl>
  </w:abstractNum>
  <w:abstractNum w:abstractNumId="99">
    <w:nsid w:val="6CAA2304"/>
    <w:multiLevelType w:val="hybridMultilevel"/>
    <w:lvl w:ilvl="0">
      <w:lvlJc w:val="left"/>
      <w:lvlText w:val="(%1)"/>
      <w:numFmt w:val="lowerLetter"/>
      <w:start w:val="4"/>
    </w:lvl>
    <w:lvl w:ilvl="1">
      <w:lvlJc w:val="left"/>
      <w:lvlText w:val="%2."/>
      <w:numFmt w:val="decimal"/>
      <w:start w:val="2"/>
    </w:lvl>
    <w:lvl w:ilvl="2">
      <w:lvlJc w:val="left"/>
      <w:lvlText w:val="(%3)"/>
      <w:numFmt w:val="lowerLetter"/>
      <w:start w:val="1"/>
    </w:lvl>
    <w:lvl w:ilvl="3">
      <w:lvlJc w:val="left"/>
      <w:lvlText w:val="-"/>
      <w:numFmt w:val="bullet"/>
      <w:start w:val="1"/>
    </w:lvl>
  </w:abstractNum>
  <w:abstractNum w:abstractNumId="100">
    <w:nsid w:val="3F7C2FF4"/>
    <w:multiLevelType w:val="hybridMultilevel"/>
    <w:lvl w:ilvl="0">
      <w:lvlJc w:val="left"/>
      <w:lvlText w:val="%1."/>
      <w:numFmt w:val="decimal"/>
      <w:start w:val="4"/>
    </w:lvl>
    <w:lvl w:ilvl="1">
      <w:lvlJc w:val="left"/>
      <w:lvlText w:val="(%2)"/>
      <w:numFmt w:val="lowerLetter"/>
      <w:start w:val="2"/>
    </w:lvl>
    <w:lvl w:ilvl="2">
      <w:lvlJc w:val="left"/>
      <w:lvlText w:val="-"/>
      <w:numFmt w:val="bullet"/>
      <w:start w:val="1"/>
    </w:lvl>
  </w:abstractNum>
  <w:abstractNum w:abstractNumId="101">
    <w:nsid w:val="25413BEC"/>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lvl w:ilvl="3">
      <w:lvlJc w:val="left"/>
      <w:lvlText w:val="-"/>
      <w:numFmt w:val="bullet"/>
      <w:start w:val="1"/>
    </w:lvl>
  </w:abstractNum>
  <w:abstractNum w:abstractNumId="102">
    <w:nsid w:val="17180B0B"/>
    <w:multiLevelType w:val="hybridMultilevel"/>
    <w:lvl w:ilvl="0">
      <w:lvlJc w:val="left"/>
      <w:lvlText w:val="(%1)"/>
      <w:numFmt w:val="lowerLetter"/>
      <w:start w:val="9"/>
    </w:lvl>
    <w:lvl w:ilvl="1">
      <w:lvlJc w:val="left"/>
      <w:lvlText w:val="%2."/>
      <w:numFmt w:val="decimal"/>
      <w:start w:val="9"/>
    </w:lvl>
    <w:lvl w:ilvl="2">
      <w:lvlJc w:val="left"/>
      <w:lvlText w:val="(%3)"/>
      <w:numFmt w:val="lowerLetter"/>
      <w:start w:val="2"/>
    </w:lvl>
    <w:lvl w:ilvl="3">
      <w:lvlJc w:val="left"/>
      <w:lvlText w:val="-"/>
      <w:numFmt w:val="bullet"/>
      <w:start w:val="1"/>
    </w:lvl>
  </w:abstractNum>
  <w:abstractNum w:abstractNumId="103">
    <w:nsid w:val="579328B9"/>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04">
    <w:nsid w:val="5D205E20"/>
    <w:multiLevelType w:val="hybridMultilevel"/>
    <w:lvl w:ilvl="0">
      <w:lvlJc w:val="left"/>
      <w:lvlText w:val="%1."/>
      <w:numFmt w:val="decimal"/>
      <w:start w:val="1"/>
    </w:lvl>
    <w:lvl w:ilvl="1">
      <w:lvlJc w:val="left"/>
      <w:lvlText w:val="-"/>
      <w:numFmt w:val="bullet"/>
      <w:start w:val="1"/>
    </w:lvl>
  </w:abstractNum>
  <w:abstractNum w:abstractNumId="105">
    <w:nsid w:val="11CCA8BA"/>
    <w:multiLevelType w:val="hybridMultilevel"/>
    <w:lvl w:ilvl="0">
      <w:lvlJc w:val="left"/>
      <w:lvlText w:val="%1."/>
      <w:numFmt w:val="decimal"/>
      <w:start w:val="1"/>
    </w:lvl>
  </w:abstractNum>
  <w:abstractNum w:abstractNumId="106">
    <w:nsid w:val="4D32AB86"/>
    <w:multiLevelType w:val="hybridMultilevel"/>
    <w:lvl w:ilvl="0">
      <w:lvlJc w:val="left"/>
      <w:lvlText w:val="%1."/>
      <w:numFmt w:val="decimal"/>
      <w:start w:val="1"/>
    </w:lvl>
  </w:abstractNum>
  <w:abstractNum w:abstractNumId="107">
    <w:nsid w:val="3F07ACC3"/>
    <w:multiLevelType w:val="hybridMultilevel"/>
    <w:lvl w:ilvl="0">
      <w:lvlJc w:val="left"/>
      <w:lvlText w:val="(%1)"/>
      <w:numFmt w:val="lowerLetter"/>
      <w:start w:val="1"/>
    </w:lvl>
    <w:lvl w:ilvl="1">
      <w:lvlJc w:val="left"/>
      <w:lvlText w:val="-"/>
      <w:numFmt w:val="bullet"/>
      <w:start w:val="1"/>
    </w:lvl>
  </w:abstractNum>
  <w:abstractNum w:abstractNumId="108">
    <w:nsid w:val="6B47F63E"/>
    <w:multiLevelType w:val="hybridMultilevel"/>
    <w:lvl w:ilvl="0">
      <w:lvlJc w:val="left"/>
      <w:lvlText w:val="(%1)"/>
      <w:numFmt w:val="lowerLetter"/>
      <w:start w:val="2"/>
    </w:lvl>
  </w:abstractNum>
  <w:abstractNum w:abstractNumId="109">
    <w:nsid w:val="5CB44A05"/>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10">
    <w:nsid w:val="16CF80F1"/>
    <w:multiLevelType w:val="hybridMultilevel"/>
    <w:lvl w:ilvl="0">
      <w:lvlJc w:val="left"/>
      <w:lvlText w:val="%1."/>
      <w:numFmt w:val="decimal"/>
      <w:start w:val="3"/>
    </w:lvl>
    <w:lvl w:ilvl="1">
      <w:lvlJc w:val="left"/>
      <w:lvlText w:val="-"/>
      <w:numFmt w:val="bullet"/>
      <w:start w:val="1"/>
    </w:lvl>
  </w:abstractNum>
  <w:abstractNum w:abstractNumId="111">
    <w:nsid w:val="1C695DEC"/>
    <w:multiLevelType w:val="hybridMultilevel"/>
    <w:lvl w:ilvl="0">
      <w:lvlJc w:val="left"/>
      <w:lvlText w:val="%1."/>
      <w:numFmt w:val="decimal"/>
      <w:start w:val="9"/>
    </w:lvl>
  </w:abstractNum>
  <w:abstractNum w:abstractNumId="112">
    <w:nsid w:val="3FCFAED9"/>
    <w:multiLevelType w:val="hybridMultilevel"/>
    <w:lvl w:ilvl="0">
      <w:lvlJc w:val="left"/>
      <w:lvlText w:val="%1."/>
      <w:numFmt w:val="decimal"/>
      <w:start w:val="11"/>
    </w:lvl>
  </w:abstractNum>
  <w:abstractNum w:abstractNumId="113">
    <w:nsid w:val="F856867"/>
    <w:multiLevelType w:val="hybridMultilevel"/>
    <w:lvl w:ilvl="0">
      <w:lvlJc w:val="left"/>
      <w:lvlText w:val="%1."/>
      <w:numFmt w:val="decimal"/>
      <w:start w:val="1"/>
    </w:lvl>
    <w:lvl w:ilvl="1">
      <w:lvlJc w:val="left"/>
      <w:lvlText w:val="-"/>
      <w:numFmt w:val="bullet"/>
      <w:start w:val="1"/>
    </w:lvl>
  </w:abstractNum>
  <w:abstractNum w:abstractNumId="114">
    <w:nsid w:val="11B1CC33"/>
    <w:multiLevelType w:val="hybridMultilevel"/>
    <w:lvl w:ilvl="0">
      <w:lvlJc w:val="left"/>
      <w:lvlText w:val="%1."/>
      <w:numFmt w:val="decimal"/>
      <w:start w:val="2"/>
    </w:lvl>
  </w:abstractNum>
  <w:abstractNum w:abstractNumId="115">
    <w:nsid w:val="2E22FBB7"/>
    <w:multiLevelType w:val="hybridMultilevel"/>
    <w:lvl w:ilvl="0">
      <w:lvlJc w:val="left"/>
      <w:lvlText w:val="%1."/>
      <w:numFmt w:val="decimal"/>
      <w:start w:val="1"/>
    </w:lvl>
    <w:lvl w:ilvl="1">
      <w:lvlJc w:val="left"/>
      <w:lvlText w:val="-"/>
      <w:numFmt w:val="bullet"/>
      <w:start w:val="1"/>
    </w:lvl>
  </w:abstractNum>
  <w:abstractNum w:abstractNumId="116">
    <w:nsid w:val="29934699"/>
    <w:multiLevelType w:val="hybridMultilevel"/>
    <w:lvl w:ilvl="0">
      <w:lvlJc w:val="left"/>
      <w:lvlText w:val="%1."/>
      <w:numFmt w:val="decimal"/>
      <w:start w:val="6"/>
    </w:lvl>
    <w:lvl w:ilvl="1">
      <w:lvlJc w:val="left"/>
      <w:lvlText w:val="-"/>
      <w:numFmt w:val="bullet"/>
      <w:start w:val="1"/>
    </w:lvl>
  </w:abstractNum>
  <w:abstractNum w:abstractNumId="117">
    <w:nsid w:val="77485850"/>
    <w:multiLevelType w:val="hybridMultilevel"/>
    <w:lvl w:ilvl="0">
      <w:lvlJc w:val="left"/>
      <w:lvlText w:val="%1."/>
      <w:numFmt w:val="decimal"/>
      <w:start w:val="1"/>
    </w:lvl>
  </w:abstractNum>
  <w:abstractNum w:abstractNumId="118">
    <w:nsid w:val="744939A3"/>
    <w:multiLevelType w:val="hybridMultilevel"/>
    <w:lvl w:ilvl="0">
      <w:lvlJc w:val="left"/>
      <w:lvlText w:val="%1."/>
      <w:numFmt w:val="decimal"/>
      <w:start w:val="4"/>
    </w:lvl>
  </w:abstractNum>
  <w:abstractNum w:abstractNumId="119">
    <w:nsid w:val="4FA0D2E3"/>
    <w:multiLevelType w:val="hybridMultilevel"/>
    <w:lvl w:ilvl="0">
      <w:lvlJc w:val="left"/>
      <w:lvlText w:val="%1."/>
      <w:numFmt w:val="decimal"/>
      <w:start w:val="7"/>
    </w:lvl>
  </w:abstractNum>
  <w:abstractNum w:abstractNumId="120">
    <w:nsid w:val="6B1D2C14"/>
    <w:multiLevelType w:val="hybridMultilevel"/>
    <w:lvl w:ilvl="0">
      <w:lvlJc w:val="left"/>
      <w:lvlText w:val="&amp;"/>
      <w:numFmt w:val="bullet"/>
      <w:start w:val="1"/>
    </w:lvl>
  </w:abstractNum>
  <w:abstractNum w:abstractNumId="121">
    <w:nsid w:val="68B867D3"/>
    <w:multiLevelType w:val="hybridMultilevel"/>
    <w:lvl w:ilvl="0">
      <w:lvlJc w:val="left"/>
      <w:lvlText w:val="a"/>
      <w:numFmt w:val="bullet"/>
      <w:start w:val="1"/>
    </w:lvl>
  </w:abstractNum>
  <w:abstractNum w:abstractNumId="122">
    <w:nsid w:val="3F7F5DD9"/>
    <w:multiLevelType w:val="hybridMultilevel"/>
    <w:lvl w:ilvl="0">
      <w:lvlJc w:val="left"/>
      <w:lvlText w:val="%1"/>
      <w:numFmt w:val="decimal"/>
      <w:start w:val="590"/>
    </w:lvl>
  </w:abstractNum>
  <w:abstractNum w:abstractNumId="123">
    <w:nsid w:val="2AE05A3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24">
    <w:nsid w:val="32794FF7"/>
    <w:multiLevelType w:val="hybridMultilevel"/>
    <w:lvl w:ilvl="0">
      <w:lvlJc w:val="left"/>
      <w:lvlText w:val="%1."/>
      <w:numFmt w:val="decimal"/>
      <w:start w:val="2"/>
    </w:lvl>
  </w:abstractNum>
  <w:abstractNum w:abstractNumId="125">
    <w:nsid w:val="5454945E"/>
    <w:multiLevelType w:val="hybridMultilevel"/>
    <w:lvl w:ilvl="0">
      <w:lvlJc w:val="left"/>
      <w:lvlText w:val="%1."/>
      <w:numFmt w:val="decimal"/>
      <w:start w:val="3"/>
    </w:lvl>
  </w:abstractNum>
  <w:abstractNum w:abstractNumId="126">
    <w:nsid w:val="4DEFDFA0"/>
    <w:multiLevelType w:val="hybridMultilevel"/>
    <w:lvl w:ilvl="0">
      <w:lvlJc w:val="left"/>
      <w:lvlText w:val="%1."/>
      <w:numFmt w:val="decimal"/>
      <w:start w:val="4"/>
    </w:lvl>
  </w:abstractNum>
  <w:abstractNum w:abstractNumId="127">
    <w:nsid w:val="2123D5F2"/>
    <w:multiLevelType w:val="hybridMultilevel"/>
    <w:lvl w:ilvl="0">
      <w:lvlJc w:val="left"/>
      <w:lvlText w:val="%1."/>
      <w:numFmt w:val="decimal"/>
      <w:start w:val="5"/>
    </w:lvl>
  </w:abstractNum>
  <w:abstractNum w:abstractNumId="128">
    <w:nsid w:val="135B8110"/>
    <w:multiLevelType w:val="hybridMultilevel"/>
    <w:lvl w:ilvl="0">
      <w:lvlJc w:val="left"/>
      <w:lvlText w:val="%1."/>
      <w:numFmt w:val="decimal"/>
      <w:start w:val="6"/>
    </w:lvl>
  </w:abstractNum>
  <w:abstractNum w:abstractNumId="129">
    <w:nsid w:val="94927A8"/>
    <w:multiLevelType w:val="hybridMultilevel"/>
    <w:lvl w:ilvl="0">
      <w:lvlJc w:val="left"/>
      <w:lvlText w:val="%1."/>
      <w:numFmt w:val="decimal"/>
      <w:start w:val="7"/>
    </w:lvl>
  </w:abstractNum>
  <w:abstractNum w:abstractNumId="130">
    <w:nsid w:val="DCDF8F6"/>
    <w:multiLevelType w:val="hybridMultilevel"/>
    <w:lvl w:ilvl="0">
      <w:lvlJc w:val="left"/>
      <w:lvlText w:val="%1."/>
      <w:numFmt w:val="decimal"/>
      <w:start w:val="8"/>
    </w:lvl>
  </w:abstractNum>
  <w:abstractNum w:abstractNumId="131">
    <w:nsid w:val="52D7B105"/>
    <w:multiLevelType w:val="hybridMultilevel"/>
    <w:lvl w:ilvl="0">
      <w:lvlJc w:val="left"/>
      <w:lvlText w:val="%1."/>
      <w:numFmt w:val="decimal"/>
      <w:start w:val="10"/>
    </w:lvl>
  </w:abstractNum>
  <w:abstractNum w:abstractNumId="132">
    <w:nsid w:val="2E8A6394"/>
    <w:multiLevelType w:val="hybridMultilevel"/>
    <w:lvl w:ilvl="0">
      <w:lvlJc w:val="left"/>
      <w:lvlText w:val="%1."/>
      <w:numFmt w:val="decimal"/>
      <w:start w:val="11"/>
    </w:lvl>
  </w:abstractNum>
  <w:abstractNum w:abstractNumId="133">
    <w:nsid w:val="24E60401"/>
    <w:multiLevelType w:val="hybridMultilevel"/>
    <w:lvl w:ilvl="0">
      <w:lvlJc w:val="left"/>
      <w:lvlText w:val="(%1)"/>
      <w:numFmt w:val="lowerLetter"/>
      <w:start w:val="1"/>
    </w:lvl>
    <w:lvl w:ilvl="1">
      <w:lvlJc w:val="left"/>
      <w:lvlText w:val="-"/>
      <w:numFmt w:val="bullet"/>
      <w:start w:val="1"/>
    </w:lvl>
  </w:abstractNum>
  <w:abstractNum w:abstractNumId="134">
    <w:nsid w:val="2A6AD9BE"/>
    <w:multiLevelType w:val="hybridMultilevel"/>
    <w:lvl w:ilvl="0">
      <w:lvlJc w:val="left"/>
      <w:lvlText w:val="%1."/>
      <w:numFmt w:val="decimal"/>
      <w:start w:val="1"/>
    </w:lvl>
  </w:abstractNum>
  <w:abstractNum w:abstractNumId="135">
    <w:nsid w:val="BAAC1B4"/>
    <w:multiLevelType w:val="hybridMultilevel"/>
    <w:lvl w:ilvl="0">
      <w:lvlJc w:val="left"/>
      <w:lvlText w:val="%1."/>
      <w:numFmt w:val="decimal"/>
      <w:start w:val="2"/>
    </w:lvl>
  </w:abstractNum>
  <w:abstractNum w:abstractNumId="136">
    <w:nsid w:val="36B2ACBC"/>
    <w:multiLevelType w:val="hybridMultilevel"/>
    <w:lvl w:ilvl="0">
      <w:lvlJc w:val="left"/>
      <w:lvlText w:val="%1."/>
      <w:numFmt w:val="decimal"/>
      <w:start w:val="3"/>
    </w:lvl>
  </w:abstractNum>
  <w:abstractNum w:abstractNumId="137">
    <w:nsid w:val="779D8544"/>
    <w:multiLevelType w:val="hybridMultilevel"/>
    <w:lvl w:ilvl="0">
      <w:lvlJc w:val="left"/>
      <w:lvlText w:val="(%1)"/>
      <w:numFmt w:val="lowerLetter"/>
      <w:start w:val="1"/>
    </w:lvl>
  </w:abstractNum>
  <w:abstractNum w:abstractNumId="138">
    <w:nsid w:val="4AB26E78"/>
    <w:multiLevelType w:val="hybridMultilevel"/>
    <w:lvl w:ilvl="0">
      <w:lvlJc w:val="left"/>
      <w:lvlText w:val="%1"/>
      <w:numFmt w:val="decimal"/>
      <w:start w:val="1"/>
    </w:lvl>
    <w:lvl w:ilvl="1">
      <w:lvlJc w:val="left"/>
      <w:lvlText w:val="(%2)"/>
      <w:numFmt w:val="lowerLetter"/>
      <w:start w:val="4"/>
    </w:lvl>
  </w:abstractNum>
  <w:abstractNum w:abstractNumId="139">
    <w:nsid w:val="21FAA2FA"/>
    <w:multiLevelType w:val="hybridMultilevel"/>
    <w:lvl w:ilvl="0">
      <w:lvlJc w:val="left"/>
      <w:lvlText w:val="%1."/>
      <w:numFmt w:val="decimal"/>
      <w:start w:val="4"/>
    </w:lvl>
    <w:lvl w:ilvl="1">
      <w:lvlJc w:val="left"/>
      <w:lvlText w:val="(%2)"/>
      <w:numFmt w:val="lowerLetter"/>
      <w:start w:val="1"/>
    </w:lvl>
  </w:abstractNum>
  <w:abstractNum w:abstractNumId="140">
    <w:nsid w:val="5451CF49"/>
    <w:multiLevelType w:val="hybridMultilevel"/>
    <w:lvl w:ilvl="0">
      <w:lvlJc w:val="left"/>
      <w:lvlText w:val="%1"/>
      <w:numFmt w:val="decimal"/>
      <w:start w:val="1"/>
    </w:lvl>
    <w:lvl w:ilvl="1">
      <w:lvlJc w:val="left"/>
      <w:lvlText w:val="(%2)"/>
      <w:numFmt w:val="lowerLetter"/>
      <w:start w:val="7"/>
    </w:lvl>
  </w:abstractNum>
  <w:abstractNum w:abstractNumId="141">
    <w:nsid w:val="6181EF69"/>
    <w:multiLevelType w:val="hybridMultilevel"/>
    <w:lvl w:ilvl="0">
      <w:lvlJc w:val="left"/>
      <w:lvlText w:val="%1."/>
      <w:numFmt w:val="decimal"/>
      <w:start w:val="5"/>
    </w:lvl>
    <w:lvl w:ilvl="1">
      <w:lvlJc w:val="left"/>
      <w:lvlText w:val="(%2)"/>
      <w:numFmt w:val="lowerLetter"/>
      <w:start w:val="1"/>
    </w:lvl>
  </w:abstractNum>
  <w:abstractNum w:abstractNumId="142">
    <w:nsid w:val="3E6400E6"/>
    <w:multiLevelType w:val="hybridMultilevel"/>
    <w:lvl w:ilvl="0">
      <w:lvlJc w:val="left"/>
      <w:lvlText w:val="(%1)"/>
      <w:numFmt w:val="lowerLetter"/>
      <w:start w:val="5"/>
    </w:lvl>
  </w:abstractNum>
  <w:abstractNum w:abstractNumId="143">
    <w:nsid w:val="14217E23"/>
    <w:multiLevelType w:val="hybridMultilevel"/>
    <w:lvl w:ilvl="0">
      <w:lvlJc w:val="left"/>
      <w:lvlText w:val="(%1)"/>
      <w:numFmt w:val="lowerLetter"/>
      <w:start w:val="8"/>
    </w:lvl>
  </w:abstractNum>
  <w:abstractNum w:abstractNumId="144">
    <w:nsid w:val="710757D0"/>
    <w:multiLevelType w:val="hybridMultilevel"/>
    <w:lvl w:ilvl="0">
      <w:lvlJc w:val="left"/>
      <w:lvlText w:val="%1"/>
      <w:numFmt w:val="lowerLetter"/>
      <w:start w:val="1"/>
    </w:lvl>
    <w:lvl w:ilvl="1">
      <w:lvlJc w:val="left"/>
      <w:lvlText w:val="(%2)"/>
      <w:numFmt w:val="lowerLetter"/>
      <w:start w:val="13"/>
    </w:lvl>
  </w:abstractNum>
  <w:abstractNum w:abstractNumId="145">
    <w:nsid w:val="5015CD1A"/>
    <w:multiLevelType w:val="hybridMultilevel"/>
    <w:lvl w:ilvl="0">
      <w:lvlJc w:val="left"/>
      <w:lvlText w:val="(%1)"/>
      <w:numFmt w:val="lowerLetter"/>
      <w:start w:val="35"/>
    </w:lvl>
    <w:lvl w:ilvl="1">
      <w:lvlJc w:val="left"/>
      <w:lvlText w:val="(%2)"/>
      <w:numFmt w:val="lowerLetter"/>
      <w:start w:val="14"/>
    </w:lvl>
  </w:abstractNum>
  <w:abstractNum w:abstractNumId="146">
    <w:nsid w:val="424479D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47">
    <w:nsid w:val="1A9A9E6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48">
    <w:nsid w:val="475E256A"/>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49">
    <w:nsid w:val="368DB37E"/>
    <w:multiLevelType w:val="hybridMultilevel"/>
    <w:lvl w:ilvl="0">
      <w:lvlJc w:val="left"/>
      <w:lvlText w:val="(%1)"/>
      <w:numFmt w:val="lowerLetter"/>
      <w:start w:val="61"/>
    </w:lvl>
    <w:lvl w:ilvl="1">
      <w:lvlJc w:val="left"/>
      <w:lvlText w:val="(%2)"/>
      <w:numFmt w:val="lowerLetter"/>
      <w:start w:val="4"/>
    </w:lvl>
    <w:lvl w:ilvl="2">
      <w:lvlJc w:val="left"/>
      <w:lvlText w:val="%3"/>
      <w:numFmt w:val="lowerRoman"/>
      <w:start w:val="1"/>
    </w:lvl>
  </w:abstractNum>
  <w:abstractNum w:abstractNumId="150">
    <w:nsid w:val="6A3B714C"/>
    <w:multiLevelType w:val="hybridMultilevel"/>
    <w:lvl w:ilvl="0">
      <w:lvlJc w:val="left"/>
      <w:lvlText w:val="%1."/>
      <w:numFmt w:val="decimal"/>
      <w:start w:val="8"/>
    </w:lvl>
  </w:abstractNum>
  <w:abstractNum w:abstractNumId="151">
    <w:nsid w:val="327B517E"/>
    <w:multiLevelType w:val="hybridMultilevel"/>
    <w:lvl w:ilvl="0">
      <w:lvlJc w:val="left"/>
      <w:lvlText w:val="%1."/>
      <w:numFmt w:val="decimal"/>
      <w:start w:val="9"/>
    </w:lvl>
    <w:lvl w:ilvl="1">
      <w:lvlJc w:val="left"/>
      <w:lvlText w:val="(%2)"/>
      <w:numFmt w:val="lowerLetter"/>
      <w:start w:val="1"/>
    </w:lvl>
  </w:abstractNum>
  <w:abstractNum w:abstractNumId="152">
    <w:nsid w:val="1F461B51"/>
    <w:multiLevelType w:val="hybridMultilevel"/>
    <w:lvl w:ilvl="0">
      <w:lvlJc w:val="left"/>
      <w:lvlText w:val="%1."/>
      <w:numFmt w:val="decimal"/>
      <w:start w:val="10"/>
    </w:lvl>
  </w:abstractNum>
  <w:abstractNum w:abstractNumId="153">
    <w:nsid w:val="29BACF25"/>
    <w:multiLevelType w:val="hybridMultilevel"/>
    <w:lvl w:ilvl="0">
      <w:lvlJc w:val="left"/>
      <w:lvlText w:val="%1."/>
      <w:numFmt w:val="decimal"/>
      <w:start w:val="11"/>
    </w:lvl>
  </w:abstractNum>
  <w:abstractNum w:abstractNumId="154">
    <w:nsid w:val="5D5BABB3"/>
    <w:multiLevelType w:val="hybridMultilevel"/>
    <w:lvl w:ilvl="0">
      <w:lvlJc w:val="left"/>
      <w:lvlText w:val="%1."/>
      <w:numFmt w:val="decimal"/>
      <w:start w:val="12"/>
    </w:lvl>
  </w:abstractNum>
  <w:abstractNum w:abstractNumId="155">
    <w:nsid w:val="51BF6B48"/>
    <w:multiLevelType w:val="hybridMultilevel"/>
    <w:lvl w:ilvl="0">
      <w:lvlJc w:val="left"/>
      <w:lvlText w:val="%1."/>
      <w:numFmt w:val="decimal"/>
      <w:start w:val="13"/>
    </w:lvl>
  </w:abstractNum>
  <w:abstractNum w:abstractNumId="156">
    <w:nsid w:val="7E0F6384"/>
    <w:multiLevelType w:val="hybridMultilevel"/>
    <w:lvl w:ilvl="0">
      <w:lvlJc w:val="left"/>
      <w:lvlText w:val="%1."/>
      <w:numFmt w:val="decimal"/>
      <w:start w:val="14"/>
    </w:lvl>
  </w:abstractNum>
  <w:abstractNum w:abstractNumId="157">
    <w:nsid w:val="2B4B8B53"/>
    <w:multiLevelType w:val="hybridMultilevel"/>
    <w:lvl w:ilvl="0">
      <w:lvlJc w:val="left"/>
      <w:lvlText w:val="%1."/>
      <w:numFmt w:val="decimal"/>
      <w:start w:val="15"/>
    </w:lvl>
  </w:abstractNum>
  <w:abstractNum w:abstractNumId="158">
    <w:nsid w:val="72E3413A"/>
    <w:multiLevelType w:val="hybridMultilevel"/>
    <w:lvl w:ilvl="0">
      <w:lvlJc w:val="left"/>
      <w:lvlText w:val="%1."/>
      <w:numFmt w:val="decimal"/>
      <w:start w:val="16"/>
    </w:lvl>
  </w:abstractNum>
  <w:abstractNum w:abstractNumId="159">
    <w:nsid w:val="116AE494"/>
    <w:multiLevelType w:val="hybridMultilevel"/>
    <w:lvl w:ilvl="0">
      <w:lvlJc w:val="left"/>
      <w:lvlText w:val="%1."/>
      <w:numFmt w:val="decimal"/>
      <w:start w:val="17"/>
    </w:lvl>
  </w:abstractNum>
  <w:abstractNum w:abstractNumId="160">
    <w:nsid w:val="3494B2FB"/>
    <w:multiLevelType w:val="hybridMultilevel"/>
    <w:lvl w:ilvl="0">
      <w:lvlJc w:val="left"/>
      <w:lvlText w:val="%1."/>
      <w:numFmt w:val="decimal"/>
      <w:start w:val="18"/>
    </w:lvl>
  </w:abstractNum>
  <w:abstractNum w:abstractNumId="161">
    <w:nsid w:val="B13A31"/>
    <w:multiLevelType w:val="hybridMultilevel"/>
    <w:lvl w:ilvl="0">
      <w:lvlJc w:val="left"/>
      <w:lvlText w:val="%1"/>
      <w:numFmt w:val="lowerLetter"/>
      <w:start w:val="1"/>
    </w:lvl>
    <w:lvl w:ilvl="1">
      <w:lvlJc w:val="left"/>
      <w:lvlText w:val="%2."/>
      <w:numFmt w:val="decimal"/>
      <w:start w:val="19"/>
    </w:lvl>
    <w:lvl w:ilvl="2">
      <w:lvlJc w:val="left"/>
      <w:lvlText w:val="(%3)"/>
      <w:numFmt w:val="lowerLetter"/>
      <w:start w:val="1"/>
    </w:lvl>
  </w:abstractNum>
  <w:abstractNum w:abstractNumId="162">
    <w:nsid w:val="6442959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63">
    <w:nsid w:val="631F1690"/>
    <w:multiLevelType w:val="hybridMultilevel"/>
    <w:lvl w:ilvl="0">
      <w:lvlJc w:val="left"/>
      <w:lvlText w:val="(%1)"/>
      <w:numFmt w:val="lowerLetter"/>
      <w:start w:val="2"/>
    </w:lvl>
  </w:abstractNum>
  <w:abstractNum w:abstractNumId="164">
    <w:nsid w:val="25973E32"/>
    <w:multiLevelType w:val="hybridMultilevel"/>
    <w:lvl w:ilvl="0">
      <w:lvlJc w:val="left"/>
      <w:lvlText w:val="%1."/>
      <w:numFmt w:val="decimal"/>
      <w:start w:val="20"/>
    </w:lvl>
  </w:abstractNum>
  <w:abstractNum w:abstractNumId="165">
    <w:nsid w:val="EAD6F57"/>
    <w:multiLevelType w:val="hybridMultilevel"/>
    <w:lvl w:ilvl="0">
      <w:lvlJc w:val="left"/>
      <w:lvlText w:val="%1."/>
      <w:numFmt w:val="decimal"/>
      <w:start w:val="21"/>
    </w:lvl>
  </w:abstractNum>
  <w:abstractNum w:abstractNumId="166">
    <w:nsid w:val="6EC9D844"/>
    <w:multiLevelType w:val="hybridMultilevel"/>
    <w:lvl w:ilvl="0">
      <w:lvlJc w:val="left"/>
      <w:lvlText w:val="%1."/>
      <w:numFmt w:val="decimal"/>
      <w:start w:val="22"/>
    </w:lvl>
  </w:abstractNum>
  <w:abstractNum w:abstractNumId="167">
    <w:nsid w:val="5C49EAEE"/>
    <w:multiLevelType w:val="hybridMultilevel"/>
    <w:lvl w:ilvl="0">
      <w:lvlJc w:val="left"/>
      <w:lvlText w:val="%1."/>
      <w:numFmt w:val="decimal"/>
      <w:start w:val="1"/>
    </w:lvl>
  </w:abstractNum>
  <w:abstractNum w:abstractNumId="168">
    <w:nsid w:val="64AF49B"/>
    <w:multiLevelType w:val="hybridMultilevel"/>
    <w:lvl w:ilvl="0">
      <w:lvlJc w:val="left"/>
      <w:lvlText w:val="(%1)"/>
      <w:numFmt w:val="lowerLetter"/>
      <w:start w:val="2"/>
    </w:lvl>
  </w:abstractNum>
  <w:abstractNum w:abstractNumId="169">
    <w:nsid w:val="397C46BC"/>
    <w:multiLevelType w:val="hybridMultilevel"/>
    <w:lvl w:ilvl="0">
      <w:lvlJc w:val="left"/>
      <w:lvlText w:val="(%1)"/>
      <w:numFmt w:val="lowerLetter"/>
      <w:start w:val="4"/>
    </w:lvl>
  </w:abstractNum>
  <w:abstractNum w:abstractNumId="170">
    <w:nsid w:val="7E448DE9"/>
    <w:multiLevelType w:val="hybridMultilevel"/>
    <w:lvl w:ilvl="0">
      <w:lvlJc w:val="left"/>
      <w:lvlText w:val="%1."/>
      <w:numFmt w:val="decimal"/>
      <w:start w:val="2"/>
    </w:lvl>
  </w:abstractNum>
  <w:abstractNum w:abstractNumId="171">
    <w:nsid w:val="5A9CC3E5"/>
    <w:multiLevelType w:val="hybridMultilevel"/>
    <w:lvl w:ilvl="0">
      <w:lvlJc w:val="left"/>
      <w:lvlText w:val="%1."/>
      <w:numFmt w:val="decimal"/>
      <w:start w:val="5"/>
    </w:lvl>
  </w:abstractNum>
  <w:abstractNum w:abstractNumId="172">
    <w:nsid w:val="1AFE3625"/>
    <w:multiLevelType w:val="hybridMultilevel"/>
    <w:lvl w:ilvl="0">
      <w:lvlJc w:val="left"/>
      <w:lvlText w:val="%1."/>
      <w:numFmt w:val="decimal"/>
      <w:start w:val="7"/>
    </w:lvl>
  </w:abstractNum>
  <w:abstractNum w:abstractNumId="173">
    <w:nsid w:val="3CA88ECF"/>
    <w:multiLevelType w:val="hybridMultilevel"/>
    <w:lvl w:ilvl="0">
      <w:lvlJc w:val="left"/>
      <w:lvlText w:val="%1."/>
      <w:numFmt w:val="decimal"/>
      <w:start w:val="1"/>
    </w:lvl>
  </w:abstractNum>
  <w:abstractNum w:abstractNumId="174">
    <w:nsid w:val="6EBE4208"/>
    <w:multiLevelType w:val="hybridMultilevel"/>
    <w:lvl w:ilvl="0">
      <w:lvlJc w:val="left"/>
      <w:lvlText w:val="(%1)"/>
      <w:numFmt w:val="lowerRoman"/>
      <w:start w:val="1"/>
    </w:lvl>
  </w:abstractNum>
  <w:abstractNum w:abstractNumId="175">
    <w:nsid w:val="C058DF5"/>
    <w:multiLevelType w:val="hybridMultilevel"/>
    <w:lvl w:ilvl="0">
      <w:lvlJc w:val="left"/>
      <w:lvlText w:val="(%1)"/>
      <w:numFmt w:val="lowerRoman"/>
      <w:start w:val="1"/>
    </w:lvl>
  </w:abstractNum>
  <w:abstractNum w:abstractNumId="176">
    <w:nsid w:val="CBE5BE9"/>
    <w:multiLevelType w:val="hybridMultilevel"/>
    <w:lvl w:ilvl="0">
      <w:lvlJc w:val="left"/>
      <w:lvlText w:val="(%1)"/>
      <w:numFmt w:val="lowerRoman"/>
      <w:start w:val="8"/>
    </w:lvl>
  </w:abstractNum>
  <w:abstractNum w:abstractNumId="177">
    <w:nsid w:val="3102BBE2"/>
    <w:multiLevelType w:val="hybridMultilevel"/>
    <w:lvl w:ilvl="0">
      <w:lvlJc w:val="left"/>
      <w:lvlText w:val="(%1)"/>
      <w:numFmt w:val="upperLetter"/>
      <w:start w:val="1"/>
    </w:lvl>
  </w:abstractNum>
  <w:abstractNum w:abstractNumId="178">
    <w:nsid w:val="26A02C5E"/>
    <w:multiLevelType w:val="hybridMultilevel"/>
    <w:lvl w:ilvl="0">
      <w:lvlJc w:val="left"/>
      <w:lvlText w:val="(%1)"/>
      <w:numFmt w:val="upperLetter"/>
      <w:start w:val="2"/>
    </w:lvl>
  </w:abstractNum>
  <w:abstractNum w:abstractNumId="179">
    <w:nsid w:val="541C8153"/>
    <w:multiLevelType w:val="hybridMultilevel"/>
    <w:lvl w:ilvl="0">
      <w:lvlJc w:val="left"/>
      <w:lvlText w:val="(%1)"/>
      <w:numFmt w:val="upperLetter"/>
      <w:start w:val="7"/>
    </w:lvl>
  </w:abstractNum>
  <w:abstractNum w:abstractNumId="180">
    <w:nsid w:val="67906F60"/>
    <w:multiLevelType w:val="hybridMultilevel"/>
    <w:lvl w:ilvl="0">
      <w:lvlJc w:val="left"/>
      <w:lvlText w:val="(%1)"/>
      <w:numFmt w:val="lowerRoman"/>
      <w:start w:val="1"/>
    </w:lvl>
  </w:abstractNum>
  <w:abstractNum w:abstractNumId="181">
    <w:nsid w:val="10DB9DAA"/>
    <w:multiLevelType w:val="hybridMultilevel"/>
    <w:lvl w:ilvl="0">
      <w:lvlJc w:val="left"/>
      <w:lvlText w:val="(%1)"/>
      <w:numFmt w:val="upperLetter"/>
      <w:start w:val="1"/>
    </w:lvl>
  </w:abstractNum>
  <w:abstractNum w:abstractNumId="182">
    <w:nsid w:val="697D2D2"/>
    <w:multiLevelType w:val="hybridMultilevel"/>
    <w:lvl w:ilvl="0">
      <w:lvlJc w:val="left"/>
      <w:lvlText w:val="(%1)"/>
      <w:numFmt w:val="upperLetter"/>
      <w:start w:val="1"/>
    </w:lvl>
  </w:abstractNum>
  <w:abstractNum w:abstractNumId="183">
    <w:nsid w:val="6D68AB2"/>
    <w:multiLevelType w:val="hybridMultilevel"/>
    <w:lvl w:ilvl="0">
      <w:lvlJc w:val="left"/>
      <w:lvlText w:val="(%1)"/>
      <w:numFmt w:val="upperLetter"/>
      <w:start w:val="2"/>
    </w:lvl>
  </w:abstractNum>
  <w:abstractNum w:abstractNumId="184">
    <w:nsid w:val="3A966CD0"/>
    <w:multiLevelType w:val="hybridMultilevel"/>
    <w:lvl w:ilvl="0">
      <w:lvlJc w:val="left"/>
      <w:lvlText w:val="(%1)"/>
      <w:numFmt w:val="decimal"/>
      <w:start w:val="1"/>
    </w:lvl>
  </w:abstractNum>
  <w:abstractNum w:abstractNumId="185">
    <w:nsid w:val="63F37E85"/>
    <w:multiLevelType w:val="hybridMultilevel"/>
    <w:lvl w:ilvl="0">
      <w:lvlJc w:val="left"/>
      <w:lvlText w:val="%1"/>
      <w:numFmt w:val="upperLetter"/>
      <w:start w:val="1"/>
    </w:lvl>
    <w:lvl w:ilvl="1">
      <w:lvlJc w:val="left"/>
      <w:lvlText w:val="(%2)"/>
      <w:numFmt w:val="decimal"/>
      <w:start w:val="4"/>
    </w:lvl>
  </w:abstractNum>
  <w:abstractNum w:abstractNumId="186">
    <w:nsid w:val="5895F5FA"/>
    <w:multiLevelType w:val="hybridMultilevel"/>
    <w:lvl w:ilvl="0">
      <w:lvlJc w:val="left"/>
      <w:lvlText w:val="(%1)"/>
      <w:numFmt w:val="upperLetter"/>
      <w:start w:val="3"/>
    </w:lvl>
    <w:lvl w:ilvl="1">
      <w:lvlJc w:val="left"/>
      <w:lvlText w:val="%2"/>
      <w:numFmt w:val="decimal"/>
      <w:start w:val="1"/>
    </w:lvl>
  </w:abstractNum>
  <w:abstractNum w:abstractNumId="187">
    <w:nsid w:val="38A5D054"/>
    <w:multiLevelType w:val="hybridMultilevel"/>
    <w:lvl w:ilvl="0">
      <w:lvlJc w:val="left"/>
      <w:lvlText w:val="(%1)"/>
      <w:numFmt w:val="upperLetter"/>
      <w:start w:val="4"/>
    </w:lvl>
  </w:abstractNum>
  <w:abstractNum w:abstractNumId="188">
    <w:nsid w:val="F3F09D8"/>
    <w:multiLevelType w:val="hybridMultilevel"/>
    <w:lvl w:ilvl="0">
      <w:lvlJc w:val="left"/>
      <w:lvlText w:val="(%1)"/>
      <w:numFmt w:val="upperLetter"/>
      <w:start w:val="5"/>
    </w:lvl>
  </w:abstractNum>
  <w:abstractNum w:abstractNumId="189">
    <w:nsid w:val="4B793735"/>
    <w:multiLevelType w:val="hybridMultilevel"/>
    <w:lvl w:ilvl="0">
      <w:lvlJc w:val="left"/>
      <w:lvlText w:val="%1"/>
      <w:numFmt w:val="upperLetter"/>
      <w:start w:val="1"/>
    </w:lvl>
    <w:lvl w:ilvl="1">
      <w:lvlJc w:val="left"/>
      <w:lvlText w:val="(%2)"/>
      <w:numFmt w:val="decimal"/>
      <w:start w:val="1"/>
    </w:lvl>
  </w:abstractNum>
  <w:abstractNum w:abstractNumId="190">
    <w:nsid w:val="4A10B4E8"/>
    <w:multiLevelType w:val="hybridMultilevel"/>
    <w:lvl w:ilvl="0">
      <w:lvlJc w:val="left"/>
      <w:lvlText w:val="(%1)"/>
      <w:numFmt w:val="upperLetter"/>
      <w:start w:val="6"/>
    </w:lvl>
    <w:lvl w:ilvl="1">
      <w:lvlJc w:val="left"/>
      <w:lvlText w:val="%2"/>
      <w:numFmt w:val="decimal"/>
      <w:start w:val="1"/>
    </w:lvl>
  </w:abstractNum>
  <w:abstractNum w:abstractNumId="191">
    <w:nsid w:val="43D3BCD4"/>
    <w:multiLevelType w:val="hybridMultilevel"/>
    <w:lvl w:ilvl="0">
      <w:lvlJc w:val="left"/>
      <w:lvlText w:val="(%1)"/>
      <w:numFmt w:val="upperLetter"/>
      <w:start w:val="7"/>
    </w:lvl>
  </w:abstractNum>
  <w:abstractNum w:abstractNumId="192">
    <w:nsid w:val="4C2A7166"/>
    <w:multiLevelType w:val="hybridMultilevel"/>
    <w:lvl w:ilvl="0">
      <w:lvlJc w:val="left"/>
      <w:lvlText w:val="(%1)"/>
      <w:numFmt w:val="upperLetter"/>
      <w:start w:val="8"/>
    </w:lvl>
  </w:abstractNum>
  <w:abstractNum w:abstractNumId="193">
    <w:nsid w:val="2E534A82"/>
    <w:multiLevelType w:val="hybridMultilevel"/>
    <w:lvl w:ilvl="0">
      <w:lvlJc w:val="left"/>
      <w:lvlText w:val="(%1)"/>
      <w:numFmt w:val="upperLetter"/>
      <w:start w:val="9"/>
    </w:lvl>
  </w:abstractNum>
  <w:abstractNum w:abstractNumId="194">
    <w:nsid w:val="26F2D364"/>
    <w:multiLevelType w:val="hybridMultilevel"/>
    <w:lvl w:ilvl="0">
      <w:lvlJc w:val="left"/>
      <w:lvlText w:val="(%1)"/>
      <w:numFmt w:val="upperLetter"/>
      <w:start w:val="1"/>
    </w:lvl>
  </w:abstractNum>
  <w:abstractNum w:abstractNumId="195">
    <w:nsid w:val="71C1AF98"/>
    <w:multiLevelType w:val="hybridMultilevel"/>
    <w:lvl w:ilvl="0">
      <w:lvlJc w:val="left"/>
      <w:lvlText w:val="(%1)"/>
      <w:numFmt w:val="upperLetter"/>
      <w:start w:val="2"/>
    </w:lvl>
  </w:abstractNum>
  <w:abstractNum w:abstractNumId="196">
    <w:nsid w:val="3D00B9D9"/>
    <w:multiLevelType w:val="hybridMultilevel"/>
    <w:lvl w:ilvl="0">
      <w:lvlJc w:val="left"/>
      <w:lvlText w:val="(%1)"/>
      <w:numFmt w:val="upperLetter"/>
      <w:start w:val="3"/>
    </w:lvl>
  </w:abstractNum>
  <w:abstractNum w:abstractNumId="197">
    <w:nsid w:val="15BCABA8"/>
    <w:multiLevelType w:val="hybridMultilevel"/>
    <w:lvl w:ilvl="0">
      <w:lvlJc w:val="left"/>
      <w:lvlText w:val="(%1)"/>
      <w:numFmt w:val="upperLetter"/>
      <w:start w:val="1"/>
    </w:lvl>
  </w:abstractNum>
  <w:abstractNum w:abstractNumId="198">
    <w:nsid w:val="4E0B9A87"/>
    <w:multiLevelType w:val="hybridMultilevel"/>
    <w:lvl w:ilvl="0">
      <w:lvlJc w:val="left"/>
      <w:lvlText w:val="(%1)"/>
      <w:numFmt w:val="decimal"/>
      <w:start w:val="1"/>
    </w:lvl>
  </w:abstractNum>
  <w:abstractNum w:abstractNumId="199">
    <w:nsid w:val="434BAE75"/>
    <w:multiLevelType w:val="hybridMultilevel"/>
    <w:lvl w:ilvl="0">
      <w:lvlJc w:val="left"/>
      <w:lvlText w:val="(%1)"/>
      <w:numFmt w:val="upperLetter"/>
      <w:start w:val="5"/>
    </w:lvl>
  </w:abstractNum>
  <w:abstractNum w:abstractNumId="200">
    <w:nsid w:val="4F38F265"/>
    <w:multiLevelType w:val="hybridMultilevel"/>
    <w:lvl w:ilvl="0">
      <w:lvlJc w:val="left"/>
      <w:lvlText w:val="(%1)"/>
      <w:numFmt w:val="upperLetter"/>
      <w:start w:val="1"/>
    </w:lvl>
  </w:abstractNum>
  <w:abstractNum w:abstractNumId="201">
    <w:nsid w:val="4C502870"/>
    <w:multiLevelType w:val="hybridMultilevel"/>
    <w:lvl w:ilvl="0">
      <w:lvlJc w:val="left"/>
      <w:lvlText w:val="(%1)"/>
      <w:numFmt w:val="upperLetter"/>
      <w:start w:val="2"/>
    </w:lvl>
  </w:abstractNum>
  <w:abstractNum w:abstractNumId="202">
    <w:nsid w:val="1DE8725A"/>
    <w:multiLevelType w:val="hybridMultilevel"/>
    <w:lvl w:ilvl="0">
      <w:lvlJc w:val="left"/>
      <w:lvlText w:val="(%1)"/>
      <w:numFmt w:val="upperLetter"/>
      <w:start w:val="1"/>
    </w:lvl>
    <w:lvl w:ilvl="1">
      <w:lvlJc w:val="left"/>
      <w:lvlText w:val="(%2)"/>
      <w:numFmt w:val="decimal"/>
      <w:start w:val="1"/>
    </w:lvl>
  </w:abstractNum>
  <w:abstractNum w:abstractNumId="203">
    <w:nsid w:val="6A37288A"/>
    <w:multiLevelType w:val="hybridMultilevel"/>
    <w:lvl w:ilvl="0">
      <w:lvlJc w:val="left"/>
      <w:lvlText w:val="%1"/>
      <w:numFmt w:val="upperLetter"/>
      <w:start w:val="1"/>
    </w:lvl>
    <w:lvl w:ilvl="1">
      <w:lvlJc w:val="left"/>
      <w:lvlText w:val="(%2)"/>
      <w:numFmt w:val="decimal"/>
      <w:start w:val="2"/>
    </w:lvl>
  </w:abstractNum>
  <w:abstractNum w:abstractNumId="204">
    <w:nsid w:val="8F8B73F"/>
    <w:multiLevelType w:val="hybridMultilevel"/>
    <w:lvl w:ilvl="0">
      <w:lvlJc w:val="left"/>
      <w:lvlText w:val="(%1)"/>
      <w:numFmt w:val="upperLetter"/>
      <w:start w:val="3"/>
    </w:lvl>
    <w:lvl w:ilvl="1">
      <w:lvlJc w:val="left"/>
      <w:lvlText w:val="(%2)"/>
      <w:numFmt w:val="decimal"/>
      <w:start w:val="1"/>
    </w:lvl>
  </w:abstractNum>
  <w:abstractNum w:abstractNumId="205">
    <w:nsid w:val="CA6B462"/>
    <w:multiLevelType w:val="hybridMultilevel"/>
    <w:lvl w:ilvl="0">
      <w:lvlJc w:val="left"/>
      <w:lvlText w:val="%1"/>
      <w:numFmt w:val="upperLetter"/>
      <w:start w:val="1"/>
    </w:lvl>
    <w:lvl w:ilvl="1">
      <w:lvlJc w:val="left"/>
      <w:lvlText w:val="(%2)"/>
      <w:numFmt w:val="decimal"/>
      <w:start w:val="4"/>
    </w:lvl>
  </w:abstractNum>
  <w:abstractNum w:abstractNumId="206">
    <w:nsid w:val="763CB680"/>
    <w:multiLevelType w:val="hybridMultilevel"/>
    <w:lvl w:ilvl="0">
      <w:lvlJc w:val="left"/>
      <w:lvlText w:val="(%1)"/>
      <w:numFmt w:val="upperLetter"/>
      <w:start w:val="4"/>
    </w:lvl>
    <w:lvl w:ilvl="1">
      <w:lvlJc w:val="left"/>
      <w:lvlText w:val="%2"/>
      <w:numFmt w:val="decimal"/>
      <w:start w:val="1"/>
    </w:lvl>
  </w:abstractNum>
  <w:abstractNum w:abstractNumId="207">
    <w:nsid w:val="15B71329"/>
    <w:multiLevelType w:val="hybridMultilevel"/>
    <w:lvl w:ilvl="0">
      <w:lvlJc w:val="left"/>
      <w:lvlText w:val="%1."/>
      <w:numFmt w:val="decimal"/>
      <w:start w:val="1"/>
    </w:lvl>
  </w:abstractNum>
  <w:abstractNum w:abstractNumId="208">
    <w:nsid w:val="3DA97044"/>
    <w:multiLevelType w:val="hybridMultilevel"/>
    <w:lvl w:ilvl="0">
      <w:lvlJc w:val="left"/>
      <w:lvlText w:val="%1."/>
      <w:numFmt w:val="decimal"/>
      <w:start w:val="2"/>
    </w:lvl>
  </w:abstractNum>
  <w:abstractNum w:abstractNumId="209">
    <w:nsid w:val="1CDCE2DE"/>
    <w:multiLevelType w:val="hybridMultilevel"/>
    <w:lvl w:ilvl="0">
      <w:lvlJc w:val="left"/>
      <w:lvlText w:val="%1."/>
      <w:numFmt w:val="decimal"/>
      <w:start w:val="3"/>
    </w:lvl>
  </w:abstractNum>
  <w:abstractNum w:abstractNumId="210">
    <w:nsid w:val="69D3947C"/>
    <w:multiLevelType w:val="hybridMultilevel"/>
    <w:lvl w:ilvl="0">
      <w:lvlJc w:val="left"/>
      <w:lvlText w:val="%1."/>
      <w:numFmt w:val="decimal"/>
      <w:start w:val="4"/>
    </w:lvl>
  </w:abstractNum>
  <w:abstractNum w:abstractNumId="211">
    <w:nsid w:val="2539DFA5"/>
    <w:multiLevelType w:val="hybridMultilevel"/>
    <w:lvl w:ilvl="0">
      <w:lvlJc w:val="left"/>
      <w:lvlText w:val="%1."/>
      <w:numFmt w:val="decimal"/>
      <w:start w:val="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2019-12-11T07:08:10Z</dcterms:created>
  <dcterms:modified xsi:type="dcterms:W3CDTF">2019-12-11T07:08:10Z</dcterms:modified>
</cp:coreProperties>
</file>