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 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PENNANTPARK FLOATING RATE CAPITAL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70806A106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720" w:hanging="8"/>
        <w:spacing w:after="0" w:line="224" w:lineRule="exact"/>
        <w:tabs>
          <w:tab w:leader="none" w:pos="664"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660" w:hanging="328"/>
        <w:spacing w:after="0"/>
        <w:tabs>
          <w:tab w:leader="none" w:pos="6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rFonts w:ascii="MS PGothic" w:cs="MS PGothic" w:eastAsia="MS PGothic" w:hAnsi="MS PGothic"/>
          <w:sz w:val="18"/>
          <w:szCs w:val="18"/>
          <w:color w:val="auto"/>
        </w:rPr>
      </w:pPr>
    </w:p>
    <w:p>
      <w:pPr>
        <w:ind w:right="20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6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8"/>
                <w:szCs w:val="18"/>
                <w:color w:val="auto"/>
              </w:rPr>
              <w:t>JACK SILVER</w:t>
            </w:r>
          </w:p>
        </w:tc>
        <w:tc>
          <w:tcPr>
            <w:tcW w:w="6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gridSpan w:val="2"/>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0" w:type="dxa"/>
            <w:vAlign w:val="bottom"/>
          </w:tcPr>
          <w:p>
            <w:pPr>
              <w:spacing w:after="0"/>
              <w:rPr>
                <w:sz w:val="4"/>
                <w:szCs w:val="4"/>
                <w:color w:val="auto"/>
              </w:rPr>
            </w:pPr>
          </w:p>
        </w:tc>
        <w:tc>
          <w:tcPr>
            <w:tcW w:w="1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600" w:type="dxa"/>
            <w:vAlign w:val="bottom"/>
            <w:tcBorders>
              <w:bottom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2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w w:val="99"/>
              </w:rPr>
              <w:t>SEC USE ONLY</w:t>
            </w:r>
          </w:p>
        </w:tc>
        <w:tc>
          <w:tcPr>
            <w:tcW w:w="640" w:type="dxa"/>
            <w:vAlign w:val="bottom"/>
            <w:tcBorders>
              <w:right w:val="single" w:sz="8" w:color="BFBFBF"/>
            </w:tcBorders>
            <w:shd w:val="clear" w:color="auto" w:fill="BFBFBF"/>
          </w:tcPr>
          <w:p>
            <w:pPr>
              <w:spacing w:after="0"/>
              <w:rPr>
                <w:sz w:val="19"/>
                <w:szCs w:val="19"/>
                <w:color w:val="auto"/>
              </w:rPr>
            </w:pPr>
          </w:p>
        </w:tc>
        <w:tc>
          <w:tcPr>
            <w:tcW w:w="6600" w:type="dxa"/>
            <w:vAlign w:val="bottom"/>
            <w:shd w:val="clear" w:color="auto" w:fill="BFBFBF"/>
          </w:tcPr>
          <w:p>
            <w:pPr>
              <w:spacing w:after="0"/>
              <w:rPr>
                <w:sz w:val="19"/>
                <w:szCs w:val="19"/>
                <w:color w:val="auto"/>
              </w:rPr>
            </w:pPr>
          </w:p>
        </w:tc>
        <w:tc>
          <w:tcPr>
            <w:tcW w:w="192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600" w:type="dxa"/>
            <w:vAlign w:val="bottom"/>
            <w:tcBorders>
              <w:bottom w:val="single" w:sz="8" w:color="auto"/>
            </w:tcBorders>
            <w:shd w:val="clear" w:color="auto" w:fill="BFBFBF"/>
          </w:tcPr>
          <w:p>
            <w:pPr>
              <w:spacing w:after="0"/>
              <w:rPr>
                <w:sz w:val="11"/>
                <w:szCs w:val="11"/>
                <w:color w:val="auto"/>
              </w:rPr>
            </w:pPr>
          </w:p>
        </w:tc>
        <w:tc>
          <w:tcPr>
            <w:tcW w:w="19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gridSpan w:val="3"/>
          </w:tcPr>
          <w:p>
            <w:pPr>
              <w:ind w:left="400"/>
              <w:spacing w:after="0"/>
              <w:rPr>
                <w:sz w:val="20"/>
                <w:szCs w:val="20"/>
                <w:color w:val="auto"/>
              </w:rPr>
            </w:pPr>
            <w:r>
              <w:rPr>
                <w:rFonts w:ascii="Arial" w:cs="Arial" w:eastAsia="Arial" w:hAnsi="Arial"/>
                <w:sz w:val="18"/>
                <w:szCs w:val="18"/>
                <w:color w:val="auto"/>
              </w:rPr>
              <w:t>UNITED STATES</w:t>
            </w: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854,830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25,000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854,830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25,000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60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879,830</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IN</w:t>
            </w:r>
          </w:p>
        </w:tc>
        <w:tc>
          <w:tcPr>
            <w:tcW w:w="6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5"/>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6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660" w:type="dxa"/>
            <w:vAlign w:val="bottom"/>
            <w:gridSpan w:val="4"/>
            <w:vMerge w:val="restart"/>
          </w:tcPr>
          <w:p>
            <w:pPr>
              <w:ind w:left="80"/>
              <w:spacing w:after="0"/>
              <w:rPr>
                <w:sz w:val="20"/>
                <w:szCs w:val="20"/>
                <w:color w:val="auto"/>
              </w:rPr>
            </w:pPr>
            <w:r>
              <w:rPr>
                <w:rFonts w:ascii="Arial" w:cs="Arial" w:eastAsia="Arial" w:hAnsi="Arial"/>
                <w:sz w:val="18"/>
                <w:szCs w:val="18"/>
                <w:color w:val="auto"/>
              </w:rPr>
              <w:t>SHERLEIGH ASSOCIATES INC. DEFINED BENEFIT PENSION PLAN</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8660" w:type="dxa"/>
            <w:vAlign w:val="bottom"/>
            <w:tcBorders>
              <w:bottom w:val="single" w:sz="8" w:color="auto"/>
            </w:tcBorders>
            <w:gridSpan w:val="4"/>
            <w:vMerge w:val="continue"/>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0" w:type="dxa"/>
            <w:vAlign w:val="bottom"/>
          </w:tcPr>
          <w:p>
            <w:pPr>
              <w:spacing w:after="0"/>
              <w:rPr>
                <w:sz w:val="4"/>
                <w:szCs w:val="4"/>
                <w:color w:val="auto"/>
              </w:rPr>
            </w:pPr>
          </w:p>
        </w:tc>
        <w:tc>
          <w:tcPr>
            <w:tcW w:w="1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600" w:type="dxa"/>
            <w:vAlign w:val="bottom"/>
            <w:tcBorders>
              <w:bottom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2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w w:val="99"/>
              </w:rPr>
              <w:t>SEC USE ONLY</w:t>
            </w:r>
          </w:p>
        </w:tc>
        <w:tc>
          <w:tcPr>
            <w:tcW w:w="640" w:type="dxa"/>
            <w:vAlign w:val="bottom"/>
            <w:tcBorders>
              <w:right w:val="single" w:sz="8" w:color="BFBFBF"/>
            </w:tcBorders>
            <w:shd w:val="clear" w:color="auto" w:fill="BFBFBF"/>
          </w:tcPr>
          <w:p>
            <w:pPr>
              <w:spacing w:after="0"/>
              <w:rPr>
                <w:sz w:val="19"/>
                <w:szCs w:val="19"/>
                <w:color w:val="auto"/>
              </w:rPr>
            </w:pPr>
          </w:p>
        </w:tc>
        <w:tc>
          <w:tcPr>
            <w:tcW w:w="6600" w:type="dxa"/>
            <w:vAlign w:val="bottom"/>
            <w:shd w:val="clear" w:color="auto" w:fill="BFBFBF"/>
          </w:tcPr>
          <w:p>
            <w:pPr>
              <w:spacing w:after="0"/>
              <w:rPr>
                <w:sz w:val="19"/>
                <w:szCs w:val="19"/>
                <w:color w:val="auto"/>
              </w:rPr>
            </w:pPr>
          </w:p>
        </w:tc>
        <w:tc>
          <w:tcPr>
            <w:tcW w:w="192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600" w:type="dxa"/>
            <w:vAlign w:val="bottom"/>
            <w:tcBorders>
              <w:bottom w:val="single" w:sz="8" w:color="auto"/>
            </w:tcBorders>
            <w:shd w:val="clear" w:color="auto" w:fill="BFBFBF"/>
          </w:tcPr>
          <w:p>
            <w:pPr>
              <w:spacing w:after="0"/>
              <w:rPr>
                <w:sz w:val="11"/>
                <w:szCs w:val="11"/>
                <w:color w:val="auto"/>
              </w:rPr>
            </w:pPr>
          </w:p>
        </w:tc>
        <w:tc>
          <w:tcPr>
            <w:tcW w:w="19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gridSpan w:val="3"/>
          </w:tcPr>
          <w:p>
            <w:pPr>
              <w:ind w:left="400"/>
              <w:spacing w:after="0"/>
              <w:rPr>
                <w:sz w:val="20"/>
                <w:szCs w:val="20"/>
                <w:color w:val="auto"/>
              </w:rPr>
            </w:pPr>
            <w:r>
              <w:rPr>
                <w:rFonts w:ascii="Arial" w:cs="Arial" w:eastAsia="Arial" w:hAnsi="Arial"/>
                <w:sz w:val="18"/>
                <w:szCs w:val="18"/>
                <w:color w:val="auto"/>
              </w:rPr>
              <w:t>UNITED STATES</w:t>
            </w: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5,250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5,250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60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5,250</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EP</w:t>
            </w:r>
          </w:p>
        </w:tc>
        <w:tc>
          <w:tcPr>
            <w:tcW w:w="6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9"/>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6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660" w:type="dxa"/>
            <w:vAlign w:val="bottom"/>
            <w:gridSpan w:val="4"/>
            <w:vMerge w:val="restart"/>
          </w:tcPr>
          <w:p>
            <w:pPr>
              <w:ind w:left="80"/>
              <w:spacing w:after="0"/>
              <w:rPr>
                <w:sz w:val="20"/>
                <w:szCs w:val="20"/>
                <w:color w:val="auto"/>
              </w:rPr>
            </w:pPr>
            <w:r>
              <w:rPr>
                <w:rFonts w:ascii="Arial" w:cs="Arial" w:eastAsia="Arial" w:hAnsi="Arial"/>
                <w:sz w:val="18"/>
                <w:szCs w:val="18"/>
                <w:color w:val="auto"/>
              </w:rPr>
              <w:t>SILVER INVESTMENT PARTNERS LP</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8660" w:type="dxa"/>
            <w:vAlign w:val="bottom"/>
            <w:tcBorders>
              <w:bottom w:val="single" w:sz="8" w:color="auto"/>
            </w:tcBorders>
            <w:gridSpan w:val="4"/>
            <w:vMerge w:val="continue"/>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0" w:type="dxa"/>
            <w:vAlign w:val="bottom"/>
          </w:tcPr>
          <w:p>
            <w:pPr>
              <w:spacing w:after="0"/>
              <w:rPr>
                <w:sz w:val="4"/>
                <w:szCs w:val="4"/>
                <w:color w:val="auto"/>
              </w:rPr>
            </w:pPr>
          </w:p>
        </w:tc>
        <w:tc>
          <w:tcPr>
            <w:tcW w:w="1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600" w:type="dxa"/>
            <w:vAlign w:val="bottom"/>
            <w:tcBorders>
              <w:bottom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4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rPr>
              <w:t>SEC USE ONLY</w:t>
            </w:r>
          </w:p>
        </w:tc>
        <w:tc>
          <w:tcPr>
            <w:tcW w:w="620" w:type="dxa"/>
            <w:vAlign w:val="bottom"/>
            <w:tcBorders>
              <w:right w:val="single" w:sz="8" w:color="BFBFBF"/>
            </w:tcBorders>
            <w:shd w:val="clear" w:color="auto" w:fill="BFBFBF"/>
          </w:tcPr>
          <w:p>
            <w:pPr>
              <w:spacing w:after="0"/>
              <w:rPr>
                <w:sz w:val="19"/>
                <w:szCs w:val="19"/>
                <w:color w:val="auto"/>
              </w:rPr>
            </w:pPr>
          </w:p>
        </w:tc>
        <w:tc>
          <w:tcPr>
            <w:tcW w:w="6600" w:type="dxa"/>
            <w:vAlign w:val="bottom"/>
            <w:shd w:val="clear" w:color="auto" w:fill="BFBFBF"/>
          </w:tcPr>
          <w:p>
            <w:pPr>
              <w:spacing w:after="0"/>
              <w:rPr>
                <w:sz w:val="19"/>
                <w:szCs w:val="19"/>
                <w:color w:val="auto"/>
              </w:rPr>
            </w:pPr>
          </w:p>
        </w:tc>
        <w:tc>
          <w:tcPr>
            <w:tcW w:w="192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600" w:type="dxa"/>
            <w:vAlign w:val="bottom"/>
            <w:tcBorders>
              <w:bottom w:val="single" w:sz="8" w:color="auto"/>
            </w:tcBorders>
            <w:shd w:val="clear" w:color="auto" w:fill="BFBFBF"/>
          </w:tcPr>
          <w:p>
            <w:pPr>
              <w:spacing w:after="0"/>
              <w:rPr>
                <w:sz w:val="11"/>
                <w:szCs w:val="11"/>
                <w:color w:val="auto"/>
              </w:rPr>
            </w:pPr>
          </w:p>
        </w:tc>
        <w:tc>
          <w:tcPr>
            <w:tcW w:w="19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DELAWARE</w:t>
            </w: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30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391,832</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391,832</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60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391,832</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5"/>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6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8"/>
                <w:szCs w:val="18"/>
                <w:color w:val="auto"/>
              </w:rPr>
              <w:t>ROMLEIGH LLC</w:t>
            </w:r>
          </w:p>
        </w:tc>
        <w:tc>
          <w:tcPr>
            <w:tcW w:w="6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tcBorders>
            <w:gridSpan w:val="2"/>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0" w:type="dxa"/>
            <w:vAlign w:val="bottom"/>
          </w:tcPr>
          <w:p>
            <w:pPr>
              <w:spacing w:after="0"/>
              <w:rPr>
                <w:sz w:val="4"/>
                <w:szCs w:val="4"/>
                <w:color w:val="auto"/>
              </w:rPr>
            </w:pPr>
          </w:p>
        </w:tc>
        <w:tc>
          <w:tcPr>
            <w:tcW w:w="1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600" w:type="dxa"/>
            <w:vAlign w:val="bottom"/>
            <w:tcBorders>
              <w:bottom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6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rPr>
              <w:t>SEC USE ONLY</w:t>
            </w:r>
          </w:p>
        </w:tc>
        <w:tc>
          <w:tcPr>
            <w:tcW w:w="600" w:type="dxa"/>
            <w:vAlign w:val="bottom"/>
            <w:tcBorders>
              <w:right w:val="single" w:sz="8" w:color="BFBFBF"/>
            </w:tcBorders>
            <w:shd w:val="clear" w:color="auto" w:fill="BFBFBF"/>
          </w:tcPr>
          <w:p>
            <w:pPr>
              <w:spacing w:after="0"/>
              <w:rPr>
                <w:sz w:val="19"/>
                <w:szCs w:val="19"/>
                <w:color w:val="auto"/>
              </w:rPr>
            </w:pPr>
          </w:p>
        </w:tc>
        <w:tc>
          <w:tcPr>
            <w:tcW w:w="6600" w:type="dxa"/>
            <w:vAlign w:val="bottom"/>
            <w:shd w:val="clear" w:color="auto" w:fill="BFBFBF"/>
          </w:tcPr>
          <w:p>
            <w:pPr>
              <w:spacing w:after="0"/>
              <w:rPr>
                <w:sz w:val="19"/>
                <w:szCs w:val="19"/>
                <w:color w:val="auto"/>
              </w:rPr>
            </w:pPr>
          </w:p>
        </w:tc>
        <w:tc>
          <w:tcPr>
            <w:tcW w:w="192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320" w:type="dxa"/>
            <w:vAlign w:val="bottom"/>
            <w:shd w:val="clear" w:color="auto" w:fill="BFBFBF"/>
          </w:tcPr>
          <w:p>
            <w:pPr>
              <w:spacing w:after="0"/>
              <w:rPr>
                <w:sz w:val="24"/>
                <w:szCs w:val="24"/>
                <w:color w:val="auto"/>
              </w:rPr>
            </w:pPr>
          </w:p>
        </w:tc>
        <w:tc>
          <w:tcPr>
            <w:tcW w:w="600" w:type="dxa"/>
            <w:vAlign w:val="bottom"/>
            <w:tcBorders>
              <w:right w:val="single" w:sz="8" w:color="BFBFBF"/>
            </w:tcBorders>
            <w:shd w:val="clear" w:color="auto" w:fill="BFBFBF"/>
          </w:tcPr>
          <w:p>
            <w:pPr>
              <w:spacing w:after="0"/>
              <w:rPr>
                <w:sz w:val="24"/>
                <w:szCs w:val="24"/>
                <w:color w:val="auto"/>
              </w:rPr>
            </w:pPr>
          </w:p>
        </w:tc>
        <w:tc>
          <w:tcPr>
            <w:tcW w:w="660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600" w:type="dxa"/>
            <w:vAlign w:val="bottom"/>
            <w:tcBorders>
              <w:bottom w:val="single" w:sz="8" w:color="auto"/>
            </w:tcBorders>
            <w:shd w:val="clear" w:color="auto" w:fill="BFBFBF"/>
          </w:tcPr>
          <w:p>
            <w:pPr>
              <w:spacing w:after="0"/>
              <w:rPr>
                <w:sz w:val="11"/>
                <w:szCs w:val="11"/>
                <w:color w:val="auto"/>
              </w:rPr>
            </w:pPr>
          </w:p>
        </w:tc>
        <w:tc>
          <w:tcPr>
            <w:tcW w:w="19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60" w:type="dxa"/>
            <w:vAlign w:val="bottom"/>
            <w:gridSpan w:val="2"/>
          </w:tcPr>
          <w:p>
            <w:pPr>
              <w:ind w:left="400"/>
              <w:spacing w:after="0"/>
              <w:rPr>
                <w:sz w:val="20"/>
                <w:szCs w:val="20"/>
                <w:color w:val="auto"/>
              </w:rPr>
            </w:pPr>
            <w:r>
              <w:rPr>
                <w:rFonts w:ascii="Arial" w:cs="Arial" w:eastAsia="Arial" w:hAnsi="Arial"/>
                <w:sz w:val="18"/>
                <w:szCs w:val="18"/>
                <w:color w:val="auto"/>
              </w:rPr>
              <w:t>NEW YORK</w:t>
            </w:r>
          </w:p>
        </w:tc>
        <w:tc>
          <w:tcPr>
            <w:tcW w:w="6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32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287,898</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9"/>
              </w:rPr>
              <w:t>BENEFICIALLY</w:t>
            </w:r>
          </w:p>
        </w:tc>
        <w:tc>
          <w:tcPr>
            <w:tcW w:w="320" w:type="dxa"/>
            <w:vAlign w:val="bottom"/>
          </w:tcPr>
          <w:p>
            <w:pPr>
              <w:spacing w:after="0"/>
              <w:rPr>
                <w:sz w:val="16"/>
                <w:szCs w:val="16"/>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32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REPORTING</w:t>
            </w:r>
          </w:p>
        </w:tc>
        <w:tc>
          <w:tcPr>
            <w:tcW w:w="320" w:type="dxa"/>
            <w:vAlign w:val="bottom"/>
          </w:tcPr>
          <w:p>
            <w:pPr>
              <w:spacing w:after="0"/>
              <w:rPr>
                <w:sz w:val="16"/>
                <w:szCs w:val="16"/>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32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287,898</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60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287,898</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6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5"/>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4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8"/>
                <w:szCs w:val="18"/>
                <w:color w:val="auto"/>
                <w:w w:val="95"/>
              </w:rPr>
              <w:t>SHIRLEY SILVER</w:t>
            </w:r>
          </w:p>
        </w:tc>
        <w:tc>
          <w:tcPr>
            <w:tcW w:w="5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gridSpan w:val="2"/>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580" w:type="dxa"/>
            <w:vAlign w:val="bottom"/>
          </w:tcPr>
          <w:p>
            <w:pPr>
              <w:spacing w:after="0"/>
              <w:rPr>
                <w:sz w:val="4"/>
                <w:szCs w:val="4"/>
                <w:color w:val="auto"/>
              </w:rPr>
            </w:pPr>
          </w:p>
        </w:tc>
        <w:tc>
          <w:tcPr>
            <w:tcW w:w="19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5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50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rPr>
              <w:t>SEC USE ONLY</w:t>
            </w:r>
          </w:p>
        </w:tc>
        <w:tc>
          <w:tcPr>
            <w:tcW w:w="560" w:type="dxa"/>
            <w:vAlign w:val="bottom"/>
            <w:tcBorders>
              <w:right w:val="single" w:sz="8" w:color="BFBFBF"/>
            </w:tcBorders>
            <w:shd w:val="clear" w:color="auto" w:fill="BFBFBF"/>
          </w:tcPr>
          <w:p>
            <w:pPr>
              <w:spacing w:after="0"/>
              <w:rPr>
                <w:sz w:val="19"/>
                <w:szCs w:val="19"/>
                <w:color w:val="auto"/>
              </w:rPr>
            </w:pPr>
          </w:p>
        </w:tc>
        <w:tc>
          <w:tcPr>
            <w:tcW w:w="6580" w:type="dxa"/>
            <w:vAlign w:val="bottom"/>
            <w:shd w:val="clear" w:color="auto" w:fill="BFBFBF"/>
          </w:tcPr>
          <w:p>
            <w:pPr>
              <w:spacing w:after="0"/>
              <w:rPr>
                <w:sz w:val="19"/>
                <w:szCs w:val="19"/>
                <w:color w:val="auto"/>
              </w:rPr>
            </w:pPr>
          </w:p>
        </w:tc>
        <w:tc>
          <w:tcPr>
            <w:tcW w:w="194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36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6580" w:type="dxa"/>
            <w:vAlign w:val="bottom"/>
            <w:shd w:val="clear" w:color="auto" w:fill="BFBFBF"/>
          </w:tcPr>
          <w:p>
            <w:pPr>
              <w:spacing w:after="0"/>
              <w:rPr>
                <w:sz w:val="24"/>
                <w:szCs w:val="24"/>
                <w:color w:val="auto"/>
              </w:rPr>
            </w:pPr>
          </w:p>
        </w:tc>
        <w:tc>
          <w:tcPr>
            <w:tcW w:w="1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580" w:type="dxa"/>
            <w:vAlign w:val="bottom"/>
            <w:tcBorders>
              <w:bottom w:val="single" w:sz="8" w:color="auto"/>
            </w:tcBorders>
            <w:shd w:val="clear" w:color="auto" w:fill="BFBFBF"/>
          </w:tcPr>
          <w:p>
            <w:pPr>
              <w:spacing w:after="0"/>
              <w:rPr>
                <w:sz w:val="11"/>
                <w:szCs w:val="11"/>
                <w:color w:val="auto"/>
              </w:rPr>
            </w:pPr>
          </w:p>
        </w:tc>
        <w:tc>
          <w:tcPr>
            <w:tcW w:w="19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gridSpan w:val="3"/>
          </w:tcPr>
          <w:p>
            <w:pPr>
              <w:ind w:left="400"/>
              <w:spacing w:after="0"/>
              <w:rPr>
                <w:sz w:val="20"/>
                <w:szCs w:val="20"/>
                <w:color w:val="auto"/>
              </w:rPr>
            </w:pPr>
            <w:r>
              <w:rPr>
                <w:rFonts w:ascii="Arial" w:cs="Arial" w:eastAsia="Arial" w:hAnsi="Arial"/>
                <w:sz w:val="18"/>
                <w:szCs w:val="18"/>
                <w:color w:val="auto"/>
              </w:rPr>
              <w:t>UNITED STATES</w:t>
            </w: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w w:val="89"/>
              </w:rPr>
              <w:t>5</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36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6"/>
                <w:szCs w:val="16"/>
                <w:color w:val="auto"/>
              </w:rPr>
            </w:pPr>
          </w:p>
        </w:tc>
        <w:tc>
          <w:tcPr>
            <w:tcW w:w="56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w w:val="89"/>
              </w:rPr>
              <w:t>6</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19,750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6"/>
                <w:szCs w:val="16"/>
                <w:color w:val="auto"/>
              </w:rPr>
            </w:pPr>
          </w:p>
        </w:tc>
        <w:tc>
          <w:tcPr>
            <w:tcW w:w="56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w w:val="89"/>
              </w:rPr>
              <w:t>7</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658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w w:val="89"/>
              </w:rPr>
              <w:t>8</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19,750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58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19,750</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4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IN</w:t>
            </w:r>
          </w:p>
        </w:tc>
        <w:tc>
          <w:tcPr>
            <w:tcW w:w="5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5"/>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6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gridSpan w:val="3"/>
            <w:vMerge w:val="restart"/>
          </w:tcPr>
          <w:p>
            <w:pPr>
              <w:ind w:left="80"/>
              <w:spacing w:after="0"/>
              <w:rPr>
                <w:sz w:val="20"/>
                <w:szCs w:val="20"/>
                <w:color w:val="auto"/>
              </w:rPr>
            </w:pPr>
            <w:r>
              <w:rPr>
                <w:rFonts w:ascii="Arial" w:cs="Arial" w:eastAsia="Arial" w:hAnsi="Arial"/>
                <w:sz w:val="18"/>
                <w:szCs w:val="18"/>
                <w:color w:val="auto"/>
                <w:w w:val="99"/>
              </w:rPr>
              <w:t>RS PROPERTIES I LLC</w:t>
            </w: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tcBorders>
            <w:gridSpan w:val="3"/>
            <w:vMerge w:val="continue"/>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0" w:type="dxa"/>
            <w:vAlign w:val="bottom"/>
          </w:tcPr>
          <w:p>
            <w:pPr>
              <w:spacing w:after="0"/>
              <w:rPr>
                <w:sz w:val="4"/>
                <w:szCs w:val="4"/>
                <w:color w:val="auto"/>
              </w:rPr>
            </w:pPr>
          </w:p>
        </w:tc>
        <w:tc>
          <w:tcPr>
            <w:tcW w:w="1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600" w:type="dxa"/>
            <w:vAlign w:val="bottom"/>
            <w:tcBorders>
              <w:bottom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4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rPr>
              <w:t>SEC USE ONLY</w:t>
            </w:r>
          </w:p>
        </w:tc>
        <w:tc>
          <w:tcPr>
            <w:tcW w:w="620" w:type="dxa"/>
            <w:vAlign w:val="bottom"/>
            <w:tcBorders>
              <w:right w:val="single" w:sz="8" w:color="BFBFBF"/>
            </w:tcBorders>
            <w:shd w:val="clear" w:color="auto" w:fill="BFBFBF"/>
          </w:tcPr>
          <w:p>
            <w:pPr>
              <w:spacing w:after="0"/>
              <w:rPr>
                <w:sz w:val="19"/>
                <w:szCs w:val="19"/>
                <w:color w:val="auto"/>
              </w:rPr>
            </w:pPr>
          </w:p>
        </w:tc>
        <w:tc>
          <w:tcPr>
            <w:tcW w:w="6600" w:type="dxa"/>
            <w:vAlign w:val="bottom"/>
            <w:shd w:val="clear" w:color="auto" w:fill="BFBFBF"/>
          </w:tcPr>
          <w:p>
            <w:pPr>
              <w:spacing w:after="0"/>
              <w:rPr>
                <w:sz w:val="19"/>
                <w:szCs w:val="19"/>
                <w:color w:val="auto"/>
              </w:rPr>
            </w:pPr>
          </w:p>
        </w:tc>
        <w:tc>
          <w:tcPr>
            <w:tcW w:w="192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600" w:type="dxa"/>
            <w:vAlign w:val="bottom"/>
            <w:tcBorders>
              <w:bottom w:val="single" w:sz="8" w:color="auto"/>
            </w:tcBorders>
            <w:shd w:val="clear" w:color="auto" w:fill="BFBFBF"/>
          </w:tcPr>
          <w:p>
            <w:pPr>
              <w:spacing w:after="0"/>
              <w:rPr>
                <w:sz w:val="11"/>
                <w:szCs w:val="11"/>
                <w:color w:val="auto"/>
              </w:rPr>
            </w:pPr>
          </w:p>
        </w:tc>
        <w:tc>
          <w:tcPr>
            <w:tcW w:w="19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DELAWARE</w:t>
            </w: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30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345,021</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345,021</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60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345,021</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5"/>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6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660" w:type="dxa"/>
            <w:vAlign w:val="bottom"/>
            <w:gridSpan w:val="4"/>
            <w:vMerge w:val="restart"/>
          </w:tcPr>
          <w:p>
            <w:pPr>
              <w:ind w:left="80"/>
              <w:spacing w:after="0"/>
              <w:rPr>
                <w:sz w:val="20"/>
                <w:szCs w:val="20"/>
                <w:color w:val="auto"/>
              </w:rPr>
            </w:pPr>
            <w:r>
              <w:rPr>
                <w:rFonts w:ascii="Arial" w:cs="Arial" w:eastAsia="Arial" w:hAnsi="Arial"/>
                <w:sz w:val="18"/>
                <w:szCs w:val="18"/>
                <w:color w:val="auto"/>
              </w:rPr>
              <w:t>BUTTERMILK FALLS, LLC</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8660" w:type="dxa"/>
            <w:vAlign w:val="bottom"/>
            <w:tcBorders>
              <w:bottom w:val="single" w:sz="8" w:color="auto"/>
            </w:tcBorders>
            <w:gridSpan w:val="4"/>
            <w:vMerge w:val="continue"/>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0" w:type="dxa"/>
            <w:vAlign w:val="bottom"/>
          </w:tcPr>
          <w:p>
            <w:pPr>
              <w:spacing w:after="0"/>
              <w:rPr>
                <w:sz w:val="4"/>
                <w:szCs w:val="4"/>
                <w:color w:val="auto"/>
              </w:rPr>
            </w:pPr>
          </w:p>
        </w:tc>
        <w:tc>
          <w:tcPr>
            <w:tcW w:w="1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600" w:type="dxa"/>
            <w:vAlign w:val="bottom"/>
            <w:tcBorders>
              <w:bottom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4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rPr>
              <w:t>SEC USE ONLY</w:t>
            </w:r>
          </w:p>
        </w:tc>
        <w:tc>
          <w:tcPr>
            <w:tcW w:w="620" w:type="dxa"/>
            <w:vAlign w:val="bottom"/>
            <w:tcBorders>
              <w:right w:val="single" w:sz="8" w:color="BFBFBF"/>
            </w:tcBorders>
            <w:shd w:val="clear" w:color="auto" w:fill="BFBFBF"/>
          </w:tcPr>
          <w:p>
            <w:pPr>
              <w:spacing w:after="0"/>
              <w:rPr>
                <w:sz w:val="19"/>
                <w:szCs w:val="19"/>
                <w:color w:val="auto"/>
              </w:rPr>
            </w:pPr>
          </w:p>
        </w:tc>
        <w:tc>
          <w:tcPr>
            <w:tcW w:w="6600" w:type="dxa"/>
            <w:vAlign w:val="bottom"/>
            <w:shd w:val="clear" w:color="auto" w:fill="BFBFBF"/>
          </w:tcPr>
          <w:p>
            <w:pPr>
              <w:spacing w:after="0"/>
              <w:rPr>
                <w:sz w:val="19"/>
                <w:szCs w:val="19"/>
                <w:color w:val="auto"/>
              </w:rPr>
            </w:pPr>
          </w:p>
        </w:tc>
        <w:tc>
          <w:tcPr>
            <w:tcW w:w="192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600" w:type="dxa"/>
            <w:vAlign w:val="bottom"/>
            <w:tcBorders>
              <w:bottom w:val="single" w:sz="8" w:color="auto"/>
            </w:tcBorders>
            <w:shd w:val="clear" w:color="auto" w:fill="BFBFBF"/>
          </w:tcPr>
          <w:p>
            <w:pPr>
              <w:spacing w:after="0"/>
              <w:rPr>
                <w:sz w:val="11"/>
                <w:szCs w:val="11"/>
                <w:color w:val="auto"/>
              </w:rPr>
            </w:pPr>
          </w:p>
        </w:tc>
        <w:tc>
          <w:tcPr>
            <w:tcW w:w="19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DELAWARE</w:t>
            </w: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30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30,000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30,000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60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60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6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9"/>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PennantPark Floating Rate Capital Ltd.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660"/>
        <w:spacing w:after="0"/>
        <w:rPr>
          <w:sz w:val="20"/>
          <w:szCs w:val="20"/>
          <w:color w:val="auto"/>
        </w:rPr>
      </w:pPr>
      <w:r>
        <w:rPr>
          <w:rFonts w:ascii="Arial" w:cs="Arial" w:eastAsia="Arial" w:hAnsi="Arial"/>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Name of Person Filing:</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Jack Silver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Sherleigh Associates Inc. Defined Benefit Pension Plan</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Silver Investment Partners LP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Romleigh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Shirley Silver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RS Properties I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Buttermilk Falls, LLC</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660" w:right="7519"/>
        <w:spacing w:after="0" w:line="342" w:lineRule="auto"/>
        <w:rPr>
          <w:rFonts w:ascii="Arial" w:cs="Arial" w:eastAsia="Arial" w:hAnsi="Arial"/>
          <w:sz w:val="18"/>
          <w:szCs w:val="18"/>
          <w:color w:val="auto"/>
        </w:rPr>
      </w:pPr>
      <w:r>
        <w:rPr>
          <w:rFonts w:ascii="Arial" w:cs="Arial" w:eastAsia="Arial" w:hAnsi="Arial"/>
          <w:sz w:val="16"/>
          <w:szCs w:val="16"/>
          <w:color w:val="auto"/>
        </w:rPr>
        <w:t>80 Columbus Circle PH76A New York, NY 10023</w:t>
      </w:r>
    </w:p>
    <w:p>
      <w:pPr>
        <w:spacing w:after="0" w:line="123" w:lineRule="exact"/>
        <w:rPr>
          <w:rFonts w:ascii="Arial" w:cs="Arial" w:eastAsia="Arial" w:hAnsi="Arial"/>
          <w:sz w:val="18"/>
          <w:szCs w:val="18"/>
          <w:color w:val="auto"/>
        </w:rPr>
      </w:pPr>
    </w:p>
    <w:p>
      <w:pPr>
        <w:ind w:left="660" w:right="8599" w:hanging="328"/>
        <w:spacing w:after="0" w:line="601"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Citizenship: United States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225" w:lineRule="exact"/>
        <w:rPr>
          <w:rFonts w:ascii="Arial" w:cs="Arial" w:eastAsia="Arial" w:hAnsi="Arial"/>
          <w:sz w:val="18"/>
          <w:szCs w:val="18"/>
          <w:color w:val="auto"/>
        </w:rPr>
      </w:pPr>
    </w:p>
    <w:p>
      <w:pPr>
        <w:ind w:left="660" w:right="8359" w:hanging="328"/>
        <w:spacing w:after="0" w:line="624"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CUSIP Number: 70806A106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97" w:lineRule="exact"/>
        <w:rPr>
          <w:sz w:val="20"/>
          <w:szCs w:val="20"/>
          <w:color w:val="auto"/>
        </w:rPr>
      </w:pPr>
    </w:p>
    <w:p>
      <w:pPr>
        <w:ind w:left="660" w:hanging="328"/>
        <w:spacing w:after="0" w:line="207" w:lineRule="exact"/>
        <w:tabs>
          <w:tab w:leader="none" w:pos="6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Rule 13d-1(b)(1)(ii)(E)</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Rule 13d-1(b)(1)(ii)(G)</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660" w:hanging="328"/>
        <w:spacing w:after="0" w:line="196" w:lineRule="exact"/>
        <w:tabs>
          <w:tab w:leader="none" w:pos="660" w:val="left"/>
        </w:tabs>
        <w:numPr>
          <w:ilvl w:val="0"/>
          <w:numId w:val="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 of 1940</w:t>
      </w:r>
    </w:p>
    <w:p>
      <w:pPr>
        <w:spacing w:after="0" w:line="236" w:lineRule="exact"/>
        <w:rPr>
          <w:rFonts w:ascii="Arial" w:cs="Arial" w:eastAsia="Arial" w:hAnsi="Arial"/>
          <w:sz w:val="17"/>
          <w:szCs w:val="17"/>
          <w:color w:val="auto"/>
        </w:rPr>
      </w:pPr>
    </w:p>
    <w:p>
      <w:pPr>
        <w:ind w:left="660" w:hanging="328"/>
        <w:spacing w:after="0" w:line="207" w:lineRule="exact"/>
        <w:tabs>
          <w:tab w:leader="none" w:pos="6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(c)</w:t>
      </w:r>
    </w:p>
    <w:p>
      <w:pPr>
        <w:spacing w:after="0" w:line="225"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As of the date hereof, the reporting persons beneficially owned in the aggregate 1,254,851 shares of common stock of PennantPark Floating Rate Capital Ltd (the “Common Stock”) representing 4.7% of the outstanding common stock, based on 26,730,074 shares of common stock outstanding as reported in the issuer’s definitive proxy statement on Schedule 14A. Such shares of Common Stock include (a) 175,100 shares held by Jack Silver, (b) 5,250 shares held by Sherleigh Associates Inc. Defined Benefit Pension Plan, (c) 391,832 shares held by Silver Investment Partners LP, a limited partnership of which Mr. Silver is a general partner, (d) 287,898 shares held by Romleigh LLC, a limited liability company of which Mr. Silver is a manager, (e) 19,750 shares held by Shirley Silver, Mr. Silver’s spouse, (f) 345,021 shares held by RS Properties I LLC, and (g) 30,000 shares held by Buttermilk Falls, LLC.</w:t>
      </w:r>
    </w:p>
    <w:p>
      <w:pPr>
        <w:spacing w:after="0" w:line="18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Mr. Silver has the sole voting and dispositive power with respect to 854,830 shares of Common Stock held by Mr. Silver, Silver Investment Partners LP and Romleigh LLC, and shares dispositive power (a) with Daniel Liss, the trustee of Sherleigh Assoicates Inc. Defined Benefit Pension Plan, with respect to 5,250 shares of Common Stock held by Sherleigh Assoicates Inc. Defined Benefit Pension Plan, and (b) with Shirley Silver, with respect to 19,750 shares of Common Stock held by Shirley Silver.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“group,” within the meaning of Section 13(d)(3) of the Securities Exchange Act of 1934, as amended (the “Exchange Act”), or Rule 13d-5(b)(1) thereunder, may have been formed that includes Jack Silver, RS Properties I LLC and Buttermilk Falls,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purposes or effect, other than activities solely in connection with a nomination under Rule 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February 8, 2016</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178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Jack Silver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Jack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178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Sherleigh Associates Inc. Defined Benefit Pension Plan</w:t>
      </w:r>
    </w:p>
    <w:p>
      <w:pPr>
        <w:spacing w:after="0" w:line="225"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Liss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Daniel Liss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Silver Investment Partners LP</w:t>
      </w:r>
    </w:p>
    <w:p>
      <w:pPr>
        <w:spacing w:after="0" w:line="225"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Silver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Jack Silver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Romleigh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Silver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Jack Silver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00" w:lineRule="exact"/>
        <w:rPr>
          <w:sz w:val="20"/>
          <w:szCs w:val="20"/>
          <w:color w:val="auto"/>
        </w:rPr>
      </w:pPr>
    </w:p>
    <w:p>
      <w:pPr>
        <w:spacing w:after="0" w:line="21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Shirley Silver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Shirley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178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RS Properties I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Jesse Kohn</w:t>
            </w:r>
          </w:p>
        </w:tc>
        <w:tc>
          <w:tcPr>
            <w:tcW w:w="1700" w:type="dxa"/>
            <w:vAlign w:val="bottom"/>
          </w:tcPr>
          <w:p>
            <w:pPr>
              <w:spacing w:after="0"/>
              <w:rPr>
                <w:sz w:val="20"/>
                <w:szCs w:val="20"/>
                <w:color w:val="auto"/>
              </w:rPr>
            </w:pPr>
          </w:p>
        </w:tc>
      </w:tr>
      <w:tr>
        <w:trPr>
          <w:trHeight w:val="195"/>
        </w:trPr>
        <w:tc>
          <w:tcPr>
            <w:tcW w:w="6860" w:type="dxa"/>
            <w:vAlign w:val="bottom"/>
          </w:tcPr>
          <w:p>
            <w:pPr>
              <w:ind w:left="6280"/>
              <w:spacing w:after="0" w:line="195" w:lineRule="exact"/>
              <w:rPr>
                <w:sz w:val="20"/>
                <w:szCs w:val="20"/>
                <w:color w:val="auto"/>
              </w:rPr>
            </w:pPr>
            <w:r>
              <w:rPr>
                <w:rFonts w:ascii="Arial" w:cs="Arial" w:eastAsia="Arial" w:hAnsi="Arial"/>
                <w:sz w:val="18"/>
                <w:szCs w:val="18"/>
                <w:color w:val="auto"/>
              </w:rPr>
              <w:t>Name:</w:t>
            </w: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Jesse Kohn</w:t>
            </w:r>
          </w:p>
        </w:tc>
        <w:tc>
          <w:tcPr>
            <w:tcW w:w="1700" w:type="dxa"/>
            <w:vAlign w:val="bottom"/>
          </w:tcPr>
          <w:p>
            <w:pPr>
              <w:spacing w:after="0"/>
              <w:rPr>
                <w:sz w:val="16"/>
                <w:szCs w:val="16"/>
                <w:color w:val="auto"/>
              </w:rPr>
            </w:pPr>
          </w:p>
        </w:tc>
      </w:tr>
      <w:tr>
        <w:trPr>
          <w:trHeight w:val="230"/>
        </w:trPr>
        <w:tc>
          <w:tcPr>
            <w:tcW w:w="6860" w:type="dxa"/>
            <w:vAlign w:val="bottom"/>
          </w:tcPr>
          <w:p>
            <w:pPr>
              <w:ind w:left="6280"/>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rPr>
              <w:t>Manager</w:t>
            </w:r>
          </w:p>
        </w:tc>
        <w:tc>
          <w:tcPr>
            <w:tcW w:w="1700" w:type="dxa"/>
            <w:vAlign w:val="bottom"/>
          </w:tcPr>
          <w:p>
            <w:pPr>
              <w:spacing w:after="0"/>
              <w:rPr>
                <w:sz w:val="20"/>
                <w:szCs w:val="20"/>
                <w:color w:val="auto"/>
              </w:rPr>
            </w:pPr>
          </w:p>
        </w:tc>
      </w:tr>
      <w:tr>
        <w:trPr>
          <w:trHeight w:val="432"/>
        </w:trPr>
        <w:tc>
          <w:tcPr>
            <w:tcW w:w="9720" w:type="dxa"/>
            <w:vAlign w:val="bottom"/>
            <w:gridSpan w:val="2"/>
          </w:tcPr>
          <w:p>
            <w:pPr>
              <w:ind w:left="6280"/>
              <w:spacing w:after="0"/>
              <w:rPr>
                <w:sz w:val="20"/>
                <w:szCs w:val="20"/>
                <w:color w:val="auto"/>
              </w:rPr>
            </w:pPr>
            <w:r>
              <w:rPr>
                <w:rFonts w:ascii="Arial" w:cs="Arial" w:eastAsia="Arial" w:hAnsi="Arial"/>
                <w:sz w:val="18"/>
                <w:szCs w:val="18"/>
                <w:color w:val="auto"/>
              </w:rPr>
              <w:t>Buttermilk Falls, LLC</w:t>
            </w:r>
          </w:p>
        </w:tc>
        <w:tc>
          <w:tcPr>
            <w:tcW w:w="1700" w:type="dxa"/>
            <w:vAlign w:val="bottom"/>
          </w:tcPr>
          <w:p>
            <w:pPr>
              <w:spacing w:after="0"/>
              <w:rPr>
                <w:sz w:val="24"/>
                <w:szCs w:val="24"/>
                <w:color w:val="auto"/>
              </w:rPr>
            </w:pPr>
          </w:p>
        </w:tc>
      </w:tr>
      <w:tr>
        <w:trPr>
          <w:trHeight w:val="432"/>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Garcia</w:t>
            </w:r>
          </w:p>
        </w:tc>
        <w:tc>
          <w:tcPr>
            <w:tcW w:w="1700" w:type="dxa"/>
            <w:vAlign w:val="bottom"/>
          </w:tcPr>
          <w:p>
            <w:pPr>
              <w:spacing w:after="0"/>
              <w:rPr>
                <w:sz w:val="24"/>
                <w:szCs w:val="24"/>
                <w:color w:val="auto"/>
              </w:rPr>
            </w:pPr>
          </w:p>
        </w:tc>
      </w:tr>
      <w:tr>
        <w:trPr>
          <w:trHeight w:val="195"/>
        </w:trPr>
        <w:tc>
          <w:tcPr>
            <w:tcW w:w="6860" w:type="dxa"/>
            <w:vAlign w:val="bottom"/>
          </w:tcPr>
          <w:p>
            <w:pPr>
              <w:ind w:left="6280"/>
              <w:spacing w:after="0" w:line="195" w:lineRule="exact"/>
              <w:rPr>
                <w:sz w:val="20"/>
                <w:szCs w:val="20"/>
                <w:color w:val="auto"/>
              </w:rPr>
            </w:pPr>
            <w:r>
              <w:rPr>
                <w:rFonts w:ascii="Arial" w:cs="Arial" w:eastAsia="Arial" w:hAnsi="Arial"/>
                <w:sz w:val="18"/>
                <w:szCs w:val="18"/>
                <w:color w:val="auto"/>
              </w:rPr>
              <w:t>Name:</w:t>
            </w: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Emily Garcia</w:t>
            </w:r>
          </w:p>
        </w:tc>
        <w:tc>
          <w:tcPr>
            <w:tcW w:w="1700" w:type="dxa"/>
            <w:vAlign w:val="bottom"/>
          </w:tcPr>
          <w:p>
            <w:pPr>
              <w:spacing w:after="0"/>
              <w:rPr>
                <w:sz w:val="16"/>
                <w:szCs w:val="16"/>
                <w:color w:val="auto"/>
              </w:rPr>
            </w:pPr>
          </w:p>
        </w:tc>
      </w:tr>
      <w:tr>
        <w:trPr>
          <w:trHeight w:val="230"/>
        </w:trPr>
        <w:tc>
          <w:tcPr>
            <w:tcW w:w="6860" w:type="dxa"/>
            <w:vAlign w:val="bottom"/>
          </w:tcPr>
          <w:p>
            <w:pPr>
              <w:ind w:left="6280"/>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rPr>
              <w:t>Manager</w:t>
            </w:r>
          </w:p>
        </w:tc>
        <w:tc>
          <w:tcPr>
            <w:tcW w:w="1700" w:type="dxa"/>
            <w:vAlign w:val="bottom"/>
          </w:tcPr>
          <w:p>
            <w:pPr>
              <w:spacing w:after="0"/>
              <w:rPr>
                <w:sz w:val="20"/>
                <w:szCs w:val="20"/>
                <w:color w:val="auto"/>
              </w:rPr>
            </w:pPr>
          </w:p>
        </w:tc>
      </w:tr>
      <w:tr>
        <w:trPr>
          <w:trHeight w:val="675"/>
        </w:trPr>
        <w:tc>
          <w:tcPr>
            <w:tcW w:w="68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2019-12-08T19:56:43Z</dcterms:created>
  <dcterms:modified xsi:type="dcterms:W3CDTF">2019-12-08T19:56:43Z</dcterms:modified>
</cp:coreProperties>
</file>