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14,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14, 2022, PennantPark Floating Rate Capital Ltd., or the Company, issued a press release, a copy of which is furnished as Exhibit 99.1to this report on Form 8-K.</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December 31, 2021, including “Item 2. Management's Discussion and Analysis of Financial Condition and Results of Operations – COVID-19 Developments”.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tabs>
          <w:tab w:leader="none" w:pos="5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Floating Rate Capital Ltd. dated March 14,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20" w:type="dxa"/>
            <w:vAlign w:val="bottom"/>
          </w:tcPr>
          <w:p>
            <w:pPr>
              <w:spacing w:after="0"/>
              <w:rPr>
                <w:sz w:val="20"/>
                <w:szCs w:val="20"/>
                <w:color w:val="auto"/>
              </w:rPr>
            </w:pPr>
            <w:r>
              <w:rPr>
                <w:rFonts w:ascii="Arial" w:cs="Arial" w:eastAsia="Arial" w:hAnsi="Arial"/>
                <w:sz w:val="18"/>
                <w:szCs w:val="18"/>
                <w:color w:val="auto"/>
              </w:rPr>
              <w:t>Date: March 14, 2022</w:t>
            </w:r>
          </w:p>
        </w:tc>
        <w:tc>
          <w:tcPr>
            <w:tcW w:w="5040" w:type="dxa"/>
            <w:vAlign w:val="bottom"/>
            <w:gridSpan w:val="3"/>
          </w:tcPr>
          <w:p>
            <w:pPr>
              <w:ind w:left="1940"/>
              <w:spacing w:after="0"/>
              <w:rPr>
                <w:sz w:val="20"/>
                <w:szCs w:val="20"/>
                <w:color w:val="auto"/>
              </w:rPr>
            </w:pPr>
            <w:r>
              <w:rPr>
                <w:rFonts w:ascii="Arial" w:cs="Arial" w:eastAsia="Arial" w:hAnsi="Arial"/>
                <w:sz w:val="18"/>
                <w:szCs w:val="18"/>
                <w:color w:val="auto"/>
              </w:rPr>
              <w:t>By: /s/ Richard Cheung</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Increases Commitment to Joint Venture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Venture Supports Growing Private Credit Business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MIAMI, March 14, 2022 (GLOBE NEWSWIRE) -- PennantPark Floating Rate Capital Ltd. (the “Company”) (NASDAQ: PFLT) (TASE: PFLT) today announced that its unconsolidated joint venture with a subsidiary of Kemper Corporation (NYSE: KMPR), Trinity Universal Insurance Company, have agreed to increase its capital commitments to the PennantPark Senior Secured Loan Fund I LLC, PSSL, from $278.0 million to $343.0 million. PFLT’s portion of this capital commitment increase is $56.9 million, which includes $39.8 million of Senior Secured Notes and $17.1 million of Capital Commitments.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“Through our successful partnership with Kemper, PSSL has grown its portfolio to over $640 million with strong credit performance over the past five years,” said Arthur Penn, Chief Executive Officer of PFLT. “This upsize will support growth of income at PFLT and demonstrates our commitment to future growth of PSSL. The expansion of PSSL is also strategically important to our growing middle market credit business and our ability to solve financing needs of our borrower and sponsor clients.”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joint venture which was created in 2017 and primarily invests in U.S. middle-market companies whose debt is rated below investment grade.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SENIOR SECURED LOAN FUND I, LLC</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Senior Secured Loan Fund I LLC, is a joint venture between PennantPark Floating Rate Capital Ltd. and a subsidiary of Kemper Corporation (NYSE: KMPR), Trinity Universal Insurance Company, and primarily invests in U.S. middle-market companies whose debt is rated below investment grade.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$5.9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as amended. You should understand that under Section 27A(b)(2)(B) of the Securities Act of 1933, as amended, and Section 21E(b)(2)(B) of the Securities Exchange Act of 1934, as amended (the “Exchange Act”), the “safe harbor” provisions of the Private Securities Litigation Reform Act of 1995, as amended,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940" w:type="dxa"/>
            <w:vAlign w:val="bottom"/>
          </w:tcPr>
          <w:p>
            <w:pPr>
              <w:spacing w:after="0"/>
              <w:rPr>
                <w:sz w:val="20"/>
                <w:szCs w:val="20"/>
                <w:color w:val="auto"/>
              </w:rPr>
            </w:pPr>
            <w:r>
              <w:rPr>
                <w:rFonts w:ascii="Arial" w:cs="Arial" w:eastAsia="Arial" w:hAnsi="Arial"/>
                <w:sz w:val="22"/>
                <w:szCs w:val="22"/>
                <w:color w:val="auto"/>
              </w:rPr>
              <w:t>CONTACT:</w:t>
            </w:r>
          </w:p>
        </w:tc>
        <w:tc>
          <w:tcPr>
            <w:tcW w:w="3400" w:type="dxa"/>
            <w:vAlign w:val="bottom"/>
            <w:gridSpan w:val="2"/>
          </w:tcPr>
          <w:p>
            <w:pPr>
              <w:spacing w:after="0"/>
              <w:rPr>
                <w:sz w:val="20"/>
                <w:szCs w:val="20"/>
                <w:color w:val="auto"/>
              </w:rPr>
            </w:pPr>
            <w:r>
              <w:rPr>
                <w:rFonts w:ascii="Arial" w:cs="Arial" w:eastAsia="Arial" w:hAnsi="Arial"/>
                <w:sz w:val="22"/>
                <w:szCs w:val="22"/>
                <w:color w:val="auto"/>
              </w:rPr>
              <w:t>Richard Cheung</w:t>
            </w:r>
          </w:p>
        </w:tc>
      </w:tr>
      <w:tr>
        <w:trPr>
          <w:trHeight w:val="243"/>
        </w:trPr>
        <w:tc>
          <w:tcPr>
            <w:tcW w:w="1940" w:type="dxa"/>
            <w:vAlign w:val="bottom"/>
          </w:tcPr>
          <w:p>
            <w:pPr>
              <w:spacing w:after="0"/>
              <w:rPr>
                <w:sz w:val="21"/>
                <w:szCs w:val="21"/>
                <w:color w:val="auto"/>
              </w:rPr>
            </w:pPr>
          </w:p>
        </w:tc>
        <w:tc>
          <w:tcPr>
            <w:tcW w:w="3400" w:type="dxa"/>
            <w:vAlign w:val="bottom"/>
            <w:gridSpan w:val="2"/>
          </w:tcPr>
          <w:p>
            <w:pPr>
              <w:spacing w:after="0" w:line="243" w:lineRule="exact"/>
              <w:rPr>
                <w:sz w:val="20"/>
                <w:szCs w:val="20"/>
                <w:color w:val="auto"/>
              </w:rPr>
            </w:pPr>
            <w:r>
              <w:rPr>
                <w:rFonts w:ascii="Arial" w:cs="Arial" w:eastAsia="Arial" w:hAnsi="Arial"/>
                <w:sz w:val="22"/>
                <w:szCs w:val="22"/>
                <w:color w:val="auto"/>
                <w:w w:val="88"/>
              </w:rPr>
              <w:t>PennantPark Floating Rate Capital Ltd.</w:t>
            </w:r>
          </w:p>
        </w:tc>
      </w:tr>
      <w:tr>
        <w:trPr>
          <w:trHeight w:val="243"/>
        </w:trPr>
        <w:tc>
          <w:tcPr>
            <w:tcW w:w="1940" w:type="dxa"/>
            <w:vAlign w:val="bottom"/>
          </w:tcPr>
          <w:p>
            <w:pPr>
              <w:spacing w:after="0"/>
              <w:rPr>
                <w:sz w:val="21"/>
                <w:szCs w:val="21"/>
                <w:color w:val="auto"/>
              </w:rPr>
            </w:pPr>
          </w:p>
        </w:tc>
        <w:tc>
          <w:tcPr>
            <w:tcW w:w="2000" w:type="dxa"/>
            <w:vAlign w:val="bottom"/>
          </w:tcPr>
          <w:p>
            <w:pPr>
              <w:spacing w:after="0" w:line="243" w:lineRule="exact"/>
              <w:rPr>
                <w:sz w:val="20"/>
                <w:szCs w:val="20"/>
                <w:color w:val="auto"/>
              </w:rPr>
            </w:pPr>
            <w:r>
              <w:rPr>
                <w:rFonts w:ascii="Arial" w:cs="Arial" w:eastAsia="Arial" w:hAnsi="Arial"/>
                <w:sz w:val="22"/>
                <w:szCs w:val="22"/>
                <w:color w:val="auto"/>
              </w:rPr>
              <w:t>(212) 905-1000</w:t>
            </w:r>
          </w:p>
        </w:tc>
        <w:tc>
          <w:tcPr>
            <w:tcW w:w="1400" w:type="dxa"/>
            <w:vAlign w:val="bottom"/>
          </w:tcPr>
          <w:p>
            <w:pPr>
              <w:spacing w:after="0"/>
              <w:rPr>
                <w:sz w:val="21"/>
                <w:szCs w:val="21"/>
                <w:color w:val="auto"/>
              </w:rPr>
            </w:pPr>
          </w:p>
        </w:tc>
      </w:tr>
      <w:tr>
        <w:trPr>
          <w:trHeight w:val="224"/>
        </w:trPr>
        <w:tc>
          <w:tcPr>
            <w:tcW w:w="1940" w:type="dxa"/>
            <w:vAlign w:val="bottom"/>
          </w:tcPr>
          <w:p>
            <w:pPr>
              <w:spacing w:after="0"/>
              <w:rPr>
                <w:sz w:val="19"/>
                <w:szCs w:val="19"/>
                <w:color w:val="auto"/>
              </w:rPr>
            </w:pPr>
          </w:p>
        </w:tc>
        <w:tc>
          <w:tcPr>
            <w:tcW w:w="200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8"/>
              </w:rPr>
              <w:t>www.pennantpark.com</w:t>
            </w:r>
          </w:p>
        </w:tc>
        <w:tc>
          <w:tcPr>
            <w:tcW w:w="140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12" w:right="339" w:bottom="6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2022-03-14T08:03:25Z</dcterms:created>
  <dcterms:modified xsi:type="dcterms:W3CDTF">2022-03-14T08:03:25Z</dcterms:modified>
</cp:coreProperties>
</file>