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December 7, 2018.</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Act Registration No. 333-215111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34925</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1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75565</wp:posOffset>
            </wp:positionV>
            <wp:extent cx="68865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74930</wp:posOffset>
            </wp:positionV>
            <wp:extent cx="6886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7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jc w:val="center"/>
        <w:ind w:right="-99"/>
        <w:spacing w:after="0" w:line="207" w:lineRule="exact"/>
        <w:tabs>
          <w:tab w:leader="none" w:pos="160" w:val="left"/>
        </w:tabs>
        <w:rPr>
          <w:sz w:val="20"/>
          <w:szCs w:val="20"/>
          <w:color w:val="auto"/>
        </w:rPr>
      </w:pPr>
      <w:r>
        <w:rPr>
          <w:rFonts w:ascii="Arial" w:cs="Arial" w:eastAsia="Arial" w:hAnsi="Arial"/>
          <w:sz w:val="18"/>
          <w:szCs w:val="18"/>
          <w:b w:val="1"/>
          <w:bCs w:val="1"/>
          <w:color w:val="auto"/>
        </w:rPr>
        <w:t>Post-Effective Amendment No. 4</w:t>
      </w:r>
      <w:r>
        <w:rPr>
          <w:sz w:val="20"/>
          <w:szCs w:val="20"/>
          <w:color w:val="auto"/>
        </w:rPr>
        <w:tab/>
      </w:r>
      <w:r>
        <w:rPr>
          <w:rFonts w:ascii="MS PGothic" w:cs="MS PGothic" w:eastAsia="MS PGothic" w:hAnsi="MS PGothic"/>
          <w:sz w:val="16"/>
          <w:szCs w:val="16"/>
          <w:color w:val="auto"/>
        </w:rPr>
        <w:t>☒</w:t>
      </w:r>
    </w:p>
    <w:p>
      <w:pPr>
        <w:spacing w:after="0" w:line="10" w:lineRule="exact"/>
        <w:rPr>
          <w:sz w:val="24"/>
          <w:szCs w:val="24"/>
          <w:color w:val="auto"/>
        </w:rPr>
      </w:pPr>
    </w:p>
    <w:p>
      <w:pPr>
        <w:jc w:val="center"/>
        <w:ind w:right="-99"/>
        <w:spacing w:after="0" w:line="207" w:lineRule="exact"/>
        <w:tabs>
          <w:tab w:leader="none" w:pos="20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52070</wp:posOffset>
            </wp:positionV>
            <wp:extent cx="6886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1"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2"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60325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132"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600" w:type="dxa"/>
            <w:vAlign w:val="bottom"/>
            <w:tcBorders>
              <w:top w:val="single" w:sz="8" w:color="auto"/>
              <w:left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280" w:type="dxa"/>
            <w:vAlign w:val="bottom"/>
            <w:tcBorders>
              <w:top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ind w:right="257"/>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28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r>
      <w:tr>
        <w:trPr>
          <w:trHeight w:val="148"/>
        </w:trPr>
        <w:tc>
          <w:tcPr>
            <w:tcW w:w="3600" w:type="dxa"/>
            <w:vAlign w:val="bottom"/>
            <w:tcBorders>
              <w:left w:val="single" w:sz="8" w:color="auto"/>
              <w:right w:val="single" w:sz="8" w:color="auto"/>
            </w:tcBorders>
          </w:tcPr>
          <w:p>
            <w:pPr>
              <w:ind w:left="116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520" w:type="dxa"/>
            <w:vAlign w:val="bottom"/>
            <w:tcBorders>
              <w:right w:val="single" w:sz="8" w:color="auto"/>
            </w:tcBorders>
          </w:tcPr>
          <w:p>
            <w:pPr>
              <w:jc w:val="right"/>
              <w:ind w:right="292"/>
              <w:spacing w:after="0" w:line="148" w:lineRule="exact"/>
              <w:rPr>
                <w:sz w:val="20"/>
                <w:szCs w:val="20"/>
                <w:color w:val="auto"/>
              </w:rPr>
            </w:pPr>
            <w:r>
              <w:rPr>
                <w:rFonts w:ascii="Arial" w:cs="Arial" w:eastAsia="Arial" w:hAnsi="Arial"/>
                <w:sz w:val="14"/>
                <w:szCs w:val="14"/>
                <w:b w:val="1"/>
                <w:bCs w:val="1"/>
                <w:color w:val="auto"/>
              </w:rPr>
              <w:t>Amount Being</w:t>
            </w:r>
          </w:p>
        </w:tc>
        <w:tc>
          <w:tcPr>
            <w:tcW w:w="17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Offering Price</w:t>
            </w:r>
          </w:p>
        </w:tc>
        <w:tc>
          <w:tcPr>
            <w:tcW w:w="280" w:type="dxa"/>
            <w:vAlign w:val="bottom"/>
          </w:tcPr>
          <w:p>
            <w:pPr>
              <w:spacing w:after="0"/>
              <w:rPr>
                <w:sz w:val="12"/>
                <w:szCs w:val="12"/>
                <w:color w:val="auto"/>
              </w:rPr>
            </w:pPr>
          </w:p>
        </w:tc>
        <w:tc>
          <w:tcPr>
            <w:tcW w:w="1520" w:type="dxa"/>
            <w:vAlign w:val="bottom"/>
            <w:tcBorders>
              <w:right w:val="single" w:sz="8" w:color="auto"/>
            </w:tcBorders>
          </w:tcPr>
          <w:p>
            <w:pPr>
              <w:jc w:val="center"/>
              <w:ind w:right="257"/>
              <w:spacing w:after="0" w:line="148"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1540" w:type="dxa"/>
            <w:vAlign w:val="bottom"/>
            <w:tcBorders>
              <w:right w:val="single" w:sz="8" w:color="auto"/>
            </w:tcBorders>
          </w:tcPr>
          <w:p>
            <w:pPr>
              <w:jc w:val="center"/>
              <w:ind w:right="37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3600" w:type="dxa"/>
            <w:vAlign w:val="bottom"/>
            <w:tcBorders>
              <w:left w:val="single" w:sz="8" w:color="auto"/>
              <w:bottom w:val="single" w:sz="8" w:color="auto"/>
              <w:right w:val="single" w:sz="8" w:color="auto"/>
            </w:tcBorders>
          </w:tcPr>
          <w:p>
            <w:pPr>
              <w:ind w:left="1540"/>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right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 Unit</w:t>
            </w: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jc w:val="center"/>
              <w:ind w:right="25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jc w:val="center"/>
              <w:ind w:right="35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Common Stock, $0.001 par value per share</w:t>
            </w:r>
            <w:r>
              <w:rPr>
                <w:rFonts w:ascii="Arial" w:cs="Arial" w:eastAsia="Arial" w:hAnsi="Arial"/>
                <w:sz w:val="16"/>
                <w:szCs w:val="16"/>
                <w:color w:val="auto"/>
                <w:vertAlign w:val="superscript"/>
              </w:rPr>
              <w:t>(2)</w:t>
            </w:r>
          </w:p>
        </w:tc>
        <w:tc>
          <w:tcPr>
            <w:tcW w:w="1520" w:type="dxa"/>
            <w:vAlign w:val="bottom"/>
            <w:tcBorders>
              <w:bottom w:val="single" w:sz="8" w:color="auto"/>
              <w:right w:val="single" w:sz="8" w:color="auto"/>
            </w:tcBorders>
          </w:tcPr>
          <w:p>
            <w:pPr>
              <w:jc w:val="right"/>
              <w:ind w:right="1172"/>
              <w:spacing w:after="0" w:line="142"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147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 per share</w:t>
            </w:r>
            <w:r>
              <w:rPr>
                <w:rFonts w:ascii="Arial" w:cs="Arial" w:eastAsia="Arial" w:hAnsi="Arial"/>
                <w:sz w:val="16"/>
                <w:szCs w:val="16"/>
                <w:color w:val="auto"/>
                <w:vertAlign w:val="superscript"/>
              </w:rPr>
              <w:t>(2)</w:t>
            </w:r>
          </w:p>
        </w:tc>
        <w:tc>
          <w:tcPr>
            <w:tcW w:w="15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5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5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52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r>
      <w:tr>
        <w:trPr>
          <w:trHeight w:val="142"/>
        </w:trPr>
        <w:tc>
          <w:tcPr>
            <w:tcW w:w="36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right w:val="single" w:sz="8" w:color="auto"/>
            </w:tcBorders>
          </w:tcPr>
          <w:p>
            <w:pPr>
              <w:jc w:val="right"/>
              <w:ind w:right="1172"/>
              <w:spacing w:after="0" w:line="142"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1472"/>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37"/>
              <w:spacing w:after="0" w:line="142" w:lineRule="exact"/>
              <w:rPr>
                <w:sz w:val="20"/>
                <w:szCs w:val="20"/>
                <w:color w:val="auto"/>
              </w:rPr>
            </w:pPr>
            <w:r>
              <w:rPr>
                <w:rFonts w:ascii="Arial" w:cs="Arial" w:eastAsia="Arial" w:hAnsi="Arial"/>
                <w:sz w:val="11"/>
                <w:szCs w:val="11"/>
                <w:color w:val="auto"/>
              </w:rPr>
              <w:t>500,000,000</w:t>
            </w:r>
            <w:r>
              <w:rPr>
                <w:rFonts w:ascii="Arial" w:cs="Arial" w:eastAsia="Arial" w:hAnsi="Arial"/>
                <w:sz w:val="16"/>
                <w:szCs w:val="16"/>
                <w:color w:val="auto"/>
                <w:vertAlign w:val="superscript"/>
              </w:rPr>
              <w:t>(5)</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right w:val="single" w:sz="8" w:color="auto"/>
            </w:tcBorders>
          </w:tcPr>
          <w:p>
            <w:pPr>
              <w:jc w:val="right"/>
              <w:ind w:right="139"/>
              <w:spacing w:after="0" w:line="142" w:lineRule="exact"/>
              <w:rPr>
                <w:sz w:val="20"/>
                <w:szCs w:val="20"/>
                <w:color w:val="auto"/>
              </w:rPr>
            </w:pPr>
            <w:r>
              <w:rPr>
                <w:rFonts w:ascii="Arial" w:cs="Arial" w:eastAsia="Arial" w:hAnsi="Arial"/>
                <w:sz w:val="11"/>
                <w:szCs w:val="11"/>
                <w:color w:val="auto"/>
              </w:rPr>
              <w:t>57,950</w:t>
            </w:r>
            <w:r>
              <w:rPr>
                <w:rFonts w:ascii="Arial" w:cs="Arial" w:eastAsia="Arial" w:hAnsi="Arial"/>
                <w:sz w:val="16"/>
                <w:szCs w:val="16"/>
                <w:color w:val="auto"/>
                <w:vertAlign w:val="superscript"/>
              </w:rPr>
              <w:t>(6)</w:t>
            </w:r>
          </w:p>
        </w:tc>
      </w:tr>
    </w:tbl>
    <w:p>
      <w:pPr>
        <w:spacing w:after="0" w:line="43"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30"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30"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64" w:lineRule="exact"/>
        <w:rPr>
          <w:rFonts w:ascii="Arial" w:cs="Arial" w:eastAsia="Arial" w:hAnsi="Arial"/>
          <w:sz w:val="12"/>
          <w:szCs w:val="12"/>
          <w:color w:val="auto"/>
        </w:rPr>
      </w:pPr>
    </w:p>
    <w:p>
      <w:pPr>
        <w:ind w:left="680" w:right="280" w:hanging="334"/>
        <w:spacing w:after="0" w:line="305"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$500,000,000.</w:t>
      </w: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$500,000,000.</w:t>
      </w:r>
    </w:p>
    <w:p>
      <w:pPr>
        <w:spacing w:after="0" w:line="41"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6" w:lineRule="exact"/>
        <w:rPr>
          <w:sz w:val="20"/>
          <w:szCs w:val="20"/>
          <w:color w:val="auto"/>
        </w:rPr>
      </w:pPr>
    </w:p>
    <w:p>
      <w:pPr>
        <w:ind w:right="2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as amended, or until the Registration Statement shall become effective on such date as the Securities and Exchange Commission, acting pursuant to said Section 8(c), may determine.</w:t>
      </w:r>
    </w:p>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105410</wp:posOffset>
            </wp:positionV>
            <wp:extent cx="222123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150"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105"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6"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5"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69 of this prospectus for more information.</w:t>
      </w:r>
    </w:p>
    <w:p>
      <w:pPr>
        <w:spacing w:after="0" w:line="96" w:lineRule="exact"/>
        <w:rPr>
          <w:sz w:val="20"/>
          <w:szCs w:val="20"/>
          <w:color w:val="auto"/>
        </w:rPr>
      </w:pPr>
    </w:p>
    <w:p>
      <w:pPr>
        <w:jc w:val="both"/>
        <w:ind w:right="44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December 6, 2018 was $12.63 per share, and our net asset value on September 30, 2018 was $13.82 per share.</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jc w:val="both"/>
        <w:ind w:right="100"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44"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40" w:type="dxa"/>
            <w:vAlign w:val="bottom"/>
            <w:gridSpan w:val="31"/>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1040" w:type="dxa"/>
            <w:vAlign w:val="bottom"/>
            <w:gridSpan w:val="3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7"/>
                <w:szCs w:val="17"/>
                <w:color w:val="auto"/>
              </w:rPr>
            </w:pPr>
          </w:p>
        </w:tc>
        <w:tc>
          <w:tcPr>
            <w:tcW w:w="900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818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50">
              <w:r>
                <w:rPr>
                  <w:rFonts w:ascii="Arial" w:cs="Arial" w:eastAsia="Arial" w:hAnsi="Arial"/>
                  <w:sz w:val="18"/>
                  <w:szCs w:val="18"/>
                  <w:color w:val="0000EE"/>
                  <w:w w:val="95"/>
                </w:rPr>
                <w:t>SELECTED FINANCIAL DATA</w:t>
              </w:r>
            </w:hyperlink>
          </w:p>
        </w:tc>
        <w:tc>
          <w:tcPr>
            <w:tcW w:w="86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SENIOR SECURITIES</w:t>
              </w:r>
            </w:hyperlink>
          </w:p>
        </w:tc>
        <w:tc>
          <w:tcPr>
            <w:tcW w:w="2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PRICE RANGE OF COMMON STOCK</w:t>
              </w:r>
            </w:hyperlink>
          </w:p>
        </w:tc>
        <w:tc>
          <w:tcPr>
            <w:tcW w:w="81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74">
              <w:r>
                <w:rPr>
                  <w:rFonts w:ascii="Arial" w:cs="Arial" w:eastAsia="Arial" w:hAnsi="Arial"/>
                  <w:sz w:val="18"/>
                  <w:szCs w:val="18"/>
                  <w:color w:val="0000EE"/>
                  <w:w w:val="93"/>
                </w:rPr>
                <w:t>SALES OF COMMON STOCK BELOW NET ASSET VALUE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DISTRIBUTIONS</w:t>
              </w:r>
            </w:hyperlink>
          </w:p>
        </w:tc>
        <w:tc>
          <w:tcPr>
            <w:tcW w:w="970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BUSINESS</w:t>
              </w:r>
            </w:hyperlink>
          </w:p>
        </w:tc>
        <w:tc>
          <w:tcPr>
            <w:tcW w:w="1020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INVESTMENT OBJECTIVES AND POLICIES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PORTFOLIO COMPANIES</w:t>
              </w:r>
            </w:hyperlink>
          </w:p>
        </w:tc>
        <w:tc>
          <w:tcPr>
            <w:tcW w:w="760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4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w:anchor="page107">
              <w:r>
                <w:rPr>
                  <w:rFonts w:ascii="Arial" w:cs="Arial" w:eastAsia="Arial" w:hAnsi="Arial"/>
                  <w:sz w:val="18"/>
                  <w:szCs w:val="18"/>
                  <w:color w:val="0000EE"/>
                  <w:w w:val="92"/>
                </w:rPr>
                <w:t>CONTROL PERSONS AND PRINCIPAL STOCKHOLDERS</w:t>
              </w:r>
            </w:hyperlink>
          </w:p>
        </w:tc>
        <w:tc>
          <w:tcPr>
            <w:tcW w:w="66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CERTAIN RELATIONSHIPS AND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DESCRIPTION OF OUR CAPITAL STOCK</w:t>
              </w:r>
            </w:hyperlink>
          </w:p>
        </w:tc>
        <w:tc>
          <w:tcPr>
            <w:tcW w:w="782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DESCRIPTION OF OUR PREFERRED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DESCRIPTION OF OUR WARRANTS</w:t>
              </w:r>
            </w:hyperlink>
          </w:p>
        </w:tc>
        <w:tc>
          <w:tcPr>
            <w:tcW w:w="75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DESCRIPTION OF OUR SUBSCRIPTION RIGHTS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128">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REGULATION</w:t>
              </w:r>
            </w:hyperlink>
          </w:p>
        </w:tc>
        <w:tc>
          <w:tcPr>
            <w:tcW w:w="992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147">
              <w:r>
                <w:rPr>
                  <w:rFonts w:ascii="Arial" w:cs="Arial" w:eastAsia="Arial" w:hAnsi="Arial"/>
                  <w:sz w:val="18"/>
                  <w:szCs w:val="18"/>
                  <w:color w:val="0000EE"/>
                  <w:w w:val="93"/>
                </w:rPr>
                <w:t>BROKERAGE ALLOCATIONS AND OTHER PRACTICES</w:t>
              </w:r>
            </w:hyperlink>
          </w:p>
        </w:tc>
        <w:tc>
          <w:tcPr>
            <w:tcW w:w="66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8"/>
          </w:tcPr>
          <w:p>
            <w:pPr>
              <w:spacing w:after="0" w:line="196" w:lineRule="exact"/>
              <w:rPr>
                <w:rFonts w:ascii="Arial" w:cs="Arial" w:eastAsia="Arial" w:hAnsi="Arial"/>
                <w:sz w:val="18"/>
                <w:szCs w:val="18"/>
                <w:color w:val="0000EE"/>
                <w:w w:val="94"/>
              </w:rPr>
            </w:pPr>
            <w:hyperlink w:anchor="page148">
              <w:r>
                <w:rPr>
                  <w:rFonts w:ascii="Arial" w:cs="Arial" w:eastAsia="Arial" w:hAnsi="Arial"/>
                  <w:sz w:val="18"/>
                  <w:szCs w:val="18"/>
                  <w:color w:val="0000EE"/>
                  <w:w w:val="94"/>
                </w:rPr>
                <w:t>MATERIAL U.S. FEDERAL INCOME TAX CONSIDERATIONS</w:t>
              </w:r>
            </w:hyperlink>
          </w:p>
        </w:tc>
        <w:tc>
          <w:tcPr>
            <w:tcW w:w="62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PLAN OF DISTRIBUTION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SUB-ADMINISTRATOR, CUSTODIAN, TRANSFER AGENT AND TRUSTEE</w:t>
              </w:r>
            </w:hyperlink>
          </w:p>
        </w:tc>
        <w:tc>
          <w:tcPr>
            <w:tcW w:w="52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7"/>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1"/>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INDEPENDENT REGISTERED PUBLIC ACCOUNTING FIRM</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4"/>
              </w:rPr>
            </w:pPr>
            <w:hyperlink w:anchor="page158">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84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7842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32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Operations—Liquidity and Capital Resources.”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$8.3 billion in 496 companies with approximately 180 different financial sponsors through its managed funds.</w:t>
      </w:r>
    </w:p>
    <w:p>
      <w:pPr>
        <w:spacing w:after="0" w:line="18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21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use and expect to continue to use leverage to make investments. As a result, we may continue to be exposed to the risks associated with leverage. See “Risk Factors—Risks Relating to our Business and Structure” for more information. We believe that our capital resources will provide us with the flexibility to take advantage of market opportunities when they arise. Our use of leverage, as calculated under the asset coverage requirements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See “Management’s Discussion and Analysis of Financial Condition and Results of Operations—Liquidity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264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 Investment Management Agreement” for more information.</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intend to continue our monthly distributions to our stockholders. Our monthly distributions, if any, are determined by our board of directors.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 may include a return of capital. See “Distributions” for more information.</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70"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726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726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3" w:lineRule="auto"/>
        <w:rPr>
          <w:sz w:val="20"/>
          <w:szCs w:val="20"/>
          <w:color w:val="auto"/>
        </w:rPr>
      </w:pPr>
      <w:r>
        <w:rPr>
          <w:rFonts w:ascii="Arial" w:cs="Arial" w:eastAsia="Arial" w:hAnsi="Arial"/>
          <w:sz w:val="17"/>
          <w:szCs w:val="17"/>
          <w:color w:val="auto"/>
        </w:rPr>
        <w:t>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On October 30, 2018, we entered into an amendment to our Credit Facility to, among other things, (i) extend the reinvestment period to October 30, 2021, (ii) extend the maturity date to October 30, 2023 and (iii) reduce the asset coverage covenant from 200% to 150%. The interest rate of LIBOR plus 200 basis points remains unchanged. On November 8, 2018, we increased the size of the Credit Facility from $405 million to $520 million.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and the TASE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10.36%</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2018.</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2018. See “Certain Relationships and Transactions—Investment Management Agreement” for more information.</w:t>
      </w:r>
    </w:p>
    <w:p>
      <w:pPr>
        <w:ind w:left="460" w:right="20" w:hanging="452"/>
        <w:spacing w:after="0" w:line="26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2018.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2018. For more detailed information about the incentive fee, please see “Certain Relationships and Transactions— Investment Management Agreement” for more information.</w:t>
      </w:r>
    </w:p>
    <w:p>
      <w:pPr>
        <w:spacing w:after="0" w:line="2" w:lineRule="exact"/>
        <w:rPr>
          <w:rFonts w:ascii="Arial" w:cs="Arial" w:eastAsia="Arial" w:hAnsi="Arial"/>
          <w:sz w:val="17"/>
          <w:szCs w:val="17"/>
          <w:color w:val="auto"/>
        </w:rPr>
      </w:pPr>
    </w:p>
    <w:p>
      <w:pPr>
        <w:ind w:left="460" w:right="60" w:hanging="452"/>
        <w:spacing w:after="0" w:line="292"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September 30, 2018, we had $333.7 million in borrowings outstanding under our Credit Facility and $138.6 million outstanding under our 2023 Notes.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on the 2023 Notes for the fiscal year ended September 30, 2018 and we caution you that our actual interest expense in the future will depend on prevailing interest rates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ind w:left="460" w:right="320" w:hanging="452"/>
        <w:spacing w:after="0" w:line="281"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2018.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(for periods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460" w:right="260" w:hanging="452"/>
        <w:spacing w:after="0" w:line="29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49 of this prospectus.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 (2) total net estimated annual expenses of 9.91%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35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7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Assuming a 5% annual return (assumes no return from net realized capital gains or net</w:t>
            </w: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7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$ 128</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9"/>
              </w:rPr>
              <w:t>458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r>
      <w:tr>
        <w:trPr>
          <w:trHeight w:val="202"/>
        </w:trPr>
        <w:tc>
          <w:tcPr>
            <w:tcW w:w="7120" w:type="dxa"/>
            <w:vAlign w:val="bottom"/>
            <w:gridSpan w:val="2"/>
          </w:tcPr>
          <w:p>
            <w:pPr>
              <w:spacing w:after="0" w:line="201" w:lineRule="exact"/>
              <w:rPr>
                <w:sz w:val="20"/>
                <w:szCs w:val="20"/>
                <w:color w:val="auto"/>
              </w:rPr>
            </w:pPr>
            <w:r>
              <w:rPr>
                <w:rFonts w:ascii="Arial" w:cs="Arial" w:eastAsia="Arial" w:hAnsi="Arial"/>
                <w:sz w:val="18"/>
                <w:szCs w:val="18"/>
                <w:color w:val="auto"/>
              </w:rPr>
              <w:t>Assuming a 5% annual return (assumes return from only realized capital gains and thus</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12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640" w:type="dxa"/>
            <w:vAlign w:val="bottom"/>
            <w:gridSpan w:val="2"/>
          </w:tcPr>
          <w:p>
            <w:pPr>
              <w:spacing w:after="0"/>
              <w:rPr>
                <w:sz w:val="20"/>
                <w:szCs w:val="20"/>
                <w:color w:val="auto"/>
              </w:rPr>
            </w:pPr>
            <w:r>
              <w:rPr>
                <w:rFonts w:ascii="Arial" w:cs="Arial" w:eastAsia="Arial" w:hAnsi="Arial"/>
                <w:sz w:val="18"/>
                <w:szCs w:val="18"/>
                <w:color w:val="auto"/>
              </w:rPr>
              <w:t>$ 137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324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w w:val="99"/>
              </w:rPr>
              <w:t>489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r>
    </w:tbl>
    <w:p>
      <w:pPr>
        <w:spacing w:after="0" w:line="20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2023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continuing uncertainty arising from the United Kingdom’s decision to leave the European Union (the so called “Brexit”) could lead to further market disruptions and currency volatility, potentially weakening consumer, corporate and financial confidence and resulting in lower economic growth for companies that rely significantly on Europe for their business activities and revenues. We may in the future have difficulty accessing debt and equity capital markets, and a severe disruption in the global financial markets, deterioration in credit and financing conditions or uncertainty regarding U.S. government spending and deficit levels, Brexit or other global economic conditions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significant disruptions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 and our 2023 Notes.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to the asset coverage ratio requirements, our Credit Facility contains various covenants applicable to Funding I, which restricts our ability to borrow funds, and the deed of trust governing our 2023 Notes contains various covenants which, if not complied with, could accelerate repayment of the 2023 Notes. For example, the Credit Facility’s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84"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Facility not exceed a certain percentage of the value of our portfolio.</w:t>
      </w:r>
    </w:p>
    <w:p>
      <w:pPr>
        <w:spacing w:after="0" w:line="23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or result in the ability of the trustee and our note holders to accelerate amounts due under the deed of trust governing our 2023 Notes. This could have a material adverse effect on our operations, as it would reduce availability under the Credit Facility and could trigger mandatory prepayment obligations under the terms of the Credit Facility.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54"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8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investments are recorded as unrealized depreciation or loss. Unrealized losses of any given portfolio company could be an indication of such company’s inability in the future to meet its repayment obligations to us.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and our 2023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Operations—Quantitative and Qualitative Disclosures about Market Risk” for more information.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47"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July 2017, the head of the United Kingdom Financial Conduct Authority announced the desire to phase out the use of LIBOR by the end of 2021. Because the statements made by the head of the United Kingdom Financial Conduct Authority are recent in nature, there is no definitive information regarding the future utilization of LIBOR or of any particular replacement rate. As such, the potential effect of any such event on our cost of capital and net investment income cannot yet be determined.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dividends for U.S. federal income tax purposes to our stockholders in respect of each calendar year of an amount at least equal to the sum of (1) 98% of our net ordinary income (subject to certain deferrals and elections) for the calendar year,</w:t>
      </w:r>
    </w:p>
    <w:p>
      <w:pPr>
        <w:spacing w:after="0" w:line="7" w:lineRule="exact"/>
        <w:rPr>
          <w:sz w:val="20"/>
          <w:szCs w:val="20"/>
          <w:color w:val="auto"/>
        </w:rPr>
      </w:pPr>
    </w:p>
    <w:p>
      <w:pPr>
        <w:jc w:val="both"/>
        <w:ind w:right="24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have difficulty paying our Annual Distribution Requirement if we recognize income before or without receiving cash representing such income.</w:t>
      </w:r>
    </w:p>
    <w:p>
      <w:pPr>
        <w:spacing w:after="0" w:line="15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passed legislation will allow us to incur additional leverage.</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Small Business Credit Availability Act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Since on April 5, 2018 our Board has approved such reduction, if we comply with the applicable disclosure requirements, we will be able to incur additional indebtedness on April 5, 2019, which may increase the risk of investing in us.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2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4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As a BDC, we are required to meet a 200% asset coverage ratio through April 4, 2019 and 150% thereafter, subject to certain disclosure requirements of total assets to total senior securities, which includes all of our borrowings, and any preferred stock we may issue in the future. This requirement limits the amount we may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treated as a RIC for federal income tax purposes. We may have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limitations.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7" w:lineRule="exact"/>
        <w:rPr>
          <w:sz w:val="20"/>
          <w:szCs w:val="20"/>
          <w:color w:val="auto"/>
        </w:rPr>
      </w:pPr>
    </w:p>
    <w:p>
      <w:pPr>
        <w:ind w:left="900" w:right="140" w:hanging="325"/>
        <w:spacing w:after="0" w:line="293"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including our 2023 Notes, we are exposed to typical risks associated with leverage,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 increased 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70" w:lineRule="exact"/>
        <w:rPr>
          <w:rFonts w:ascii="Arial" w:cs="Arial" w:eastAsia="Arial" w:hAnsi="Arial"/>
          <w:sz w:val="16"/>
          <w:szCs w:val="16"/>
          <w:color w:val="auto"/>
        </w:rPr>
      </w:pPr>
    </w:p>
    <w:p>
      <w:pPr>
        <w:ind w:left="900" w:right="60" w:hanging="325"/>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an extensive process each quarter to determine the NAV per share of our common stock which cannot be completed in 48 hours. The quarterly process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83" w:lineRule="exact"/>
        <w:rPr>
          <w:sz w:val="20"/>
          <w:szCs w:val="20"/>
          <w:color w:val="auto"/>
        </w:rPr>
      </w:pPr>
    </w:p>
    <w:p>
      <w:pPr>
        <w:ind w:left="900" w:right="120" w:hanging="325"/>
        <w:spacing w:after="0" w:line="285"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rules and regulations of the SEC 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Our current debt is governed by the terms of the Credit Facility and the deed of trust governing the 2023 Notes,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more favorable than those of our common stock and may also carry leverage related risks. Leverage magnifies the potential risks for loss and the risks of investing in us, both as detailed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the 2023 Notes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Through April 4, 2019, we are not permitted to incur indebtedness unless immediately after such borrowing we have an asset coverage for total borrowings of at least 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April 5, 2019, we may not be able to incur additional debt and may need to sell a portion of our investments to repay some debt when it is disadvantageous to do so, and we may not be able to make distributions. The SBCAA, which was signed into law in March 2018, modifies this section of the 1940 Act and decreases this percentage from 200% to 150% (subject to either stockholder approval or approval of both a majority of the board of directors and a majority of directors who are not interested persons). 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such date, we will be able to incur additional indebtedness as a result of this new law and therefore, your risk of an investment in us may increase.</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As of September 30, 2018 and 2017, our asset coverage ratio, as computed in accordance with the 1940 Act, was 215% and 278%, respectively. Since our leverage was 87% and 56% of our net assets as of September 30, 2018 and 2017, respectively, we would have to receive an annual return of at least 1.93% and 1.13%, respectively, to cover annual interest payments.</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As of September 30, 2018, we had outstanding borrowings of $333.7 million under our Credit Facility and $138.6 million outstanding under our 2023 Notes. Our consolidated debt outstanding was $472.3 million and had a weighted average annual interest rate at the time of 4.13%, exclusive of the fees on the undrawn commitment on our Credit Facility. To cover the annual interest on our borrowings of $472.3 million outstanding as of September 30, 2018, at the weighted average annual rate of 4.13%, we would have to receive an annual yield of at least 1.93%. This example is for illustrative purposes only, and actual interest rates on our Credit Facility or any future borrowings are likely to fluctuate. The costs associated with our borrowings, including any increase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fee or incentive fee payable to our Investment Adviser, are and will be borne by our stockholders.</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as of September 30, 2018 of 43% of total assets (including such borrowed funds), at the current interest rate at the time of 4.13%,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Assumed return on portfolio (net of expenses) </w:t>
            </w:r>
            <w:r>
              <w:rPr>
                <w:rFonts w:ascii="Arial" w:cs="Arial" w:eastAsia="Arial" w:hAnsi="Arial"/>
                <w:sz w:val="15"/>
                <w:szCs w:val="15"/>
                <w:color w:val="auto"/>
              </w:rPr>
              <w:t>(1)</w:t>
            </w:r>
          </w:p>
        </w:tc>
        <w:tc>
          <w:tcPr>
            <w:tcW w:w="2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 xml:space="preserve">Corresponding return to common stockholders </w:t>
            </w:r>
            <w:r>
              <w:rPr>
                <w:rFonts w:ascii="Arial" w:cs="Arial" w:eastAsia="Arial" w:hAnsi="Arial"/>
                <w:sz w:val="15"/>
                <w:szCs w:val="15"/>
                <w:color w:val="auto"/>
              </w:rPr>
              <w:t>(2)</w:t>
            </w:r>
          </w:p>
        </w:tc>
        <w:tc>
          <w:tcPr>
            <w:tcW w:w="2520" w:type="dxa"/>
            <w:vAlign w:val="bottom"/>
          </w:tcPr>
          <w:p>
            <w:pPr>
              <w:jc w:val="right"/>
              <w:ind w:right="150"/>
              <w:spacing w:after="0"/>
              <w:rPr>
                <w:sz w:val="20"/>
                <w:szCs w:val="20"/>
                <w:color w:val="auto"/>
              </w:rPr>
            </w:pPr>
            <w:r>
              <w:rPr>
                <w:rFonts w:ascii="Arial" w:cs="Arial" w:eastAsia="Arial" w:hAnsi="Arial"/>
                <w:sz w:val="18"/>
                <w:szCs w:val="18"/>
                <w:color w:val="auto"/>
              </w:rPr>
              <w:t>(23.7)%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(13.7)%</w:t>
            </w:r>
          </w:p>
        </w:tc>
        <w:tc>
          <w:tcPr>
            <w:tcW w:w="960" w:type="dxa"/>
            <w:vAlign w:val="bottom"/>
          </w:tcPr>
          <w:p>
            <w:pPr>
              <w:ind w:left="220"/>
              <w:spacing w:after="0"/>
              <w:rPr>
                <w:sz w:val="20"/>
                <w:szCs w:val="20"/>
                <w:color w:val="auto"/>
              </w:rPr>
            </w:pPr>
            <w:r>
              <w:rPr>
                <w:rFonts w:ascii="Arial" w:cs="Arial" w:eastAsia="Arial" w:hAnsi="Arial"/>
                <w:sz w:val="18"/>
                <w:szCs w:val="18"/>
                <w:color w:val="auto"/>
              </w:rPr>
              <w:t>(3.6)%</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6.4%</w:t>
            </w:r>
          </w:p>
        </w:tc>
        <w:tc>
          <w:tcPr>
            <w:tcW w:w="760" w:type="dxa"/>
            <w:vAlign w:val="bottom"/>
          </w:tcPr>
          <w:p>
            <w:pPr>
              <w:jc w:val="right"/>
              <w:spacing w:after="0"/>
              <w:rPr>
                <w:sz w:val="20"/>
                <w:szCs w:val="20"/>
                <w:color w:val="auto"/>
              </w:rPr>
            </w:pPr>
            <w:r>
              <w:rPr>
                <w:rFonts w:ascii="Arial" w:cs="Arial" w:eastAsia="Arial" w:hAnsi="Arial"/>
                <w:sz w:val="18"/>
                <w:szCs w:val="18"/>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960" w:hanging="452"/>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5"/>
          <w:szCs w:val="15"/>
          <w:color w:val="auto"/>
        </w:rPr>
      </w:pPr>
    </w:p>
    <w:p>
      <w:pPr>
        <w:ind w:left="460" w:right="20" w:hanging="452"/>
        <w:spacing w:after="0" w:line="273"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2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As a result of any issuance of debt securities and borrowings under our Credit Facility and the 2023 Notes,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2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Credit Facility expires in October 2023.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117"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8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2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and the TASE, which may cause volatility in our publicly traded common stock. To the extent we issue securities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preferred stock, debt securities or convertible debt securities the NAV and market value of our common stock may become more volatile.</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5620" w:right="2920" w:hanging="5045"/>
        <w:spacing w:after="0" w:line="449" w:lineRule="auto"/>
        <w:tabs>
          <w:tab w:leader="none" w:pos="8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 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or those of our portfolio companies may adversely affect our business.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In particular, on December 22, 2017, the Tax Cuts and Jobs Act was signed into law. This tax legislation lowers the general corporate income tax rate from 35 percent to 21 percent, makes changes regarding the use of net operating losses, repeals the corporate alternative minimum tax and makes significant changes with respect to the U.S. international tax rules. In addition, the legislation generally requires a holder that uses the accrual method of accounting for U.S. tax purposes to include certain amounts in income no later than the time such amounts are reflected on certain financial statements, which therefore if applicable would require us to accrue income earlier than under prior law, although the precise application of this rule is un-clear at this time. The legislation also limits the amount or value of interest deductions of borrowers and in that way may potentially affect the loan market and our and our portfolio companies’ use of leverage. For individual taxpayers, the legislation reduces the maximum individual income tax rate and eliminates the deductibility of miscellaneous itemized deductions for taxable years 2018 through 2025. The impact of this new legislation is uncertain. See “Regulation” for more information.</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presidential administration initiatives could negatively impact our business, financial condition and results of operations.</w:t>
      </w:r>
    </w:p>
    <w:p>
      <w:pPr>
        <w:spacing w:after="0" w:line="1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may change our investment objectives, operating policies and strategies without prior notice or stockholder approval.</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Stockholder activism, which could take many forms, including making public demands that we consider certain strategic alternatives, engaging in public campaigns to attempt to influence our corporate governance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8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9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over-the-counter securities, which have and may continue to face liquidity constraints, to provide us with liquidity.</w:t>
      </w:r>
    </w:p>
    <w:p>
      <w:pPr>
        <w:spacing w:after="0" w:line="117"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intend to invest primarily in Floating Rate Loans, which may consist of first lien secured debt, second lien secured debt, subordinated debt and selected equity investments issued by U.S. middle-market companies.</w:t>
      </w:r>
    </w:p>
    <w:p>
      <w:pPr>
        <w:spacing w:after="0" w:line="76" w:lineRule="exact"/>
        <w:rPr>
          <w:sz w:val="20"/>
          <w:szCs w:val="20"/>
          <w:color w:val="auto"/>
        </w:rPr>
      </w:pPr>
    </w:p>
    <w:p>
      <w:pPr>
        <w:ind w:left="900" w:right="3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Floating Rate Loans: </w:t>
      </w:r>
      <w:r>
        <w:rPr>
          <w:rFonts w:ascii="Arial" w:cs="Arial" w:eastAsia="Arial" w:hAnsi="Arial"/>
          <w:sz w:val="18"/>
          <w:szCs w:val="18"/>
          <w:color w:val="auto"/>
        </w:rPr>
        <w:t>The Floating Rate Loans we invest in are usually rated below investment grade or may also be unrated.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Floating Rate Loans rated below investment grade 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 grade, variable-rate securities.</w:t>
      </w:r>
    </w:p>
    <w:p>
      <w:pPr>
        <w:spacing w:after="0" w:line="57"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0" w:lineRule="exact"/>
        <w:rPr>
          <w:sz w:val="20"/>
          <w:szCs w:val="20"/>
          <w:color w:val="auto"/>
        </w:rPr>
      </w:pPr>
    </w:p>
    <w:p>
      <w:pPr>
        <w:ind w:left="920" w:right="80"/>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 Floating Rate Loans can be first lien secured debt, second lien secured debt or subordinated debt.</w:t>
      </w:r>
    </w:p>
    <w:p>
      <w:pPr>
        <w:spacing w:after="0" w:line="80" w:lineRule="exact"/>
        <w:rPr>
          <w:sz w:val="20"/>
          <w:szCs w:val="20"/>
          <w:color w:val="auto"/>
        </w:rPr>
      </w:pPr>
    </w:p>
    <w:p>
      <w:pPr>
        <w:ind w:left="900" w:hanging="446"/>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Lien Secured Debt: </w:t>
      </w:r>
      <w:r>
        <w:rPr>
          <w:rFonts w:ascii="Arial" w:cs="Arial" w:eastAsia="Arial" w:hAnsi="Arial"/>
          <w:sz w:val="18"/>
          <w:szCs w:val="18"/>
          <w:color w:val="auto"/>
        </w:rPr>
        <w:t>When we extend first lien secured debt, we will generally take a security interest in the available assets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308" w:lineRule="auto"/>
        <w:rPr>
          <w:sz w:val="20"/>
          <w:szCs w:val="20"/>
          <w:color w:val="auto"/>
        </w:rPr>
      </w:pPr>
      <w:r>
        <w:rPr>
          <w:rFonts w:ascii="Arial" w:cs="Arial" w:eastAsia="Arial" w:hAnsi="Arial"/>
          <w:sz w:val="17"/>
          <w:szCs w:val="17"/>
          <w:color w:val="auto"/>
        </w:rPr>
        <w:t>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52" w:lineRule="exact"/>
        <w:rPr>
          <w:sz w:val="20"/>
          <w:szCs w:val="20"/>
          <w:color w:val="auto"/>
        </w:rPr>
      </w:pPr>
    </w:p>
    <w:p>
      <w:pPr>
        <w:ind w:left="900" w:right="160" w:hanging="446"/>
        <w:spacing w:after="0" w:line="291"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Second Lien Secured Debt: </w:t>
      </w:r>
      <w:r>
        <w:rPr>
          <w:rFonts w:ascii="Arial" w:cs="Arial" w:eastAsia="Arial" w:hAnsi="Arial"/>
          <w:sz w:val="16"/>
          <w:szCs w:val="16"/>
          <w:color w:val="auto"/>
        </w:rPr>
        <w:t>Our second lien secured debt usually ranks junior in priority of payment to first lien secured debt. Second lien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secured debt holds a second priority 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72" w:lineRule="exact"/>
        <w:rPr>
          <w:rFonts w:ascii="Arial" w:cs="Arial" w:eastAsia="Arial" w:hAnsi="Arial"/>
          <w:sz w:val="16"/>
          <w:szCs w:val="16"/>
          <w:color w:val="auto"/>
        </w:rPr>
      </w:pPr>
    </w:p>
    <w:p>
      <w:pPr>
        <w:ind w:left="900" w:right="20" w:hanging="446"/>
        <w:spacing w:after="0" w:line="272"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Subordinated Debt: </w:t>
      </w:r>
      <w:r>
        <w:rPr>
          <w:rFonts w:ascii="Arial" w:cs="Arial" w:eastAsia="Arial" w:hAnsi="Arial"/>
          <w:sz w:val="17"/>
          <w:szCs w:val="17"/>
          <w:color w:val="auto"/>
        </w:rPr>
        <w:t>Our subordinated debt usually ranks junior in priority of payment to first lien secured debt and second lien secured debt,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often unsecured. As such, 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83" w:lineRule="exact"/>
        <w:rPr>
          <w:rFonts w:ascii="Arial" w:cs="Arial" w:eastAsia="Arial" w:hAnsi="Arial"/>
          <w:sz w:val="17"/>
          <w:szCs w:val="17"/>
          <w:color w:val="auto"/>
        </w:rPr>
      </w:pPr>
    </w:p>
    <w:p>
      <w:pPr>
        <w:ind w:left="900" w:hanging="446"/>
        <w:spacing w:after="0" w:line="270"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all of which are subordinated to debt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when we invest in 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6"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92"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BDC, we may not acquire any asset other than qualifying assets, as defined under the 1940 Act, unless at the time the acquisition is made such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qualifying assets represent at least 70% of the value of our total assets. Qualifying assets include investments in U.S. operating companies whose securities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are not listed on a national securities exchange and companies listed on a national securities exchange subject to a maximum market capitalization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Qualifying assets also include cash, cash equivalents, government securities and high quality debt securities maturing in one year or less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time of investment.</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Many of our portfolio companies are susceptible to economic or industry centric slowdowns or recessions and may be unable to repay debt from us during these periods. Therefore, our non-performing assets are likely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8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6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26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78"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$13.15 and $14.48 on September 30, 2018 and 2017, respectively. Our NAV per share was $13.82 and $14.10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3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5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 and the listing standards of the NASDAQ Stock Market LLC and the clearing house guidelines of the TASE.</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2023 NOTES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2023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2023 Notes are not secured by any of our assets or any of the assets of our subsidiaries. As a result, the 2023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2023 Notes. As of September 30, 2018, we had $333.7 million outstanding under the Credit Facility. The Credit Facility is secured by substantially all of the assets of Funding I, and the indebtedness under the Credit Facility is therefore effectively senior in right of payment to the 2023 Notes to the extent of the value of such assets.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structurally subordinated to the indebtedness and other liabilities of our subsidiaries.</w:t>
      </w:r>
    </w:p>
    <w:p>
      <w:pPr>
        <w:spacing w:after="0" w:line="117"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2023 Notes are obligations exclusively of PennantPark Floating Rate Capital Ltd. and not of any of our subsidiaries. None of our subsidiaries is or acts as a guarantor of the 2023 Notes and the 2023 Notes are not required to be guaranteed by any subsidiaries we may acquire or create in the future.</w:t>
      </w:r>
    </w:p>
    <w:p>
      <w:pPr>
        <w:spacing w:after="0" w:line="124"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2023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2023 Notes are structurally subordinated to all indebtedness and other liabilities (including trade payables) of our subsidiaries and any subsidiaries that we may in the future acquire or establish as financing vehicles or otherwise.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2023 Notes are linked to the U.S. Dollar and therefore holders of the 2023 Notes are subject to currency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Payments of principal and interest under the 2023 Notes will be adjusted for increases or decreases in the representative exchange rate of the</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U.S. Dollar to the New Israeli Shekel, or NIS, from the time of the public offering of the 2023 Notes. Accordingly, if such exchange rate declines, the rate of interest holders of the 2023 Notes receive in NIS terms effectively will be lower than the stated interest rate of the 2023 Notes and they will be entitled to receive fewer NIS upon repayment of the 2023 Notes than the par value thereof.</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 active trading market does not develop for the 2023 Notes holders of the 2023 Notes may not be able to sell them.</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2023 Notes are a new issue of debt securities, and they may trade a discount to their initial offering price depending on prevailing interest rates, foreign currency exchange rates, the market for similar securities, our credit ratings, our financial condition or other relevant factors. We cannot assure holders of the 2023 Notes that a liquid trading market will develop for the 2023 Notes, that they will be able to sell their 2023 Notes at a particular time or that the price they receive when they sell will be favorable. To the extent an active trading market does not develop, the liquidity and trading price for the 2023 Notes may be harmed. Accordingly, investors may be required to bear the financial risk of an investment in the 2023 Notes for an indefinite period of time.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2023 Notes may fluctuate.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an active trading market for the 2023 Notes does develop on the TASE, the 2023 Notes may trade at prices lower than the offering price. The trading price of the 2023 Notes depends on many factors, including:</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prevailing interest rates;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prevailing exchange rate of the U.S. Dollar to the NIS;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similar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political, economic and financial market conditions in Israel and globally;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issuance of debt or preferred equity securities;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condition, results of operations and prospects.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a downgrade, suspension or withdrawal of the credit rating assigned by a rating agency to us or the 2023 Notes, if any, or change in the debt markets could cause the liquidity or market value of the 2023 Notes to decline significantly.</w:t>
      </w:r>
    </w:p>
    <w:p>
      <w:pPr>
        <w:spacing w:after="0" w:line="17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2023 Notes. These credit ratings may not reflect the potential impact of risks relating to the structure or marketing of the 2023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2023 Notes of any changes in our credit ratings. There can be no assurance that our credit ratings will remain for any given period of time or that they will not be lowered or withdrawn entirely if in the judgment of the rating agency future circumstances relating to the basis of our credit ratings, such as adverse changes in our company, so warrant. In addition, the interest rate payable under the 2023 Notes will increase in the event of certain ratings declines or if a rating agency ceases to rate the 2023 Notes for more than 21 days until such declines are reversed and/or the 2023 Notes are again rated by a rating agency.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deed of trust under which the 2023 Notes were issued contains limited protection for holders of the 2023 Notes.</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 deed of trust under which the 2023 Notes were issued offers limited protection to holders of the 2023 Notes. The terms of the deed of trust and the 2023 Notes do not restrict our or any of our subsidiaries’ ability to engage in, or otherwise be a party to, a variety of corporate transactions, circumstances or events that could have an adverse impact on each holder’s investment in the 2023 Notes. In particular, subject to the satisfaction of certain financial covenants, the terms of the deed of trust and the 2023 Notes will not place any restrictions on our or our subsidiaries’ ability to:</w:t>
      </w:r>
    </w:p>
    <w:p>
      <w:pPr>
        <w:spacing w:after="0" w:line="77" w:lineRule="exact"/>
        <w:rPr>
          <w:sz w:val="20"/>
          <w:szCs w:val="20"/>
          <w:color w:val="auto"/>
        </w:rPr>
      </w:pPr>
    </w:p>
    <w:p>
      <w:pPr>
        <w:ind w:left="900" w:right="60" w:hanging="325"/>
        <w:spacing w:after="0" w:line="25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2023 Notes, (2) any indebtedness or other obligations that would be secured and therefore rank effectively senior in right of payment to the 2023 Notes to the extent of the values of the assets securing such debt, (3) indebtedness of ours that is guaranteed by one or more of our subsidiaries and which therefore would rank structurally senior to the 2023 Notes and (4) securities, indebtedness or other obligations issued or incurred by our subsidiaries that would be senior in right of payment to our equity interests in our subsidiaries and therefore would rank structurally senior in right of payment to the 2023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2023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2023 Notes may have important consequences for holders of the 2023 Notes, including making it more difficult for us to satisfy our obligations with respect to the 2023 Notes or negatively affecting the trading value of the 2023 Notes.</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Other debt we issue or incur in the future could contain more protections for its holders than the deed of trust and the 2023 Notes, including additional covenants and events of default. The issuance or incurrence of any such debt with incremental protections could affect the market for and trading levels and prices of the 2023 Notes.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the return on the 2023 Notes.</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2023 Notes are redeemable in whole or in part upon certain conditions at any time or from time to time at our option. We may choose to redeem the 2023 Notes at times when prevailing interest rates are lower than the interest rate paid on the 2023 Notes. In this circumstance, holders of the 2023 Notes may not be able to reinvest the redemption proceeds in a comparable security at an effective interest rate as high as the 2023 Notes being redeemed.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2023 Notes.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2023 Notes and substantially decrease the market value of the 2023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has, and any future debt will likely have, customary cross-default provisions, if the indebtedness thereunder or under any future credit facility is accelerated, we may be unable to repay or finance the amounts due.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Payments made under the 2023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2023 Notes as well as, after December 31, 2018, scheduled payments of principal, early redemption, or sale of the 2023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2023 Notes should consult their own tax advisors regarding FATCA and how it may affect their investment in the notes.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obtain and enforce civil judgments against us and our directors, officers and experts.</w:t>
      </w:r>
    </w:p>
    <w:p>
      <w:pPr>
        <w:spacing w:after="0" w:line="117"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We are a Maryland corporation and our principal executive offices are located in New York City. All of our assets are located outside of Israel. As a result, even though the deed of trust for the 2023 Notes is governed by Israeli law and any disputes thereunder are stipulated to be adjudicated in Israeli courts, holders of the 2023 Notes may have difficulty enforcing in Israel judgments they may obtain in an Israeli court against us.</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U.S. courts may refuse to hear a securities law claim of a non-U.S. investor who purchased our securities on the TASE. In addition, since our directors, officers and experts are located outside of Israel, it may be difficult serving legal process upon any of these persons. It also may be difficult enforcing judgments holders of the 2023 Notes may obtain in Israeli courts against us or those persons in any action, including actions based upon the civil liability provisions of U.S. securities laws.</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It may also be difficult to assert U.S. securities laws claims in original actions instituted in Israel. Israeli courts may refuse to hear a claim based on an alleged violation of U.S. securities laws reasoning that Israel is not the most appropriate forum to bring such a claim. In particular, the Israeli Securities Law expressly authorizes Israeli courts to stay a securities lawsuit against a dual-listed company while a lawsuit on similar grounds is being adjudicated in a non-Israeli court.</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including a judgment based upon the civil liability provisions of the U.S. securities laws, as well as a monetary or compensatory judgment in a non-civil matter, provided that the following key conditions are met:</w:t>
      </w:r>
    </w:p>
    <w:p>
      <w:pPr>
        <w:spacing w:after="0" w:line="87"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limited exceptions, the judgment is final and non-appealable;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judgment was given by a court competent under the laws of the state of the court and is otherwise enforceable in such state;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judgment was rendered by a court competent under the rules of private international law applicable in Israel;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 for the enforcement of judgments of Israeli courts;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present his arguments and evidence;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judgment and its enforcement are not contrary to the law, public policy, security or sovereignty of the State of Israel;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 and</w:t>
      </w:r>
    </w:p>
    <w:p>
      <w:pPr>
        <w:spacing w:after="0" w:line="153" w:lineRule="exact"/>
        <w:rPr>
          <w:rFonts w:ascii="Arial" w:cs="Arial" w:eastAsia="Arial" w:hAnsi="Arial"/>
          <w:sz w:val="16"/>
          <w:szCs w:val="16"/>
          <w:color w:val="auto"/>
        </w:rPr>
      </w:pPr>
    </w:p>
    <w:p>
      <w:pPr>
        <w:ind w:left="5620" w:hanging="5045"/>
        <w:spacing w:after="0" w:line="449" w:lineRule="auto"/>
        <w:tabs>
          <w:tab w:leader="none" w:pos="896"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U.S. court. 41</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92"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30, 2018, we had $333.7 million in borrowings outstanding under our multi-currency Credit Facility. Borrowings under our Credit Facility bear interest at LIBOR plus 200 basis points per annum during the revolving period, and the rate resets to LIBOR plus 425 basis points per annum for the remaining two years. At September 30, 2018, the weighted average interest rate was 4.13% exclusive of the fee on the undrawn commitments. The Credit Facility is a revolving facility maturing in October 2023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6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4"/>
                <w:szCs w:val="14"/>
                <w:b w:val="1"/>
                <w:bCs w:val="1"/>
                <w:color w:val="auto"/>
              </w:rPr>
              <w:t>For the years ended September 30,</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880" w:type="dxa"/>
            <w:vAlign w:val="bottom"/>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72,205</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$ 59,497</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$ 46,301</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$ 30,355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$ 30,357</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expenses</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41,241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26,052</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18,965</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12,695</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13,721</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30,964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33,445</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27,336</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17,660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16,636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2,526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2,880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6,153</w:t>
            </w:r>
          </w:p>
        </w:tc>
        <w:tc>
          <w:tcPr>
            <w:tcW w:w="36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(5,156)</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3,878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33,490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36,325</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33,489</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12,504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20,514</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13.95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0.81</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1.10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1.02</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1.08</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1.12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0.23</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0.26</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0.87</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1.20</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1.25</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0.77</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1.38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 (2)</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Consolidated Statements of Assets and Liabilities data:</w:t>
            </w: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1,076,443</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747,345</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631,420</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416,120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372,874</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1,000,613</w:t>
            </w:r>
          </w:p>
        </w:tc>
        <w:tc>
          <w:tcPr>
            <w:tcW w:w="4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710,499</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598,888</w:t>
            </w:r>
          </w:p>
        </w:tc>
        <w:tc>
          <w:tcPr>
            <w:tcW w:w="36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391,312</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348,428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Debt payable</w:t>
            </w:r>
            <w:r>
              <w:rPr>
                <w:rFonts w:ascii="Arial" w:cs="Arial" w:eastAsia="Arial" w:hAnsi="Arial"/>
                <w:sz w:val="15"/>
                <w:szCs w:val="15"/>
                <w:color w:val="auto"/>
              </w:rPr>
              <w:t>(3)</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467,632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256,858</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232,389</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29,600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146,949</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net asset value</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535,842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457,906</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375,907</w:t>
            </w:r>
          </w:p>
        </w:tc>
        <w:tc>
          <w:tcPr>
            <w:tcW w:w="36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372,890</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214,528</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(1.29)%</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18.71%</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21.77%</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(6.01)%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8.05%</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5"/>
                <w:szCs w:val="15"/>
                <w:color w:val="auto"/>
              </w:rPr>
              <w:t>(5)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5"/>
                <w:szCs w:val="15"/>
                <w:color w:val="auto"/>
              </w:rPr>
              <w:t>(5)</w:t>
            </w:r>
          </w:p>
        </w:tc>
        <w:tc>
          <w:tcPr>
            <w:tcW w:w="1800" w:type="dxa"/>
            <w:vAlign w:val="bottom"/>
            <w:gridSpan w:val="3"/>
          </w:tcPr>
          <w:p>
            <w:pPr>
              <w:jc w:val="right"/>
              <w:ind w:right="260"/>
              <w:spacing w:after="0"/>
              <w:rPr>
                <w:sz w:val="20"/>
                <w:szCs w:val="20"/>
                <w:color w:val="auto"/>
              </w:rPr>
            </w:pPr>
            <w:r>
              <w:rPr>
                <w:rFonts w:ascii="Arial" w:cs="Arial" w:eastAsia="Arial" w:hAnsi="Arial"/>
                <w:sz w:val="18"/>
                <w:szCs w:val="18"/>
                <w:color w:val="auto"/>
              </w:rPr>
              <w:t>8.8%</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7.8%</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7.9%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 which was terminated on November 22, 2017.</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Unaudited, at year end.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21,339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19,529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16,501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11,669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11,835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9,400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(1,940)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(6,867)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11,013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4,968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15,590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13.82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r>
      <w:tr>
        <w:trPr>
          <w:trHeight w:val="365"/>
        </w:trPr>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6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Q2</w:t>
            </w:r>
          </w:p>
        </w:tc>
        <w:tc>
          <w:tcPr>
            <w:tcW w:w="10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18,454</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13,221</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10,409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8,185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8,029</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10,851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9,342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7,283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8,849</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14.10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5620" w:right="4980" w:hanging="5612"/>
        <w:spacing w:after="0" w:line="413" w:lineRule="auto"/>
        <w:tabs>
          <w:tab w:leader="none" w:pos="45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the weighted average shares outstanding for the respective periods. 46</w:t>
      </w:r>
    </w:p>
    <w:p>
      <w:pPr>
        <w:sectPr>
          <w:pgSz w:w="11900" w:h="16838" w:orient="portrait"/>
          <w:cols w:equalWidth="0" w:num="1">
            <w:col w:w="10960"/>
          </w:cols>
          <w:pgMar w:left="240" w:top="459" w:right="6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Officer and their respective staffs. Our board of directors, a majority of whom are independent of us, provides overall supervision of our activities, and the Investment Adviser supervises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costs associated with our reporting and compliance obligations under the 1940 Act and applicable federal and state securities laws; and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285"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r>
              <w:rPr>
                <w:rFonts w:ascii="Arial" w:cs="Arial" w:eastAsia="Arial" w:hAnsi="Arial"/>
                <w:sz w:val="18"/>
                <w:szCs w:val="18"/>
                <w:b w:val="1"/>
                <w:bCs w:val="1"/>
                <w:color w:val="auto"/>
                <w:w w:val="93"/>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0.26%</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2.71%</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Acquired fund fees and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1.41%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0.56%</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00" w:type="dxa"/>
            <w:vAlign w:val="bottom"/>
            <w:gridSpan w:val="2"/>
            <w:vMerge w:val="continue"/>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5.94%</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total assets attributable to common shares equals average gross assets for the fiscal year ended September 30, 2018.</w:t>
      </w:r>
    </w:p>
    <w:p>
      <w:pPr>
        <w:spacing w:after="0" w:line="23"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for more information.</w:t>
      </w:r>
    </w:p>
    <w:p>
      <w:pPr>
        <w:ind w:left="460" w:hanging="452"/>
        <w:spacing w:after="0" w:line="26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2018.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2018. For more detailed information about the incentive fee, please see “Certain Relationships and Transactions—Investment Management Agreement” for more information.</w:t>
      </w:r>
    </w:p>
    <w:p>
      <w:pPr>
        <w:spacing w:after="0" w:line="2" w:lineRule="exact"/>
        <w:rPr>
          <w:rFonts w:ascii="Arial" w:cs="Arial" w:eastAsia="Arial" w:hAnsi="Arial"/>
          <w:sz w:val="17"/>
          <w:szCs w:val="17"/>
          <w:color w:val="auto"/>
        </w:rPr>
      </w:pPr>
    </w:p>
    <w:p>
      <w:pPr>
        <w:ind w:left="460" w:right="40" w:hanging="452"/>
        <w:spacing w:after="0" w:line="28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of September 30, 2018, we had $333.7 million in borrowings outstanding under our Credit Facility and $138.6 million outstanding under our 2023 Notes.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on the 2023 Notes for the fiscal year ended September 30, 2018 and we caution you that our actual interest expense will depend on prevailing interest rates and our rate of borrowing, which may be substantially higher than the amount provided in this table. See “Risk Factors—Risks Relating to our Business and Structure —We currently use borrowed funds to make investments and are exposed to the typical risks associated with leverage” for more information.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hanging="452"/>
        <w:spacing w:after="0" w:line="286"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2018. Expenses for PSSL may fluctuate over time and may be substantially higher or lower in the future.</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(prior to its termination)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460" w:right="100" w:hanging="452"/>
        <w:spacing w:after="0" w:line="290"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for the fiscal year ended September 30, 2018.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30, 2018, our portfolio totaled $1,000.6 million and consisted of $913.3 million of first lien secured debt (of which $101.1 million was invested in PSSL), $21.2 million of second lien secured debt and $66.1 million of preferred and common equity (of which $44.8 million was invested in PSSL). Our debt portfolio consisted of 100% variable-rate investments. As of September 30, 2018, we had no portfolio companies on non-accrual. Overall, the portfolio had net unrealized depreciation of $0.9 million. Our overall portfolio consisted of 88 companies with an average investment size of $11.4 million, had a weighted average yield on debt investments of 8.8%, and was invested 91% in first lien secured debt (of which 10% was invested in PSSL), 2% in second lien secured debt and 7% in preferred and common equity (of which 4% was invested in PSSL). As of September 30, 2018, all of the investments held by PSSL were first lien secured debt.</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and 1% fixed-rate investments. As of September 30, 2017, we had one portfolio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7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For the year ended September 30, 2018, we invested $682.7 million of investments in 32 new and 66 existing portfolio companies with a weighted average yield on debt investments of 8.1%. Sales and repayments of investments for the year ended September 30, 2018 totaled $391.4 million.</w:t>
      </w:r>
    </w:p>
    <w:p>
      <w:pPr>
        <w:spacing w:after="0" w:line="124"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For the year ended September 30, 2017, we invested $508.9 million of investments in 29 new and 49 existing portfolio companies with a weighted average yield on debt investments of 7.7%. Sales and repayments of investments for the year ended September 30, 2017 totaled $406.5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For the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As of September 30, 2018, PSSL’s portfolio totaled $425.4 million, consisted of 42 companies with an average investment size of $10.1 million and had a weighted average yield on debt investments of 7.8%. As of September 30, 2017, PSSL’s portfolio totaled $100.0 million, consisted of 18 companies with an average investment size of $5.6 million and had a weighted average yield on debt investments of 7.2%.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September 30, 2018, PSSL invested $371.3 million (of which $108.0 million was purchased from the Company) in 28 new and 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existing portfolio companies with a weighted average yield on debt investments of 7.5%. PSSL’s sales and repayments of investments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2018 totaled $45.8 million. For the period May 4, 2017 (inception) through September 30, 2017, PSSL invested $111.5 million (of which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$85.1 million was purchased from the Company) in 19 new and four existing portfolio companies with a weighted average yield on debt investments of 6.5%.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PSSL’s sales and repayments of investments for the period May 4, 2017 (inception) through September 30, 2017 totaled $12.1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16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00" w:hanging="446"/>
        <w:spacing w:after="0" w:line="27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20" w:hanging="446"/>
        <w:spacing w:after="0" w:line="286"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980" w:right="1160" w:hanging="1052"/>
        <w:spacing w:after="0" w:line="277" w:lineRule="auto"/>
        <w:tabs>
          <w:tab w:leader="none" w:pos="1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jc w:val="both"/>
        <w:ind w:left="1980" w:right="960" w:hanging="1052"/>
        <w:spacing w:after="0" w:line="286" w:lineRule="auto"/>
        <w:tabs>
          <w:tab w:leader="none" w:pos="1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7" w:lineRule="exact"/>
        <w:rPr>
          <w:sz w:val="20"/>
          <w:szCs w:val="20"/>
          <w:color w:val="auto"/>
        </w:rPr>
      </w:pPr>
    </w:p>
    <w:p>
      <w:pPr>
        <w:ind w:left="1980" w:right="1420" w:hanging="1052"/>
        <w:spacing w:after="0" w:line="277" w:lineRule="auto"/>
        <w:tabs>
          <w:tab w:leader="none" w:pos="1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$10.9 million, $0.1 million and $0.9 million, relating to amendment fees on the Credit Facility and debt issuance costs on the 2023 Notes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years ended September 30, 2018, 2017 and 2016, our Credit Facility and 2023 Notes had a net change in unrealized depreciation (appreciation) of $7.8 million, $(3.6) million and $0.5 million, respectively. As of September 30, 2018 and 2017, the net unrealized depreciation (appreciation) on our Credit Facility and the 2023 Notes totaled $4.7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080" w:hanging="177"/>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Fair value of investment securities, other assets and liabilities – at the exchange rates prevailing at the end of the applicable period; and</w:t>
      </w:r>
    </w:p>
    <w:p>
      <w:pPr>
        <w:spacing w:after="0" w:line="128" w:lineRule="exact"/>
        <w:rPr>
          <w:rFonts w:ascii="Arial" w:cs="Arial" w:eastAsia="Arial" w:hAnsi="Arial"/>
          <w:sz w:val="17"/>
          <w:szCs w:val="17"/>
          <w:color w:val="auto"/>
        </w:rPr>
      </w:pPr>
    </w:p>
    <w:p>
      <w:pPr>
        <w:ind w:left="460" w:right="820" w:firstLine="443"/>
        <w:spacing w:after="0" w:line="277" w:lineRule="auto"/>
        <w:tabs>
          <w:tab w:leader="none" w:pos="107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or PIK, Interest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have not collected any cash with respect to interest on PIK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years ended September 30, 2018,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Investment income for the year ended September 30, 2018 was $72.2 million and was attributable to $65.5 million from first lien secured debt, $6.7 million from second lien secured debt, subordinated debt and preferred equity. The increase in investment income over the prior year was primarily due to the growth of our portfolio.</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Investment income for the year ended September 30, 2017 was $59.5 million (including $4.6 million from a litigation settlement related to a former portfolio company of MCG, which is not expected to be recurring) and was attributable to $50.0 million from first lien secured debt, $4.9 million from second lien secured debt and subordinated debt. The increase in investment income over the prior year was primarily due to the growth of our portfolio.</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Investment income for the year ended September 30, 2016 was $46.3 million (including $3.3 million from a litigation settlement related to a former portfolio company of MCG, which is not expected to be recurring) and was attributable to $33.1 million from first lien secured debt, $9.9 million from second lien secured debt and subordinated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Expenses for the year ended September 30, 2018 totaled $41.2 million. Base management fee for the same period totaled $8.4 million, incentive fee totaled $2.4 million (including $(0.1) million on realized gains and $(1.0) million on net unrealized gains accrued but not payable), debt related interest and expenses totaled $25.2 million (including $10.9 million in Credit Facility amendment and debt issuance costs on the 2023 Notes), general and administrative expenses totaled $4.4 million and provision for taxes totaled $0.8 million. The increase in expenses compared to the prior year was primarily due to the expenses incurred in connection with the Credit Facility amendment and debt issuance costs on the 2023 Notes in the current year.</w:t>
      </w:r>
    </w:p>
    <w:p>
      <w:pPr>
        <w:spacing w:after="0" w:line="158"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Expenses for the year ended September 30, 2017 totaled $26.1 million. Base management fee for the same period totaled $6.9 million, incentive fee totaled $6.2 million (including $0.1 million on realized gains and $1.2 million on net unrealized gains accrued but not payable), Credit Facility expenses totaled $8.5 million (including $0.1 million of Credit Facility amendment expenses), general and administrative expenses totaled $4.2 million and provision for taxes totaled $0.3 million. The increase in expenses over the prior year was primarily due to increases in base management and incentive fees as a result from the growth of our portfolio.</w:t>
      </w:r>
    </w:p>
    <w:p>
      <w:pPr>
        <w:spacing w:after="0" w:line="188"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Expenses for the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Net investment income totaled $31.0 million or $0.81 per share, $33.4 million or $1.10 per share and $27.3 million or $1.02 per share, for the years ended September 30, 2018, 2017 and 2016, respectively. The decrease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investment income compared to the prior year was primarily due to the expenses incurred in connection with the Credit Facility amendment and debt issuance costs on the 2023 Notes in the current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Sales and repayments of investments for the years ended September 30, 2018, 2017 and 2016 totaled $391.4 million, $406.5 million and $164.2 million, respectively. Net realized (losses) gains totaled $(2.3) million, $5.4 million and $(1.4) million for the same periods, respectively. The change in realized gains/losses was primarily due to changes in the market conditions of our investments and the values at which they were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the Credit Facility and the 2023 Notes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For the years ended September 30, 2018, 2017 and 2016, we reported net change in unrealized (depreciation) appreciation on investments of $(2.9) million, $1.1 million and $7.0 million, respectively. As of September 30, 2018 and 2017, our net unrealized (depreciation) appreciation on investments totaled $(0.9) million and $2.0 million, respectively. The net change in unrealized appreciation/depreciation on our investments for the year ended September 30, 2018 compared to the prior year was primarily due to changes in the capital market conditions, the financial performance of certain portfolio companies and the reversal of unrealized appreciation/depreciation on investments that were realized.</w:t>
      </w:r>
    </w:p>
    <w:p>
      <w:pPr>
        <w:spacing w:after="0" w:line="17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the year ended September 30, 2018, our Credit Facility and the 2023 Notes had a net change in unrealized depreciation of $7.8 million. For the years ended September 30, 2017 and 2016, our Credit Facility had a net change in unrealized (appreciation) depreciation of $(3.6) million and $0.5 million. As of September 30, 2018 and 2017, our net unrealized depreciation (appreciation) on our Credit Facility and the 2023 Notes totaled $4.7 million and $(3.1) million, respectively. The net change in unrealized depreciation for the year ended September 30, 2018 compared to the prior year was primarily due to changes in the capital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Net change in net assets resulting from operations totaled $33.5 million or $0.87 per share, $36.3 million or $1.20 per share and $33.5 million or $1.25 per share, for the years ended September 30, 2018, 2017 and 2016, respectively. The decrease in net assets from operations for year ended September 30, 2018 compared to the prior year was primarily due to the expenses incurred in connection with the Credit Facility amendment and debt issuance costs on the 2023 Notes, partially offset by an increase in investment income due to the growth of our portfolio.</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2018, in accordance with the 1940 Act, with certain limited exceptions, we are only allowed to borrow amounts such that we are in compliance with a 200% asset coverage ratio requirement after such borrowing.</w:t>
      </w:r>
    </w:p>
    <w:p>
      <w:pPr>
        <w:spacing w:after="0" w:line="193"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disclosure requirements. As of September 30, 2018 and 2017, our asset coverage ratio, as computed in accordance with the 1940 Act, was 215% and 278%, respectively.</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September 30, 2018, Funding I’s multi-currency Credit Facility with the Lenders was $405 million, subject to satisfaction of certain conditions and the regulatory restrictions that the 1940 Act imposes on us as a BDC, had an interest rate spread above LIBOR of 200 basis points, a maturity date of November 2022 and a revolving period ending in November 2020. As of September 30, 2018 and 2017, Funding I had $333.7 million and $253.8 million of outstanding borrowings under the Credit Facility, respectively. The Credit Facility had a weighted average interest rate of 4.13% and 3.18%, exclusive of the fee on undrawn commitments as of September 30, 2018 and 2017, respectively.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of 0.375% on the Credit Facility, amendment costs and debt issuance costs was 7.12%, 3.14% and 4.16%, respectively (excluding amendment and debt issuance costs, amounts are 4.05%, 3.10% and 3.51%). As of September 30, 2018 and 2017, we had $71.3 million and $121.2 million of unused borrowing capacity under our Credit Facility, respectively, subject to the regulatory restrictions.</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On October 30, 2018, we entered into an amendment to our Credit Facility to, among other things, (i) extend the reinvestment period to October 30, 2021, (ii) extend the maturity date to October 30, 2023 and (iii) reduce the asset coverage covenant from 200% to 150%. The interest rate of LIBOR plus 200 basis points remains unchanged. On November 8, 2018, we increased the size of the Credit Facility from $405 million to $520 million.</w:t>
      </w:r>
    </w:p>
    <w:p>
      <w:pPr>
        <w:spacing w:after="0" w:line="16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$30 million in equity and must maintain an interest coverage ratio of at least 125%. The Credit Facility compliance reporting is prepared on a basis of accounting other than GAAP. As of September 30, 2018, we were in compliance with the covenants relating to our Credit Facility.</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Our Investment Adviser serves as collateral manager to Funding I under the Credit Facility.</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November 2017, we issued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2018, 2017 and 2016, we issued 6.3 million, 5.8 million and zero shares, respectively. As a result, we raised approximately $88.0 million, $80.5 million and zero in net proceeds from issuances of our equity capital, respectively.</w:t>
      </w:r>
    </w:p>
    <w:p>
      <w:pPr>
        <w:spacing w:after="0" w:line="178"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On September 30, 2018 and 2017, we had cash equivalents of $72.2 million and $18.9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operating activities used cash of $208.3 million for the year ended September 30, 2018, and our financing activities provided cash of $263.6 million for the same period. Our operating activities used cash primarily for our investment activities and our financing activities provided cash primarily from a follow-on equity offering and the issuance of the 2023 Notes.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operating activities used cash of $76.7 million for the year ended September 30, 2017, and our financing activities provided cash of $67.1 million for the same period. Our operating activities used cash primarily for our investment activities and our financing activities provided cash primarily from a follow-on equity offering and net borrowings under the Credit Facility.</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limited liability company. As of September 30, 2018, PSSL had total assets of $443.4 million. As of the same date, we and Kemper had remaining commitments to fund first lien secured debt and equity interests in PSSL in an aggregate amount of $45.0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capital to PSSL in the form of first lien secured debt and equity interests. As of September 30, 2018, we and Kemper owned 87.5%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 respectively, of each of the outstanding first lien secured debt and equity interests. As of the same date, our investment in PSSL consisted of first lien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secured debt of $101.1 million and equity interests of $43.3 million. As of the same date, we had commitments to fund first lien secured debt to PSSL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$128.6 million, of which $27.5 million was unfunded. As of September 30, 2018, we had commitments to fund equity interests in PSSL of $55.1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$11.8 million was unfunded.</w:t>
      </w:r>
    </w:p>
    <w:p>
      <w:pPr>
        <w:spacing w:after="0" w:line="2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00" w:firstLine="8"/>
        <w:spacing w:after="0" w:line="261"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Additionally, PSSL has entered into a senior secured revolving credit facility, or the PSSL Credit Facility, with Capital One, N.A. through its wholly-owned subsidiary PennantPark Senior Secured Loan Facility LLC, or PSSL Subsidiary, which as of September 30, 2018 allowed PSSL Subsidiary to borrow up to $420 million at any one time outstanding, subject to leverage and borrowing base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6"/>
              </w:rPr>
              <w:t>September 30,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60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425,420,881</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99,994,314</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91"/>
              </w:rPr>
              <w:t>Weighted average cost yield on income producing investments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w w:val="97"/>
              </w:rPr>
              <w:t>21,152,781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8,080,000</w:t>
            </w:r>
          </w:p>
        </w:tc>
        <w:tc>
          <w:tcPr>
            <w:tcW w:w="2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7"/>
              </w:rPr>
              <w:t>95,941,790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34,935,330</w:t>
            </w:r>
          </w:p>
        </w:tc>
      </w:tr>
      <w:tr>
        <w:trPr>
          <w:trHeight w:val="365"/>
        </w:trPr>
        <w:tc>
          <w:tcPr>
            <w:tcW w:w="4600" w:type="dxa"/>
            <w:vAlign w:val="bottom"/>
          </w:tcPr>
          <w:p>
            <w:pPr>
              <w:spacing w:after="0"/>
              <w:rPr>
                <w:sz w:val="24"/>
                <w:szCs w:val="24"/>
                <w:color w:val="auto"/>
              </w:rPr>
            </w:pPr>
          </w:p>
        </w:tc>
        <w:tc>
          <w:tcPr>
            <w:tcW w:w="2120" w:type="dxa"/>
            <w:vAlign w:val="bottom"/>
          </w:tcPr>
          <w:p>
            <w:pPr>
              <w:jc w:val="right"/>
              <w:ind w:right="175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40" w:type="dxa"/>
            <w:vAlign w:val="bottom"/>
            <w:vMerge w:val="continue"/>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680" w:type="dxa"/>
            <w:vAlign w:val="bottom"/>
          </w:tcPr>
          <w:p>
            <w:pPr>
              <w:jc w:val="right"/>
              <w:ind w:right="322"/>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3"/>
              </w:rPr>
              <w:t xml:space="preserve">Fair Value </w:t>
            </w:r>
            <w:r>
              <w:rPr>
                <w:rFonts w:ascii="Arial" w:cs="Arial" w:eastAsia="Arial" w:hAnsi="Arial"/>
                <w:sz w:val="9"/>
                <w:szCs w:val="9"/>
                <w:b w:val="1"/>
                <w:bCs w:val="1"/>
                <w:color w:val="auto"/>
                <w:w w:val="83"/>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3"/>
              </w:rPr>
              <w:t>Investments in Non-Controlled, Non-Affiliated Portfolio Companies—830.9%</w:t>
            </w:r>
          </w:p>
        </w:tc>
        <w:tc>
          <w:tcPr>
            <w:tcW w:w="940" w:type="dxa"/>
            <w:vAlign w:val="bottom"/>
            <w:tcBorders>
              <w:top w:val="single" w:sz="8" w:color="auto"/>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Debt—830.9%</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5,424,261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5,370,876</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5,464,943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11/30/2021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Transportation: Consumer</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4,949,622</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4,910,720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4,875,378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Anvil International,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5,944,975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5,900,529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5,985,876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04/22/2024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19,950,000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19,710,688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19,750,500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Beauty Industry Group Opco,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04/06/2023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21,259,078</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21,057,494</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21,152,781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9.57%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10,761,235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10,538,732</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10,761,235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Cadence Aerospace,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11/14/2023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11,854,375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11,745,013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11,875,641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Cardenas Markets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7.99%</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7,424,433</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7,381,442</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7,424,433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Challenger Performance Optimization,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08/31/2023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7.85%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10,387,126</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10,284,272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10,283,255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4,348,465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4,348,465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4,218,011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08/02/2021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7.51%</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12,437,500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12,334,446</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12,437,500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Deva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19,949,749</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19,949,749</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19,949,749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Digital Room Holdings,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9,925,000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9,832,647</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9,813,344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03/29/2022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12,437,500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12,243,681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12,313,125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6.86%</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4,750,000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4,712,239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ENC Holding Corporation</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05/30/2025</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10,345,500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10,320,383</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10,319,636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05/31/2024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L+525</w:t>
            </w:r>
          </w:p>
        </w:tc>
        <w:tc>
          <w:tcPr>
            <w:tcW w:w="2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81"/>
              </w:rPr>
              <w:t>A$</w:t>
            </w: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10,000,000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7,348,975</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7,018,455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GCOM Software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11/14/2022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9.67%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14,666,667</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14,597,068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14,666,667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Good Source Solutions,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8.39%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14,871,563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14,724,626</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14,670,097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GSM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06/03/2024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15,461,250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15,313,430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15,383,940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06/27/2023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L+625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9,975,000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9,860,343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9,925,125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Infrastructure Supply Operations Pty Ltd.</w:t>
            </w:r>
            <w:r>
              <w:rPr>
                <w:rFonts w:ascii="Arial" w:cs="Arial" w:eastAsia="Arial" w:hAnsi="Arial"/>
                <w:sz w:val="9"/>
                <w:szCs w:val="9"/>
                <w:color w:val="auto"/>
              </w:rPr>
              <w:t>(3), (4)</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12/12/2023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w w:val="81"/>
              </w:rPr>
              <w:t>A$</w:t>
            </w: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15,000,000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10,941,545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10,810,400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08/19/2022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7.12%</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18,000,000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17,831,930</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17,820,000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8.12%</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7,265,625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7,319,871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7,002,246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Manna Pro Products,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12/08/2023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6,947,500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6,853,205</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6,894,684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01/27/2021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P+275</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w w:val="77"/>
              </w:rPr>
              <w:t>C$</w:t>
            </w: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5,820,254</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4,486,587</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4,502,752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Maytex Mills,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12/27/2023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6.71%</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8,761,452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8,721,691</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8,783,355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McAfee,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09/30/2024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7,425,000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7,359,161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7,482,024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4,005,973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3,986,058</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3,996,350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8.40%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17,355,538</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17,229,100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17,268,760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Milani Group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06/06/2024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6.37%</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15,000,000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14,856,552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14,925,000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Olde Thompson,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05/14/2024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6.66%</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13,965,000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13,825,350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13,965,000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Output Services Group,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03/27/2024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7,983,419</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8,015,803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8,023,336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4,687,495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4,687,495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4,054,683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Sonny’s Enterprises,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12/01/2022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15,379,790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15,382,892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15,379,790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10,516,049</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10,459,746</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10,410,888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UBEO,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04/03/2024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12,468,750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12,352,721</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12,468,750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Urology Management Associates,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08/30/2024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8,500,000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8,352,305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8,351,250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07/15/2024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9.14%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3,990,000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3,921,923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3,990,000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4,625,000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4,678,730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4,636,563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10/18/2022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11.25%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L+900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4,950,000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4,866,299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Xebec Global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02/12/2024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7.84%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6,749,730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6,721,428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6,665,359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3"/>
              </w:rPr>
              <w:t>425,336,210</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425,420,881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83"/>
              </w:rPr>
              <w:t>425,336,210</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425,420,881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Equivalents—26.4%</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12,510,098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12,510,098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Bank Cash</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1,010,029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1,010,662</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13,520,127</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13,520,760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Equivalents—857.3%</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3"/>
              </w:rPr>
              <w:t>438,856,337</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438,941,641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(387,744,237)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51,197,404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80" w:hanging="332"/>
        <w:spacing w:after="0" w:line="262" w:lineRule="auto"/>
        <w:tabs>
          <w:tab w:leader="none" w:pos="3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7" w:lineRule="exact"/>
        <w:rPr>
          <w:rFonts w:ascii="Arial" w:cs="Arial" w:eastAsia="Arial" w:hAnsi="Arial"/>
          <w:sz w:val="12"/>
          <w:szCs w:val="12"/>
          <w:color w:val="auto"/>
        </w:rPr>
      </w:pPr>
    </w:p>
    <w:p>
      <w:pPr>
        <w:ind w:left="340" w:hanging="332"/>
        <w:spacing w:after="0"/>
        <w:tabs>
          <w:tab w:leader="none" w:pos="3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w w:val="91"/>
              </w:rPr>
              <w:t>Basis Point</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spacing w:after="0"/>
              <w:rPr>
                <w:sz w:val="11"/>
                <w:szCs w:val="11"/>
                <w:color w:val="auto"/>
              </w:rPr>
            </w:pPr>
          </w:p>
        </w:tc>
        <w:tc>
          <w:tcPr>
            <w:tcW w:w="2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7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gridSpan w:val="2"/>
            <w:vMerge w:val="continue"/>
          </w:tcPr>
          <w:p>
            <w:pPr>
              <w:spacing w:after="0"/>
              <w:rPr>
                <w:sz w:val="12"/>
                <w:szCs w:val="12"/>
                <w:color w:val="auto"/>
              </w:rPr>
            </w:pPr>
          </w:p>
        </w:tc>
        <w:tc>
          <w:tcPr>
            <w:tcW w:w="102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20" w:type="dxa"/>
            <w:vAlign w:val="bottom"/>
            <w:vMerge w:val="continue"/>
          </w:tcPr>
          <w:p>
            <w:pPr>
              <w:spacing w:after="0"/>
              <w:rPr>
                <w:sz w:val="12"/>
                <w:szCs w:val="12"/>
                <w:color w:val="auto"/>
              </w:rPr>
            </w:pPr>
          </w:p>
        </w:tc>
        <w:tc>
          <w:tcPr>
            <w:tcW w:w="740" w:type="dxa"/>
            <w:vAlign w:val="bottom"/>
          </w:tcPr>
          <w:p>
            <w:pPr>
              <w:jc w:val="right"/>
              <w:ind w:right="142"/>
              <w:spacing w:after="0"/>
              <w:rPr>
                <w:sz w:val="20"/>
                <w:szCs w:val="20"/>
                <w:color w:val="auto"/>
              </w:rPr>
            </w:pPr>
            <w:r>
              <w:rPr>
                <w:rFonts w:ascii="Arial" w:cs="Arial" w:eastAsia="Arial" w:hAnsi="Arial"/>
                <w:sz w:val="12"/>
                <w:szCs w:val="12"/>
                <w:b w:val="1"/>
                <w:bCs w:val="1"/>
                <w:color w:val="auto"/>
              </w:rPr>
              <w:t>Coupon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00" w:type="dxa"/>
            <w:vAlign w:val="bottom"/>
          </w:tcPr>
          <w:p>
            <w:pPr>
              <w:jc w:val="right"/>
              <w:ind w:right="202"/>
              <w:spacing w:after="0"/>
              <w:rPr>
                <w:sz w:val="20"/>
                <w:szCs w:val="20"/>
                <w:color w:val="auto"/>
              </w:rPr>
            </w:pPr>
            <w:r>
              <w:rPr>
                <w:rFonts w:ascii="Arial" w:cs="Arial" w:eastAsia="Arial" w:hAnsi="Arial"/>
                <w:sz w:val="12"/>
                <w:szCs w:val="12"/>
                <w:b w:val="1"/>
                <w:bCs w:val="1"/>
                <w:color w:val="auto"/>
              </w:rPr>
              <w:t>Par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w w:val="96"/>
              </w:rPr>
              <w:t>Investments in Non-Controlled, Non-Affiliated Portfolio Companies—651.7%</w:t>
            </w:r>
          </w:p>
        </w:tc>
        <w:tc>
          <w:tcPr>
            <w:tcW w:w="1020" w:type="dxa"/>
            <w:vAlign w:val="bottom"/>
            <w:tcBorders>
              <w:top w:val="single" w:sz="8" w:color="auto"/>
            </w:tcBorders>
            <w:shd w:val="clear" w:color="auto" w:fill="CCEEFF"/>
          </w:tcPr>
          <w:p>
            <w:pPr>
              <w:spacing w:after="0"/>
              <w:rPr>
                <w:sz w:val="12"/>
                <w:szCs w:val="12"/>
                <w:color w:val="auto"/>
              </w:rPr>
            </w:pPr>
          </w:p>
        </w:tc>
        <w:tc>
          <w:tcPr>
            <w:tcW w:w="2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Debt—674.2%</w:t>
            </w:r>
          </w:p>
        </w:tc>
        <w:tc>
          <w:tcPr>
            <w:tcW w:w="10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5,664,954</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5,597,299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5,636,629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Anvil International,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4,950,000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5,025,000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04/22/2022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7.83%</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4,955,919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4,908,646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4,906,360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8.57%</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5,961,702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5,819,267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5,961,702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7,453,125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7,425,000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4,875,132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4,875,132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4,807,559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DigiCert Holdings, Inc.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10/31/2024</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7,960,000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12/09/2020</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5.55%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L+425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4,744,586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4,732,725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4,720,863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6.06%</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4,951,225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10/12/2021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E+800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4"/>
              </w:rPr>
              <w:t>€ 4,937,107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5,742,092</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5,836,653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12/30/2021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Wholesale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8.30%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4,984,962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4,970,404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4,984,963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7,453,125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7,521,186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7,468,628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6.33%</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4,075,442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4,050,930</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4,058,871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7.33%</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4,875,000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4,810,511</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4,801,875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10.52%</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L+918</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5,885,356</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6.24%</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4,843,745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4,843,745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4,843,745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Infosoft Group, LLC</w:t>
            </w:r>
          </w:p>
        </w:tc>
        <w:tc>
          <w:tcPr>
            <w:tcW w:w="102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2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6.58%</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5,530,997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5,530,997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5,530,997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102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20" w:type="dxa"/>
            <w:vAlign w:val="bottom"/>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4,875,000</w:t>
            </w: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4,942,263</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4,905,469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99,544,903</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96"/>
              </w:rPr>
              <w:t>99,994,314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99,544,903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99,994,314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Equivalents—15.5%</w:t>
            </w:r>
          </w:p>
        </w:tc>
        <w:tc>
          <w:tcPr>
            <w:tcW w:w="10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2,226,430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2,226,430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Bank Cash</w:t>
            </w:r>
          </w:p>
        </w:tc>
        <w:tc>
          <w:tcPr>
            <w:tcW w:w="10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144,739</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144,833</w:t>
            </w: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Equivalents—667.2%</w:t>
            </w:r>
          </w:p>
        </w:tc>
        <w:tc>
          <w:tcPr>
            <w:tcW w:w="10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101,916,072</w:t>
            </w:r>
          </w:p>
        </w:tc>
        <w:tc>
          <w:tcPr>
            <w:tcW w:w="1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102,365,577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2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91"/>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10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15,343,021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 (cost—$425,336,210 and $99,544,903,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425,420,881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99,994,314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Cash and cash equivalents (cost—$13,520,127 and $2,371,169,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13,520,760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2,371,263</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332,980</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2,784,477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443,396,171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103,829,586</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27,095,850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PSSL Credit Facility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275,285,900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26,783,885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115,500,000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34,400,000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payable on PSSL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1,065,306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97,531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notes to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12,107</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247,595</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97,192</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392,198,767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88,486,565</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Members’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51,197,404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15,343,021</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443,396,171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103,829,586</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spacing w:after="0"/>
        <w:tabs>
          <w:tab w:leader="none" w:pos="440" w:val="left"/>
        </w:tabs>
        <w:rPr>
          <w:sz w:val="20"/>
          <w:szCs w:val="20"/>
          <w:color w:val="auto"/>
        </w:rPr>
      </w:pPr>
      <w:r>
        <w:rPr>
          <w:rFonts w:ascii="Arial" w:cs="Arial" w:eastAsia="Arial" w:hAnsi="Arial"/>
          <w:sz w:val="1"/>
          <w:szCs w:val="1"/>
          <w:color w:val="auto"/>
        </w:rPr>
        <w:t>(1)</w:t>
      </w:r>
      <w:r>
        <w:rPr>
          <w:sz w:val="20"/>
          <w:szCs w:val="20"/>
          <w:color w:val="auto"/>
        </w:rPr>
        <w:tab/>
      </w:r>
      <w:r>
        <w:rPr>
          <w:rFonts w:ascii="Arial" w:cs="Arial" w:eastAsia="Arial" w:hAnsi="Arial"/>
          <w:sz w:val="1"/>
          <w:szCs w:val="1"/>
          <w:color w:val="auto"/>
        </w:rPr>
        <w:t>PSSL had no unfunded commitments as of September 30, 2018 and 2017.</w:t>
      </w:r>
    </w:p>
    <w:p>
      <w:pPr>
        <w:spacing w:after="0" w:line="353"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May 4, 2017 (inception)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6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through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17,744,486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18,024,566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1,365,433</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7,654,035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Interest expense on notes to members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6,060,468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692,736</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15,057,239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2,967,327</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on investments and credit facility foreign currency translations: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560" w:type="dxa"/>
            <w:vAlign w:val="bottom"/>
            <w:gridSpan w:val="3"/>
          </w:tcPr>
          <w:p>
            <w:pPr>
              <w:jc w:val="right"/>
              <w:ind w:right="740"/>
              <w:spacing w:after="0"/>
              <w:rPr>
                <w:sz w:val="20"/>
                <w:szCs w:val="20"/>
                <w:color w:val="auto"/>
              </w:rPr>
            </w:pPr>
            <w:r>
              <w:rPr>
                <w:rFonts w:ascii="Arial" w:cs="Arial" w:eastAsia="Arial" w:hAnsi="Arial"/>
                <w:sz w:val="18"/>
                <w:szCs w:val="18"/>
                <w:color w:val="auto"/>
              </w:rPr>
              <w:t>111,215</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1560" w:type="dxa"/>
            <w:vAlign w:val="bottom"/>
            <w:gridSpan w:val="3"/>
          </w:tcPr>
          <w:p>
            <w:pPr>
              <w:jc w:val="right"/>
              <w:ind w:right="680"/>
              <w:spacing w:after="0"/>
              <w:rPr>
                <w:sz w:val="20"/>
                <w:szCs w:val="20"/>
                <w:color w:val="auto"/>
              </w:rPr>
            </w:pPr>
            <w:r>
              <w:rPr>
                <w:rFonts w:ascii="Arial" w:cs="Arial" w:eastAsia="Arial" w:hAnsi="Arial"/>
                <w:sz w:val="18"/>
                <w:szCs w:val="18"/>
                <w:color w:val="auto"/>
              </w:rPr>
              <w:t>(364,201)</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449,505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foreign currency translations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882,899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18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Net change in unrealized (depreciation) appreciation on investments and credit facility</w:t>
            </w: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b w:val="1"/>
                <w:bCs w:val="1"/>
                <w:color w:val="auto"/>
              </w:rPr>
              <w:t>foreign currency translations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518,698</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Net realized and unrealized gain from investments and credit facility foreign currency translations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629,913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479,589</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3,597,240</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77"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Currently, no management or incentive fees are payable by PSSL. If any fees were to be charged, they would be separately disclosed in the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our significant contractual payment obligations at cost as of September 30, 2018, including borrowings under our Credit Facility,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 Notes and other contractual obligations,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Payments due by period (millions)</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460" w:type="dxa"/>
            <w:vAlign w:val="bottom"/>
          </w:tcPr>
          <w:p>
            <w:pPr>
              <w:spacing w:after="0"/>
              <w:rPr>
                <w:sz w:val="10"/>
                <w:szCs w:val="10"/>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8"/>
              </w:rPr>
              <w:t>3-5 years</w:t>
            </w: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4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$ 332.1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2023 Notes</w:t>
            </w:r>
          </w:p>
        </w:tc>
        <w:tc>
          <w:tcPr>
            <w:tcW w:w="2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debt outstanding </w:t>
            </w:r>
            <w:r>
              <w:rPr>
                <w:rFonts w:ascii="Arial" w:cs="Arial" w:eastAsia="Arial" w:hAnsi="Arial"/>
                <w:sz w:val="15"/>
                <w:szCs w:val="15"/>
                <w:color w:val="auto"/>
              </w:rPr>
              <w:t>(1)</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$ 372.8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Unfunded commitments to PSSL</w:t>
            </w:r>
          </w:p>
        </w:tc>
        <w:tc>
          <w:tcPr>
            <w:tcW w:w="3600" w:type="dxa"/>
            <w:vAlign w:val="bottom"/>
            <w:gridSpan w:val="3"/>
          </w:tcPr>
          <w:p>
            <w:pPr>
              <w:jc w:val="right"/>
              <w:ind w:right="4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(2)</w:t>
            </w:r>
          </w:p>
        </w:tc>
        <w:tc>
          <w:tcPr>
            <w:tcW w:w="3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0.1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6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586.4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7"/>
              </w:rPr>
              <w:t>0.1</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$ 421.8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40" w:type="dxa"/>
            <w:vAlign w:val="bottom"/>
            <w:vMerge w:val="restart"/>
          </w:tcPr>
          <w:p>
            <w:pPr>
              <w:jc w:val="right"/>
              <w:ind w:right="750"/>
              <w:spacing w:after="0"/>
              <w:rPr>
                <w:sz w:val="20"/>
                <w:szCs w:val="20"/>
                <w:color w:val="auto"/>
              </w:rPr>
            </w:pPr>
            <w:r>
              <w:rPr>
                <w:rFonts w:ascii="Arial" w:cs="Arial" w:eastAsia="Arial" w:hAnsi="Arial"/>
                <w:sz w:val="18"/>
                <w:szCs w:val="18"/>
                <w:color w:val="auto"/>
              </w:rPr>
              <w:t>63</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80" w:hanging="452"/>
        <w:spacing w:after="0" w:line="258"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The annualized weighted average cost of debt as of September 30, 2018, excluding amendment costs and debt issuance costs, was 4.25% exclusive of the fee on the undrawn commitment on the Credit Facility.</w:t>
      </w:r>
    </w:p>
    <w:p>
      <w:pPr>
        <w:spacing w:after="0" w:line="1" w:lineRule="exact"/>
        <w:rPr>
          <w:rFonts w:ascii="Arial" w:cs="Arial" w:eastAsia="Arial" w:hAnsi="Arial"/>
          <w:sz w:val="15"/>
          <w:szCs w:val="15"/>
          <w:color w:val="auto"/>
        </w:rPr>
      </w:pPr>
    </w:p>
    <w:p>
      <w:pPr>
        <w:ind w:left="460" w:right="840" w:hanging="452"/>
        <w:spacing w:after="0" w:line="261"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Unfunded debt and equity investments are disclosed in the Consolidated Schedule of Investments and Note 12 of our Consolidated Financial Statements.</w:t>
      </w:r>
    </w:p>
    <w:p>
      <w:pPr>
        <w:spacing w:after="0" w:line="18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other than our funding requirements for the unfunded investments described above.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During the years ended September 30, 2018, 2017 and 2016, we declared distributions of $1.14, $1.14 and $1.14 per share, respectively, for total distributions of $43.6 million, $34.8 million and $30.5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On November 22, 2017, we terminated our dividend reinvestment plan. The termination of the plan applies to the reinvestment of cash distributions paid on or after December 22, 2017.</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October 30, 2018, we entered into an amendment to our Credit Facility to, among other things, (i) extend the reinvestment period to October 30, 2021, (ii) extend the maturity date to October 30, 2023 and (iii) reduce the asset coverage covenant from 200% to 150%. The interest rate of LIBOR plus 200 basis points remains unchanged. On November 8, 2018, we increased the size of the Credit Facility from $405 million to $520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are subject to financial market risks, including changes in interest rates. As of September 30, 2018, our debt portfolio consisted of 100%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any such floor. In contrast, our cost of funds, to the extent it is not fixed, will fluctuate with changes in interest rates since it has no floor.</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300" w:type="dxa"/>
            <w:vAlign w:val="bottom"/>
            <w:gridSpan w:val="4"/>
          </w:tcPr>
          <w:p>
            <w:pPr>
              <w:jc w:val="center"/>
              <w:ind w:left="2814"/>
              <w:spacing w:after="0"/>
              <w:rPr>
                <w:sz w:val="20"/>
                <w:szCs w:val="20"/>
                <w:color w:val="auto"/>
              </w:rPr>
            </w:pPr>
            <w:r>
              <w:rPr>
                <w:rFonts w:ascii="Arial" w:cs="Arial" w:eastAsia="Arial" w:hAnsi="Arial"/>
                <w:sz w:val="14"/>
                <w:szCs w:val="14"/>
                <w:b w:val="1"/>
                <w:bCs w:val="1"/>
                <w:color w:val="auto"/>
                <w:w w:val="94"/>
              </w:rPr>
              <w:t>Change In Interest</w:t>
            </w:r>
          </w:p>
        </w:tc>
        <w:tc>
          <w:tcPr>
            <w:tcW w:w="1840" w:type="dxa"/>
            <w:vAlign w:val="bottom"/>
            <w:gridSpan w:val="4"/>
          </w:tcPr>
          <w:p>
            <w:pPr>
              <w:ind w:left="560"/>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540" w:type="dxa"/>
            <w:vAlign w:val="bottom"/>
          </w:tcPr>
          <w:p>
            <w:pPr>
              <w:spacing w:after="0"/>
              <w:rPr>
                <w:sz w:val="12"/>
                <w:szCs w:val="12"/>
                <w:color w:val="auto"/>
              </w:rPr>
            </w:pPr>
          </w:p>
        </w:tc>
        <w:tc>
          <w:tcPr>
            <w:tcW w:w="17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56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Interest Expense</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3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3"/>
        </w:trPr>
        <w:tc>
          <w:tcPr>
            <w:tcW w:w="15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Down 1%</w:t>
            </w:r>
          </w:p>
        </w:tc>
        <w:tc>
          <w:tcPr>
            <w:tcW w:w="3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(6,033)</w:t>
            </w: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1%</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6,033</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2%</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3%</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18,253</w:t>
            </w:r>
          </w:p>
        </w:tc>
        <w:tc>
          <w:tcPr>
            <w:tcW w:w="600" w:type="dxa"/>
            <w:vAlign w:val="bottom"/>
          </w:tcPr>
          <w:p>
            <w:pPr>
              <w:spacing w:after="0"/>
              <w:rPr>
                <w:sz w:val="18"/>
                <w:szCs w:val="18"/>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4%</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24,465</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Information about our senior securities shown in the following table as of September 30,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 Amount</w:t>
            </w:r>
          </w:p>
        </w:tc>
        <w:tc>
          <w:tcPr>
            <w:tcW w:w="140" w:type="dxa"/>
            <w:vAlign w:val="bottom"/>
          </w:tcPr>
          <w:p>
            <w:pPr>
              <w:spacing w:after="0"/>
              <w:rPr>
                <w:sz w:val="14"/>
                <w:szCs w:val="14"/>
                <w:color w:val="auto"/>
              </w:rPr>
            </w:pPr>
          </w:p>
        </w:tc>
        <w:tc>
          <w:tcPr>
            <w:tcW w:w="12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Asset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30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Coverage</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30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6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12"/>
                <w:szCs w:val="12"/>
                <w:b w:val="1"/>
                <w:bCs w:val="1"/>
                <w:color w:val="auto"/>
              </w:rPr>
              <w:t>(1)</w:t>
            </w:r>
          </w:p>
        </w:tc>
        <w:tc>
          <w:tcPr>
            <w:tcW w:w="1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(2)</w:t>
            </w: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b w:val="1"/>
                <w:bCs w:val="1"/>
                <w:color w:val="auto"/>
              </w:rPr>
              <w:t>Per Unit</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0"/>
        </w:trPr>
        <w:tc>
          <w:tcPr>
            <w:tcW w:w="4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2023 Notes</w:t>
            </w:r>
          </w:p>
        </w:tc>
        <w:tc>
          <w:tcPr>
            <w:tcW w:w="16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472,307</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2,146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2,783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232,908</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2,618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29,600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0"/>
              </w:rPr>
              <w:t>13,598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146,400</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2,460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99,600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3,109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84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75,500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40"/>
              <w:spacing w:after="0"/>
              <w:rPr>
                <w:sz w:val="20"/>
                <w:szCs w:val="20"/>
                <w:color w:val="auto"/>
              </w:rPr>
            </w:pPr>
            <w:r>
              <w:rPr>
                <w:rFonts w:ascii="Arial" w:cs="Arial" w:eastAsia="Arial" w:hAnsi="Arial"/>
                <w:sz w:val="18"/>
                <w:szCs w:val="18"/>
                <w:color w:val="auto"/>
              </w:rPr>
              <w:t>2,275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18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24,650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4,735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00" w:hanging="452"/>
        <w:spacing w:after="0" w:line="25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 As of September 30, 2018, 2017, 2016, 2015, 2014, 2013, 2012 and 2011, the fair value of our senior securities outstanding presented in thousands (000s) was $467,632, $256,858, $232,389, $29,600, $146,949, $99,600, $75,123 and $24,650, respectively.</w:t>
      </w:r>
    </w:p>
    <w:p>
      <w:pPr>
        <w:ind w:left="460" w:right="3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2016. On December 6, 2018, the last reported closing price of our common stock on the NASDAQ Global Select Market was $12.63 per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9"/>
              </w:rPr>
              <w:t>Closing Sales Price</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Premium / (Discount)</w:t>
            </w:r>
          </w:p>
        </w:tc>
        <w:tc>
          <w:tcPr>
            <w:tcW w:w="20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Premium / (Discount)</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68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7"/>
              </w:rPr>
              <w:t>on NASDAQ</w:t>
            </w:r>
          </w:p>
        </w:tc>
        <w:tc>
          <w:tcPr>
            <w:tcW w:w="2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 High Sales</w:t>
            </w:r>
          </w:p>
        </w:tc>
        <w:tc>
          <w:tcPr>
            <w:tcW w:w="20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of Low Sales</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06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10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Low</w:t>
            </w:r>
          </w:p>
        </w:tc>
        <w:tc>
          <w:tcPr>
            <w:tcW w:w="540" w:type="dxa"/>
            <w:vAlign w:val="bottom"/>
          </w:tcPr>
          <w:p>
            <w:pPr>
              <w:spacing w:after="0"/>
              <w:rPr>
                <w:sz w:val="12"/>
                <w:szCs w:val="12"/>
                <w:color w:val="auto"/>
              </w:rPr>
            </w:pPr>
          </w:p>
        </w:tc>
        <w:tc>
          <w:tcPr>
            <w:tcW w:w="204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0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120" w:type="dxa"/>
            <w:vAlign w:val="bottom"/>
          </w:tcPr>
          <w:p>
            <w:pPr>
              <w:spacing w:after="0"/>
              <w:rPr>
                <w:sz w:val="12"/>
                <w:szCs w:val="12"/>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w:t>
            </w:r>
          </w:p>
        </w:tc>
        <w:tc>
          <w:tcPr>
            <w:tcW w:w="5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2019</w:t>
            </w: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First quarter (through December 6,</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2018)</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 N/A</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$13.34</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$ 12.61</w:t>
            </w: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202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0.285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13.82</w:t>
            </w:r>
          </w:p>
        </w:tc>
        <w:tc>
          <w:tcPr>
            <w:tcW w:w="5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13.83</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13.15</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0</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13.08</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5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13.85</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12.19</w:t>
            </w:r>
          </w:p>
        </w:tc>
        <w:tc>
          <w:tcPr>
            <w:tcW w:w="204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14.61</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13.72</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14.48</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13.96</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14.05</w:t>
            </w:r>
          </w:p>
        </w:tc>
        <w:tc>
          <w:tcPr>
            <w:tcW w:w="56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14.25</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13.61</w:t>
            </w:r>
          </w:p>
        </w:tc>
        <w:tc>
          <w:tcPr>
            <w:tcW w:w="20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14.17</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13.42</w:t>
            </w:r>
          </w:p>
        </w:tc>
        <w:tc>
          <w:tcPr>
            <w:tcW w:w="2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2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14.11</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14.17</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12.44</w:t>
            </w:r>
          </w:p>
        </w:tc>
        <w:tc>
          <w:tcPr>
            <w:tcW w:w="20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5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dividend of $0.095 per share payable on January 2, 2019 to stockholders of record as of December 19, 2018.</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Shares of BDCs may trade at a market price both above and below the NAV that is attributable to those shares. Our shares have traded above and below our NAV. Our shares closed on the NASDAQ Global Select Market at $13.15 and $14.48 on September 30, 2018 and 2017, respectively. Our NAV per share was $13.82 and $14.10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November 30, 2018 we had 42 stockholders of record.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2" w:lineRule="exact"/>
        <w:rPr>
          <w:sz w:val="20"/>
          <w:szCs w:val="20"/>
          <w:color w:val="auto"/>
        </w:rPr>
      </w:pPr>
    </w:p>
    <w:p>
      <w:pPr>
        <w:ind w:left="900" w:right="3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6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5620" w:right="5540" w:hanging="5045"/>
        <w:spacing w:after="0" w:line="536" w:lineRule="auto"/>
        <w:tabs>
          <w:tab w:leader="none" w:pos="8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8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1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9.47</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9.00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1,100,000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(20.00)%</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95,000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4100" w:type="dxa"/>
            <w:vAlign w:val="bottom"/>
          </w:tcPr>
          <w:p>
            <w:pPr>
              <w:ind w:left="340"/>
              <w:spacing w:after="0"/>
              <w:rPr>
                <w:sz w:val="20"/>
                <w:szCs w:val="20"/>
                <w:color w:val="auto"/>
              </w:rPr>
            </w:pPr>
            <w:r>
              <w:rPr>
                <w:rFonts w:ascii="Arial" w:cs="Arial" w:eastAsia="Arial" w:hAnsi="Arial"/>
                <w:sz w:val="16"/>
                <w:szCs w:val="16"/>
                <w:color w:val="auto"/>
              </w:rPr>
              <w:t>Total investment by stockholder A (assumed to be</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tcPr>
          <w:p>
            <w:pPr>
              <w:ind w:left="500"/>
              <w:spacing w:after="0"/>
              <w:rPr>
                <w:sz w:val="20"/>
                <w:szCs w:val="20"/>
                <w:color w:val="auto"/>
              </w:rPr>
            </w:pPr>
            <w:r>
              <w:rPr>
                <w:rFonts w:ascii="Arial" w:cs="Arial" w:eastAsia="Arial" w:hAnsi="Arial"/>
                <w:sz w:val="16"/>
                <w:szCs w:val="16"/>
                <w:color w:val="auto"/>
              </w:rPr>
              <w:t>$10.00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 to stockholder A (total NAV less total</w:t>
            </w:r>
          </w:p>
        </w:tc>
        <w:tc>
          <w:tcPr>
            <w:tcW w:w="10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w:t>
            </w: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9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ind w:right="161"/>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2"/>
              </w:rPr>
              <w:t>Example 1</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5"/>
              </w:rPr>
              <w:t>Example 2</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5% Offering</w:t>
            </w:r>
          </w:p>
        </w:tc>
        <w:tc>
          <w:tcPr>
            <w:tcW w:w="140" w:type="dxa"/>
            <w:vAlign w:val="bottom"/>
          </w:tcPr>
          <w:p>
            <w:pPr>
              <w:spacing w:after="0"/>
              <w:rPr>
                <w:sz w:val="12"/>
                <w:szCs w:val="12"/>
                <w:color w:val="auto"/>
              </w:rPr>
            </w:pPr>
          </w:p>
        </w:tc>
        <w:tc>
          <w:tcPr>
            <w:tcW w:w="1980" w:type="dxa"/>
            <w:vAlign w:val="bottom"/>
            <w:gridSpan w:val="4"/>
          </w:tcPr>
          <w:p>
            <w:pPr>
              <w:jc w:val="center"/>
              <w:ind w:right="72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20" w:type="dxa"/>
            <w:vAlign w:val="bottom"/>
          </w:tcPr>
          <w:p>
            <w:pPr>
              <w:spacing w:after="0"/>
              <w:rPr>
                <w:sz w:val="12"/>
                <w:szCs w:val="12"/>
                <w:color w:val="auto"/>
              </w:rPr>
            </w:pPr>
          </w:p>
        </w:tc>
        <w:tc>
          <w:tcPr>
            <w:tcW w:w="16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20" w:type="dxa"/>
            <w:vAlign w:val="bottom"/>
          </w:tcPr>
          <w:p>
            <w:pPr>
              <w:spacing w:after="0"/>
              <w:rPr>
                <w:sz w:val="14"/>
                <w:szCs w:val="14"/>
                <w:color w:val="auto"/>
              </w:rPr>
            </w:pPr>
          </w:p>
        </w:tc>
        <w:tc>
          <w:tcPr>
            <w:tcW w:w="198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5"/>
              </w:rPr>
              <w:t>at 5% Discount</w:t>
            </w:r>
          </w:p>
        </w:tc>
        <w:tc>
          <w:tcPr>
            <w:tcW w:w="140" w:type="dxa"/>
            <w:vAlign w:val="bottom"/>
          </w:tcPr>
          <w:p>
            <w:pPr>
              <w:spacing w:after="0"/>
              <w:rPr>
                <w:sz w:val="14"/>
                <w:szCs w:val="14"/>
                <w:color w:val="auto"/>
              </w:rPr>
            </w:pPr>
          </w:p>
        </w:tc>
        <w:tc>
          <w:tcPr>
            <w:tcW w:w="19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4"/>
              </w:rPr>
              <w:t>at 10% Discount</w:t>
            </w:r>
          </w:p>
        </w:tc>
        <w:tc>
          <w:tcPr>
            <w:tcW w:w="120" w:type="dxa"/>
            <w:vAlign w:val="bottom"/>
          </w:tcPr>
          <w:p>
            <w:pPr>
              <w:spacing w:after="0"/>
              <w:rPr>
                <w:sz w:val="14"/>
                <w:szCs w:val="14"/>
                <w:color w:val="auto"/>
              </w:rPr>
            </w:pPr>
          </w:p>
        </w:tc>
        <w:tc>
          <w:tcPr>
            <w:tcW w:w="16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4"/>
                <w:szCs w:val="14"/>
                <w:color w:val="auto"/>
              </w:rPr>
            </w:pPr>
          </w:p>
        </w:tc>
        <w:tc>
          <w:tcPr>
            <w:tcW w:w="9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Sale</w:t>
            </w: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4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96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per share held by stockholder A (assumed</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 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center"/>
              <w:ind w:left="94"/>
              <w:spacing w:after="0"/>
              <w:rPr>
                <w:sz w:val="20"/>
                <w:szCs w:val="20"/>
                <w:color w:val="auto"/>
              </w:rPr>
            </w:pPr>
            <w:r>
              <w:rPr>
                <w:rFonts w:ascii="Arial" w:cs="Arial" w:eastAsia="Arial" w:hAnsi="Arial"/>
                <w:sz w:val="16"/>
                <w:szCs w:val="16"/>
                <w:color w:val="auto"/>
                <w:w w:val="89"/>
              </w:rPr>
              <w:t>10.00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6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10.00</w:t>
            </w: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40" w:type="dxa"/>
            <w:vAlign w:val="bottom"/>
          </w:tcPr>
          <w:p>
            <w:pPr>
              <w:ind w:left="340"/>
              <w:spacing w:after="0"/>
              <w:rPr>
                <w:sz w:val="20"/>
                <w:szCs w:val="20"/>
                <w:color w:val="auto"/>
              </w:rPr>
            </w:pPr>
            <w:r>
              <w:rPr>
                <w:rFonts w:ascii="Arial" w:cs="Arial" w:eastAsia="Arial" w:hAnsi="Arial"/>
                <w:sz w:val="16"/>
                <w:szCs w:val="16"/>
                <w:color w:val="auto"/>
              </w:rPr>
              <w:t>Dilution per share held by stockholder A (NAV per</w:t>
            </w:r>
          </w:p>
        </w:tc>
        <w:tc>
          <w:tcPr>
            <w:tcW w:w="2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500"/>
              <w:spacing w:after="0"/>
              <w:rPr>
                <w:sz w:val="20"/>
                <w:szCs w:val="20"/>
                <w:color w:val="auto"/>
              </w:rPr>
            </w:pPr>
            <w:r>
              <w:rPr>
                <w:rFonts w:ascii="Arial" w:cs="Arial" w:eastAsia="Arial" w:hAnsi="Arial"/>
                <w:sz w:val="16"/>
                <w:szCs w:val="16"/>
                <w:color w:val="auto"/>
              </w:rPr>
              <w:t>share less investment per share)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(0.02)</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6"/>
                <w:szCs w:val="16"/>
                <w:color w:val="auto"/>
              </w:rPr>
              <w:t>(0.09)</w:t>
            </w: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(0.50)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Percentage dilution to stockholder A (dilution per</w:t>
            </w:r>
          </w:p>
        </w:tc>
        <w:tc>
          <w:tcPr>
            <w:tcW w:w="2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 divided by investment per share)</w:t>
            </w: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(0.90)%</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w:t>
      </w:r>
    </w:p>
    <w:p>
      <w:pPr>
        <w:ind w:right="180" w:firstLine="8"/>
        <w:spacing w:after="0" w:line="255" w:lineRule="auto"/>
        <w:tabs>
          <w:tab w:leader="none" w:pos="2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1,250,000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NAV per share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13,750</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130,625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640" w:type="dxa"/>
            <w:vAlign w:val="bottom"/>
          </w:tcPr>
          <w:p>
            <w:pPr>
              <w:spacing w:after="0"/>
              <w:rPr>
                <w:sz w:val="20"/>
                <w:szCs w:val="20"/>
                <w:color w:val="auto"/>
              </w:rPr>
            </w:pPr>
            <w:r>
              <w:rPr>
                <w:rFonts w:ascii="Arial" w:cs="Arial" w:eastAsia="Arial" w:hAnsi="Arial"/>
                <w:sz w:val="16"/>
                <w:szCs w:val="16"/>
                <w:color w:val="auto"/>
                <w:w w:val="95"/>
              </w:rPr>
              <w:t>Total investment by stockholder A (assumed to be $10.00 per share on shares held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180"/>
              <w:spacing w:after="0"/>
              <w:rPr>
                <w:sz w:val="20"/>
                <w:szCs w:val="20"/>
                <w:color w:val="auto"/>
              </w:rPr>
            </w:pPr>
            <w:r>
              <w:rPr>
                <w:rFonts w:ascii="Arial" w:cs="Arial" w:eastAsia="Arial" w:hAnsi="Arial"/>
                <w:sz w:val="16"/>
                <w:szCs w:val="16"/>
                <w:color w:val="auto"/>
              </w:rPr>
              <w:t>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5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129,588</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1,037</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Investment per share held by stockholder A (assumed to be $10.00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40" w:type="dxa"/>
            <w:vAlign w:val="bottom"/>
          </w:tcPr>
          <w:p>
            <w:pPr>
              <w:ind w:left="500"/>
              <w:spacing w:after="0"/>
              <w:rPr>
                <w:sz w:val="20"/>
                <w:szCs w:val="20"/>
                <w:color w:val="auto"/>
              </w:rPr>
            </w:pPr>
            <w:r>
              <w:rPr>
                <w:rFonts w:ascii="Arial" w:cs="Arial" w:eastAsia="Arial" w:hAnsi="Arial"/>
                <w:sz w:val="16"/>
                <w:szCs w:val="16"/>
                <w:color w:val="auto"/>
              </w:rPr>
              <w:t>on shares held prior to sale)</w:t>
            </w:r>
          </w:p>
        </w:tc>
        <w:tc>
          <w:tcPr>
            <w:tcW w:w="3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5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9.42</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0.08</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640" w:type="dxa"/>
            <w:vAlign w:val="bottom"/>
          </w:tcPr>
          <w:p>
            <w:pPr>
              <w:ind w:left="340"/>
              <w:spacing w:after="0"/>
              <w:rPr>
                <w:sz w:val="20"/>
                <w:szCs w:val="20"/>
                <w:color w:val="auto"/>
              </w:rPr>
            </w:pPr>
            <w:r>
              <w:rPr>
                <w:rFonts w:ascii="Arial" w:cs="Arial" w:eastAsia="Arial" w:hAnsi="Arial"/>
                <w:sz w:val="16"/>
                <w:szCs w:val="16"/>
                <w:color w:val="auto"/>
                <w:w w:val="96"/>
              </w:rPr>
              <w:t>Percentage (dilution)/accretion to stockholder A ((dilution)/accretion per share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640" w:type="dxa"/>
            <w:vAlign w:val="bottom"/>
          </w:tcPr>
          <w:p>
            <w:pPr>
              <w:ind w:left="500"/>
              <w:spacing w:after="0"/>
              <w:rPr>
                <w:sz w:val="20"/>
                <w:szCs w:val="20"/>
                <w:color w:val="auto"/>
              </w:rPr>
            </w:pPr>
            <w:r>
              <w:rPr>
                <w:rFonts w:ascii="Arial" w:cs="Arial" w:eastAsia="Arial" w:hAnsi="Arial"/>
                <w:sz w:val="16"/>
                <w:szCs w:val="16"/>
                <w:color w:val="auto"/>
              </w:rPr>
              <w:t>divided by investment 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321"/>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at 5% Discount</w:t>
            </w:r>
          </w:p>
        </w:tc>
        <w:tc>
          <w:tcPr>
            <w:tcW w:w="80" w:type="dxa"/>
            <w:vAlign w:val="bottom"/>
          </w:tcPr>
          <w:p>
            <w:pPr>
              <w:spacing w:after="0"/>
              <w:rPr>
                <w:sz w:val="14"/>
                <w:szCs w:val="14"/>
                <w:color w:val="auto"/>
              </w:rPr>
            </w:pPr>
          </w:p>
        </w:tc>
        <w:tc>
          <w:tcPr>
            <w:tcW w:w="20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9.00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1,050,000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5.00%</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7"/>
              </w:rPr>
              <w:t>1,100,000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NAV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(0.90)%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2,500</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0.05%</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0.20%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NAV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4,990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23,750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Total investment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5,000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9,470</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19,725</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(dilution)/accretion to stockholder A</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NAV less total investment)</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(10)</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440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4,025</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NAV per share held by stockholder A</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9.98</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9.91</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tcPr>
          <w:p>
            <w:pPr>
              <w:ind w:left="340"/>
              <w:spacing w:after="0"/>
              <w:rPr>
                <w:sz w:val="20"/>
                <w:szCs w:val="20"/>
                <w:color w:val="auto"/>
              </w:rPr>
            </w:pPr>
            <w:r>
              <w:rPr>
                <w:rFonts w:ascii="Arial" w:cs="Arial" w:eastAsia="Arial" w:hAnsi="Arial"/>
                <w:sz w:val="16"/>
                <w:szCs w:val="16"/>
                <w:color w:val="auto"/>
              </w:rPr>
              <w:t>Investment per share held by stockholder A</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10.00</w:t>
            </w:r>
          </w:p>
        </w:tc>
        <w:tc>
          <w:tcPr>
            <w:tcW w:w="106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520"/>
              <w:spacing w:after="0"/>
              <w:rPr>
                <w:sz w:val="20"/>
                <w:szCs w:val="20"/>
                <w:color w:val="auto"/>
              </w:rPr>
            </w:pPr>
            <w:r>
              <w:rPr>
                <w:rFonts w:ascii="Arial" w:cs="Arial" w:eastAsia="Arial" w:hAnsi="Arial"/>
                <w:sz w:val="16"/>
                <w:szCs w:val="16"/>
                <w:color w:val="auto"/>
              </w:rPr>
              <w:t>9.47</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7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(Dilution)/accretion per share held by</w:t>
            </w: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stockholder A (NAV per share less</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investment per share)</w:t>
            </w:r>
          </w:p>
        </w:tc>
        <w:tc>
          <w:tcPr>
            <w:tcW w:w="12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(0.02)</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0.44</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1.61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tcPr>
          <w:p>
            <w:pPr>
              <w:ind w:left="340"/>
              <w:spacing w:after="0"/>
              <w:rPr>
                <w:sz w:val="20"/>
                <w:szCs w:val="20"/>
                <w:color w:val="auto"/>
              </w:rPr>
            </w:pPr>
            <w:r>
              <w:rPr>
                <w:rFonts w:ascii="Arial" w:cs="Arial" w:eastAsia="Arial" w:hAnsi="Arial"/>
                <w:sz w:val="16"/>
                <w:szCs w:val="16"/>
                <w:color w:val="auto"/>
              </w:rPr>
              <w:t>Percentage (dilution)/accretion to</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500"/>
              <w:spacing w:after="0"/>
              <w:rPr>
                <w:sz w:val="20"/>
                <w:szCs w:val="20"/>
                <w:color w:val="auto"/>
              </w:rPr>
            </w:pPr>
            <w:r>
              <w:rPr>
                <w:rFonts w:ascii="Arial" w:cs="Arial" w:eastAsia="Arial" w:hAnsi="Arial"/>
                <w:sz w:val="16"/>
                <w:szCs w:val="16"/>
                <w:color w:val="auto"/>
              </w:rPr>
              <w:t>stockholder A ((dilution)/accretion per</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500"/>
              <w:spacing w:after="0"/>
              <w:rPr>
                <w:sz w:val="20"/>
                <w:szCs w:val="20"/>
                <w:color w:val="auto"/>
              </w:rPr>
            </w:pPr>
            <w:r>
              <w:rPr>
                <w:rFonts w:ascii="Arial" w:cs="Arial" w:eastAsia="Arial" w:hAnsi="Arial"/>
                <w:sz w:val="16"/>
                <w:szCs w:val="16"/>
                <w:color w:val="auto"/>
              </w:rPr>
              <w:t>share divided by investment per share)</w:t>
            </w:r>
          </w:p>
        </w:tc>
        <w:tc>
          <w:tcPr>
            <w:tcW w:w="120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6"/>
                <w:szCs w:val="16"/>
                <w:color w:val="auto"/>
              </w:rPr>
              <w:t>(0.20)%</w:t>
            </w: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4.65%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2016.</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5760" w:type="dxa"/>
            <w:vAlign w:val="bottom"/>
            <w:vMerge w:val="restart"/>
          </w:tcPr>
          <w:p>
            <w:pPr>
              <w:spacing w:after="0"/>
              <w:rPr>
                <w:sz w:val="14"/>
                <w:szCs w:val="14"/>
                <w:color w:val="auto"/>
              </w:rPr>
            </w:pPr>
          </w:p>
        </w:tc>
        <w:tc>
          <w:tcPr>
            <w:tcW w:w="208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89"/>
              </w:rPr>
              <w:t>Payment Dates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58"/>
        </w:trPr>
        <w:tc>
          <w:tcPr>
            <w:tcW w:w="840" w:type="dxa"/>
            <w:vAlign w:val="bottom"/>
            <w:vMerge w:val="continue"/>
          </w:tcPr>
          <w:p>
            <w:pPr>
              <w:spacing w:after="0"/>
              <w:rPr>
                <w:sz w:val="13"/>
                <w:szCs w:val="13"/>
                <w:color w:val="auto"/>
              </w:rPr>
            </w:pPr>
          </w:p>
        </w:tc>
        <w:tc>
          <w:tcPr>
            <w:tcW w:w="5760" w:type="dxa"/>
            <w:vAlign w:val="bottom"/>
            <w:vMerge w:val="continue"/>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2019</w:t>
            </w:r>
          </w:p>
        </w:tc>
        <w:tc>
          <w:tcPr>
            <w:tcW w:w="9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December 19,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January 2, 2019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20,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December 3, 2018</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37"/>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October 17, 2018, October 18,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November 1, 2018</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September 30, 2018</w:t>
            </w: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17, 2018, September 18,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October 2,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August 21, 2018, August 22,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September 4, 2018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18, 2018, July 19,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August 1,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June 18,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July 2, 2018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18,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June 1,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April 17,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May 1, 2018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19,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April 2,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February 16, 2018</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2018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18, 2018</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February 1,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December 26,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January 2, 2018</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17,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December 1, 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October 19,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November 1, 2017</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September 30, 2017</w:t>
            </w: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September 20,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October 2, 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August 18,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September 1, 2017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July 20,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August 1, 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June 21,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July 3, 2017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May 19,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June 1, 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April 19,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May 1, 2017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March 22,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April 3, 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February 17, 2017</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March 1, 2017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January 20, 2017</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February 1, 2017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December 22, 2016</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rPr>
              <w:t>January 3, 2017</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November 18, 2016</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December 1, 2016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0.095</w:t>
            </w:r>
          </w:p>
        </w:tc>
        <w:tc>
          <w:tcPr>
            <w:tcW w:w="0" w:type="dxa"/>
            <w:vAlign w:val="bottom"/>
          </w:tcPr>
          <w:p>
            <w:pPr>
              <w:spacing w:after="0"/>
              <w:rPr>
                <w:sz w:val="1"/>
                <w:szCs w:val="1"/>
                <w:color w:val="auto"/>
              </w:rPr>
            </w:pPr>
          </w:p>
        </w:tc>
      </w:tr>
      <w:tr>
        <w:trPr>
          <w:trHeight w:val="223"/>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October 20, 2016</w:t>
            </w:r>
          </w:p>
        </w:tc>
        <w:tc>
          <w:tcPr>
            <w:tcW w:w="208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November 1, 2016</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In January 2019,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tax characteristics of distributions declared, in accordance with Section 19(a) of the 1940 Act, during the years ended September 30, 2018 and 2017 from ordinary income (including short-term gains), if any, totaled $42.8 million and $34.8 million, or $1.14 and $1.15 per share, respectively, based on the weighted average shares outstanding for the respective periods. Additionally, for the year ended September 30, 2018, we had long-term capital gain distributions of $0.8 million, or $0.02 per share, based on the weighted average shares outstanding.</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80"/>
          </w:cols>
          <w:pgMar w:left="24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$8.3 billion in 496 companies with approximately 180 different financial sponsors through its managed funds.</w:t>
      </w:r>
    </w:p>
    <w:p>
      <w:pPr>
        <w:spacing w:after="0" w:line="16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right="100" w:hanging="325"/>
        <w:spacing w:after="0" w:line="26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jc w:val="both"/>
        <w:ind w:left="900" w:right="20" w:hanging="325"/>
        <w:spacing w:after="0" w:line="26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that credit market dislocation for middle-market companies improves the risk-reward on our investments. </w:t>
      </w:r>
      <w:r>
        <w:rPr>
          <w:rFonts w:ascii="Arial" w:cs="Arial" w:eastAsia="Arial" w:hAnsi="Arial"/>
          <w:sz w:val="18"/>
          <w:szCs w:val="18"/>
          <w:color w:val="auto"/>
        </w:rPr>
        <w:t>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participants have reduced lending to middle-market and non-investment grade borrowers. As a result, we believe there is less competition in our market, more conservative capital structures, higher yields and stronger covenants.</w:t>
      </w:r>
    </w:p>
    <w:p>
      <w:pPr>
        <w:spacing w:after="0" w:line="81" w:lineRule="exact"/>
        <w:rPr>
          <w:rFonts w:ascii="Arial" w:cs="Arial" w:eastAsia="Arial" w:hAnsi="Arial"/>
          <w:sz w:val="18"/>
          <w:szCs w:val="18"/>
          <w:color w:val="auto"/>
        </w:rPr>
      </w:pPr>
    </w:p>
    <w:p>
      <w:pPr>
        <w:ind w:left="900" w:right="40" w:hanging="325"/>
        <w:spacing w:after="0" w:line="261"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 companies.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funds generally seek to leverage their investments by combining their capital with loans provided by other sources, and we believe that we are well-positioned to partner with such equity investors.</w:t>
      </w:r>
    </w:p>
    <w:p>
      <w:pPr>
        <w:spacing w:after="0" w:line="85"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 financings</w:t>
      </w:r>
      <w:r>
        <w:rPr>
          <w:rFonts w:ascii="Arial" w:cs="Arial" w:eastAsia="Arial" w:hAnsi="Arial"/>
          <w:sz w:val="18"/>
          <w:szCs w:val="18"/>
          <w:b w:val="1"/>
          <w:bCs w:val="1"/>
          <w:color w:val="auto"/>
        </w:rPr>
        <w:t xml:space="preserve"> </w:t>
      </w:r>
      <w:r>
        <w:rPr>
          <w:rFonts w:ascii="Arial" w:cs="Arial" w:eastAsia="Arial" w:hAnsi="Arial"/>
          <w:sz w:val="18"/>
          <w:szCs w:val="18"/>
          <w:color w:val="auto"/>
        </w:rPr>
        <w:t>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6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117" w:lineRule="exact"/>
        <w:rPr>
          <w:rFonts w:ascii="Arial" w:cs="Arial" w:eastAsia="Arial" w:hAnsi="Arial"/>
          <w:sz w:val="18"/>
          <w:szCs w:val="18"/>
          <w:color w:val="auto"/>
        </w:rPr>
      </w:pPr>
    </w:p>
    <w:p>
      <w:pPr>
        <w:ind w:left="420" w:hanging="184"/>
        <w:spacing w:after="0"/>
        <w:tabs>
          <w:tab w:leader="none" w:pos="420"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Proactive Research Capability and Established Network</w:t>
      </w:r>
    </w:p>
    <w:p>
      <w:pPr>
        <w:spacing w:after="0" w:line="1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November 30, 2018, we maintained a $520 million Credit Facility, which matures in October 2023, with the Lenders. During the Credit Facility’s revolving period, which extends to October 2021, it bears interest at LIBOR plus 200 basis points, and after the revolving period, the rate sets to LIBOR plus 425 basis points for the remaining two years. The Credit Facility is secured by all of the assets held by Funding I, under which we had $333.7 million outstanding as of September 30, 2018. The Credit Facility had a weighted average interest rate of 4.25% and 3.18%, exclusive of the fee on undrawn commitments as of September 30, 2018 and 2017, respectively. As of September 30, 2018 and 2017, we had $71.3 million and $121.2 million, respectively, of unused borrowing capacity under our Credit Facility, subject to regulatory restrictions. We believe that our capital resources provide us with the flexibility to take advantage of market opportunities when they arise. Our use of leverage, as calculated under the asset coverage requirements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w:t>
      </w:r>
    </w:p>
    <w:p>
      <w:pPr>
        <w:spacing w:after="0" w:line="19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As of September 30, 2018 we had $138.6 million in aggregate principal amount of 2023 Notes outstanding. The 2023 Notes were issued pursuant to a deed of trust between the Company and Mishmeret Trust Company, Ltd. as trustee. 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See “Management’s Discussion and Analysis of Financial Condition and Results of Operations” for more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w:t>
      </w:r>
    </w:p>
    <w:p>
      <w:pPr>
        <w:spacing w:after="0" w:line="261" w:lineRule="auto"/>
        <w:rPr>
          <w:sz w:val="20"/>
          <w:szCs w:val="20"/>
          <w:color w:val="auto"/>
        </w:rPr>
      </w:pPr>
      <w:r>
        <w:rPr>
          <w:rFonts w:ascii="Arial" w:cs="Arial" w:eastAsia="Arial" w:hAnsi="Arial"/>
          <w:sz w:val="18"/>
          <w:szCs w:val="18"/>
          <w:color w:val="auto"/>
        </w:rPr>
        <w:t>While the outcome of these legal proceedings cannot be predicted with certainty, we do not expect that these proceedings will have a material effect upon our financial condition or results of operations.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seek to create a diversified portfolio primarily of Floating Rate Loans by generally targeting an investment size of $5 million to $30 million in securities, on average, of middle-market companies. We expect this investment size to vary proportionately with the size of our capital base.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“Regulation—Qualifying Assets” and “Investment Objectives and Policies—Investment Selection Criteria” for more information.</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Lien Secured Debt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lenders receive opportunities to invest directly in the equity securities of borrowers and from time to time may also receive warrants to purchase equity securities. We evaluate these investment opportunities on a case-by-case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Lien Secured Debt</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debt investors receive opportunities to invest directly in the equity securities of borrowers and from time to time may also receive warrants to purchase equity securities. We evaluate these investment opportunities on a case-by-case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w:t>
      </w:r>
    </w:p>
    <w:p>
      <w:pPr>
        <w:spacing w:after="0" w:line="12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Structurally, subordinated debt usually ranks junior in priority of payment to first lien secured debt and second lien secured debt, and are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Leading and defensible competitive market positions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Investing in stable borrowers with positive cash flow</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Proven management teams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Financial sponsorship</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Investments in different borrowers, industries and geographies</w:t>
      </w:r>
    </w:p>
    <w:p>
      <w:pPr>
        <w:spacing w:after="0" w:line="11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Viable exit strategy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Upon the completion of due diligence on a portfolio company, the team leading the investment presents the investment opportunity to our Investment Adviser’s investment committee. This committee determines whether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8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7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20" w:hanging="325"/>
        <w:spacing w:after="0" w:line="28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assessment of success in adhering to a portfolio company’s business plan and compliance with covenants;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81"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secured debt and subordinated debt,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w:t>
      </w:r>
    </w:p>
    <w:p>
      <w:pPr>
        <w:spacing w:after="0" w:line="19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420"/>
          </w:cols>
          <w:pgMar w:left="240" w:top="459" w:right="239" w:bottom="1440" w:gutter="0" w:footer="0" w:header="0"/>
        </w:sectPr>
      </w:pPr>
    </w:p>
    <w:p>
      <w:pPr>
        <w:spacing w:after="0" w:line="141" w:lineRule="exact"/>
        <w:rPr>
          <w:sz w:val="20"/>
          <w:szCs w:val="20"/>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Building Materials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Capital Equipment</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Diversified/Conglomerate Manufacturing</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Diversified Natural Resources, Precious Metals and Minerals</w:t>
      </w:r>
    </w:p>
    <w:p>
      <w:pPr>
        <w:spacing w:after="0" w:line="153" w:lineRule="exact"/>
        <w:rPr>
          <w:rFonts w:ascii="Arial" w:cs="Arial" w:eastAsia="Arial" w:hAnsi="Arial"/>
          <w:sz w:val="16"/>
          <w:szCs w:val="16"/>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Education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Energy/Utilities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Grocery</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130" w:lineRule="exact"/>
        <w:rPr>
          <w:rFonts w:ascii="Arial" w:cs="Arial" w:eastAsia="Arial" w:hAnsi="Arial"/>
          <w:sz w:val="18"/>
          <w:szCs w:val="18"/>
          <w:color w:val="auto"/>
        </w:rPr>
      </w:pPr>
    </w:p>
    <w:p>
      <w:pPr>
        <w:ind w:left="313" w:right="240" w:hanging="313"/>
        <w:spacing w:after="0" w:line="277" w:lineRule="auto"/>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75"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Logistics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Manufacturing/Basic Industries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Mining, Steel, Iron and Non-Precious Metals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Retail</w:t>
      </w:r>
    </w:p>
    <w:p>
      <w:pPr>
        <w:spacing w:after="0" w:line="130" w:lineRule="exact"/>
        <w:rPr>
          <w:rFonts w:ascii="Arial" w:cs="Arial" w:eastAsia="Arial" w:hAnsi="Arial"/>
          <w:sz w:val="18"/>
          <w:szCs w:val="18"/>
          <w:color w:val="auto"/>
        </w:rPr>
      </w:pPr>
    </w:p>
    <w:p>
      <w:pPr>
        <w:ind w:left="313" w:hanging="313"/>
        <w:spacing w:after="0"/>
        <w:tabs>
          <w:tab w:leader="none" w:pos="3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Wholesale</w:t>
      </w:r>
    </w:p>
    <w:p>
      <w:pPr>
        <w:spacing w:after="0" w:line="321" w:lineRule="exact"/>
        <w:rPr>
          <w:sz w:val="20"/>
          <w:szCs w:val="20"/>
          <w:color w:val="auto"/>
        </w:rPr>
      </w:pPr>
    </w:p>
    <w:p>
      <w:pPr>
        <w:sectPr>
          <w:pgSz w:w="11900" w:h="16838" w:orient="portrait"/>
          <w:cols w:equalWidth="0" w:num="2">
            <w:col w:w="5567" w:space="720"/>
            <w:col w:w="5133"/>
          </w:cols>
          <w:pgMar w:left="240" w:top="459" w:right="239" w:bottom="1440" w:gutter="0" w:footer="0" w:header="0"/>
          <w:type w:val="continuous"/>
        </w:sectPr>
      </w:pP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and cash equivalents) as of September 30: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Portfolio Company</w:t>
            </w:r>
          </w:p>
        </w:tc>
        <w:tc>
          <w:tcPr>
            <w:tcW w:w="42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Portfolio Company</w:t>
            </w:r>
          </w:p>
        </w:tc>
        <w:tc>
          <w:tcPr>
            <w:tcW w:w="3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2017</w:t>
            </w:r>
            <w:r>
              <w:rPr>
                <w:rFonts w:ascii="Arial" w:cs="Arial" w:eastAsia="Arial" w:hAnsi="Arial"/>
                <w:sz w:val="12"/>
                <w:szCs w:val="12"/>
                <w:b w:val="1"/>
                <w:bCs w:val="1"/>
                <w:color w:val="auto"/>
                <w:w w:val="91"/>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Beauty Industry Group Opco, LLC</w:t>
            </w: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620" w:type="dxa"/>
            <w:vAlign w:val="bottom"/>
            <w:gridSpan w:val="3"/>
            <w:vMerge w:val="restart"/>
            <w:shd w:val="clear" w:color="auto" w:fill="CCEEFF"/>
          </w:tcPr>
          <w:p>
            <w:pPr>
              <w:ind w:left="160"/>
              <w:spacing w:after="0" w:line="155" w:lineRule="exact"/>
              <w:rPr>
                <w:sz w:val="20"/>
                <w:szCs w:val="20"/>
                <w:color w:val="auto"/>
              </w:rPr>
            </w:pPr>
            <w:r>
              <w:rPr>
                <w:rFonts w:ascii="Arial" w:cs="Arial" w:eastAsia="Arial" w:hAnsi="Arial"/>
                <w:sz w:val="14"/>
                <w:szCs w:val="14"/>
                <w:color w:val="auto"/>
              </w:rPr>
              <w:t>Montreign Operating Company, LLC</w:t>
            </w: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480" w:type="dxa"/>
            <w:vAlign w:val="bottom"/>
            <w:gridSpan w:val="2"/>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4%</w:t>
            </w:r>
          </w:p>
        </w:tc>
        <w:tc>
          <w:tcPr>
            <w:tcW w:w="4620" w:type="dxa"/>
            <w:vAlign w:val="bottom"/>
            <w:gridSpan w:val="3"/>
            <w:vMerge w:val="continue"/>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Integrative Nutrition, LLC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4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Advanced Cable Communications, LLC</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Infonet, Inc.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4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By Light Professional IT Services, LLC</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Education Networks of America, Inc.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4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Country Fresh Holdings, LLC</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Montreign Operating Company, LLC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4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East Valley Tourist Development Authority</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Research Now Group, Inc. and Survey Sampling International LLC</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tcPr>
          <w:p>
            <w:pPr>
              <w:spacing w:after="0"/>
              <w:rPr>
                <w:sz w:val="12"/>
                <w:szCs w:val="12"/>
                <w:color w:val="auto"/>
              </w:rPr>
            </w:pPr>
          </w:p>
        </w:tc>
        <w:tc>
          <w:tcPr>
            <w:tcW w:w="4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Marketplace Events LLC</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Tensar Corporation</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2"/>
                <w:szCs w:val="12"/>
                <w:color w:val="auto"/>
              </w:rPr>
            </w:pPr>
          </w:p>
        </w:tc>
        <w:tc>
          <w:tcPr>
            <w:tcW w:w="4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Pathway Partners Vet Management Company LLC</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tcPr>
          <w:p>
            <w:pPr>
              <w:spacing w:after="0" w:line="149" w:lineRule="exact"/>
              <w:rPr>
                <w:sz w:val="20"/>
                <w:szCs w:val="20"/>
                <w:color w:val="auto"/>
              </w:rPr>
            </w:pPr>
            <w:r>
              <w:rPr>
                <w:rFonts w:ascii="Arial" w:cs="Arial" w:eastAsia="Arial" w:hAnsi="Arial"/>
                <w:sz w:val="14"/>
                <w:szCs w:val="14"/>
                <w:color w:val="auto"/>
              </w:rPr>
              <w:t>East Valley Tourist Development Authority</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4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Salient CRGT Inc.</w:t>
            </w: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5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Morphe, LLC</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4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DecoPac, Inc.</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5480" w:type="dxa"/>
            <w:vAlign w:val="bottom"/>
            <w:gridSpan w:val="2"/>
          </w:tcPr>
          <w:p>
            <w:pPr>
              <w:spacing w:after="0"/>
              <w:rPr>
                <w:sz w:val="20"/>
                <w:szCs w:val="20"/>
                <w:color w:val="auto"/>
              </w:rPr>
            </w:pPr>
            <w:r>
              <w:rPr>
                <w:rFonts w:ascii="Arial" w:cs="Arial" w:eastAsia="Arial" w:hAnsi="Arial"/>
                <w:sz w:val="14"/>
                <w:szCs w:val="14"/>
                <w:color w:val="auto"/>
              </w:rPr>
              <w:t>NextiraOne Federal, LLC</w:t>
            </w: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15"/>
                <w:szCs w:val="15"/>
                <w:color w:val="auto"/>
              </w:rPr>
            </w:pPr>
          </w:p>
        </w:tc>
        <w:tc>
          <w:tcPr>
            <w:tcW w:w="4620" w:type="dxa"/>
            <w:vAlign w:val="bottom"/>
            <w:gridSpan w:val="3"/>
          </w:tcPr>
          <w:p>
            <w:pPr>
              <w:ind w:left="160"/>
              <w:spacing w:after="0"/>
              <w:rPr>
                <w:sz w:val="20"/>
                <w:szCs w:val="20"/>
                <w:color w:val="auto"/>
              </w:rPr>
            </w:pPr>
            <w:r>
              <w:rPr>
                <w:rFonts w:ascii="Arial" w:cs="Arial" w:eastAsia="Arial" w:hAnsi="Arial"/>
                <w:sz w:val="14"/>
                <w:szCs w:val="14"/>
                <w:color w:val="auto"/>
              </w:rPr>
              <w:t>LSF9 Atlantis Holdings, LLC</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w w:val="92"/>
              </w:rPr>
              <w:t>Industry</w:t>
            </w:r>
          </w:p>
        </w:tc>
        <w:tc>
          <w:tcPr>
            <w:tcW w:w="4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9"/>
              </w:rPr>
              <w:t>2018</w:t>
            </w:r>
            <w:r>
              <w:rPr>
                <w:rFonts w:ascii="Arial" w:cs="Arial" w:eastAsia="Arial" w:hAnsi="Arial"/>
                <w:sz w:val="15"/>
                <w:szCs w:val="15"/>
                <w:b w:val="1"/>
                <w:bCs w:val="1"/>
                <w:color w:val="auto"/>
                <w:w w:val="89"/>
              </w:rPr>
              <w:t>(1)</w:t>
            </w:r>
          </w:p>
        </w:tc>
        <w:tc>
          <w:tcPr>
            <w:tcW w:w="360" w:type="dxa"/>
            <w:vAlign w:val="bottom"/>
          </w:tcPr>
          <w:p>
            <w:pPr>
              <w:spacing w:after="0"/>
              <w:rPr>
                <w:sz w:val="20"/>
                <w:szCs w:val="20"/>
                <w:color w:val="auto"/>
              </w:rPr>
            </w:pPr>
          </w:p>
        </w:tc>
        <w:tc>
          <w:tcPr>
            <w:tcW w:w="4920" w:type="dxa"/>
            <w:vAlign w:val="bottom"/>
            <w:gridSpan w:val="3"/>
          </w:tcPr>
          <w:p>
            <w:pPr>
              <w:ind w:left="240"/>
              <w:spacing w:after="0"/>
              <w:rPr>
                <w:sz w:val="20"/>
                <w:szCs w:val="20"/>
                <w:color w:val="auto"/>
              </w:rPr>
            </w:pPr>
            <w:r>
              <w:rPr>
                <w:rFonts w:ascii="Arial" w:cs="Arial" w:eastAsia="Arial" w:hAnsi="Arial"/>
                <w:sz w:val="18"/>
                <w:szCs w:val="18"/>
                <w:b w:val="1"/>
                <w:bCs w:val="1"/>
                <w:color w:val="auto"/>
              </w:rPr>
              <w:t>Industry</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9"/>
              </w:rPr>
              <w:t>2017</w:t>
            </w:r>
            <w:r>
              <w:rPr>
                <w:rFonts w:ascii="Arial" w:cs="Arial" w:eastAsia="Arial" w:hAnsi="Arial"/>
                <w:sz w:val="15"/>
                <w:szCs w:val="15"/>
                <w:b w:val="1"/>
                <w:bCs w:val="1"/>
                <w:color w:val="auto"/>
                <w:w w:val="89"/>
              </w:rPr>
              <w:t>(1)</w:t>
            </w:r>
          </w:p>
        </w:tc>
        <w:tc>
          <w:tcPr>
            <w:tcW w:w="200" w:type="dxa"/>
            <w:vAlign w:val="bottom"/>
          </w:tcPr>
          <w:p>
            <w:pPr>
              <w:spacing w:after="0"/>
              <w:rPr>
                <w:sz w:val="20"/>
                <w:szCs w:val="20"/>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4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4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Consumer Goods: Non-Durable</w:t>
            </w:r>
          </w:p>
        </w:tc>
        <w:tc>
          <w:tcPr>
            <w:tcW w:w="9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11%</w:t>
            </w:r>
          </w:p>
        </w:tc>
        <w:tc>
          <w:tcPr>
            <w:tcW w:w="4920" w:type="dxa"/>
            <w:vAlign w:val="bottom"/>
            <w:gridSpan w:val="3"/>
            <w:shd w:val="clear" w:color="auto" w:fill="CCEEFF"/>
          </w:tcPr>
          <w:p>
            <w:pPr>
              <w:ind w:left="240"/>
              <w:spacing w:after="0" w:line="203" w:lineRule="exact"/>
              <w:rPr>
                <w:sz w:val="20"/>
                <w:szCs w:val="20"/>
                <w:color w:val="auto"/>
              </w:rPr>
            </w:pPr>
            <w:r>
              <w:rPr>
                <w:rFonts w:ascii="Arial" w:cs="Arial" w:eastAsia="Arial" w:hAnsi="Arial"/>
                <w:sz w:val="18"/>
                <w:szCs w:val="18"/>
                <w:color w:val="auto"/>
              </w:rPr>
              <w:t>High Tech Industries</w:t>
            </w: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rPr>
              <w:t>Healthcare and Pharmaceuticals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4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Consumer Goods: Non-Durable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rPr>
              <w:t>Hotel, Gaming and Leisure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4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Beverage, Food and Tobacco</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rPr>
              <w:t>Telecommunications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4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Consumer Goods: Durable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rPr>
              <w:t>Aerospace and Defense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49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Capital Equipment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rPr>
              <w:t>Wholesale</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investments in PSSL.</w:t>
      </w:r>
    </w:p>
    <w:p>
      <w:pPr>
        <w:spacing w:after="0" w:line="22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2018.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8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Type of Investment,</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Voting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Nature of Business</w:t>
            </w:r>
          </w:p>
        </w:tc>
        <w:tc>
          <w:tcPr>
            <w:tcW w:w="3380" w:type="dxa"/>
            <w:vAlign w:val="bottom"/>
            <w:gridSpan w:val="2"/>
            <w:vMerge w:val="continue"/>
          </w:tcPr>
          <w:p>
            <w:pPr>
              <w:spacing w:after="0"/>
              <w:rPr>
                <w:sz w:val="12"/>
                <w:szCs w:val="12"/>
                <w:color w:val="auto"/>
              </w:rPr>
            </w:pPr>
          </w:p>
        </w:tc>
        <w:tc>
          <w:tcPr>
            <w:tcW w:w="12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87"/>
              </w:rPr>
              <w:t>Percentage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80" w:type="dxa"/>
            <w:vAlign w:val="bottom"/>
            <w:gridSpan w:val="2"/>
            <w:vMerge w:val="continue"/>
          </w:tcPr>
          <w:p>
            <w:pPr>
              <w:spacing w:after="0"/>
              <w:rPr>
                <w:sz w:val="14"/>
                <w:szCs w:val="14"/>
                <w:color w:val="auto"/>
              </w:rPr>
            </w:pP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880" w:type="dxa"/>
            <w:vAlign w:val="bottom"/>
            <w:gridSpan w:val="2"/>
          </w:tcPr>
          <w:p>
            <w:pPr>
              <w:jc w:val="center"/>
              <w:ind w:right="360"/>
              <w:spacing w:after="0" w:line="130" w:lineRule="exact"/>
              <w:rPr>
                <w:sz w:val="20"/>
                <w:szCs w:val="20"/>
                <w:color w:val="auto"/>
              </w:rPr>
            </w:pPr>
            <w:r>
              <w:rPr>
                <w:rFonts w:ascii="Arial" w:cs="Arial" w:eastAsia="Arial" w:hAnsi="Arial"/>
                <w:sz w:val="14"/>
                <w:szCs w:val="14"/>
                <w:color w:val="auto"/>
                <w:w w:val="91"/>
              </w:rPr>
              <w:t>Consumer Goods:</w:t>
            </w:r>
          </w:p>
        </w:tc>
        <w:tc>
          <w:tcPr>
            <w:tcW w:w="3380" w:type="dxa"/>
            <w:vAlign w:val="bottom"/>
            <w:gridSpan w:val="2"/>
          </w:tcPr>
          <w:p>
            <w:pPr>
              <w:jc w:val="center"/>
              <w:ind w:right="380"/>
              <w:spacing w:after="0" w:line="130" w:lineRule="exact"/>
              <w:rPr>
                <w:sz w:val="20"/>
                <w:szCs w:val="20"/>
                <w:color w:val="auto"/>
              </w:rPr>
            </w:pPr>
            <w:r>
              <w:rPr>
                <w:rFonts w:ascii="Arial" w:cs="Arial" w:eastAsia="Arial" w:hAnsi="Arial"/>
                <w:sz w:val="14"/>
                <w:szCs w:val="14"/>
                <w:color w:val="auto"/>
                <w:w w:val="96"/>
              </w:rPr>
              <w:t>Common Equity</w:t>
            </w:r>
          </w:p>
        </w:tc>
        <w:tc>
          <w:tcPr>
            <w:tcW w:w="120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1.0%</w:t>
            </w:r>
          </w:p>
        </w:tc>
        <w:tc>
          <w:tcPr>
            <w:tcW w:w="30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18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Durable</w:t>
            </w: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Alera Group Intermediate Holdings, Inc.</w:t>
            </w:r>
          </w:p>
        </w:tc>
        <w:tc>
          <w:tcPr>
            <w:tcW w:w="18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Banking, Finance,</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Parkway North, Suite 500</w:t>
            </w:r>
          </w:p>
        </w:tc>
        <w:tc>
          <w:tcPr>
            <w:tcW w:w="18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0"/>
              </w:rPr>
              <w:t>Insurance and Real Estate</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1M L+450, 08/01/2025</w:t>
            </w: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Deerfield, IL 60015</w:t>
            </w:r>
          </w:p>
        </w:tc>
        <w:tc>
          <w:tcPr>
            <w:tcW w:w="1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Allied America, Inc.</w:t>
            </w: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Business Services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ind w:left="680"/>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3M L+700, 08/08/2022</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One North LaSalle Street</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 xml:space="preserve">Common Equity </w:t>
            </w:r>
            <w:r>
              <w:rPr>
                <w:rFonts w:ascii="Arial" w:cs="Arial" w:eastAsia="Arial" w:hAnsi="Arial"/>
                <w:sz w:val="12"/>
                <w:szCs w:val="12"/>
                <w:color w:val="auto"/>
                <w:w w:val="94"/>
              </w:rPr>
              <w:t>(5)</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Chicago, IL 60602</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Auto Auction Group, LLC</w:t>
            </w:r>
          </w:p>
        </w:tc>
        <w:tc>
          <w:tcPr>
            <w:tcW w:w="18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Transportation: Consumer</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10333 N. Meridian, Suite 200</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L+525, 11/30/2021</w:t>
            </w: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Indianapolis, IN 46290</w:t>
            </w:r>
          </w:p>
        </w:tc>
        <w:tc>
          <w:tcPr>
            <w:tcW w:w="1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American Scaffold</w:t>
            </w: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Aerospace and Defense</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4,455</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3210 Commercial Street</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3M L+650, 03/31/2022</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San Diego, CA 92113</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Teleconferencing Services, Ltd.</w:t>
            </w:r>
          </w:p>
        </w:tc>
        <w:tc>
          <w:tcPr>
            <w:tcW w:w="188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Telecommunications</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3280 Peachtree Road, NE</w:t>
            </w:r>
          </w:p>
        </w:tc>
        <w:tc>
          <w:tcPr>
            <w:tcW w:w="1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L+650, 12/08/2021</w:t>
            </w: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30305</w:t>
            </w:r>
          </w:p>
        </w:tc>
        <w:tc>
          <w:tcPr>
            <w:tcW w:w="1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API Technologies Corp.</w:t>
            </w: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Aerospace and Defense</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1M L+600, 04/22/2024</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Orlando, FL 32819</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Beauty Industry Group Opco, LLC</w:t>
            </w:r>
          </w:p>
        </w:tc>
        <w:tc>
          <w:tcPr>
            <w:tcW w:w="188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1"/>
              </w:rPr>
              <w:t>Consumer Goods:</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631 N 400 West</w:t>
            </w:r>
          </w:p>
        </w:tc>
        <w:tc>
          <w:tcPr>
            <w:tcW w:w="188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Non-Durable</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1M L+475, 04/06/2023</w:t>
            </w: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84103</w:t>
            </w:r>
          </w:p>
        </w:tc>
        <w:tc>
          <w:tcPr>
            <w:tcW w:w="1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BEI Precision Systems &amp; Space Company, Inc.</w:t>
            </w:r>
          </w:p>
        </w:tc>
        <w:tc>
          <w:tcPr>
            <w:tcW w:w="18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Aerospace and Defense</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First Lien Secured Debt,</w:t>
            </w:r>
          </w:p>
        </w:tc>
        <w:tc>
          <w:tcPr>
            <w:tcW w:w="12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11,732</w:t>
            </w: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1100 Murphy Drive</w:t>
            </w: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3M L+550, 04/28/2023</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Maumelle, AR 72113</w:t>
            </w: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Nature of Business</w:t>
            </w:r>
          </w:p>
        </w:tc>
        <w:tc>
          <w:tcPr>
            <w:tcW w:w="3400" w:type="dxa"/>
            <w:vAlign w:val="bottom"/>
            <w:gridSpan w:val="2"/>
            <w:vMerge w:val="continue"/>
          </w:tcPr>
          <w:p>
            <w:pPr>
              <w:spacing w:after="0"/>
              <w:rPr>
                <w:sz w:val="12"/>
                <w:szCs w:val="12"/>
                <w:color w:val="auto"/>
              </w:rPr>
            </w:pPr>
          </w:p>
        </w:tc>
        <w:tc>
          <w:tcPr>
            <w:tcW w:w="1400" w:type="dxa"/>
            <w:vAlign w:val="bottom"/>
            <w:gridSpan w:val="2"/>
          </w:tcPr>
          <w:p>
            <w:pPr>
              <w:jc w:val="center"/>
              <w:ind w:right="478"/>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40" w:type="dxa"/>
            <w:vAlign w:val="bottom"/>
            <w:gridSpan w:val="2"/>
            <w:vMerge w:val="continue"/>
          </w:tcPr>
          <w:p>
            <w:pPr>
              <w:spacing w:after="0"/>
              <w:rPr>
                <w:sz w:val="14"/>
                <w:szCs w:val="14"/>
                <w:color w:val="auto"/>
              </w:rPr>
            </w:pP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00" w:type="dxa"/>
            <w:vAlign w:val="bottom"/>
            <w:gridSpan w:val="2"/>
          </w:tcPr>
          <w:p>
            <w:pPr>
              <w:jc w:val="center"/>
              <w:ind w:right="478"/>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84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By Light Professional IT Services, LLC</w:t>
            </w:r>
          </w:p>
        </w:tc>
        <w:tc>
          <w:tcPr>
            <w:tcW w:w="146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High Tech Industries</w:t>
            </w:r>
          </w:p>
        </w:tc>
        <w:tc>
          <w:tcPr>
            <w:tcW w:w="380" w:type="dxa"/>
            <w:vAlign w:val="bottom"/>
            <w:shd w:val="clear" w:color="auto" w:fill="CCEEFF"/>
          </w:tcPr>
          <w:p>
            <w:pPr>
              <w:spacing w:after="0"/>
              <w:rPr>
                <w:sz w:val="9"/>
                <w:szCs w:val="9"/>
                <w:color w:val="auto"/>
              </w:rPr>
            </w:pPr>
          </w:p>
        </w:tc>
        <w:tc>
          <w:tcPr>
            <w:tcW w:w="302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2.9</w:t>
            </w:r>
          </w:p>
        </w:tc>
        <w:tc>
          <w:tcPr>
            <w:tcW w:w="540" w:type="dxa"/>
            <w:vAlign w:val="bottom"/>
            <w:shd w:val="clear" w:color="auto" w:fill="CCEEFF"/>
          </w:tcPr>
          <w:p>
            <w:pPr>
              <w:jc w:val="right"/>
              <w:ind w:right="358"/>
              <w:spacing w:after="0" w:line="109" w:lineRule="exact"/>
              <w:rPr>
                <w:sz w:val="20"/>
                <w:szCs w:val="20"/>
                <w:color w:val="auto"/>
              </w:rPr>
            </w:pPr>
            <w:r>
              <w:rPr>
                <w:rFonts w:ascii="Arial" w:cs="Arial" w:eastAsia="Arial" w:hAnsi="Arial"/>
                <w:sz w:val="12"/>
                <w:szCs w:val="12"/>
                <w:color w:val="auto"/>
                <w:w w:val="93"/>
              </w:rPr>
              <w:t>%</w:t>
            </w: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19,881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Investco LP)</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L+725, 05/16/2022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22201</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Cadence Aerospace,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Aerospace and Defense</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10,937</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L+650, 11/14/2023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Newport Beach, CA 92660</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Camin Cargo Control, Inc.</w:t>
            </w:r>
          </w:p>
        </w:tc>
        <w:tc>
          <w:tcPr>
            <w:tcW w:w="18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Transportation: Cargo</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5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230 Marion Avenue</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L+475, 06/30/2021</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Linden, NJ 07036</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Cardenas Markets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Beverage, Food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3,874</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2501 East Guasti Road</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L+575, 11/29/2023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Ontario, CA 91761</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CD&amp;R TZ Purchaser,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1"/>
              </w:rPr>
              <w:t>Consumer Goods:</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5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2200 Fletcher Avenue</w:t>
            </w:r>
          </w:p>
        </w:tc>
        <w:tc>
          <w:tcPr>
            <w:tcW w:w="18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3"/>
              </w:rPr>
              <w:t>Durable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L+600, 07/21/2023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Lee, NJ 07024</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CHA Holdings, Inc.</w:t>
            </w: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Environmental Industries</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6,183</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Broadway, Suite 301</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L+450, 04/10/2025</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Albany, NY 12207</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0"/>
              </w:rPr>
              <w:t>Business Services</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558"/>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420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L+575, 08/31/2023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Chicken Soup for the Soul Publishing,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7"/>
              </w:rPr>
              <w:t>Media: Advertising,</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21 Hedgerow Lane</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Printing and Publishing</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L+625, 01/08/2019</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Greenwich, CT 06831</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Second Lien Secured Debt,</w:t>
            </w:r>
          </w:p>
        </w:tc>
        <w:tc>
          <w:tcPr>
            <w:tcW w:w="140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1.3%</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L+875, 04/25/2025</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4"/>
              </w:rPr>
              <w:t>Preferred Equity</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Country Fresh Holdings,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Beverage, Food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17,195</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15479 Pin Oaks Drive</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L+500, 03/31/2023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Conroe, TX 77384</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jc w:val="right"/>
              <w:ind w:right="5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6M L+600, 03/13/2023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DBI Holding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Business Services</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17,395</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100 North Conahan Drive</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L+525, 08/02/2021</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Hazleton, PA 18201</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1"/>
              </w:rPr>
              <w:t>Beverage, Food and</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Second Lien Secured Debt,</w:t>
            </w:r>
          </w:p>
        </w:tc>
        <w:tc>
          <w:tcPr>
            <w:tcW w:w="1400" w:type="dxa"/>
            <w:vAlign w:val="bottom"/>
            <w:gridSpan w:val="2"/>
            <w:shd w:val="clear" w:color="auto" w:fill="CCEEFF"/>
          </w:tcPr>
          <w:p>
            <w:pPr>
              <w:jc w:val="right"/>
              <w:ind w:right="358"/>
              <w:spacing w:after="0" w:line="130" w:lineRule="exact"/>
              <w:rPr>
                <w:sz w:val="20"/>
                <w:szCs w:val="20"/>
                <w:color w:val="auto"/>
              </w:rPr>
            </w:pPr>
            <w:r>
              <w:rPr>
                <w:rFonts w:ascii="Arial" w:cs="Arial" w:eastAsia="Arial" w:hAnsi="Arial"/>
                <w:sz w:val="14"/>
                <w:szCs w:val="14"/>
                <w:color w:val="auto"/>
              </w:rPr>
              <w:t>1.0%</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8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L+825, 03/31/2025</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Deva Holdings, Inc.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Consumer Goods:</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jc w:val="right"/>
              <w:ind w:right="55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7,344</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75 Spring Street, Floor 8</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Non-Durable</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L+550, 10/31/2023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 York, NY 10012</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Digital Room Holdings,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7"/>
              </w:rPr>
              <w:t>Media: Advertising,</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jc w:val="right"/>
              <w:ind w:right="558"/>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8000 Haskell Ave.</w:t>
            </w:r>
          </w:p>
        </w:tc>
        <w:tc>
          <w:tcPr>
            <w:tcW w:w="18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4"/>
              </w:rPr>
              <w:t>Printing and Publishing</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L+500, 12/29/2023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Van Nuys, CA 91406</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Type of Investment,</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Voting</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740" w:type="dxa"/>
            <w:vAlign w:val="bottom"/>
            <w:gridSpan w:val="3"/>
            <w:vMerge w:val="continue"/>
          </w:tcPr>
          <w:p>
            <w:pPr>
              <w:spacing w:after="0"/>
              <w:rPr>
                <w:sz w:val="12"/>
                <w:szCs w:val="12"/>
                <w:color w:val="auto"/>
              </w:rPr>
            </w:pPr>
          </w:p>
        </w:tc>
        <w:tc>
          <w:tcPr>
            <w:tcW w:w="1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Nature of Business</w:t>
            </w:r>
          </w:p>
        </w:tc>
        <w:tc>
          <w:tcPr>
            <w:tcW w:w="3380" w:type="dxa"/>
            <w:vAlign w:val="bottom"/>
            <w:gridSpan w:val="2"/>
            <w:vMerge w:val="continue"/>
          </w:tcPr>
          <w:p>
            <w:pPr>
              <w:spacing w:after="0"/>
              <w:rPr>
                <w:sz w:val="12"/>
                <w:szCs w:val="12"/>
                <w:color w:val="auto"/>
              </w:rPr>
            </w:pPr>
          </w:p>
        </w:tc>
        <w:tc>
          <w:tcPr>
            <w:tcW w:w="140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920" w:type="dxa"/>
            <w:vAlign w:val="bottom"/>
            <w:gridSpan w:val="2"/>
            <w:vMerge w:val="continue"/>
          </w:tcPr>
          <w:p>
            <w:pPr>
              <w:spacing w:after="0"/>
              <w:rPr>
                <w:sz w:val="14"/>
                <w:szCs w:val="14"/>
                <w:color w:val="auto"/>
              </w:rPr>
            </w:pP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37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54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380" w:type="dxa"/>
            <w:vAlign w:val="bottom"/>
            <w:shd w:val="clear" w:color="auto" w:fill="CCEEFF"/>
          </w:tcPr>
          <w:p>
            <w:pPr>
              <w:spacing w:after="0"/>
              <w:rPr>
                <w:sz w:val="9"/>
                <w:szCs w:val="9"/>
                <w:color w:val="auto"/>
              </w:rPr>
            </w:pPr>
          </w:p>
        </w:tc>
        <w:tc>
          <w:tcPr>
            <w:tcW w:w="300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380" w:type="dxa"/>
            <w:vAlign w:val="bottom"/>
            <w:shd w:val="clear" w:color="auto" w:fill="CCEEFF"/>
          </w:tcPr>
          <w:p>
            <w:pPr>
              <w:spacing w:after="0"/>
              <w:rPr>
                <w:sz w:val="9"/>
                <w:szCs w:val="9"/>
                <w:color w:val="auto"/>
              </w:rPr>
            </w:pPr>
          </w:p>
        </w:tc>
        <w:tc>
          <w:tcPr>
            <w:tcW w:w="860" w:type="dxa"/>
            <w:vAlign w:val="bottom"/>
            <w:shd w:val="clear" w:color="auto" w:fill="CCEEFF"/>
          </w:tcPr>
          <w:p>
            <w:pPr>
              <w:ind w:left="660"/>
              <w:spacing w:after="0" w:line="109" w:lineRule="exact"/>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14,312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9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1"/>
              </w:rPr>
              <w:t>Rubber</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L+575, 03/29/2022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Driven Performance Brands, Inc.</w:t>
            </w: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Consumer Goods: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10,085</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100 Stony Point Rd., Suite 125</w:t>
            </w:r>
          </w:p>
        </w:tc>
        <w:tc>
          <w:tcPr>
            <w:tcW w:w="1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Durable</w:t>
            </w: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2M L+475, 09/30/2022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Santa Rosa, CA 95401</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East Valley Tourist Development Authority</w:t>
            </w:r>
          </w:p>
        </w:tc>
        <w:tc>
          <w:tcPr>
            <w:tcW w:w="19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Hotel, Gaming and</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20,173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84245 Indio Springs Dr.</w:t>
            </w:r>
          </w:p>
        </w:tc>
        <w:tc>
          <w:tcPr>
            <w:tcW w:w="19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1"/>
              </w:rPr>
              <w:t>Leisure</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L+800, 03/07/2022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Indio, CA 92203</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Education Networks of America, Inc.</w:t>
            </w: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Telecommunications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22,047</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618 Grassmere Park Drive</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1M L+700, 05/06/2021</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Suite 12</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Nashville, TN 37211</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9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6"/>
              </w:rPr>
              <w:t>Media: Diversified and</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9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2"/>
              </w:rPr>
              <w:t>Production</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L+675, 06/15/2022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ENC Holding Corporation</w:t>
            </w: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Transportation: Cargo</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100-110 West Columbia Street</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 05/30/2025</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Schuylkill Haven, PA 17972</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9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Construction and</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6"/>
              </w:rPr>
              <w:t>Common Equity</w:t>
            </w:r>
          </w:p>
        </w:tc>
        <w:tc>
          <w:tcPr>
            <w:tcW w:w="140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0.1%</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9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rPr>
              <w:t>Building</w:t>
            </w:r>
          </w:p>
        </w:tc>
        <w:tc>
          <w:tcPr>
            <w:tcW w:w="30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GCOM Software LLC</w:t>
            </w: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High Tech Industries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80"/>
              <w:spacing w:after="0"/>
              <w:rPr>
                <w:sz w:val="20"/>
                <w:szCs w:val="20"/>
                <w:color w:val="auto"/>
              </w:rPr>
            </w:pPr>
            <w:r>
              <w:rPr>
                <w:rFonts w:ascii="Arial" w:cs="Arial" w:eastAsia="Arial" w:hAnsi="Arial"/>
                <w:sz w:val="14"/>
                <w:szCs w:val="14"/>
                <w:color w:val="auto"/>
              </w:rPr>
              <w:t>3.1%</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(GCOM InvestCo LP)</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 11/14/2022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 xml:space="preserve">Common Equity </w:t>
            </w:r>
            <w:r>
              <w:rPr>
                <w:rFonts w:ascii="Arial" w:cs="Arial" w:eastAsia="Arial" w:hAnsi="Arial"/>
                <w:sz w:val="12"/>
                <w:szCs w:val="12"/>
                <w:color w:val="auto"/>
                <w:w w:val="96"/>
              </w:rPr>
              <w:t>(4)(5)</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Albany, NY 12203</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GSM Holdings, Inc.</w:t>
            </w:r>
          </w:p>
        </w:tc>
        <w:tc>
          <w:tcPr>
            <w:tcW w:w="19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1"/>
              </w:rPr>
              <w:t>Consumer Goods:</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3385 Roy Orr Blvd., Suite B</w:t>
            </w:r>
          </w:p>
        </w:tc>
        <w:tc>
          <w:tcPr>
            <w:tcW w:w="192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3"/>
              </w:rPr>
              <w:t>Durable</w:t>
            </w: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L+450, 06/03/2024</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Grand Prairie, TX 75050</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Hollander Sleep Products, LLC</w:t>
            </w: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Consumer Goods: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First Lien Secured Debt,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10,843</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6501 Congress Avenue, Ste. 300</w:t>
            </w:r>
          </w:p>
        </w:tc>
        <w:tc>
          <w:tcPr>
            <w:tcW w:w="19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Non-Durable</w:t>
            </w: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3M L+800, 06/09/2023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Boca Raton, FL 33487</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iEnergizer Limited and Aptara, Inc.</w:t>
            </w:r>
            <w:r>
              <w:rPr>
                <w:rFonts w:ascii="Arial" w:cs="Arial" w:eastAsia="Arial" w:hAnsi="Arial"/>
                <w:sz w:val="12"/>
                <w:szCs w:val="12"/>
                <w:color w:val="auto"/>
              </w:rPr>
              <w:t>(3)</w:t>
            </w:r>
          </w:p>
        </w:tc>
        <w:tc>
          <w:tcPr>
            <w:tcW w:w="19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89"/>
              </w:rPr>
              <w:t>Business Services</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1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1M L+600, 05/01/2019</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Sampson, Guernsey GY2 4LH</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Impact Group, LLC</w:t>
            </w: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Wholesale</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12,358</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915 W. Jefferson Street</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1M L+625, 06/27/2023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Boise, ID 83702</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Innova Medical Ophthalmics Inc. </w:t>
            </w:r>
            <w:r>
              <w:rPr>
                <w:rFonts w:ascii="Arial" w:cs="Arial" w:eastAsia="Arial" w:hAnsi="Arial"/>
                <w:sz w:val="12"/>
                <w:szCs w:val="12"/>
                <w:color w:val="auto"/>
              </w:rPr>
              <w:t>(3)</w:t>
            </w:r>
          </w:p>
        </w:tc>
        <w:tc>
          <w:tcPr>
            <w:tcW w:w="192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Capital Equipment</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5358 Robin Hood Road</w:t>
            </w:r>
          </w:p>
        </w:tc>
        <w:tc>
          <w:tcPr>
            <w:tcW w:w="1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3M L+675, 04/13/2022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Norfolk, VA 23513</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3"/>
          </w:tcPr>
          <w:p>
            <w:pPr>
              <w:spacing w:after="0"/>
              <w:rPr>
                <w:sz w:val="20"/>
                <w:szCs w:val="20"/>
                <w:color w:val="auto"/>
              </w:rPr>
            </w:pPr>
            <w:r>
              <w:rPr>
                <w:rFonts w:ascii="Arial" w:cs="Arial" w:eastAsia="Arial" w:hAnsi="Arial"/>
                <w:sz w:val="14"/>
                <w:szCs w:val="14"/>
                <w:color w:val="auto"/>
              </w:rPr>
              <w:t>Integrative Nutrition, LLC</w:t>
            </w:r>
          </w:p>
        </w:tc>
        <w:tc>
          <w:tcPr>
            <w:tcW w:w="192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Consumer Services</w:t>
            </w:r>
          </w:p>
        </w:tc>
        <w:tc>
          <w:tcPr>
            <w:tcW w:w="338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80"/>
              <w:spacing w:after="0"/>
              <w:rPr>
                <w:sz w:val="20"/>
                <w:szCs w:val="20"/>
                <w:color w:val="auto"/>
              </w:rPr>
            </w:pPr>
            <w:r>
              <w:rPr>
                <w:rFonts w:ascii="Arial" w:cs="Arial" w:eastAsia="Arial" w:hAnsi="Arial"/>
                <w:sz w:val="14"/>
                <w:szCs w:val="14"/>
                <w:color w:val="auto"/>
              </w:rPr>
              <w:t>1.5%</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36,640</w:t>
            </w: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(IIN Group Holdings, LLC)</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3M L+475, 09/29/2023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3"/>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1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 xml:space="preserve">Common Equity </w:t>
            </w:r>
            <w:r>
              <w:rPr>
                <w:rFonts w:ascii="Arial" w:cs="Arial" w:eastAsia="Arial" w:hAnsi="Arial"/>
                <w:sz w:val="12"/>
                <w:szCs w:val="12"/>
                <w:color w:val="auto"/>
                <w:w w:val="94"/>
              </w:rPr>
              <w:t>(5)</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4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Intralinks, Inc.</w:t>
            </w:r>
          </w:p>
        </w:tc>
        <w:tc>
          <w:tcPr>
            <w:tcW w:w="192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89"/>
              </w:rPr>
              <w:t>Business Services</w:t>
            </w:r>
          </w:p>
        </w:tc>
        <w:tc>
          <w:tcPr>
            <w:tcW w:w="338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 East 42nd Street, 8th Floor</w:t>
            </w:r>
          </w:p>
        </w:tc>
        <w:tc>
          <w:tcPr>
            <w:tcW w:w="1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6"/>
              </w:rPr>
              <w:t>1M L+400,11/14/2024</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Voting</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780" w:type="dxa"/>
            <w:vAlign w:val="bottom"/>
            <w:gridSpan w:val="3"/>
            <w:vMerge w:val="continue"/>
          </w:tcPr>
          <w:p>
            <w:pPr>
              <w:spacing w:after="0"/>
              <w:rPr>
                <w:sz w:val="12"/>
                <w:szCs w:val="12"/>
                <w:color w:val="auto"/>
              </w:rPr>
            </w:pPr>
          </w:p>
        </w:tc>
        <w:tc>
          <w:tcPr>
            <w:tcW w:w="1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Nature of Business</w:t>
            </w:r>
          </w:p>
        </w:tc>
        <w:tc>
          <w:tcPr>
            <w:tcW w:w="3400" w:type="dxa"/>
            <w:vAlign w:val="bottom"/>
            <w:gridSpan w:val="2"/>
            <w:vMerge w:val="continue"/>
          </w:tcPr>
          <w:p>
            <w:pPr>
              <w:spacing w:after="0"/>
              <w:rPr>
                <w:sz w:val="12"/>
                <w:szCs w:val="12"/>
                <w:color w:val="auto"/>
              </w:rPr>
            </w:pPr>
          </w:p>
        </w:tc>
        <w:tc>
          <w:tcPr>
            <w:tcW w:w="140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0"/>
              </w:rPr>
              <w:t>Percentage</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60" w:type="dxa"/>
            <w:vAlign w:val="bottom"/>
            <w:gridSpan w:val="2"/>
            <w:vMerge w:val="continue"/>
          </w:tcPr>
          <w:p>
            <w:pPr>
              <w:spacing w:after="0"/>
              <w:rPr>
                <w:sz w:val="15"/>
                <w:szCs w:val="15"/>
                <w:color w:val="auto"/>
              </w:rPr>
            </w:pP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Inventus Power, Inc.</w:t>
            </w:r>
          </w:p>
        </w:tc>
        <w:tc>
          <w:tcPr>
            <w:tcW w:w="1900" w:type="dxa"/>
            <w:vAlign w:val="bottom"/>
            <w:tcBorders>
              <w:top w:val="single" w:sz="8" w:color="CCEEFF"/>
            </w:tcBorders>
            <w:shd w:val="clear" w:color="auto" w:fill="CCEEFF"/>
          </w:tcPr>
          <w:p>
            <w:pPr>
              <w:spacing w:after="0"/>
              <w:rPr>
                <w:sz w:val="9"/>
                <w:szCs w:val="9"/>
                <w:color w:val="auto"/>
              </w:rPr>
            </w:pPr>
          </w:p>
        </w:tc>
        <w:tc>
          <w:tcPr>
            <w:tcW w:w="14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Goods:</w:t>
            </w:r>
          </w:p>
        </w:tc>
        <w:tc>
          <w:tcPr>
            <w:tcW w:w="380" w:type="dxa"/>
            <w:vAlign w:val="bottom"/>
            <w:tcBorders>
              <w:top w:val="single" w:sz="8" w:color="CCEEFF"/>
            </w:tcBorders>
            <w:shd w:val="clear" w:color="auto" w:fill="CCEEFF"/>
          </w:tcPr>
          <w:p>
            <w:pPr>
              <w:spacing w:after="0"/>
              <w:rPr>
                <w:sz w:val="9"/>
                <w:szCs w:val="9"/>
                <w:color w:val="auto"/>
              </w:rPr>
            </w:pPr>
          </w:p>
        </w:tc>
        <w:tc>
          <w:tcPr>
            <w:tcW w:w="30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3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ind w:left="660"/>
              <w:spacing w:after="0" w:line="109"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3,934</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7"/>
              </w:rPr>
              <w:t>Durable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L+650, 04/30/2020</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Woodridge, IL 60517</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JWC/UMA Holdings, L.P.</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Healthcare and</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Common Equity</w:t>
            </w:r>
          </w:p>
        </w:tc>
        <w:tc>
          <w:tcPr>
            <w:tcW w:w="1400" w:type="dxa"/>
            <w:vAlign w:val="bottom"/>
            <w:gridSpan w:val="2"/>
          </w:tcPr>
          <w:p>
            <w:pPr>
              <w:ind w:left="680"/>
              <w:spacing w:after="0"/>
              <w:rPr>
                <w:sz w:val="20"/>
                <w:szCs w:val="20"/>
                <w:color w:val="auto"/>
              </w:rPr>
            </w:pPr>
            <w:r>
              <w:rPr>
                <w:rFonts w:ascii="Arial" w:cs="Arial" w:eastAsia="Arial" w:hAnsi="Arial"/>
                <w:sz w:val="14"/>
                <w:szCs w:val="14"/>
                <w:color w:val="auto"/>
              </w:rPr>
              <w:t>0.2%</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Pharmaceuticals</w:t>
            </w: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Bloomfield, NJ 07003</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Chemicals, Plastics and</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Rubber</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L+900, 02/19/2021</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KHC Holdings,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1"/>
              </w:rPr>
              <w:t>Wholesale</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12,371</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3300 Brother Boulevard</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L+600, 10/31/2022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Memphis, TN 38133</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86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Hotel, Gaming and</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Leisure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L+950, 03/07/2022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Leap Legal Software Pty Ltd</w:t>
            </w:r>
            <w:r>
              <w:rPr>
                <w:rFonts w:ascii="Arial" w:cs="Arial" w:eastAsia="Arial" w:hAnsi="Arial"/>
                <w:sz w:val="12"/>
                <w:szCs w:val="12"/>
                <w:color w:val="auto"/>
              </w:rPr>
              <w:t>(3)</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High Tech Industries</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Level 15, 135 King Street</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L+575, 09/12/2022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Sydney, NSW, 2000</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Healthcare and</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2"/>
              </w:rPr>
              <w:t>Pharmaceuticals</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L+800 (PIK 6.00%), 11/30/2021</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Lombart Brothers,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Capital Equipment</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9,819</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L+675, 04/13/2022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 Island Vision Management, LLC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Healthcare and</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805 Broadway</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2"/>
              </w:rPr>
              <w:t>Pharmaceuticals</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L+475, 09/11/2023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11701</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Long’s Drugs Incorporated</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Healthcare and</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9,840</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Pharmaceuticals</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L+500, 08/19/2022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Columbia, SC 29210</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LSF9 Atlantis Holdings, LLC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rPr>
              <w:t>Retail</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13,538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L+600, 05/01/2023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Media: Advertising,</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Second Lien Secured Debt,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5901 Highway 52 East</w:t>
            </w: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Printing and Publishing</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L+925, 10/23/2024</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Helena, AL 35080</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Manna Pro Products, LLC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1"/>
              </w:rPr>
              <w:t>Consumer Goods:</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Non-Durable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L+600, 12/08/2023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Chesterfield, MO 63005</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Marketplace Events LLC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Media: Diversified and</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16,514</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8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Production</w:t>
            </w:r>
          </w:p>
        </w:tc>
        <w:tc>
          <w:tcPr>
            <w:tcW w:w="3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USD (3M L+525, 01/27/2021),</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Solon, OH 44139</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CAD (P+275, 01/27/2021)</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McAfee, LLC</w:t>
            </w:r>
          </w:p>
        </w:tc>
        <w:tc>
          <w:tcPr>
            <w:tcW w:w="186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Second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2,544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L+850, 09/29/2025</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Santa Clara, CA 95054</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80" w:type="dxa"/>
            <w:vAlign w:val="bottom"/>
            <w:gridSpan w:val="3"/>
          </w:tcPr>
          <w:p>
            <w:pPr>
              <w:spacing w:after="0"/>
              <w:rPr>
                <w:sz w:val="20"/>
                <w:szCs w:val="20"/>
                <w:color w:val="auto"/>
              </w:rPr>
            </w:pPr>
            <w:r>
              <w:rPr>
                <w:rFonts w:ascii="Arial" w:cs="Arial" w:eastAsia="Arial" w:hAnsi="Arial"/>
                <w:sz w:val="14"/>
                <w:szCs w:val="14"/>
                <w:color w:val="auto"/>
              </w:rPr>
              <w:t>Mission Critical Electronics, Inc.</w:t>
            </w:r>
          </w:p>
        </w:tc>
        <w:tc>
          <w:tcPr>
            <w:tcW w:w="186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Capital Equipment</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780" w:type="dxa"/>
            <w:vAlign w:val="bottom"/>
            <w:gridSpan w:val="3"/>
          </w:tcPr>
          <w:p>
            <w:pPr>
              <w:spacing w:after="0" w:line="149" w:lineRule="exact"/>
              <w:rPr>
                <w:sz w:val="20"/>
                <w:szCs w:val="20"/>
                <w:color w:val="auto"/>
              </w:rPr>
            </w:pPr>
            <w:r>
              <w:rPr>
                <w:rFonts w:ascii="Arial" w:cs="Arial" w:eastAsia="Arial" w:hAnsi="Arial"/>
                <w:sz w:val="14"/>
                <w:szCs w:val="14"/>
                <w:color w:val="auto"/>
              </w:rPr>
              <w:t>2911 W. Garry Ave.</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 09/28/2021</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80" w:type="dxa"/>
            <w:vAlign w:val="bottom"/>
            <w:gridSpan w:val="3"/>
          </w:tcPr>
          <w:p>
            <w:pPr>
              <w:spacing w:after="0"/>
              <w:rPr>
                <w:sz w:val="20"/>
                <w:szCs w:val="20"/>
                <w:color w:val="auto"/>
              </w:rPr>
            </w:pPr>
            <w:r>
              <w:rPr>
                <w:rFonts w:ascii="Arial" w:cs="Arial" w:eastAsia="Arial" w:hAnsi="Arial"/>
                <w:sz w:val="14"/>
                <w:szCs w:val="14"/>
                <w:color w:val="auto"/>
              </w:rPr>
              <w:t>Santa Ana, CA 92704</w:t>
            </w:r>
          </w:p>
        </w:tc>
        <w:tc>
          <w:tcPr>
            <w:tcW w:w="1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860" w:type="dxa"/>
            <w:vAlign w:val="bottom"/>
            <w:gridSpan w:val="2"/>
            <w:shd w:val="clear" w:color="auto" w:fill="CCEEFF"/>
          </w:tcPr>
          <w:p>
            <w:pPr>
              <w:jc w:val="center"/>
              <w:ind w:right="400"/>
              <w:spacing w:after="0" w:line="130" w:lineRule="exact"/>
              <w:rPr>
                <w:sz w:val="20"/>
                <w:szCs w:val="20"/>
                <w:color w:val="auto"/>
              </w:rPr>
            </w:pPr>
            <w:r>
              <w:rPr>
                <w:rFonts w:ascii="Arial" w:cs="Arial" w:eastAsia="Arial" w:hAnsi="Arial"/>
                <w:sz w:val="14"/>
                <w:szCs w:val="14"/>
                <w:color w:val="auto"/>
                <w:w w:val="94"/>
              </w:rPr>
              <w:t>Hotel, Gaming and</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23,351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86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Leisure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L+825, 01/24/2023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Type of Investment,</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8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Nature of Business</w:t>
            </w:r>
          </w:p>
        </w:tc>
        <w:tc>
          <w:tcPr>
            <w:tcW w:w="3400" w:type="dxa"/>
            <w:vAlign w:val="bottom"/>
            <w:gridSpan w:val="2"/>
            <w:vMerge w:val="continue"/>
          </w:tcPr>
          <w:p>
            <w:pPr>
              <w:spacing w:after="0"/>
              <w:rPr>
                <w:sz w:val="12"/>
                <w:szCs w:val="12"/>
                <w:color w:val="auto"/>
              </w:rPr>
            </w:pPr>
          </w:p>
        </w:tc>
        <w:tc>
          <w:tcPr>
            <w:tcW w:w="140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40" w:type="dxa"/>
            <w:vAlign w:val="bottom"/>
            <w:gridSpan w:val="2"/>
            <w:vMerge w:val="continue"/>
          </w:tcPr>
          <w:p>
            <w:pPr>
              <w:spacing w:after="0"/>
              <w:rPr>
                <w:sz w:val="15"/>
                <w:szCs w:val="15"/>
                <w:color w:val="auto"/>
              </w:rPr>
            </w:pP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Morphe, LLC</w:t>
            </w:r>
          </w:p>
        </w:tc>
        <w:tc>
          <w:tcPr>
            <w:tcW w:w="1980" w:type="dxa"/>
            <w:vAlign w:val="bottom"/>
            <w:tcBorders>
              <w:top w:val="single" w:sz="8" w:color="CCEEFF"/>
            </w:tcBorders>
            <w:shd w:val="clear" w:color="auto" w:fill="CCEEFF"/>
          </w:tcPr>
          <w:p>
            <w:pPr>
              <w:spacing w:after="0"/>
              <w:rPr>
                <w:sz w:val="9"/>
                <w:szCs w:val="9"/>
                <w:color w:val="auto"/>
              </w:rPr>
            </w:pP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Goods:</w:t>
            </w:r>
          </w:p>
        </w:tc>
        <w:tc>
          <w:tcPr>
            <w:tcW w:w="380" w:type="dxa"/>
            <w:vAlign w:val="bottom"/>
            <w:tcBorders>
              <w:top w:val="single" w:sz="8" w:color="CCEEFF"/>
            </w:tcBorders>
            <w:shd w:val="clear" w:color="auto" w:fill="CCEEFF"/>
          </w:tcPr>
          <w:p>
            <w:pPr>
              <w:spacing w:after="0"/>
              <w:rPr>
                <w:sz w:val="9"/>
                <w:szCs w:val="9"/>
                <w:color w:val="auto"/>
              </w:rPr>
            </w:pPr>
          </w:p>
        </w:tc>
        <w:tc>
          <w:tcPr>
            <w:tcW w:w="30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38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rPr>
              <w:t>—</w:t>
            </w:r>
          </w:p>
        </w:tc>
        <w:tc>
          <w:tcPr>
            <w:tcW w:w="5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20,541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10340 Glenoaks Blvd.</w:t>
            </w:r>
          </w:p>
        </w:tc>
        <w:tc>
          <w:tcPr>
            <w:tcW w:w="18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5"/>
              </w:rPr>
              <w:t>Non-Durable</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L+600, 02/10/2023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Pacoima, CA 91331</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New Trident HoldCorp, Inc.</w:t>
            </w: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930 Ridgebrook Road, 3rd Floor</w:t>
            </w:r>
          </w:p>
        </w:tc>
        <w:tc>
          <w:tcPr>
            <w:tcW w:w="18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Pharmaceuticals</w:t>
            </w:r>
          </w:p>
        </w:tc>
        <w:tc>
          <w:tcPr>
            <w:tcW w:w="3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1M L+600 (PIK 3.00%), 08/01/2022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Sparks, MD 21152</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NextiraOne Federal, LLC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0"/>
              </w:rPr>
              <w:t>Aerospace and Defense</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20,936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NXOF Holdings, Inc.</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L+575, 08/27/2024</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510 Spring St., #200</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4"/>
              </w:rPr>
              <w:t>Preferred Equity</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20170</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color w:val="auto"/>
                <w:w w:val="96"/>
              </w:rPr>
              <w:t>Common Equity</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Olde Thompson,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Beverage, Food and</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3250 Camino Del Sol</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L+450, 05/14/2024</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Oxnard, CA 93030</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8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2"/>
              </w:rPr>
              <w:t>Construction and</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8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rPr>
              <w:t>Building</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L+625, 02/27/2023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Beverage, Food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14,850</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141 Hamilton Road</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L+525, 06/01/2023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 Hamburg, Ontario, Canada N3A 2H1</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Profile Products LLC</w:t>
            </w:r>
          </w:p>
        </w:tc>
        <w:tc>
          <w:tcPr>
            <w:tcW w:w="18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Environmental Industries</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750 Lake Cook Road, Suite 440</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2M L+500, 01/31/2023</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Buffalo Grove, IL 60089</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PT Network, LLC</w:t>
            </w: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Healthcare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Second Lien Secured Debt,</w:t>
            </w:r>
          </w:p>
        </w:tc>
        <w:tc>
          <w:tcPr>
            <w:tcW w:w="1400" w:type="dxa"/>
            <w:vAlign w:val="bottom"/>
            <w:gridSpan w:val="2"/>
          </w:tcPr>
          <w:p>
            <w:pPr>
              <w:ind w:left="680"/>
              <w:spacing w:after="0"/>
              <w:rPr>
                <w:sz w:val="20"/>
                <w:szCs w:val="20"/>
                <w:color w:val="auto"/>
              </w:rPr>
            </w:pPr>
            <w:r>
              <w:rPr>
                <w:rFonts w:ascii="Arial" w:cs="Arial" w:eastAsia="Arial" w:hAnsi="Arial"/>
                <w:sz w:val="14"/>
                <w:szCs w:val="14"/>
                <w:color w:val="auto"/>
              </w:rPr>
              <w:t>0.1%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1,873</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8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Pharmaceuticals</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L+1,000, 04/12/2023</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500 Park Avenue, 8</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LLC</w:t>
            </w:r>
          </w:p>
        </w:tc>
        <w:tc>
          <w:tcPr>
            <w:tcW w:w="184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6"/>
              </w:rPr>
              <w:t>Media: Diversified and</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8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2"/>
              </w:rPr>
              <w:t>Production</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3M L+625, 09/09/2024</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Quick Weight Loss Centers, LLC</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Beverage, Food and</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7,922</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3161 Mcnab Road</w:t>
            </w:r>
          </w:p>
        </w:tc>
        <w:tc>
          <w:tcPr>
            <w:tcW w:w="1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L+475, 08/23/2021</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Pompano Beach, FL 33069</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7"/>
              </w:rPr>
              <w:t>Media: Advertising,</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8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94"/>
              </w:rPr>
              <w:t>Printing and Publishing</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L+625, 06/28/2022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Research Now Group, Inc. and Survey Sampling</w:t>
            </w:r>
          </w:p>
        </w:tc>
        <w:tc>
          <w:tcPr>
            <w:tcW w:w="184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Business Services</w:t>
            </w:r>
          </w:p>
        </w:tc>
        <w:tc>
          <w:tcPr>
            <w:tcW w:w="34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24,882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International LLC</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1M L+550, 12/20/2024</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Plano, TX 75024</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2"/>
            <w:shd w:val="clear" w:color="auto" w:fill="CCEEFF"/>
          </w:tcPr>
          <w:p>
            <w:pPr>
              <w:jc w:val="center"/>
              <w:ind w:right="380"/>
              <w:spacing w:after="0" w:line="130" w:lineRule="exact"/>
              <w:rPr>
                <w:sz w:val="20"/>
                <w:szCs w:val="20"/>
                <w:color w:val="auto"/>
              </w:rPr>
            </w:pPr>
            <w:r>
              <w:rPr>
                <w:rFonts w:ascii="Arial" w:cs="Arial" w:eastAsia="Arial" w:hAnsi="Arial"/>
                <w:sz w:val="14"/>
                <w:szCs w:val="14"/>
                <w:color w:val="auto"/>
                <w:w w:val="94"/>
              </w:rPr>
              <w:t>First Lien Secured Debt,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L+575, 02/28/2022</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SFP Holding, Inc.</w:t>
            </w:r>
          </w:p>
        </w:tc>
        <w:tc>
          <w:tcPr>
            <w:tcW w:w="1840" w:type="dxa"/>
            <w:vAlign w:val="bottom"/>
            <w:gridSpan w:val="2"/>
          </w:tcPr>
          <w:p>
            <w:pPr>
              <w:jc w:val="center"/>
              <w:ind w:right="380"/>
              <w:spacing w:after="0"/>
              <w:rPr>
                <w:sz w:val="20"/>
                <w:szCs w:val="20"/>
                <w:color w:val="auto"/>
              </w:rPr>
            </w:pPr>
            <w:r>
              <w:rPr>
                <w:rFonts w:ascii="Arial" w:cs="Arial" w:eastAsia="Arial" w:hAnsi="Arial"/>
                <w:sz w:val="14"/>
                <w:szCs w:val="14"/>
                <w:color w:val="auto"/>
                <w:w w:val="92"/>
              </w:rPr>
              <w:t>Construction and</w:t>
            </w:r>
          </w:p>
        </w:tc>
        <w:tc>
          <w:tcPr>
            <w:tcW w:w="34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tcPr>
          <w:p>
            <w:pPr>
              <w:ind w:left="680"/>
              <w:spacing w:after="0"/>
              <w:rPr>
                <w:sz w:val="20"/>
                <w:szCs w:val="20"/>
                <w:color w:val="auto"/>
              </w:rPr>
            </w:pPr>
            <w:r>
              <w:rPr>
                <w:rFonts w:ascii="Arial" w:cs="Arial" w:eastAsia="Arial" w:hAnsi="Arial"/>
                <w:sz w:val="14"/>
                <w:szCs w:val="14"/>
                <w:color w:val="auto"/>
              </w:rPr>
              <w:t>0.8%</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6,582</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(CI (Summit) Investment Holdings, LLC)</w:t>
            </w:r>
          </w:p>
        </w:tc>
        <w:tc>
          <w:tcPr>
            <w:tcW w:w="184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Building</w:t>
            </w:r>
          </w:p>
        </w:tc>
        <w:tc>
          <w:tcPr>
            <w:tcW w:w="34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3M L+625, 09/01/2022</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4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1"/>
              </w:rPr>
              <w:t>Beverage, Food and</w:t>
            </w:r>
          </w:p>
        </w:tc>
        <w:tc>
          <w:tcPr>
            <w:tcW w:w="3400" w:type="dxa"/>
            <w:vAlign w:val="bottom"/>
            <w:gridSpan w:val="2"/>
            <w:shd w:val="clear" w:color="auto" w:fill="CCEEFF"/>
          </w:tcPr>
          <w:p>
            <w:pPr>
              <w:jc w:val="center"/>
              <w:ind w:right="3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0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40" w:type="dxa"/>
            <w:vAlign w:val="bottom"/>
            <w:gridSpan w:val="2"/>
            <w:shd w:val="clear" w:color="auto" w:fill="CCEEFF"/>
          </w:tcPr>
          <w:p>
            <w:pPr>
              <w:jc w:val="center"/>
              <w:ind w:right="360"/>
              <w:spacing w:after="0" w:line="149" w:lineRule="exact"/>
              <w:rPr>
                <w:sz w:val="20"/>
                <w:szCs w:val="20"/>
                <w:color w:val="auto"/>
              </w:rPr>
            </w:pPr>
            <w:r>
              <w:rPr>
                <w:rFonts w:ascii="Arial" w:cs="Arial" w:eastAsia="Arial" w:hAnsi="Arial"/>
                <w:sz w:val="14"/>
                <w:szCs w:val="14"/>
                <w:color w:val="auto"/>
                <w:w w:val="89"/>
              </w:rPr>
              <w:t>Tobacco</w:t>
            </w:r>
          </w:p>
        </w:tc>
        <w:tc>
          <w:tcPr>
            <w:tcW w:w="340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color w:val="auto"/>
                <w:w w:val="95"/>
              </w:rPr>
              <w:t>1M L+600, 07/19/2021</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4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2"/>
              </w:rPr>
              <w:t>Type of Investment,</w:t>
            </w: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Voting</w:t>
            </w: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960" w:type="dxa"/>
            <w:vAlign w:val="bottom"/>
            <w:gridSpan w:val="3"/>
            <w:vMerge w:val="continue"/>
          </w:tcPr>
          <w:p>
            <w:pPr>
              <w:spacing w:after="0"/>
              <w:rPr>
                <w:sz w:val="12"/>
                <w:szCs w:val="12"/>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Nature of Business</w:t>
            </w:r>
          </w:p>
        </w:tc>
        <w:tc>
          <w:tcPr>
            <w:tcW w:w="3400" w:type="dxa"/>
            <w:vAlign w:val="bottom"/>
            <w:gridSpan w:val="3"/>
            <w:vMerge w:val="continue"/>
          </w:tcPr>
          <w:p>
            <w:pPr>
              <w:spacing w:after="0"/>
              <w:rPr>
                <w:sz w:val="12"/>
                <w:szCs w:val="12"/>
                <w:color w:val="auto"/>
              </w:rPr>
            </w:pPr>
          </w:p>
        </w:tc>
        <w:tc>
          <w:tcPr>
            <w:tcW w:w="132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w w:val="87"/>
              </w:rPr>
              <w:t>Percentage</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820" w:type="dxa"/>
            <w:vAlign w:val="bottom"/>
            <w:gridSpan w:val="2"/>
            <w:vMerge w:val="continue"/>
          </w:tcPr>
          <w:p>
            <w:pPr>
              <w:spacing w:after="0"/>
              <w:rPr>
                <w:sz w:val="14"/>
                <w:szCs w:val="14"/>
                <w:color w:val="auto"/>
              </w:rPr>
            </w:pPr>
          </w:p>
        </w:tc>
        <w:tc>
          <w:tcPr>
            <w:tcW w:w="34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(2)</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0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Softvision, LLC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High Tech Industries</w:t>
            </w:r>
          </w:p>
        </w:tc>
        <w:tc>
          <w:tcPr>
            <w:tcW w:w="3400" w:type="dxa"/>
            <w:vAlign w:val="bottom"/>
            <w:gridSpan w:val="3"/>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Concourse Pkwy., Ste. 500</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L+550, 05/21/2021</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TeleGuam Holdings,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Telecommunications</w:t>
            </w:r>
          </w:p>
        </w:tc>
        <w:tc>
          <w:tcPr>
            <w:tcW w:w="34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7,940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L+500, 07/25/2023</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Tamuning, Guam 96913</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Tensar Corporation</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Construction and</w:t>
            </w:r>
          </w:p>
        </w:tc>
        <w:tc>
          <w:tcPr>
            <w:tcW w:w="3400" w:type="dxa"/>
            <w:vAlign w:val="bottom"/>
            <w:gridSpan w:val="3"/>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22,281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8"/>
              </w:rPr>
              <w:t>Buildings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L+475, 07/09/2021</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30009</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The Infosoft Group,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Media: Broadcasting and</w:t>
            </w:r>
          </w:p>
        </w:tc>
        <w:tc>
          <w:tcPr>
            <w:tcW w:w="34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ind w:left="680"/>
              <w:spacing w:after="0"/>
              <w:rPr>
                <w:sz w:val="20"/>
                <w:szCs w:val="20"/>
                <w:color w:val="auto"/>
              </w:rPr>
            </w:pPr>
            <w:r>
              <w:rPr>
                <w:rFonts w:ascii="Arial" w:cs="Arial" w:eastAsia="Arial" w:hAnsi="Arial"/>
                <w:sz w:val="14"/>
                <w:szCs w:val="14"/>
                <w:color w:val="auto"/>
              </w:rPr>
              <w:t>1.1%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7,361</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Subscription</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L+525, 12/02/2021</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Milwaukee, WI 53202</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The Original Cakerie, Co. </w:t>
            </w:r>
            <w:r>
              <w:rPr>
                <w:rFonts w:ascii="Arial" w:cs="Arial" w:eastAsia="Arial" w:hAnsi="Arial"/>
                <w:sz w:val="12"/>
                <w:szCs w:val="12"/>
                <w:color w:val="auto"/>
              </w:rPr>
              <w:t>(3)</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Consumer Goods:</w:t>
            </w:r>
          </w:p>
        </w:tc>
        <w:tc>
          <w:tcPr>
            <w:tcW w:w="340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13,477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The Original Cakerie Ltd. </w:t>
            </w:r>
            <w:r>
              <w:rPr>
                <w:rFonts w:ascii="Arial" w:cs="Arial" w:eastAsia="Arial" w:hAnsi="Arial"/>
                <w:sz w:val="12"/>
                <w:szCs w:val="12"/>
                <w:color w:val="auto"/>
              </w:rPr>
              <w:t>(3)</w:t>
            </w:r>
          </w:p>
        </w:tc>
        <w:tc>
          <w:tcPr>
            <w:tcW w:w="18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Non-Durable</w:t>
            </w:r>
          </w:p>
        </w:tc>
        <w:tc>
          <w:tcPr>
            <w:tcW w:w="3400" w:type="dxa"/>
            <w:vAlign w:val="bottom"/>
            <w:gridSpan w:val="3"/>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4"/>
              </w:rPr>
              <w:t>The Original Cakerie, Co.</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1345 Cliveden Ave.</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BC V3M 6C7, Canada</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6"/>
              </w:rPr>
              <w:t>The Original Cakerie, Ltd.</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(2M</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L+450, 07/20/2022)</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Telecommunications</w:t>
            </w:r>
          </w:p>
        </w:tc>
        <w:tc>
          <w:tcPr>
            <w:tcW w:w="3400" w:type="dxa"/>
            <w:vAlign w:val="bottom"/>
            <w:gridSpan w:val="3"/>
          </w:tcPr>
          <w:p>
            <w:pPr>
              <w:jc w:val="center"/>
              <w:ind w:right="30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320" w:type="dxa"/>
            <w:vAlign w:val="bottom"/>
            <w:gridSpan w:val="2"/>
          </w:tcPr>
          <w:p>
            <w:pPr>
              <w:ind w:left="680"/>
              <w:spacing w:after="0"/>
              <w:rPr>
                <w:sz w:val="20"/>
                <w:szCs w:val="20"/>
                <w:color w:val="auto"/>
              </w:rPr>
            </w:pPr>
            <w:r>
              <w:rPr>
                <w:rFonts w:ascii="Arial" w:cs="Arial" w:eastAsia="Arial" w:hAnsi="Arial"/>
                <w:sz w:val="14"/>
                <w:szCs w:val="14"/>
                <w:color w:val="auto"/>
              </w:rPr>
              <w:t>2.2%</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12409 NW 35 Street</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Coral Springs, FL 33065</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Triad Manufacturing, Inc.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Capital Equipment</w:t>
            </w:r>
          </w:p>
        </w:tc>
        <w:tc>
          <w:tcPr>
            <w:tcW w:w="3400" w:type="dxa"/>
            <w:vAlign w:val="bottom"/>
            <w:gridSpan w:val="3"/>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5"/>
              </w:rPr>
              <w:t>1M L+1,325, 12/28/2020</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UBEO,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4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3,168</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L+450, 04/03/2024</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San Antonio, TX 78258</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UniTek Global Services, Inc.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3"/>
              </w:rPr>
              <w:t>Telecommunications</w:t>
            </w:r>
          </w:p>
        </w:tc>
        <w:tc>
          <w:tcPr>
            <w:tcW w:w="340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1.5%</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1777 Sentry Parkway West</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L+550, 08/20/2024</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Gwynedd Hall, Ste. 202</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Bell, PA 19422</w:t>
            </w: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300" w:type="dxa"/>
            <w:vAlign w:val="bottom"/>
            <w:gridSpan w:val="2"/>
            <w:shd w:val="clear" w:color="auto" w:fill="CCEEFF"/>
          </w:tcPr>
          <w:p>
            <w:pPr>
              <w:jc w:val="center"/>
              <w:ind w:right="1380"/>
              <w:spacing w:after="0"/>
              <w:rPr>
                <w:sz w:val="20"/>
                <w:szCs w:val="20"/>
                <w:color w:val="auto"/>
              </w:rPr>
            </w:pPr>
            <w:r>
              <w:rPr>
                <w:rFonts w:ascii="Arial" w:cs="Arial" w:eastAsia="Arial" w:hAnsi="Arial"/>
                <w:sz w:val="14"/>
                <w:szCs w:val="14"/>
                <w:color w:val="auto"/>
                <w:w w:val="91"/>
              </w:rPr>
              <w:t>Warrants</w:t>
            </w: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US Dominion, Inc.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4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ind w:left="680"/>
              <w:spacing w:after="0"/>
              <w:rPr>
                <w:sz w:val="20"/>
                <w:szCs w:val="20"/>
                <w:color w:val="auto"/>
              </w:rPr>
            </w:pPr>
            <w:r>
              <w:rPr>
                <w:rFonts w:ascii="Arial" w:cs="Arial" w:eastAsia="Arial" w:hAnsi="Arial"/>
                <w:sz w:val="14"/>
                <w:szCs w:val="14"/>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6,485</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(SSC Dominion Holdings, LLC)</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L+675, 07/15/2024</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215 Spadina Ave, Suite 200</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2"/>
              </w:rPr>
              <w:t>Healthcare and</w:t>
            </w:r>
          </w:p>
        </w:tc>
        <w:tc>
          <w:tcPr>
            <w:tcW w:w="3400" w:type="dxa"/>
            <w:vAlign w:val="bottom"/>
            <w:gridSpan w:val="3"/>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L+900, 08/13/2021</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Veterinary Specialists of North America,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Healthcare and</w:t>
            </w:r>
          </w:p>
        </w:tc>
        <w:tc>
          <w:tcPr>
            <w:tcW w:w="34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15,490</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106 Apple Street, Suite 207</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L+550, 07/15/2021</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Tinton Falls, NJ 07724</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gridSpan w:val="2"/>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9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VIP Cinema Holdings, Inc.</w:t>
            </w:r>
          </w:p>
        </w:tc>
        <w:tc>
          <w:tcPr>
            <w:tcW w:w="18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1"/>
              </w:rPr>
              <w:t>Consumer Goods:</w:t>
            </w:r>
          </w:p>
        </w:tc>
        <w:tc>
          <w:tcPr>
            <w:tcW w:w="3400" w:type="dxa"/>
            <w:vAlign w:val="bottom"/>
            <w:gridSpan w:val="3"/>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Industrial Drive</w:t>
            </w:r>
          </w:p>
        </w:tc>
        <w:tc>
          <w:tcPr>
            <w:tcW w:w="18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7"/>
              </w:rPr>
              <w:t>Durable</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L+600, 03/01/2023</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Albany, MS 38652</w:t>
            </w:r>
          </w:p>
        </w:tc>
        <w:tc>
          <w:tcPr>
            <w:tcW w:w="1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3"/>
          </w:tcPr>
          <w:p>
            <w:pPr>
              <w:spacing w:after="0"/>
              <w:rPr>
                <w:sz w:val="20"/>
                <w:szCs w:val="20"/>
                <w:color w:val="auto"/>
              </w:rPr>
            </w:pPr>
            <w:r>
              <w:rPr>
                <w:rFonts w:ascii="Arial" w:cs="Arial" w:eastAsia="Arial" w:hAnsi="Arial"/>
                <w:sz w:val="14"/>
                <w:szCs w:val="14"/>
                <w:color w:val="auto"/>
              </w:rPr>
              <w:t>Walker Edison Furniture Company LLC</w:t>
            </w: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Wholesale</w:t>
            </w:r>
          </w:p>
        </w:tc>
        <w:tc>
          <w:tcPr>
            <w:tcW w:w="340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First Lien Secured Debt,</w:t>
            </w:r>
          </w:p>
        </w:tc>
        <w:tc>
          <w:tcPr>
            <w:tcW w:w="1320" w:type="dxa"/>
            <w:vAlign w:val="bottom"/>
            <w:gridSpan w:val="2"/>
          </w:tcPr>
          <w:p>
            <w:pPr>
              <w:ind w:left="680"/>
              <w:spacing w:after="0"/>
              <w:rPr>
                <w:sz w:val="20"/>
                <w:szCs w:val="20"/>
                <w:color w:val="auto"/>
              </w:rPr>
            </w:pPr>
            <w:r>
              <w:rPr>
                <w:rFonts w:ascii="Arial" w:cs="Arial" w:eastAsia="Arial" w:hAnsi="Arial"/>
                <w:sz w:val="14"/>
                <w:szCs w:val="14"/>
                <w:color w:val="auto"/>
              </w:rPr>
              <w:t>1.3%</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17,363</w:t>
            </w: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(JWC-WE Holdings, L.P.)</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L+650, 09/26/2024</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3"/>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300" w:type="dxa"/>
            <w:vAlign w:val="bottom"/>
            <w:gridSpan w:val="2"/>
          </w:tcPr>
          <w:p>
            <w:pPr>
              <w:jc w:val="center"/>
              <w:ind w:right="358"/>
              <w:spacing w:after="0"/>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4"/>
                <w:szCs w:val="14"/>
                <w:color w:val="auto"/>
              </w:rPr>
            </w:pPr>
          </w:p>
        </w:tc>
        <w:tc>
          <w:tcPr>
            <w:tcW w:w="9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980" w:type="dxa"/>
            <w:vAlign w:val="bottom"/>
            <w:gridSpan w:val="3"/>
            <w:vMerge w:val="continue"/>
          </w:tcPr>
          <w:p>
            <w:pPr>
              <w:spacing w:after="0"/>
              <w:rPr>
                <w:sz w:val="12"/>
                <w:szCs w:val="12"/>
                <w:color w:val="auto"/>
              </w:rPr>
            </w:pP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Nature of Business</w:t>
            </w:r>
          </w:p>
        </w:tc>
        <w:tc>
          <w:tcPr>
            <w:tcW w:w="3340" w:type="dxa"/>
            <w:vAlign w:val="bottom"/>
            <w:gridSpan w:val="2"/>
            <w:vMerge w:val="continue"/>
          </w:tcPr>
          <w:p>
            <w:pPr>
              <w:spacing w:after="0"/>
              <w:rPr>
                <w:sz w:val="12"/>
                <w:szCs w:val="12"/>
                <w:color w:val="auto"/>
              </w:rPr>
            </w:pPr>
          </w:p>
        </w:tc>
        <w:tc>
          <w:tcPr>
            <w:tcW w:w="1300" w:type="dxa"/>
            <w:vAlign w:val="bottom"/>
            <w:gridSpan w:val="2"/>
          </w:tcPr>
          <w:p>
            <w:pPr>
              <w:jc w:val="center"/>
              <w:ind w:right="35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00" w:type="dxa"/>
            <w:vAlign w:val="bottom"/>
            <w:gridSpan w:val="2"/>
            <w:vMerge w:val="continue"/>
          </w:tcPr>
          <w:p>
            <w:pPr>
              <w:spacing w:after="0"/>
              <w:rPr>
                <w:sz w:val="15"/>
                <w:szCs w:val="15"/>
                <w:color w:val="auto"/>
              </w:rPr>
            </w:pP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00" w:type="dxa"/>
            <w:vAlign w:val="bottom"/>
            <w:gridSpan w:val="2"/>
          </w:tcPr>
          <w:p>
            <w:pPr>
              <w:jc w:val="center"/>
              <w:ind w:right="358"/>
              <w:spacing w:after="0"/>
              <w:rPr>
                <w:sz w:val="20"/>
                <w:szCs w:val="20"/>
                <w:color w:val="auto"/>
              </w:rPr>
            </w:pPr>
            <w:r>
              <w:rPr>
                <w:rFonts w:ascii="Arial" w:cs="Arial" w:eastAsia="Arial" w:hAnsi="Arial"/>
                <w:sz w:val="14"/>
                <w:szCs w:val="14"/>
                <w:b w:val="1"/>
                <w:bCs w:val="1"/>
                <w:color w:val="auto"/>
                <w:w w:val="92"/>
              </w:rPr>
              <w:t xml:space="preserve">Ownership </w:t>
            </w:r>
            <w:r>
              <w:rPr>
                <w:rFonts w:ascii="Arial" w:cs="Arial" w:eastAsia="Arial" w:hAnsi="Arial"/>
                <w:sz w:val="12"/>
                <w:szCs w:val="12"/>
                <w:b w:val="1"/>
                <w:bCs w:val="1"/>
                <w:color w:val="auto"/>
                <w:w w:val="92"/>
              </w:rPr>
              <w:t>(2)</w:t>
            </w:r>
          </w:p>
        </w:tc>
        <w:tc>
          <w:tcPr>
            <w:tcW w:w="18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WBB Equity, LLC</w:t>
            </w:r>
          </w:p>
        </w:tc>
        <w:tc>
          <w:tcPr>
            <w:tcW w:w="2100" w:type="dxa"/>
            <w:vAlign w:val="bottom"/>
            <w:tcBorders>
              <w:top w:val="single" w:sz="8" w:color="CCEEFF"/>
            </w:tcBorders>
            <w:shd w:val="clear" w:color="auto" w:fill="CCEEFF"/>
          </w:tcPr>
          <w:p>
            <w:pPr>
              <w:spacing w:after="0"/>
              <w:rPr>
                <w:sz w:val="9"/>
                <w:szCs w:val="9"/>
                <w:color w:val="auto"/>
              </w:rPr>
            </w:pPr>
          </w:p>
        </w:tc>
        <w:tc>
          <w:tcPr>
            <w:tcW w:w="14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80" w:type="dxa"/>
            <w:vAlign w:val="bottom"/>
            <w:tcBorders>
              <w:top w:val="single" w:sz="8" w:color="CCEEFF"/>
            </w:tcBorders>
            <w:shd w:val="clear" w:color="auto" w:fill="CCEEFF"/>
          </w:tcPr>
          <w:p>
            <w:pPr>
              <w:spacing w:after="0"/>
              <w:rPr>
                <w:sz w:val="9"/>
                <w:szCs w:val="9"/>
                <w:color w:val="auto"/>
              </w:rPr>
            </w:pPr>
          </w:p>
        </w:tc>
        <w:tc>
          <w:tcPr>
            <w:tcW w:w="30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Common Equity</w:t>
            </w:r>
            <w:r>
              <w:rPr>
                <w:rFonts w:ascii="Arial" w:cs="Arial" w:eastAsia="Arial" w:hAnsi="Arial"/>
                <w:sz w:val="10"/>
                <w:szCs w:val="10"/>
                <w:color w:val="auto"/>
              </w:rPr>
              <w:t>(5)</w:t>
            </w:r>
          </w:p>
        </w:tc>
        <w:tc>
          <w:tcPr>
            <w:tcW w:w="2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0.6</w:t>
            </w:r>
          </w:p>
        </w:tc>
        <w:tc>
          <w:tcPr>
            <w:tcW w:w="420" w:type="dxa"/>
            <w:vAlign w:val="bottom"/>
            <w:tcBorders>
              <w:top w:val="single" w:sz="8" w:color="CCEEFF"/>
            </w:tcBorders>
            <w:shd w:val="clear" w:color="auto" w:fill="CCEEFF"/>
          </w:tcPr>
          <w:p>
            <w:pPr>
              <w:jc w:val="right"/>
              <w:ind w:right="238"/>
              <w:spacing w:after="0" w:line="109" w:lineRule="exact"/>
              <w:rPr>
                <w:sz w:val="20"/>
                <w:szCs w:val="20"/>
                <w:color w:val="auto"/>
              </w:rPr>
            </w:pPr>
            <w:r>
              <w:rPr>
                <w:rFonts w:ascii="Arial" w:cs="Arial" w:eastAsia="Arial" w:hAnsi="Arial"/>
                <w:sz w:val="12"/>
                <w:szCs w:val="12"/>
                <w:color w:val="auto"/>
                <w:w w:val="93"/>
              </w:rPr>
              <w:t>%</w:t>
            </w:r>
          </w:p>
        </w:tc>
        <w:tc>
          <w:tcPr>
            <w:tcW w:w="18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11790 Sunrise Valley Drive</w:t>
            </w:r>
          </w:p>
        </w:tc>
        <w:tc>
          <w:tcPr>
            <w:tcW w:w="1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80" w:type="dxa"/>
            <w:vAlign w:val="bottom"/>
            <w:gridSpan w:val="3"/>
          </w:tcPr>
          <w:p>
            <w:pPr>
              <w:spacing w:after="0"/>
              <w:rPr>
                <w:sz w:val="20"/>
                <w:szCs w:val="20"/>
                <w:color w:val="auto"/>
              </w:rPr>
            </w:pPr>
            <w:r>
              <w:rPr>
                <w:rFonts w:ascii="Arial" w:cs="Arial" w:eastAsia="Arial" w:hAnsi="Arial"/>
                <w:sz w:val="14"/>
                <w:szCs w:val="14"/>
                <w:color w:val="auto"/>
              </w:rPr>
              <w:t>Winchester Electronics Corporation</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Capital Equipment</w:t>
            </w: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rPr>
              <w:t>11,724</w:t>
            </w:r>
          </w:p>
        </w:tc>
        <w:tc>
          <w:tcPr>
            <w:tcW w:w="0" w:type="dxa"/>
            <w:vAlign w:val="bottom"/>
          </w:tcPr>
          <w:p>
            <w:pPr>
              <w:spacing w:after="0"/>
              <w:rPr>
                <w:sz w:val="1"/>
                <w:szCs w:val="1"/>
                <w:color w:val="auto"/>
              </w:rPr>
            </w:pPr>
          </w:p>
        </w:tc>
      </w:tr>
      <w:tr>
        <w:trPr>
          <w:trHeight w:val="149"/>
        </w:trPr>
        <w:tc>
          <w:tcPr>
            <w:tcW w:w="3980" w:type="dxa"/>
            <w:vAlign w:val="bottom"/>
            <w:gridSpan w:val="3"/>
          </w:tcPr>
          <w:p>
            <w:pPr>
              <w:spacing w:after="0" w:line="149" w:lineRule="exact"/>
              <w:rPr>
                <w:sz w:val="20"/>
                <w:szCs w:val="20"/>
                <w:color w:val="auto"/>
              </w:rPr>
            </w:pPr>
            <w:r>
              <w:rPr>
                <w:rFonts w:ascii="Arial" w:cs="Arial" w:eastAsia="Arial" w:hAnsi="Arial"/>
                <w:sz w:val="14"/>
                <w:szCs w:val="14"/>
                <w:color w:val="auto"/>
              </w:rPr>
              <w:t>68 Water Street</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L+650, 06/30/2022</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80" w:type="dxa"/>
            <w:vAlign w:val="bottom"/>
            <w:gridSpan w:val="3"/>
          </w:tcPr>
          <w:p>
            <w:pPr>
              <w:spacing w:after="0"/>
              <w:rPr>
                <w:sz w:val="20"/>
                <w:szCs w:val="20"/>
                <w:color w:val="auto"/>
              </w:rPr>
            </w:pPr>
            <w:r>
              <w:rPr>
                <w:rFonts w:ascii="Arial" w:cs="Arial" w:eastAsia="Arial" w:hAnsi="Arial"/>
                <w:sz w:val="14"/>
                <w:szCs w:val="14"/>
                <w:color w:val="auto"/>
              </w:rPr>
              <w:t>Norwalk, CT 06854</w:t>
            </w: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0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3"/>
              </w:rPr>
              <w:t>Financial Services</w:t>
            </w:r>
          </w:p>
        </w:tc>
        <w:tc>
          <w:tcPr>
            <w:tcW w:w="334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300" w:type="dxa"/>
            <w:vAlign w:val="bottom"/>
            <w:gridSpan w:val="2"/>
          </w:tcPr>
          <w:p>
            <w:pPr>
              <w:jc w:val="right"/>
              <w:ind w:right="98"/>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1100" w:type="dxa"/>
            <w:vAlign w:val="bottom"/>
            <w:gridSpan w:val="3"/>
          </w:tcPr>
          <w:p>
            <w:pPr>
              <w:jc w:val="right"/>
              <w:ind w:right="40"/>
              <w:spacing w:after="0" w:line="130" w:lineRule="exact"/>
              <w:rPr>
                <w:sz w:val="20"/>
                <w:szCs w:val="20"/>
                <w:color w:val="auto"/>
              </w:rPr>
            </w:pPr>
            <w:r>
              <w:rPr>
                <w:rFonts w:ascii="Arial" w:cs="Arial" w:eastAsia="Arial" w:hAnsi="Arial"/>
                <w:sz w:val="14"/>
                <w:szCs w:val="14"/>
                <w:color w:val="auto"/>
              </w:rPr>
              <w:t>145,860</w:t>
            </w:r>
          </w:p>
        </w:tc>
        <w:tc>
          <w:tcPr>
            <w:tcW w:w="0" w:type="dxa"/>
            <w:vAlign w:val="bottom"/>
          </w:tcPr>
          <w:p>
            <w:pPr>
              <w:spacing w:after="0"/>
              <w:rPr>
                <w:sz w:val="1"/>
                <w:szCs w:val="1"/>
                <w:color w:val="auto"/>
              </w:rPr>
            </w:pPr>
          </w:p>
        </w:tc>
      </w:tr>
      <w:tr>
        <w:trPr>
          <w:trHeight w:val="149"/>
        </w:trPr>
        <w:tc>
          <w:tcPr>
            <w:tcW w:w="3980" w:type="dxa"/>
            <w:vAlign w:val="bottom"/>
            <w:gridSpan w:val="3"/>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L+800, 05/06/2024</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98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Equity Interest</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1,000,613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60" w:hanging="332"/>
        <w:spacing w:after="0" w:line="225"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9/30/18.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340" w:right="10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340" w:right="6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900" w:type="dxa"/>
            <w:vAlign w:val="bottom"/>
          </w:tcPr>
          <w:p>
            <w:pPr>
              <w:spacing w:after="0"/>
              <w:rPr>
                <w:sz w:val="14"/>
                <w:szCs w:val="14"/>
                <w:color w:val="auto"/>
              </w:rPr>
            </w:pPr>
          </w:p>
        </w:tc>
        <w:tc>
          <w:tcPr>
            <w:tcW w:w="272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w w:val="91"/>
              </w:rPr>
              <w:t xml:space="preserve">September 30, 2018 </w:t>
            </w:r>
            <w:r>
              <w:rPr>
                <w:rFonts w:ascii="Arial" w:cs="Arial" w:eastAsia="Arial" w:hAnsi="Arial"/>
                <w:sz w:val="8"/>
                <w:szCs w:val="8"/>
                <w:b w:val="1"/>
                <w:bCs w:val="1"/>
                <w:color w:val="auto"/>
                <w:w w:val="91"/>
              </w:rPr>
              <w:t>(1)</w:t>
            </w:r>
          </w:p>
        </w:tc>
        <w:tc>
          <w:tcPr>
            <w:tcW w:w="1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 xml:space="preserve">September 30, 2017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1340" w:type="dxa"/>
            <w:vAlign w:val="bottom"/>
            <w:shd w:val="clear" w:color="auto" w:fill="000000"/>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5320" w:type="dxa"/>
            <w:vAlign w:val="bottom"/>
            <w:gridSpan w:val="3"/>
            <w:vMerge w:val="continue"/>
            <w:shd w:val="clear" w:color="auto" w:fill="CCEEFF"/>
          </w:tcPr>
          <w:p>
            <w:pPr>
              <w:spacing w:after="0"/>
              <w:rPr>
                <w:sz w:val="17"/>
                <w:szCs w:val="17"/>
                <w:color w:val="auto"/>
              </w:rPr>
            </w:pPr>
          </w:p>
        </w:tc>
        <w:tc>
          <w:tcPr>
            <w:tcW w:w="2720" w:type="dxa"/>
            <w:vAlign w:val="bottom"/>
            <w:gridSpan w:val="2"/>
            <w:shd w:val="clear" w:color="auto" w:fill="CCEEFF"/>
          </w:tcPr>
          <w:p>
            <w:pPr>
              <w:jc w:val="right"/>
              <w:ind w:right="1240"/>
              <w:spacing w:after="0" w:line="203" w:lineRule="exact"/>
              <w:rPr>
                <w:sz w:val="20"/>
                <w:szCs w:val="20"/>
                <w:color w:val="auto"/>
              </w:rPr>
            </w:pPr>
            <w:r>
              <w:rPr>
                <w:rFonts w:ascii="Arial" w:cs="Arial" w:eastAsia="Arial" w:hAnsi="Arial"/>
                <w:sz w:val="18"/>
                <w:szCs w:val="18"/>
                <w:color w:val="auto"/>
              </w:rPr>
              <w:t>11%</w:t>
            </w:r>
          </w:p>
        </w:tc>
        <w:tc>
          <w:tcPr>
            <w:tcW w:w="1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High Tech Industries</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8</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Beverage, Food and Tobacco</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7</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6</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Consumer Goods: Durable</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5</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5</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4</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4</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3</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w:t>
            </w:r>
          </w:p>
        </w:tc>
        <w:tc>
          <w:tcPr>
            <w:tcW w:w="2720" w:type="dxa"/>
            <w:vAlign w:val="bottom"/>
            <w:gridSpan w:val="2"/>
            <w:shd w:val="clear" w:color="auto" w:fill="CCEEFF"/>
          </w:tcPr>
          <w:p>
            <w:pPr>
              <w:jc w:val="right"/>
              <w:ind w:right="1380"/>
              <w:spacing w:after="0"/>
              <w:rPr>
                <w:sz w:val="20"/>
                <w:szCs w:val="20"/>
                <w:color w:val="auto"/>
              </w:rPr>
            </w:pPr>
            <w:r>
              <w:rPr>
                <w:rFonts w:ascii="Arial" w:cs="Arial" w:eastAsia="Arial" w:hAnsi="Arial"/>
                <w:sz w:val="18"/>
                <w:szCs w:val="18"/>
                <w:color w:val="auto"/>
              </w:rPr>
              <w:t>2</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720" w:type="dxa"/>
            <w:vAlign w:val="bottom"/>
            <w:gridSpan w:val="2"/>
          </w:tcPr>
          <w:p>
            <w:pPr>
              <w:jc w:val="right"/>
              <w:ind w:right="1380"/>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jc w:val="right"/>
              <w:ind w:right="124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590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Director</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380" w:type="dxa"/>
            <w:vAlign w:val="bottom"/>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5900" w:type="dxa"/>
            <w:vAlign w:val="bottom"/>
            <w:gridSpan w:val="3"/>
            <w:vMerge w:val="continue"/>
          </w:tcPr>
          <w:p>
            <w:pPr>
              <w:spacing w:after="0"/>
              <w:rPr>
                <w:sz w:val="13"/>
                <w:szCs w:val="13"/>
                <w:color w:val="auto"/>
              </w:rPr>
            </w:pPr>
          </w:p>
        </w:tc>
        <w:tc>
          <w:tcPr>
            <w:tcW w:w="8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Since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56</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26"/>
        </w:trPr>
        <w:tc>
          <w:tcPr>
            <w:tcW w:w="374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34"/>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900" w:type="dxa"/>
            <w:vAlign w:val="bottom"/>
            <w:gridSpan w:val="3"/>
          </w:tcPr>
          <w:p>
            <w:pPr>
              <w:ind w:left="400"/>
              <w:spacing w:after="0"/>
              <w:rPr>
                <w:sz w:val="20"/>
                <w:szCs w:val="20"/>
                <w:color w:val="auto"/>
              </w:rPr>
            </w:pPr>
            <w:r>
              <w:rPr>
                <w:rFonts w:ascii="Arial" w:cs="Arial" w:eastAsia="Arial" w:hAnsi="Arial"/>
                <w:sz w:val="18"/>
                <w:szCs w:val="18"/>
                <w:color w:val="auto"/>
              </w:rPr>
              <w:t>Chairman of the Board and Chief Executive Officer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7"/>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w:t>
            </w:r>
          </w:p>
        </w:tc>
        <w:tc>
          <w:tcPr>
            <w:tcW w:w="3360" w:type="dxa"/>
            <w:vAlign w:val="bottom"/>
          </w:tcPr>
          <w:p>
            <w:pPr>
              <w:ind w:left="20"/>
              <w:spacing w:after="0" w:line="190" w:lineRule="exact"/>
              <w:rPr>
                <w:sz w:val="20"/>
                <w:szCs w:val="20"/>
                <w:color w:val="auto"/>
              </w:rPr>
            </w:pPr>
            <w:r>
              <w:rPr>
                <w:rFonts w:ascii="Arial" w:cs="Arial" w:eastAsia="Arial" w:hAnsi="Arial"/>
                <w:sz w:val="18"/>
                <w:szCs w:val="18"/>
                <w:color w:val="auto"/>
              </w:rPr>
              <w:t>Efrat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2200" w:type="dxa"/>
            <w:vAlign w:val="bottom"/>
          </w:tcPr>
          <w:p>
            <w:pPr>
              <w:spacing w:after="0" w:line="190" w:lineRule="exact"/>
              <w:rPr>
                <w:sz w:val="20"/>
                <w:szCs w:val="20"/>
                <w:color w:val="auto"/>
              </w:rPr>
            </w:pPr>
            <w:r>
              <w:rPr>
                <w:rFonts w:ascii="Arial" w:cs="Arial" w:eastAsia="Arial" w:hAnsi="Arial"/>
                <w:sz w:val="18"/>
                <w:szCs w:val="18"/>
                <w:color w:val="auto"/>
                <w:w w:val="87"/>
              </w:rPr>
              <w:t>Financial Officer and Treasurer</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17"/>
        </w:trPr>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w:t>
            </w:r>
          </w:p>
        </w:tc>
        <w:tc>
          <w:tcPr>
            <w:tcW w:w="3360" w:type="dxa"/>
            <w:vAlign w:val="bottom"/>
          </w:tcPr>
          <w:p>
            <w:pPr>
              <w:spacing w:after="0" w:line="190" w:lineRule="exact"/>
              <w:rPr>
                <w:sz w:val="20"/>
                <w:szCs w:val="20"/>
                <w:color w:val="auto"/>
              </w:rPr>
            </w:pPr>
            <w:r>
              <w:rPr>
                <w:rFonts w:ascii="Arial" w:cs="Arial" w:eastAsia="Arial" w:hAnsi="Arial"/>
                <w:sz w:val="18"/>
                <w:szCs w:val="18"/>
                <w:color w:val="auto"/>
              </w:rPr>
              <w:t>F. Talarico</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w:t>
            </w:r>
          </w:p>
        </w:tc>
        <w:tc>
          <w:tcPr>
            <w:tcW w:w="1380" w:type="dxa"/>
            <w:vAlign w:val="bottom"/>
          </w:tcPr>
          <w:p>
            <w:pPr>
              <w:spacing w:after="0" w:line="190" w:lineRule="exact"/>
              <w:rPr>
                <w:sz w:val="20"/>
                <w:szCs w:val="20"/>
                <w:color w:val="auto"/>
              </w:rPr>
            </w:pPr>
            <w:r>
              <w:rPr>
                <w:rFonts w:ascii="Arial" w:cs="Arial" w:eastAsia="Arial" w:hAnsi="Arial"/>
                <w:sz w:val="18"/>
                <w:szCs w:val="18"/>
                <w:color w:val="auto"/>
                <w:w w:val="88"/>
              </w:rPr>
              <w:t>Compliance Officer</w:t>
            </w:r>
          </w:p>
        </w:tc>
      </w:tr>
    </w:tbl>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address for each director and executive officer is c/o PennantPark Floating Rate Capital Ltd., 590 Madison Avenue, 15th Floor, 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Adam K. Bernstein (55),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Marshall Brozost (51),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Jeffrey Flug (56),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Samuel L. Katz (53), Director. Mr. Katz became a Director of PennantPark Floating Rate Capital Ltd. and PennantPark Investment Corporation in October 2010 and February 2007, respectively. Mr. Katz is the Managing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Arthur H. Penn (55),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Aviv Efrat (54),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0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Guy F. Talarico (63),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For the fiscal year ended September 30, 2018, we held seven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2018, all of the directors attended the annual stockholders’ meeting.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Such investments are valued at fair value as determined in good faith by or under the direction of the board of directors using a documented valuation policy and a consistently applied valuation process.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8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a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are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2018.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Aggregate</w:t>
            </w: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Pension or</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from</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PennantPark</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benefits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06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Floating Rate</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2840" w:type="dxa"/>
            <w:vAlign w:val="bottom"/>
          </w:tcPr>
          <w:p>
            <w:pPr>
              <w:spacing w:after="0"/>
              <w:rPr>
                <w:sz w:val="15"/>
                <w:szCs w:val="15"/>
                <w:color w:val="auto"/>
              </w:rPr>
            </w:pPr>
          </w:p>
        </w:tc>
        <w:tc>
          <w:tcPr>
            <w:tcW w:w="1480" w:type="dxa"/>
            <w:vAlign w:val="bottom"/>
            <w:gridSpan w:val="3"/>
          </w:tcPr>
          <w:p>
            <w:pPr>
              <w:jc w:val="center"/>
              <w:ind w:right="640"/>
              <w:spacing w:after="0" w:line="158" w:lineRule="exact"/>
              <w:rPr>
                <w:sz w:val="20"/>
                <w:szCs w:val="20"/>
                <w:color w:val="auto"/>
              </w:rPr>
            </w:pPr>
            <w:r>
              <w:rPr>
                <w:rFonts w:ascii="Arial" w:cs="Arial" w:eastAsia="Arial" w:hAnsi="Arial"/>
                <w:sz w:val="14"/>
                <w:szCs w:val="14"/>
                <w:b w:val="1"/>
                <w:bCs w:val="1"/>
                <w:color w:val="auto"/>
                <w:w w:val="99"/>
              </w:rPr>
              <w:t>Capital Ltd.</w:t>
            </w:r>
          </w:p>
        </w:tc>
        <w:tc>
          <w:tcPr>
            <w:tcW w:w="136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9"/>
              </w:rPr>
              <w:t>of our expense</w:t>
            </w:r>
            <w:r>
              <w:rPr>
                <w:rFonts w:ascii="Arial" w:cs="Arial" w:eastAsia="Arial" w:hAnsi="Arial"/>
                <w:sz w:val="12"/>
                <w:szCs w:val="12"/>
                <w:b w:val="1"/>
                <w:bCs w:val="1"/>
                <w:color w:val="auto"/>
                <w:w w:val="89"/>
              </w:rPr>
              <w:t>(1)</w:t>
            </w:r>
          </w:p>
        </w:tc>
        <w:tc>
          <w:tcPr>
            <w:tcW w:w="320" w:type="dxa"/>
            <w:vAlign w:val="bottom"/>
          </w:tcPr>
          <w:p>
            <w:pPr>
              <w:spacing w:after="0"/>
              <w:rPr>
                <w:sz w:val="15"/>
                <w:szCs w:val="15"/>
                <w:color w:val="auto"/>
              </w:rPr>
            </w:pPr>
          </w:p>
        </w:tc>
        <w:tc>
          <w:tcPr>
            <w:tcW w:w="9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176"/>
        </w:trPr>
        <w:tc>
          <w:tcPr>
            <w:tcW w:w="44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28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340"/>
              <w:spacing w:after="0"/>
              <w:rPr>
                <w:sz w:val="20"/>
                <w:szCs w:val="20"/>
                <w:color w:val="auto"/>
              </w:rPr>
            </w:pPr>
            <w:r>
              <w:rPr>
                <w:rFonts w:ascii="Arial" w:cs="Arial" w:eastAsia="Arial" w:hAnsi="Arial"/>
                <w:sz w:val="16"/>
                <w:szCs w:val="16"/>
                <w:color w:val="auto"/>
              </w:rPr>
              <w:t>Adam K. Bernstein</w:t>
            </w:r>
          </w:p>
        </w:tc>
        <w:tc>
          <w:tcPr>
            <w:tcW w:w="2920" w:type="dxa"/>
            <w:vAlign w:val="bottom"/>
            <w:gridSpan w:val="2"/>
          </w:tcPr>
          <w:p>
            <w:pPr>
              <w:ind w:left="28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83,750</w:t>
            </w:r>
          </w:p>
        </w:tc>
        <w:tc>
          <w:tcPr>
            <w:tcW w:w="6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None</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Marshall Brozost</w:t>
            </w:r>
          </w:p>
        </w:tc>
        <w:tc>
          <w:tcPr>
            <w:tcW w:w="2920" w:type="dxa"/>
            <w:vAlign w:val="bottom"/>
            <w:gridSpan w:val="2"/>
            <w:shd w:val="clear" w:color="auto" w:fill="CCEEFF"/>
          </w:tcPr>
          <w:p>
            <w:pPr>
              <w:ind w:left="28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83,750</w:t>
            </w: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None</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ind w:left="340"/>
              <w:spacing w:after="0"/>
              <w:rPr>
                <w:sz w:val="20"/>
                <w:szCs w:val="20"/>
                <w:color w:val="auto"/>
              </w:rPr>
            </w:pPr>
            <w:r>
              <w:rPr>
                <w:rFonts w:ascii="Arial" w:cs="Arial" w:eastAsia="Arial" w:hAnsi="Arial"/>
                <w:sz w:val="16"/>
                <w:szCs w:val="16"/>
                <w:color w:val="auto"/>
              </w:rPr>
              <w:t>Jeffrey Flug</w:t>
            </w:r>
          </w:p>
        </w:tc>
        <w:tc>
          <w:tcPr>
            <w:tcW w:w="2920" w:type="dxa"/>
            <w:vAlign w:val="bottom"/>
            <w:gridSpan w:val="2"/>
          </w:tcPr>
          <w:p>
            <w:pPr>
              <w:ind w:left="28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86,250</w:t>
            </w:r>
          </w:p>
        </w:tc>
        <w:tc>
          <w:tcPr>
            <w:tcW w:w="64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None</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Samuel L. Katz</w:t>
            </w:r>
          </w:p>
        </w:tc>
        <w:tc>
          <w:tcPr>
            <w:tcW w:w="2920" w:type="dxa"/>
            <w:vAlign w:val="bottom"/>
            <w:gridSpan w:val="2"/>
            <w:shd w:val="clear" w:color="auto" w:fill="CCEEFF"/>
          </w:tcPr>
          <w:p>
            <w:pPr>
              <w:ind w:left="284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86,250</w:t>
            </w:r>
          </w:p>
        </w:tc>
        <w:tc>
          <w:tcPr>
            <w:tcW w:w="6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None</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Interested director</w:t>
            </w:r>
          </w:p>
        </w:tc>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Arthur H. Penn</w:t>
            </w:r>
          </w:p>
        </w:tc>
        <w:tc>
          <w:tcPr>
            <w:tcW w:w="2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None</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None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Executive officer</w:t>
            </w:r>
          </w:p>
        </w:tc>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4"/>
                <w:szCs w:val="14"/>
                <w:color w:val="auto"/>
              </w:rPr>
              <w:t>Aviv Efrat</w:t>
            </w:r>
            <w:r>
              <w:rPr>
                <w:rFonts w:ascii="Arial" w:cs="Arial" w:eastAsia="Arial" w:hAnsi="Arial"/>
                <w:sz w:val="23"/>
                <w:szCs w:val="23"/>
                <w:color w:val="auto"/>
                <w:vertAlign w:val="superscript"/>
              </w:rPr>
              <w:t>(2)</w:t>
            </w:r>
          </w:p>
        </w:tc>
        <w:tc>
          <w:tcPr>
            <w:tcW w:w="2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None</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None</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Each Independent Director receives an annual payment of $70,000,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and indemnify such persons against certain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addition to managing our investments, as of September 30, 2018 our portfolio managers also managed investments on behalf of the following entities: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20" w:type="dxa"/>
            <w:vAlign w:val="bottom"/>
            <w:vMerge w:val="restart"/>
          </w:tcPr>
          <w:p>
            <w:pPr>
              <w:spacing w:after="0"/>
              <w:rPr>
                <w:sz w:val="14"/>
                <w:szCs w:val="14"/>
                <w:color w:val="auto"/>
              </w:rPr>
            </w:pPr>
          </w:p>
        </w:tc>
        <w:tc>
          <w:tcPr>
            <w:tcW w:w="1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Entity</w:t>
            </w:r>
          </w:p>
        </w:tc>
        <w:tc>
          <w:tcPr>
            <w:tcW w:w="340" w:type="dxa"/>
            <w:vAlign w:val="bottom"/>
          </w:tcPr>
          <w:p>
            <w:pPr>
              <w:spacing w:after="0"/>
              <w:rPr>
                <w:sz w:val="14"/>
                <w:szCs w:val="14"/>
                <w:color w:val="auto"/>
              </w:rPr>
            </w:pPr>
          </w:p>
        </w:tc>
        <w:tc>
          <w:tcPr>
            <w:tcW w:w="428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4280" w:type="dxa"/>
            <w:vAlign w:val="bottom"/>
            <w:gridSpan w:val="2"/>
            <w:vMerge w:val="continue"/>
          </w:tcPr>
          <w:p>
            <w:pPr>
              <w:spacing w:after="0"/>
              <w:rPr>
                <w:sz w:val="15"/>
                <w:szCs w:val="15"/>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180"/>
        </w:trPr>
        <w:tc>
          <w:tcPr>
            <w:tcW w:w="4000" w:type="dxa"/>
            <w:vAlign w:val="bottom"/>
            <w:gridSpan w:val="2"/>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190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340" w:type="dxa"/>
            <w:vAlign w:val="bottom"/>
          </w:tcPr>
          <w:p>
            <w:pPr>
              <w:spacing w:after="0"/>
              <w:rPr>
                <w:sz w:val="15"/>
                <w:szCs w:val="15"/>
                <w:color w:val="auto"/>
              </w:rPr>
            </w:pPr>
          </w:p>
        </w:tc>
        <w:tc>
          <w:tcPr>
            <w:tcW w:w="396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w w:val="98"/>
              </w:rPr>
              <w:t>Primarily in U.S. middle-market companies in the form of</w:t>
            </w:r>
          </w:p>
        </w:tc>
        <w:tc>
          <w:tcPr>
            <w:tcW w:w="3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company</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4000" w:type="dxa"/>
            <w:vAlign w:val="bottom"/>
            <w:gridSpan w:val="2"/>
          </w:tcPr>
          <w:p>
            <w:pPr>
              <w:spacing w:after="0"/>
              <w:rPr>
                <w:sz w:val="20"/>
                <w:szCs w:val="20"/>
                <w:color w:val="auto"/>
              </w:rPr>
            </w:pPr>
            <w:r>
              <w:rPr>
                <w:rFonts w:ascii="Arial" w:cs="Arial" w:eastAsia="Arial" w:hAnsi="Arial"/>
                <w:sz w:val="16"/>
                <w:szCs w:val="16"/>
                <w:color w:val="auto"/>
              </w:rPr>
              <w:t>Other Managed Fund</w:t>
            </w:r>
          </w:p>
        </w:tc>
        <w:tc>
          <w:tcPr>
            <w:tcW w:w="1900" w:type="dxa"/>
            <w:vAlign w:val="bottom"/>
          </w:tcPr>
          <w:p>
            <w:pPr>
              <w:spacing w:after="0"/>
              <w:rPr>
                <w:sz w:val="20"/>
                <w:szCs w:val="20"/>
                <w:color w:val="auto"/>
              </w:rPr>
            </w:pPr>
            <w:r>
              <w:rPr>
                <w:rFonts w:ascii="Arial" w:cs="Arial" w:eastAsia="Arial" w:hAnsi="Arial"/>
                <w:sz w:val="16"/>
                <w:szCs w:val="16"/>
                <w:color w:val="auto"/>
              </w:rPr>
              <w:t>Direct Lending Fund</w:t>
            </w:r>
          </w:p>
        </w:tc>
        <w:tc>
          <w:tcPr>
            <w:tcW w:w="4620" w:type="dxa"/>
            <w:vAlign w:val="bottom"/>
            <w:gridSpan w:val="3"/>
          </w:tcPr>
          <w:p>
            <w:pPr>
              <w:ind w:left="340"/>
              <w:spacing w:after="0"/>
              <w:rPr>
                <w:sz w:val="20"/>
                <w:szCs w:val="20"/>
                <w:color w:val="auto"/>
              </w:rPr>
            </w:pPr>
            <w:r>
              <w:rPr>
                <w:rFonts w:ascii="Arial" w:cs="Arial" w:eastAsia="Arial" w:hAnsi="Arial"/>
                <w:sz w:val="16"/>
                <w:szCs w:val="16"/>
                <w:color w:val="auto"/>
              </w:rPr>
              <w:t>Other credit opportunities</w:t>
            </w:r>
          </w:p>
        </w:tc>
        <w:tc>
          <w:tcPr>
            <w:tcW w:w="86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As of November 30, 2018, to our knowledge, no person would be deemed to “control” us, as such term is defined in the 1940 Act. Our board of directors consist of an interested director and Independent Directors.</w:t>
      </w:r>
    </w:p>
    <w:p>
      <w:pPr>
        <w:spacing w:after="0" w:line="170"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following table sets forth, as of November 30, 2018, certain ownership information with respect to our common stock for those persons who directly or indirectly own, control or hold with the power to vote, 5 percent or more of our outstanding common stock and all officers and directors, as a group.</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address</w:t>
      </w:r>
      <w:r>
        <w:rPr>
          <w:rFonts w:ascii="Arial" w:cs="Arial" w:eastAsia="Arial" w:hAnsi="Arial"/>
          <w:sz w:val="12"/>
          <w:szCs w:val="12"/>
          <w:b w:val="1"/>
          <w:bCs w:val="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directors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Adam K. Bernstein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Marshall Brozost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Jeffrey Flug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Samuel L.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Interested director</w:t>
      </w:r>
    </w:p>
    <w:p>
      <w:pPr>
        <w:ind w:left="340"/>
        <w:spacing w:after="0" w:line="205" w:lineRule="auto"/>
        <w:rPr>
          <w:sz w:val="20"/>
          <w:szCs w:val="20"/>
          <w:color w:val="auto"/>
        </w:rPr>
      </w:pPr>
      <w:r>
        <w:rPr>
          <w:rFonts w:ascii="Arial" w:cs="Arial" w:eastAsia="Arial" w:hAnsi="Arial"/>
          <w:sz w:val="16"/>
          <w:szCs w:val="16"/>
          <w:color w:val="auto"/>
        </w:rPr>
        <w:t>Arthur H. Penn</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Executive officer</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All directors and executive officer as a group (6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17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(2)</w:t>
            </w:r>
          </w:p>
        </w:tc>
        <w:tc>
          <w:tcPr>
            <w:tcW w:w="120" w:type="dxa"/>
            <w:vAlign w:val="bottom"/>
            <w:vMerge w:val="restart"/>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owned</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(3)</w:t>
            </w:r>
          </w:p>
        </w:tc>
        <w:tc>
          <w:tcPr>
            <w:tcW w:w="0" w:type="dxa"/>
            <w:vAlign w:val="bottom"/>
          </w:tcPr>
          <w:p>
            <w:pPr>
              <w:spacing w:after="0"/>
              <w:rPr>
                <w:sz w:val="1"/>
                <w:szCs w:val="1"/>
                <w:color w:val="auto"/>
              </w:rPr>
            </w:pPr>
          </w:p>
        </w:tc>
      </w:tr>
      <w:tr>
        <w:trPr>
          <w:trHeight w:val="406"/>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5,000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15,500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147,100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2"/>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184,709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2"/>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28,750</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840" w:type="dxa"/>
            <w:vAlign w:val="bottom"/>
            <w:gridSpan w:val="2"/>
          </w:tcPr>
          <w:p>
            <w:pPr>
              <w:ind w:left="540"/>
              <w:spacing w:after="0"/>
              <w:rPr>
                <w:sz w:val="20"/>
                <w:szCs w:val="20"/>
                <w:color w:val="auto"/>
              </w:rPr>
            </w:pPr>
            <w:r>
              <w:rPr>
                <w:rFonts w:ascii="Arial" w:cs="Arial" w:eastAsia="Arial" w:hAnsi="Arial"/>
                <w:sz w:val="16"/>
                <w:szCs w:val="16"/>
                <w:color w:val="auto"/>
              </w:rPr>
              <w:t>Record/Beneficial</w:t>
            </w:r>
          </w:p>
        </w:tc>
        <w:tc>
          <w:tcPr>
            <w:tcW w:w="680" w:type="dxa"/>
            <w:vAlign w:val="bottom"/>
          </w:tcPr>
          <w:p>
            <w:pPr>
              <w:jc w:val="right"/>
              <w:spacing w:after="0"/>
              <w:rPr>
                <w:sz w:val="20"/>
                <w:szCs w:val="20"/>
                <w:color w:val="auto"/>
              </w:rPr>
            </w:pPr>
            <w:r>
              <w:rPr>
                <w:rFonts w:ascii="Arial" w:cs="Arial" w:eastAsia="Arial" w:hAnsi="Arial"/>
                <w:sz w:val="16"/>
                <w:szCs w:val="16"/>
                <w:color w:val="auto"/>
              </w:rPr>
              <w:t>381,059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2">
            <w:col w:w="6940" w:space="720"/>
            <w:col w:w="3760"/>
          </w:cols>
          <w:pgMar w:left="240" w:top="459" w:right="239" w:bottom="1440" w:gutter="0" w:footer="0" w:header="0"/>
          <w:type w:val="continuous"/>
        </w:sect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a total of 38,772,074 shares of common stock outstanding on November 30, 2018.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Mr. Penn is the Managing Member of PennantPark Investment Advisers, LLC and may therefore be deemed to own beneficially the 184,709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held by PennantPark Investment Advisers, LLC.</w:t>
      </w:r>
    </w:p>
    <w:p>
      <w:pPr>
        <w:spacing w:after="0" w:line="9"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2017.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Dollar Range of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 of</w:t>
            </w:r>
          </w:p>
        </w:tc>
        <w:tc>
          <w:tcPr>
            <w:tcW w:w="0" w:type="dxa"/>
            <w:vAlign w:val="bottom"/>
          </w:tcPr>
          <w:p>
            <w:pPr>
              <w:spacing w:after="0"/>
              <w:rPr>
                <w:sz w:val="1"/>
                <w:szCs w:val="1"/>
                <w:color w:val="auto"/>
              </w:rPr>
            </w:pPr>
          </w:p>
        </w:tc>
      </w:tr>
      <w:tr>
        <w:trPr>
          <w:trHeight w:val="149"/>
        </w:trPr>
        <w:tc>
          <w:tcPr>
            <w:tcW w:w="9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1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PennantPark Floating</w:t>
            </w:r>
          </w:p>
        </w:tc>
        <w:tc>
          <w:tcPr>
            <w:tcW w:w="0" w:type="dxa"/>
            <w:vAlign w:val="bottom"/>
          </w:tcPr>
          <w:p>
            <w:pPr>
              <w:spacing w:after="0"/>
              <w:rPr>
                <w:sz w:val="1"/>
                <w:szCs w:val="1"/>
                <w:color w:val="auto"/>
              </w:rPr>
            </w:pPr>
          </w:p>
        </w:tc>
      </w:tr>
      <w:tr>
        <w:trPr>
          <w:trHeight w:val="158"/>
        </w:trPr>
        <w:tc>
          <w:tcPr>
            <w:tcW w:w="9580" w:type="dxa"/>
            <w:vAlign w:val="bottom"/>
            <w:gridSpan w:val="3"/>
            <w:vMerge w:val="continue"/>
          </w:tcPr>
          <w:p>
            <w:pPr>
              <w:spacing w:after="0"/>
              <w:rPr>
                <w:sz w:val="13"/>
                <w:szCs w:val="13"/>
                <w:color w:val="auto"/>
              </w:rPr>
            </w:pPr>
          </w:p>
        </w:tc>
        <w:tc>
          <w:tcPr>
            <w:tcW w:w="18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580" w:type="dxa"/>
            <w:vAlign w:val="bottom"/>
            <w:gridSpan w:val="3"/>
          </w:tcPr>
          <w:p>
            <w:pPr>
              <w:spacing w:after="0" w:line="176" w:lineRule="exact"/>
              <w:rPr>
                <w:sz w:val="20"/>
                <w:szCs w:val="20"/>
                <w:color w:val="auto"/>
              </w:rPr>
            </w:pPr>
            <w:r>
              <w:rPr>
                <w:rFonts w:ascii="Arial" w:cs="Arial" w:eastAsia="Arial" w:hAnsi="Arial"/>
                <w:sz w:val="16"/>
                <w:szCs w:val="16"/>
                <w:b w:val="1"/>
                <w:bCs w:val="1"/>
                <w:color w:val="auto"/>
              </w:rPr>
              <w:t>Independent directors</w:t>
            </w:r>
          </w:p>
        </w:tc>
        <w:tc>
          <w:tcPr>
            <w:tcW w:w="1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Adam K. Bernstein</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$ 50,001 - $100,000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tcPr>
          <w:p>
            <w:pPr>
              <w:ind w:left="320"/>
              <w:spacing w:after="0"/>
              <w:rPr>
                <w:sz w:val="20"/>
                <w:szCs w:val="20"/>
                <w:color w:val="auto"/>
              </w:rPr>
            </w:pPr>
            <w:r>
              <w:rPr>
                <w:rFonts w:ascii="Arial" w:cs="Arial" w:eastAsia="Arial" w:hAnsi="Arial"/>
                <w:sz w:val="16"/>
                <w:szCs w:val="16"/>
                <w:color w:val="auto"/>
              </w:rPr>
              <w:t>Marshall Brozost</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Jeffrey Flug</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$100,001 - $500,000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560" w:type="dxa"/>
            <w:vAlign w:val="bottom"/>
            <w:gridSpan w:val="2"/>
          </w:tcPr>
          <w:p>
            <w:pPr>
              <w:ind w:left="320"/>
              <w:spacing w:after="0"/>
              <w:rPr>
                <w:sz w:val="20"/>
                <w:szCs w:val="20"/>
                <w:color w:val="auto"/>
              </w:rPr>
            </w:pPr>
            <w:r>
              <w:rPr>
                <w:rFonts w:ascii="Arial" w:cs="Arial" w:eastAsia="Arial" w:hAnsi="Arial"/>
                <w:sz w:val="16"/>
                <w:szCs w:val="16"/>
                <w:color w:val="auto"/>
              </w:rPr>
              <w:t>Samuel L. Katz</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Interested director</w:t>
            </w: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9560" w:type="dxa"/>
            <w:vAlign w:val="bottom"/>
            <w:gridSpan w:val="2"/>
          </w:tcPr>
          <w:p>
            <w:pPr>
              <w:ind w:left="320"/>
              <w:spacing w:after="0"/>
              <w:rPr>
                <w:sz w:val="20"/>
                <w:szCs w:val="20"/>
                <w:color w:val="auto"/>
              </w:rPr>
            </w:pPr>
            <w:r>
              <w:rPr>
                <w:rFonts w:ascii="Arial" w:cs="Arial" w:eastAsia="Arial" w:hAnsi="Arial"/>
                <w:sz w:val="16"/>
                <w:szCs w:val="16"/>
                <w:color w:val="auto"/>
              </w:rPr>
              <w:t>Arthur H. Penn</w:t>
            </w:r>
            <w:r>
              <w:rPr>
                <w:rFonts w:ascii="Arial" w:cs="Arial" w:eastAsia="Arial" w:hAnsi="Arial"/>
                <w:sz w:val="27"/>
                <w:szCs w:val="27"/>
                <w:color w:val="auto"/>
                <w:vertAlign w:val="superscript"/>
              </w:rPr>
              <w:t>(2)</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Senior Investment Professionals</w:t>
            </w: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tcPr>
          <w:p>
            <w:pPr>
              <w:ind w:left="320"/>
              <w:spacing w:after="0"/>
              <w:rPr>
                <w:sz w:val="20"/>
                <w:szCs w:val="20"/>
                <w:color w:val="auto"/>
              </w:rPr>
            </w:pPr>
            <w:r>
              <w:rPr>
                <w:rFonts w:ascii="Arial" w:cs="Arial" w:eastAsia="Arial" w:hAnsi="Arial"/>
                <w:sz w:val="16"/>
                <w:szCs w:val="16"/>
                <w:color w:val="auto"/>
              </w:rPr>
              <w:t>Jose A. Briones</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Salvatore Giannetti III</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gridSpan w:val="2"/>
          </w:tcPr>
          <w:p>
            <w:pPr>
              <w:ind w:left="320"/>
              <w:spacing w:after="0"/>
              <w:rPr>
                <w:sz w:val="20"/>
                <w:szCs w:val="20"/>
                <w:color w:val="auto"/>
              </w:rPr>
            </w:pPr>
            <w:r>
              <w:rPr>
                <w:rFonts w:ascii="Arial" w:cs="Arial" w:eastAsia="Arial" w:hAnsi="Arial"/>
                <w:sz w:val="16"/>
                <w:szCs w:val="16"/>
                <w:color w:val="auto"/>
              </w:rPr>
              <w:t>P. Whitridge Williams, Jr.</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1" w:lineRule="exact"/>
        <w:rPr>
          <w:sz w:val="20"/>
          <w:szCs w:val="20"/>
          <w:color w:val="auto"/>
        </w:rPr>
      </w:pPr>
    </w:p>
    <w:p>
      <w:pPr>
        <w:ind w:left="460" w:right="140" w:hanging="452"/>
        <w:spacing w:after="0" w:line="25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 Beneficial ownership has been determined in accordance with Rule 16a-1(a)(2) promulgated under the Exchange Act.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Floating Rate Capital Ltd.,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7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2018, 2017 and 2016, the Investment Adviser earned a base management fee of $8.4 million, $6.9 million and $5.0 million, respectively, from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Average value of adjusted gross assets as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2018, 2017 and 2016, the Investment Adviser earned $3.5 million, $4.9 million and $3.7 million, respectively, in incentive fees on net investment income from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150495</wp:posOffset>
            </wp:positionV>
            <wp:extent cx="2186940"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we accrued an incentive fee on capital gains of approximately $(0.1) million, $0.1 million and zero, respectively, as calculated under the Investment Management Agreement (as described above).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2018, 2017 and 2016 was $(1.0) million, $1.2 million and $1.1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0.80%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131" w:lineRule="exact"/>
        <w:rPr>
          <w:sz w:val="20"/>
          <w:szCs w:val="20"/>
          <w:color w:val="auto"/>
        </w:rPr>
      </w:pPr>
    </w:p>
    <w:p>
      <w:pPr>
        <w:ind w:left="92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50" w:lineRule="exact"/>
        <w:rPr>
          <w:sz w:val="20"/>
          <w:szCs w:val="20"/>
          <w:color w:val="auto"/>
        </w:rPr>
      </w:pPr>
    </w:p>
    <w:p>
      <w:pPr>
        <w:ind w:left="3260" w:hanging="146"/>
        <w:spacing w:after="0"/>
        <w:tabs>
          <w:tab w:leader="none" w:pos="3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63" w:lineRule="exact"/>
        <w:rPr>
          <w:rFonts w:ascii="Arial" w:cs="Arial" w:eastAsia="Arial" w:hAnsi="Arial"/>
          <w:sz w:val="18"/>
          <w:szCs w:val="18"/>
          <w:color w:val="auto"/>
        </w:rPr>
      </w:pPr>
    </w:p>
    <w:p>
      <w:pPr>
        <w:ind w:left="3260" w:hanging="146"/>
        <w:spacing w:after="0"/>
        <w:tabs>
          <w:tab w:leader="none" w:pos="3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Investment income (including interest, dividends, fees, etc.) = 4.00%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expenses (legal, accounting, custodian, transfer agent, etc.) = 0.20%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income—(base management fee + other expenses)) = 3.55%</w:t>
      </w:r>
    </w:p>
    <w:p>
      <w:pPr>
        <w:sectPr>
          <w:pgSz w:w="11900" w:h="16838" w:orient="portrait"/>
          <w:cols w:equalWidth="0" w:num="1">
            <w:col w:w="11380"/>
          </w:cols>
          <w:pgMar w:left="240" w:top="459" w:right="279" w:bottom="1440" w:gutter="0" w:footer="0" w:header="0"/>
        </w:sectPr>
      </w:pPr>
    </w:p>
    <w:p>
      <w:pPr>
        <w:spacing w:after="0" w:line="1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Incentive fee</w:t>
      </w:r>
    </w:p>
    <w:p>
      <w:pPr>
        <w:spacing w:after="0" w:line="7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140" w:hanging="138"/>
        <w:spacing w:after="0"/>
        <w:tabs>
          <w:tab w:leader="none" w:pos="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5"/>
          <w:szCs w:val="15"/>
          <w:color w:val="auto"/>
        </w:rPr>
        <w:t>(3)</w:t>
      </w:r>
    </w:p>
    <w:p>
      <w:pPr>
        <w:spacing w:after="0" w:line="49" w:lineRule="exact"/>
        <w:rPr>
          <w:rFonts w:ascii="Arial" w:cs="Arial" w:eastAsia="Arial" w:hAnsi="Arial"/>
          <w:sz w:val="18"/>
          <w:szCs w:val="18"/>
          <w:color w:val="auto"/>
        </w:rPr>
      </w:pPr>
    </w:p>
    <w:p>
      <w:pPr>
        <w:ind w:right="2520" w:firstLine="2"/>
        <w:spacing w:after="0" w:line="355" w:lineRule="auto"/>
        <w:tabs>
          <w:tab w:leader="none" w:pos="146" w:val="left"/>
        </w:tabs>
        <w:numPr>
          <w:ilvl w:val="0"/>
          <w:numId w:val="61"/>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197" w:lineRule="exact"/>
        <w:rPr>
          <w:rFonts w:ascii="Arial" w:cs="Arial" w:eastAsia="Arial" w:hAnsi="Arial"/>
          <w:sz w:val="18"/>
          <w:szCs w:val="18"/>
          <w:color w:val="auto"/>
        </w:rPr>
      </w:pPr>
    </w:p>
    <w:p>
      <w:pPr>
        <w:ind w:right="5160"/>
        <w:spacing w:after="0" w:line="313"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right="7120"/>
        <w:spacing w:after="0" w:line="340"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102" w:lineRule="exact"/>
        <w:rPr>
          <w:sz w:val="20"/>
          <w:szCs w:val="20"/>
          <w:color w:val="auto"/>
        </w:rPr>
      </w:pPr>
    </w:p>
    <w:p>
      <w:pPr>
        <w:sectPr>
          <w:pgSz w:w="11900" w:h="16838" w:orient="portrait"/>
          <w:cols w:equalWidth="0" w:num="2">
            <w:col w:w="1960" w:space="720"/>
            <w:col w:w="8700"/>
          </w:cols>
          <w:pgMar w:left="240" w:top="459" w:right="279" w:bottom="1440" w:gutter="0" w:footer="0" w:header="0"/>
          <w:type w:val="continuous"/>
        </w:sect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$20 million investment made in Company A (“Investment A”), and $30 million investment made in Company B (“Investment 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117"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5"/>
          <w:szCs w:val="15"/>
          <w:color w:val="auto"/>
        </w:rPr>
        <w:t>(1)</w:t>
      </w:r>
    </w:p>
    <w:p>
      <w:pPr>
        <w:spacing w:after="0" w:line="117" w:lineRule="exact"/>
        <w:rPr>
          <w:sz w:val="20"/>
          <w:szCs w:val="20"/>
          <w:color w:val="auto"/>
        </w:rPr>
      </w:pPr>
    </w:p>
    <w:p>
      <w:pPr>
        <w:ind w:left="460" w:right="860"/>
        <w:spacing w:after="0" w:line="277"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$0.6 million capital gains incentive fee</w:t>
      </w:r>
    </w:p>
    <w:p>
      <w:pPr>
        <w:spacing w:after="0" w:line="117"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jc w:val="both"/>
        <w:ind w:left="460" w:hanging="452"/>
        <w:spacing w:after="0" w:line="286" w:lineRule="auto"/>
        <w:tabs>
          <w:tab w:leader="none" w:pos="460" w:val="left"/>
        </w:tabs>
        <w:numPr>
          <w:ilvl w:val="0"/>
          <w:numId w:val="64"/>
        </w:numPr>
        <w:rPr>
          <w:rFonts w:ascii="Arial" w:cs="Arial" w:eastAsia="Arial" w:hAnsi="Arial"/>
          <w:sz w:val="14"/>
          <w:szCs w:val="14"/>
          <w:color w:val="auto"/>
        </w:rPr>
      </w:pPr>
      <w:r>
        <w:rPr>
          <w:rFonts w:ascii="Arial" w:cs="Arial" w:eastAsia="Arial" w:hAnsi="Arial"/>
          <w:sz w:val="17"/>
          <w:szCs w:val="17"/>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2018. Unless terminated earlier as described below, the Investment Management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69"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2018, 2017 and 2016, we reimbured the Investment Adviser approximately $1.3 million, $1.7 million and $0.8 million, respectively, including expenses the Investment Adviser incurred on behalf of the Administrator, for services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2018. Unless terminated earlier as described below,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Administration Agreement will continue in effect for a period of one year through February 2019.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PennantPark Senior Secured Loan Fund I LLC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 securities consistent with our strategy. PSSL was formed as a Delaware limited liability company. As of September 30, 2018, PSSL had total assets of $443.4 million. As of the same date, we and Kemper had remaining commitments to fund first lien secured debt and equity interests in PSSL in an aggregate of $45.0 million. PSSL’s portfolio consisted of debt investments in 42 portfolio companies as of September 30, 2018. As of September 30, 2018, at fair value, the largest investment in a single portfolio company in PSSL was $21.2 million and the five largest investments totaled $95.9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capital to PSSL in the form of first lien secured debt and equity interests. As of September 30, 2018, we and Kemper owned 87.5%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 respectively, of each of the outstanding first lien secured debt and equity interests. As of the same date, our investment in PSSL consisted of first lien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secured debt of $101.1 million and equity interests of $43.3 million. As of the same date, we had commitments to fund first lien secured debt to PSSL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$128.6 million, of which $27.5 million was unfunded. As of September 30, 2018, we had commitments to fund equity interests in PSSL of $55.1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$11.8 million was unfunded.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6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00" w:hanging="446"/>
        <w:spacing w:after="0" w:line="279"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20" w:hanging="446"/>
        <w:spacing w:after="0" w:line="286"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extent we invest in derivative instruments in the future, such instruments would be valued at fair value in accordance with our valuation policy.</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0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20" w:right="78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20" w:right="122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20" w:hanging="325"/>
        <w:spacing w:after="0" w:line="27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78"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November 30, 2018,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6, 2018 was $12.63 per share. As of November 30, 2018, we had 42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November 30, 2018:</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8"/>
              </w:rPr>
              <w:t>Amount</w:t>
            </w:r>
          </w:p>
        </w:tc>
        <w:tc>
          <w:tcPr>
            <w:tcW w:w="16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548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60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Authorized</w:t>
            </w:r>
          </w:p>
        </w:tc>
        <w:tc>
          <w:tcPr>
            <w:tcW w:w="16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2021, 2019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8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4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6"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59" w:right="2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 November 2017, we priced an offering of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ilAA- by S&amp;P Global Ratings Maalot Ltd. and are listed for trading on the TASE.</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 Events of Default.” Second, the trustee performs certain administrative duties for us, such as sending interest and principal payments to holders.</w:t>
      </w:r>
    </w:p>
    <w:p>
      <w:pPr>
        <w:spacing w:after="0" w:line="158"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900" w:right="460" w:hanging="325"/>
        <w:spacing w:after="0" w:line="34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5" w:lineRule="exact"/>
        <w:rPr>
          <w:rFonts w:ascii="Arial" w:cs="Arial" w:eastAsia="Arial" w:hAnsi="Arial"/>
          <w:sz w:val="18"/>
          <w:szCs w:val="18"/>
          <w:color w:val="auto"/>
        </w:rPr>
      </w:pPr>
    </w:p>
    <w:p>
      <w:pPr>
        <w:ind w:left="900" w:right="300" w:hanging="325"/>
        <w:spacing w:after="0" w:line="286" w:lineRule="auto"/>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6" w:lineRule="exact"/>
        <w:rPr>
          <w:rFonts w:ascii="Arial" w:cs="Arial" w:eastAsia="Arial" w:hAnsi="Arial"/>
          <w:sz w:val="18"/>
          <w:szCs w:val="18"/>
          <w:color w:val="auto"/>
        </w:rPr>
      </w:pPr>
    </w:p>
    <w:p>
      <w:pPr>
        <w:ind w:left="900" w:right="100" w:hanging="325"/>
        <w:spacing w:after="0" w:line="334"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900" w:right="6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91" w:lineRule="exact"/>
        <w:rPr>
          <w:sz w:val="20"/>
          <w:szCs w:val="20"/>
          <w:color w:val="auto"/>
        </w:rPr>
      </w:pPr>
    </w:p>
    <w:p>
      <w:pPr>
        <w:ind w:left="900" w:right="30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0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53" w:lineRule="exact"/>
        <w:rPr>
          <w:rFonts w:ascii="Arial" w:cs="Arial" w:eastAsia="Arial" w:hAnsi="Arial"/>
          <w:sz w:val="16"/>
          <w:szCs w:val="16"/>
          <w:color w:val="auto"/>
        </w:rPr>
      </w:pPr>
    </w:p>
    <w:p>
      <w:pPr>
        <w:ind w:left="900" w:right="160" w:hanging="325"/>
        <w:spacing w:after="0" w:line="34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30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intend to use American Stock Transfer &amp; Trust Company, LLC to serve as the trustee under the indenture. Mishmeret Trust Company, Ltd. serves as trustee for our 2023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94"/>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94"/>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900" w:hanging="446"/>
        <w:spacing w:after="0" w:line="31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and referred to as the asset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6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60" w:hanging="325"/>
        <w:spacing w:after="0" w:line="31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480" w:right="160" w:hanging="567"/>
        <w:spacing w:after="0" w:line="264" w:lineRule="auto"/>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60" w:hanging="567"/>
        <w:spacing w:after="0" w:line="286" w:lineRule="auto"/>
        <w:tabs>
          <w:tab w:leader="none" w:pos="14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93"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78"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7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right="360" w:firstLine="456"/>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ind w:firstLine="8"/>
        <w:spacing w:after="0" w:line="254"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required to withhold U.S. tax (at a 30% rate) on payments of taxable dividends and (effective January 1, 2019) redemption proceeds and certain capital gain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7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2"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80"/>
          </w:cols>
          <w:pgMar w:left="240" w:top="459" w:right="3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151 West 42nd Street, New York, NY 10036, has audited our financial statements as of September 30, 2018, 2017 and 2016.</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80"/>
          </w:cols>
          <w:pgMar w:left="240" w:top="459"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96"/>
        </w:trPr>
        <w:tc>
          <w:tcPr>
            <w:tcW w:w="49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Management’s Report on Internal Control Over Financial Reporting</w:t>
              </w:r>
            </w:hyperlink>
          </w:p>
        </w:tc>
        <w:tc>
          <w:tcPr>
            <w:tcW w:w="4440" w:type="dxa"/>
            <w:vAlign w:val="bottom"/>
            <w:gridSpan w:val="7"/>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Report of Independent Registered Public Accounting Firm</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26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61">
              <w:r>
                <w:rPr>
                  <w:rFonts w:ascii="Arial" w:cs="Arial" w:eastAsia="Arial" w:hAnsi="Arial"/>
                  <w:sz w:val="18"/>
                  <w:szCs w:val="18"/>
                  <w:color w:val="0000EE"/>
                  <w:w w:val="92"/>
                </w:rPr>
                <w:t>Report of Independent Registered Public Accounting Firm On Internal Control Over Financial Reporting</w:t>
              </w:r>
            </w:hyperlink>
          </w:p>
        </w:tc>
        <w:tc>
          <w:tcPr>
            <w:tcW w:w="1780" w:type="dxa"/>
            <w:vAlign w:val="bottom"/>
            <w:gridSpan w:val="2"/>
          </w:tcPr>
          <w:p>
            <w:pPr>
              <w:spacing w:after="0"/>
              <w:rPr>
                <w:sz w:val="22"/>
                <w:szCs w:val="22"/>
                <w:color w:val="auto"/>
              </w:rPr>
            </w:pP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2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63">
              <w:r>
                <w:rPr>
                  <w:rFonts w:ascii="Arial" w:cs="Arial" w:eastAsia="Arial" w:hAnsi="Arial"/>
                  <w:sz w:val="18"/>
                  <w:szCs w:val="18"/>
                  <w:color w:val="0000EE"/>
                  <w:w w:val="90"/>
                </w:rPr>
                <w:t>Consolidated Statements of Assets and Liabilities as of September 30, 2018 and 2017</w:t>
              </w:r>
            </w:hyperlink>
          </w:p>
        </w:tc>
        <w:tc>
          <w:tcPr>
            <w:tcW w:w="3140" w:type="dxa"/>
            <w:vAlign w:val="bottom"/>
            <w:gridSpan w:val="5"/>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64">
              <w:r>
                <w:rPr>
                  <w:rFonts w:ascii="Arial" w:cs="Arial" w:eastAsia="Arial" w:hAnsi="Arial"/>
                  <w:sz w:val="18"/>
                  <w:szCs w:val="18"/>
                  <w:color w:val="0000EE"/>
                  <w:w w:val="89"/>
                </w:rPr>
                <w:t>Consolidated Statements of Operations for the years ended September 30, 2018, 2017 and 2016</w:t>
              </w:r>
            </w:hyperlink>
          </w:p>
        </w:tc>
        <w:tc>
          <w:tcPr>
            <w:tcW w:w="2420" w:type="dxa"/>
            <w:vAlign w:val="bottom"/>
            <w:gridSpan w:val="4"/>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65">
              <w:r>
                <w:rPr>
                  <w:rFonts w:ascii="Arial" w:cs="Arial" w:eastAsia="Arial" w:hAnsi="Arial"/>
                  <w:sz w:val="18"/>
                  <w:szCs w:val="18"/>
                  <w:color w:val="0000EE"/>
                </w:rPr>
                <w:t>Consolidated Statements of Changes in Net Assets for the years ended September 30, 2018, 2017 and 2016</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264"/>
        </w:trPr>
        <w:tc>
          <w:tcPr>
            <w:tcW w:w="70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Consolidated Statements of Cash Flows for the years ended September 30, 2018, 2017 and 2016</w:t>
              </w:r>
            </w:hyperlink>
          </w:p>
        </w:tc>
        <w:tc>
          <w:tcPr>
            <w:tcW w:w="720" w:type="dxa"/>
            <w:vAlign w:val="bottom"/>
            <w:tcBorders>
              <w:top w:val="single" w:sz="8" w:color="0000EE"/>
            </w:tcBorders>
            <w:gridSpan w:val="2"/>
          </w:tcPr>
          <w:p>
            <w:pPr>
              <w:spacing w:after="0"/>
              <w:rPr>
                <w:sz w:val="22"/>
                <w:szCs w:val="22"/>
                <w:color w:val="auto"/>
              </w:rPr>
            </w:pPr>
          </w:p>
        </w:tc>
        <w:tc>
          <w:tcPr>
            <w:tcW w:w="164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67">
              <w:r>
                <w:rPr>
                  <w:rFonts w:ascii="Arial" w:cs="Arial" w:eastAsia="Arial" w:hAnsi="Arial"/>
                  <w:sz w:val="18"/>
                  <w:szCs w:val="18"/>
                  <w:color w:val="0000EE"/>
                  <w:w w:val="89"/>
                </w:rPr>
                <w:t>Consolidated Schedules of Investments as of September 30, 2018 and 2017</w:t>
              </w:r>
            </w:hyperlink>
          </w:p>
        </w:tc>
        <w:tc>
          <w:tcPr>
            <w:tcW w:w="3880" w:type="dxa"/>
            <w:vAlign w:val="bottom"/>
            <w:gridSpan w:val="6"/>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F-10</w:t>
            </w:r>
          </w:p>
        </w:tc>
        <w:tc>
          <w:tcPr>
            <w:tcW w:w="0" w:type="dxa"/>
            <w:vAlign w:val="bottom"/>
          </w:tcPr>
          <w:p>
            <w:pPr>
              <w:spacing w:after="0"/>
              <w:rPr>
                <w:sz w:val="1"/>
                <w:szCs w:val="1"/>
                <w:color w:val="auto"/>
              </w:rPr>
            </w:pPr>
          </w:p>
        </w:tc>
      </w:tr>
      <w:tr>
        <w:trPr>
          <w:trHeight w:val="264"/>
        </w:trPr>
        <w:tc>
          <w:tcPr>
            <w:tcW w:w="9360" w:type="dxa"/>
            <w:vAlign w:val="bottom"/>
            <w:gridSpan w:val="10"/>
          </w:tcPr>
          <w:p>
            <w:pPr>
              <w:spacing w:after="0"/>
              <w:rPr>
                <w:rFonts w:ascii="Arial" w:cs="Arial" w:eastAsia="Arial" w:hAnsi="Arial"/>
                <w:sz w:val="18"/>
                <w:szCs w:val="18"/>
                <w:color w:val="0000EE"/>
              </w:rPr>
            </w:pPr>
            <w:hyperlink w:anchor="page176">
              <w:r>
                <w:rPr>
                  <w:rFonts w:ascii="Arial" w:cs="Arial" w:eastAsia="Arial" w:hAnsi="Arial"/>
                  <w:sz w:val="18"/>
                  <w:szCs w:val="18"/>
                  <w:color w:val="0000EE"/>
                </w:rPr>
                <w:t>Notes to the Consolidated Financial Statements</w:t>
              </w:r>
            </w:hyperlink>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F-19</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gridSpan w:val="6"/>
          </w:tcPr>
          <w:p>
            <w:pPr>
              <w:ind w:left="100"/>
              <w:spacing w:after="0"/>
              <w:rPr>
                <w:sz w:val="20"/>
                <w:szCs w:val="20"/>
                <w:color w:val="auto"/>
              </w:rPr>
            </w:pPr>
            <w:r>
              <w:rPr>
                <w:rFonts w:ascii="Arial" w:cs="Arial" w:eastAsia="Arial" w:hAnsi="Arial"/>
                <w:sz w:val="18"/>
                <w:szCs w:val="18"/>
                <w:color w:val="auto"/>
              </w:rPr>
              <w:t>F-1</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2018. Our internal control system is a process designed to provide reasonable assurance to our management and board of directors regarding the preparation and fair presentation of published financial statements.</w:t>
      </w:r>
    </w:p>
    <w:p>
      <w:pPr>
        <w:spacing w:after="0" w:line="154"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2018.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2018,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2018. This report appears on page F-4.</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audited the accompanying consolidated statements of assets and liabilities, including the consolidated schedules of investments, of PennantPark Floating Rate Capital Ltd. and its Subsidiaries (collectively referred to as the “Company”) as of September 30, 2018 and 2017, and the related consolidated statements of operations, changes in net assets and cash flows for each of the three years in the period ended September 30, 2018, and the related notes to the consolidated financial statements of the Company (collectively, the financial statements). In our opinion, the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and in our opinion, the related financial statements schedules, when considered in relation to the basic consolidated financial statements taken as a whole, presents fairly in all material respects the information set forth therein.</w:t>
      </w:r>
    </w:p>
    <w:p>
      <w:pPr>
        <w:spacing w:after="0" w:line="17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PennantPark Floating Rate Capital Ltd. and its Subsidiaries’ internal control over financial reporting as of September 30, 2018,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in 2013,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14, 2018, expressed an unqualified opinion on the effectiveness of the Company’s internal control over financial reporting.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4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2018, by correspondence with the custodians and brokers or by other appropriate auditing procedures where replies from brokers were not received.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year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 In our opinion, the Company maintained, in all material respects, effective internal control over financial reporting as of September 30, 2018,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in 2013.</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statements of assets and liabilities, including the consolidated schedules of investments as of September 30, 2018 and 2017, the related consolidated statements of operations, changes in net assets and cash flows for each of the three years in the period ended September 30, 2018, and the related notes to the consolidated financial statements (collectively, the financial statements) of the Company and our report dated November 14, 2018 expressed an unqualified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2017</w:t>
            </w:r>
          </w:p>
        </w:tc>
      </w:tr>
      <w:tr>
        <w:trPr>
          <w:trHeight w:val="196"/>
        </w:trPr>
        <w:tc>
          <w:tcPr>
            <w:tcW w:w="20" w:type="dxa"/>
            <w:vAlign w:val="bottom"/>
          </w:tcPr>
          <w:p>
            <w:pPr>
              <w:spacing w:after="0"/>
              <w:rPr>
                <w:sz w:val="17"/>
                <w:szCs w:val="17"/>
                <w:color w:val="auto"/>
              </w:rPr>
            </w:pPr>
          </w:p>
        </w:tc>
        <w:tc>
          <w:tcPr>
            <w:tcW w:w="8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(cost—$856,893,017 and $665,514,821, respectively)</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854,753,064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666,973,639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Controlled, affiliated investments (cost—$144,375,000 and $43,000,000, respectively)</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145,860,229</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43,525,143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of investments (cost—$1,001,268,017 and $708,514,821, respectively)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1,000,613,293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710,498,782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(cost—$72,231,801 and $18,847,673, respectively)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72,224,183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18,910,756</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2,813,808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14,185,850</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792,069</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1,229,505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1,076,443,353</w:t>
            </w: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747,345,399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Distributions payable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3,683,347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3,085,607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59,587,222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21,730,512</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Credit Facility payable (cost—$333,727,520 and $253,783,301, respectively) (See Notes 5 and 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332,128,815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256,858,457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2023 Notes payable (cost—$138,579,858 and zero, respectively) (See Notes 5 and 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135,503,385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2,638,504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693,787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 payable (See Note 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2,419,629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1,784,806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3,298,404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5,061,217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1,342,479</w:t>
            </w:r>
          </w:p>
        </w:tc>
        <w:tc>
          <w:tcPr>
            <w:tcW w:w="5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224,739</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540,601,785</w:t>
            </w: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289,439,125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38,772,074 and 32,480,074 shares issued and outstanding, respectively Par value $0.001 per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and 100,000,000 shares authorized</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38,772</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32,480</w:t>
            </w: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539,462,336</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451,448,872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 undistributed net investment income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(5,153,449)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3,163,645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(2,331,230)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4,289,389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(850,039)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2,047,044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unrealized depreciation (appreciation) on debt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4,675,178</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(3,075,156)</w:t>
            </w: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535,841,568</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457,906,274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1,076,443,353</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747,345,399</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62,469,275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52,772,368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40,561,694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2,244,895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1,660,371</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2,334,330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proceeds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4,551,485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5,302,909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512,610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Dividend</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2,187,500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72,204,579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59,496,834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46,301,290</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8,351,653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6,902,645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2,399,249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6,217,210</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4,791,574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14,359,908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8,338,880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2,245,000</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1,148,281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2,460,582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1,935,000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2,179,257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Expenses before amendment costs, debt issuance costs and provision for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29,571,392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25,638,735</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18,057,408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amendment costs and debt issuance costs (See Notes 5 and 11)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10,869,098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112,736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Provision for taxes</w:t>
            </w:r>
          </w:p>
        </w:tc>
        <w:tc>
          <w:tcPr>
            <w:tcW w:w="140" w:type="dxa"/>
            <w:vAlign w:val="bottom"/>
          </w:tcPr>
          <w:p>
            <w:pPr>
              <w:spacing w:after="0"/>
              <w:rPr>
                <w:sz w:val="18"/>
                <w:szCs w:val="18"/>
                <w:color w:val="auto"/>
              </w:rPr>
            </w:pP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800,000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41,240,490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26,051,471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18,965,130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30,964,089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33,445,363</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27,336,160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on investments and debt: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w w:val="97"/>
              </w:rPr>
              <w:t>(2,327,118)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5,410,903</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140" w:type="dxa"/>
            <w:vAlign w:val="bottom"/>
          </w:tcPr>
          <w:p>
            <w:pPr>
              <w:spacing w:after="0"/>
              <w:rPr>
                <w:sz w:val="18"/>
                <w:szCs w:val="18"/>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8"/>
                <w:szCs w:val="18"/>
                <w:color w:val="auto"/>
                <w:w w:val="97"/>
              </w:rPr>
              <w:t>(3,857,170)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537,029</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7,011,289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960,087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525,143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Debt depreciation (appreciation) (See Note 5 and 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7,750,334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(3,593,158)</w:t>
            </w: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 on investments and debt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(2,530,986)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7,529,291</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from investments and debt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2,526,133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2,879,917</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5"/>
              </w:rPr>
              <w:t>33,490,222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36,325,280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33,488,663</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30,964,089</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33,445,363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27,336,160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(loss) gain on investments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(2,327,118)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5,410,903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(2,897,083)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1,062,172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7,011,289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debt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7,750,334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(3,593,158)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33,490,222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36,325,280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1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9"/>
              </w:rPr>
              <w:t>(39,387,692)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(34,842,284)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(30,076,422)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(4,186,992)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(395,862)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(43,574,684)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(34,842,284)</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(30,472,284)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Public offering (See Note 1)</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89,031,800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80,986,450</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(1,012,044)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88,019,756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80,516,450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77,935,294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81,999,446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3,016,379</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457,906,274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375,906,828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372,890,449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535,841,568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457,906,274</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375,906,828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in excess of) Undistributed net investment income, end of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(5,153,449)</w:t>
            </w:r>
          </w:p>
        </w:tc>
        <w:tc>
          <w:tcPr>
            <w:tcW w:w="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3,163,645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4,559,646</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from public offering</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6,292,000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5,750,000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Ended 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700"/>
              <w:spacing w:after="0"/>
              <w:rPr>
                <w:sz w:val="20"/>
                <w:szCs w:val="20"/>
                <w:color w:val="auto"/>
              </w:rPr>
            </w:pPr>
            <w:r>
              <w:rPr>
                <w:rFonts w:ascii="Arial" w:cs="Arial" w:eastAsia="Arial" w:hAnsi="Arial"/>
                <w:sz w:val="18"/>
                <w:szCs w:val="18"/>
                <w:color w:val="auto"/>
              </w:rPr>
              <w:t>Net increase in net assets resulting from operations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33,490,222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36,325,280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33,488,663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used in operating activities: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2,897,083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(1,062,172)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(7,011,289)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unrealized (depreciation) appreciation on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(7,750,334)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3,593,158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Net realized loss (gain) on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2,327,118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(5,410,903)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accretion of discount and amortization of premium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(1,401,358)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(1,741,190)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(682,735,730)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(508,906,932)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(364,442,810)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Payment-in-kind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(669,290)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(590,703)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Proceeds from dispositions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391,442,572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406,484,118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164,178,802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in interest receivable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(293,302)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Decrease (increase) in receivable for investments sold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14,185,850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(14,185,850)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prepaid expenses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437,436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Increase in payable for investments purchased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37,856,710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6,794,542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5,568,470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Increase in interest payable on 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1,944,717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161,861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Increase in base management fee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634,823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326,181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(Decrease) increase in performance-based incentive fee payable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(1,762,813)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1,606,303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Increase (decrease) in accrued other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1,117,740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21,762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(336,370)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(208,278,556)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(76,712,959)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(165,462,703)</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Public offering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89,031,800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80,986,450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Offering costs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(1,012,044)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(470,000)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Distributions paid to stockholders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(42,976,944)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(34,296,034)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(30,472,284)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Proceeds from 2023 Notes issuance (See Notes 5 and 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138,579,858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Borrowings under Credit Facility (See Notes 5 and 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246,485,010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309,680,000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260,707,500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1060"/>
              <w:spacing w:after="0"/>
              <w:rPr>
                <w:sz w:val="20"/>
                <w:szCs w:val="20"/>
                <w:color w:val="auto"/>
              </w:rPr>
            </w:pPr>
            <w:r>
              <w:rPr>
                <w:rFonts w:ascii="Arial" w:cs="Arial" w:eastAsia="Arial" w:hAnsi="Arial"/>
                <w:sz w:val="18"/>
                <w:szCs w:val="18"/>
                <w:color w:val="auto"/>
              </w:rPr>
              <w:t>Repayments under Credit Facility (See Notes 5 and 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(166,540,790)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(288,804,200)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(57,400,000)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263,566,890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67,096,216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172,835,216</w:t>
            </w: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55,288,334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(9,616,743)</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7,372,513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(1,974,907)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18,910,756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28,910,973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21,428,514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72,224,183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18,910,756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28,910,973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23,284,289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8,289,755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4,615,926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53,200,000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35,659,395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4,843,385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2"/>
              </w:rPr>
              <w:t>Basis Point</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3"/>
              </w:rPr>
              <w:t>Spread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spacing w:after="0"/>
              <w:rPr>
                <w:sz w:val="11"/>
                <w:szCs w:val="11"/>
                <w:color w:val="auto"/>
              </w:rPr>
            </w:pPr>
          </w:p>
        </w:tc>
        <w:tc>
          <w:tcPr>
            <w:tcW w:w="268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Industry</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w w:val="92"/>
              </w:rPr>
              <w:t>Current</w:t>
            </w: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7"/>
              </w:rPr>
              <w:t>Above</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2"/>
                <w:szCs w:val="12"/>
                <w:b w:val="1"/>
                <w:bCs w:val="1"/>
                <w:color w:val="auto"/>
              </w:rPr>
              <w:t>Par /</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540" w:type="dxa"/>
            <w:vAlign w:val="bottom"/>
            <w:vMerge w:val="continue"/>
          </w:tcPr>
          <w:p>
            <w:pPr>
              <w:spacing w:after="0"/>
              <w:rPr>
                <w:sz w:val="12"/>
                <w:szCs w:val="12"/>
                <w:color w:val="auto"/>
              </w:rPr>
            </w:pPr>
          </w:p>
        </w:tc>
        <w:tc>
          <w:tcPr>
            <w:tcW w:w="1180" w:type="dxa"/>
            <w:vAlign w:val="bottom"/>
          </w:tcPr>
          <w:p>
            <w:pPr>
              <w:jc w:val="right"/>
              <w:ind w:right="242"/>
              <w:spacing w:after="0"/>
              <w:rPr>
                <w:sz w:val="20"/>
                <w:szCs w:val="20"/>
                <w:color w:val="auto"/>
              </w:rPr>
            </w:pPr>
            <w:r>
              <w:rPr>
                <w:rFonts w:ascii="Arial" w:cs="Arial" w:eastAsia="Arial" w:hAnsi="Arial"/>
                <w:sz w:val="12"/>
                <w:szCs w:val="12"/>
                <w:b w:val="1"/>
                <w:bCs w:val="1"/>
                <w:color w:val="auto"/>
              </w:rPr>
              <w:t>Maturity</w:t>
            </w:r>
          </w:p>
        </w:tc>
        <w:tc>
          <w:tcPr>
            <w:tcW w:w="2680" w:type="dxa"/>
            <w:vAlign w:val="bottom"/>
            <w:gridSpan w:val="2"/>
            <w:vMerge w:val="continue"/>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88"/>
              </w:rPr>
              <w:t>Coupon</w:t>
            </w:r>
          </w:p>
        </w:tc>
        <w:tc>
          <w:tcPr>
            <w:tcW w:w="7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47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Companies—159.5% </w:t>
            </w:r>
            <w:r>
              <w:rPr>
                <w:rFonts w:ascii="Arial" w:cs="Arial" w:eastAsia="Arial" w:hAnsi="Arial"/>
                <w:sz w:val="9"/>
                <w:szCs w:val="9"/>
                <w:b w:val="1"/>
                <w:bCs w:val="1"/>
                <w:color w:val="auto"/>
              </w:rPr>
              <w:t>(3), (4)</w:t>
            </w:r>
          </w:p>
        </w:tc>
        <w:tc>
          <w:tcPr>
            <w:tcW w:w="25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Debt—151.6%</w:t>
            </w:r>
          </w:p>
        </w:tc>
        <w:tc>
          <w:tcPr>
            <w:tcW w:w="11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Alera Group Intermediate Holdings, Inc.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08/01/2025</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Banking, Finance, Insurance and Real Estate</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6.74%</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L+450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9,975,000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9,950,063</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10,099,688</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Allied America, Inc.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08/08/2022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9.39%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L+700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1,685,452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1,685,452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1,688,823</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11/30/2021</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8"/>
              </w:rPr>
              <w:t>Transportation: Consumer</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7.34%</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L+525</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5,857,878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5,800,066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5,770,010</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American Scaffold</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03/31/2022</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8.89%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4,500,000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4,455,413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4,455,000</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Teleconferencing Services, Ltd.</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12/08/2021</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Telecommunications</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8.84%</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10,107,368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9,986,139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9,715,708</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04/22/2024</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8.25%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4,987,500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4,927,669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4,937,625</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04/22/2024</w:t>
            </w:r>
          </w:p>
        </w:tc>
        <w:tc>
          <w:tcPr>
            <w:tcW w:w="26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1,968,504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(9,843)</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Beauty Industry Group Opco,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04/06/2023</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Consumer Goods: Non-Durable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7.00%</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L+475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33,047,995</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32,717,900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32,882,753</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BEI Precision Systems &amp; Space Company, Inc.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04/28/2023</w:t>
            </w:r>
          </w:p>
        </w:tc>
        <w:tc>
          <w:tcPr>
            <w:tcW w:w="26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7.89%</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11,850,000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11,752,654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11,731,500</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05/16/2022</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9.57%</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L+725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15,454,395</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15,157,019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15,454,395</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05/16/2022</w:t>
            </w:r>
          </w:p>
        </w:tc>
        <w:tc>
          <w:tcPr>
            <w:tcW w:w="26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2,311,784</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Cadence Aerospace,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11/14/2023</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Aerospace and Defense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8.82%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L+650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10,917,500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10,824,456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10,937,086</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06/30/2021</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Transportation: Cargo</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6.99%</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L+475</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2,418,750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2,406,335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2,322,000</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Cardenas Markets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11/29/2023</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7.99%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3,874,317</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3,881,627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3,874,317</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CD&amp;R TZ Purchaser, Inc. </w:t>
            </w:r>
            <w:r>
              <w:rPr>
                <w:rFonts w:ascii="Arial" w:cs="Arial" w:eastAsia="Arial" w:hAnsi="Arial"/>
                <w:sz w:val="9"/>
                <w:szCs w:val="9"/>
                <w:color w:val="auto"/>
              </w:rPr>
              <w:t>(7)</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07/21/2023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8.39%</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L+600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16,161,170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15,861,453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15,837,947</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04/10/2025</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6.89%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L+450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6,145,313</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6,115,613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6,176,039</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04/10/2025</w:t>
            </w:r>
          </w:p>
        </w:tc>
        <w:tc>
          <w:tcPr>
            <w:tcW w:w="26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Environmental Industries</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1,339,286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6,696</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08/31/2023</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7.89%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426,868</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426,868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422,599</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Challenger Performance Optimization, Inc.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08/31/2023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284,579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(2,846)</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01/08/2019</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8.35%</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4,539,286</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4,535,666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3,994,572</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Country Fresh Holdings, LLC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03/31/2023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7.39%</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L+500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17,727,205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17,691,760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17,195,389</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Credit Infonet, Inc.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03/13/2023</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8.52%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6M L+600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26,713,426</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26,527,311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26,713,426</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03/13/2023</w:t>
            </w:r>
          </w:p>
        </w:tc>
        <w:tc>
          <w:tcPr>
            <w:tcW w:w="268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DBI Holding,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08/02/2021</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7.51%</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L+525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17,395,068</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17,297,351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17,395,068</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Deva Holdings, Inc.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10/31/2023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Consumer Goods: Non-Durable</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7.74%</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7,344,001</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7,214,912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7,344,001</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10/31/2022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Consumer Goods: Non-Durable</w:t>
            </w:r>
          </w:p>
        </w:tc>
        <w:tc>
          <w:tcPr>
            <w:tcW w:w="7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2,115,000</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12/29/2023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7.25%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L+500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16,376,250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16,227,058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16,192,017</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03/29/2022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8.14%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L+575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14,486,029</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14,260,279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14,341,169</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Douglas Products and Packaging Company LLC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03/29/2022</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2,941,176</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(29,412)</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09/30/2022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6.92%</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2M L+475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10,085,149</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10,062,733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10,085,149</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09/30/2022</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1,000,000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East Valley Tourist Development Authority</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03/07/2022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Hotel, Gaming and Leisure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10.39%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19,923,750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19,762,133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20,172,797</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05/06/2021</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Telecommunications</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9.24%</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20,742,489</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20,646,931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20,742,489</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05/06/2021</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Telecommunications</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9.19%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L+700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1,304,348</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1,304,348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1,304,348</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05/06/2021</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Telecommunications</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869,565</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06/15/2022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 Diversified and Production</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9.14%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9,331,620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9,268,771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9,284,961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05/30/2025</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Transportation: Cargo</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628,571</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(1,571)</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11/14/2022</w:t>
            </w:r>
          </w:p>
        </w:tc>
        <w:tc>
          <w:tcPr>
            <w:tcW w:w="268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High Tech Industries</w:t>
            </w:r>
          </w:p>
        </w:tc>
        <w:tc>
          <w:tcPr>
            <w:tcW w:w="7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2,666,667</w:t>
            </w:r>
          </w:p>
        </w:tc>
        <w:tc>
          <w:tcPr>
            <w:tcW w:w="8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GSM Holdings, Inc. </w:t>
            </w:r>
            <w:r>
              <w:rPr>
                <w:rFonts w:ascii="Arial" w:cs="Arial" w:eastAsia="Arial" w:hAnsi="Arial"/>
                <w:sz w:val="9"/>
                <w:szCs w:val="9"/>
                <w:color w:val="auto"/>
              </w:rPr>
              <w:t>(7)</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06/03/2024</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6.86%</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L+450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5,097,491</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5,072,239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5,072,003</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06/03/2024</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6.87%</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L+450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1,187,750</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1,187,750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1,181,811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06/03/2024</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6"/>
              </w:rPr>
              <w:t>Consumer Goods: Durable</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3,563,250</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(17,817)</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06/09/2023</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Consumer Goods: Non-Durable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10.39%</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L+800</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10,952,132</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10,770,250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10,842,611</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05/01/2019</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8.25%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5,445,988</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5,434,106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5,432,373</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Wholesale</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8.64%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12,482,923</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12,364,105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12,420,509</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06/27/2023</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Wholesale</w:t>
            </w:r>
          </w:p>
        </w:tc>
        <w:tc>
          <w:tcPr>
            <w:tcW w:w="7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12,491,009</w:t>
            </w: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(62,455)</w:t>
            </w:r>
          </w:p>
        </w:tc>
        <w:tc>
          <w:tcPr>
            <w:tcW w:w="0" w:type="dxa"/>
            <w:vAlign w:val="bottom"/>
          </w:tcPr>
          <w:p>
            <w:pPr>
              <w:spacing w:after="0"/>
              <w:rPr>
                <w:sz w:val="1"/>
                <w:szCs w:val="1"/>
                <w:color w:val="auto"/>
              </w:rPr>
            </w:pPr>
          </w:p>
        </w:tc>
      </w:tr>
      <w:tr>
        <w:trPr>
          <w:trHeight w:val="135"/>
        </w:trPr>
        <w:tc>
          <w:tcPr>
            <w:tcW w:w="3540" w:type="dxa"/>
            <w:vAlign w:val="bottom"/>
          </w:tcPr>
          <w:p>
            <w:pPr>
              <w:spacing w:after="0" w:line="135" w:lineRule="exact"/>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8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04/13/2022</w:t>
            </w:r>
          </w:p>
        </w:tc>
        <w:tc>
          <w:tcPr>
            <w:tcW w:w="268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9.14%</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L+675</w:t>
            </w: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3,339,631</w:t>
            </w:r>
          </w:p>
        </w:tc>
        <w:tc>
          <w:tcPr>
            <w:tcW w:w="76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3,303,281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3,322,933</w:t>
            </w:r>
          </w:p>
        </w:tc>
        <w:tc>
          <w:tcPr>
            <w:tcW w:w="0" w:type="dxa"/>
            <w:vAlign w:val="bottom"/>
          </w:tcPr>
          <w:p>
            <w:pPr>
              <w:spacing w:after="0"/>
              <w:rPr>
                <w:sz w:val="1"/>
                <w:szCs w:val="1"/>
                <w:color w:val="auto"/>
              </w:rPr>
            </w:pPr>
          </w:p>
        </w:tc>
      </w:tr>
      <w:tr>
        <w:trPr>
          <w:trHeight w:val="135"/>
        </w:trPr>
        <w:tc>
          <w:tcPr>
            <w:tcW w:w="35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(9)</w:t>
            </w:r>
          </w:p>
        </w:tc>
        <w:tc>
          <w:tcPr>
            <w:tcW w:w="118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04/13/2022</w:t>
            </w:r>
          </w:p>
        </w:tc>
        <w:tc>
          <w:tcPr>
            <w:tcW w:w="2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10.75%</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P+550</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176,991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176,106</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80" w:type="dxa"/>
            <w:vAlign w:val="bottom"/>
          </w:tcPr>
          <w:p>
            <w:pPr>
              <w:jc w:val="right"/>
              <w:ind w:right="142"/>
              <w:spacing w:after="0"/>
              <w:rPr>
                <w:sz w:val="20"/>
                <w:szCs w:val="20"/>
                <w:color w:val="auto"/>
              </w:rPr>
            </w:pPr>
            <w:r>
              <w:rPr>
                <w:rFonts w:ascii="Arial" w:cs="Arial" w:eastAsia="Arial" w:hAnsi="Arial"/>
                <w:sz w:val="12"/>
                <w:szCs w:val="12"/>
                <w:color w:val="auto"/>
              </w:rPr>
              <w:t>04/13/2022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Capital Equipment</w:t>
            </w:r>
          </w:p>
        </w:tc>
        <w:tc>
          <w:tcPr>
            <w:tcW w:w="7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353,982</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(1,770)</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vMerge w:val="restart"/>
          </w:tcPr>
          <w:p>
            <w:pPr>
              <w:spacing w:after="0"/>
              <w:rPr>
                <w:sz w:val="11"/>
                <w:szCs w:val="11"/>
                <w:color w:val="auto"/>
              </w:rPr>
            </w:pP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99"/>
              </w:rPr>
              <w:t>Par /</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Maturity</w:t>
            </w:r>
          </w:p>
        </w:tc>
        <w:tc>
          <w:tcPr>
            <w:tcW w:w="140" w:type="dxa"/>
            <w:vAlign w:val="bottom"/>
            <w:tcBorders>
              <w:bottom w:val="single" w:sz="8" w:color="CCEEFF"/>
            </w:tcBorders>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6"/>
              </w:rPr>
              <w:t>Coupon</w:t>
            </w:r>
          </w:p>
        </w:tc>
        <w:tc>
          <w:tcPr>
            <w:tcW w:w="2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Shares</w:t>
            </w: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Integrative Nutrition, LLC</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w w:val="86"/>
              </w:rPr>
              <w:t>09/29/2023</w:t>
            </w: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Consumer Services</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0"/>
              <w:spacing w:after="0" w:line="129" w:lineRule="exact"/>
              <w:rPr>
                <w:sz w:val="20"/>
                <w:szCs w:val="20"/>
                <w:color w:val="auto"/>
              </w:rPr>
            </w:pPr>
            <w:r>
              <w:rPr>
                <w:rFonts w:ascii="Arial" w:cs="Arial" w:eastAsia="Arial" w:hAnsi="Arial"/>
                <w:sz w:val="12"/>
                <w:szCs w:val="12"/>
                <w:color w:val="auto"/>
              </w:rPr>
              <w:t>7.15%</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3M L+475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36,000,000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$35,640,000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7"/>
              </w:rPr>
              <w:t>$  35,640,000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Integrative Nutrition, LLC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09/29/2023</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Consumer Services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Intralinks, Inc.</w:t>
            </w:r>
          </w:p>
        </w:tc>
        <w:tc>
          <w:tcPr>
            <w:tcW w:w="7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11/14/2024</w:t>
            </w:r>
          </w:p>
        </w:tc>
        <w:tc>
          <w:tcPr>
            <w:tcW w:w="14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6.25%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L+400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14,451,316</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14,384,410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14,478,484</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Inventus Power,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04/30/2020</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L+650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4,230,023</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4,216,353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3,933,921</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02/19/2021</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11.24%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L+900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3,925,501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3,865,568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3,925,501</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10/31/2022</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8.39%</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12,109,261</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11,972,865</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12,109,261</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10/30/2020</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6.49%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L+425</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262,097</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262,097</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262,097</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10/30/2020</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947,581</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03/07/2022</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Hotel, Gaming and Leisure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L+950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10,098,000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9,966,385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9,694,080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09/12/2022</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7.73%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L+575</w:t>
            </w: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2"/>
              </w:rPr>
              <w:t>A$ 9,925,000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7,688,759</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7,181,254</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7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11/30/2021</w:t>
            </w:r>
          </w:p>
        </w:tc>
        <w:tc>
          <w:tcPr>
            <w:tcW w:w="14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10.33%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4,596,389</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4,528,529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2,987,653</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5"/>
              </w:rPr>
              <w:t>(PIK 6.00%)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Lombart Brothers,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9.14%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L+675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9,251,830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9,147,743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9,205,570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10.75%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P+550</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619,469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619,469</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616,372</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619,469</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(3,098)</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 Island Vision Management, LLC</w:t>
            </w:r>
          </w:p>
        </w:tc>
        <w:tc>
          <w:tcPr>
            <w:tcW w:w="7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2"/>
                <w:szCs w:val="12"/>
                <w:color w:val="auto"/>
                <w:w w:val="86"/>
              </w:rPr>
              <w:t>09/11/2023</w:t>
            </w:r>
          </w:p>
        </w:tc>
        <w:tc>
          <w:tcPr>
            <w:tcW w:w="140" w:type="dxa"/>
            <w:vAlign w:val="bottom"/>
            <w:shd w:val="clear" w:color="auto" w:fill="CCEEFF"/>
          </w:tcPr>
          <w:p>
            <w:pPr>
              <w:spacing w:after="0"/>
              <w:rPr>
                <w:sz w:val="11"/>
                <w:szCs w:val="11"/>
                <w:color w:val="auto"/>
              </w:rPr>
            </w:pP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7.14%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L+475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6,052,632</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5,992,433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5,976,091</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Long Island Vision Management, LLC </w:t>
            </w:r>
            <w:r>
              <w:rPr>
                <w:rFonts w:ascii="Arial" w:cs="Arial" w:eastAsia="Arial" w:hAnsi="Arial"/>
                <w:sz w:val="9"/>
                <w:szCs w:val="9"/>
                <w:color w:val="auto"/>
              </w:rPr>
              <w:t>(7), (8)</w:t>
            </w:r>
          </w:p>
        </w:tc>
        <w:tc>
          <w:tcPr>
            <w:tcW w:w="700" w:type="dxa"/>
            <w:vAlign w:val="bottom"/>
            <w:gridSpan w:val="2"/>
          </w:tcPr>
          <w:p>
            <w:pPr>
              <w:ind w:left="160"/>
              <w:spacing w:after="0" w:line="135" w:lineRule="exact"/>
              <w:rPr>
                <w:sz w:val="20"/>
                <w:szCs w:val="20"/>
                <w:color w:val="auto"/>
              </w:rPr>
            </w:pPr>
            <w:r>
              <w:rPr>
                <w:rFonts w:ascii="Arial" w:cs="Arial" w:eastAsia="Arial" w:hAnsi="Arial"/>
                <w:sz w:val="12"/>
                <w:szCs w:val="12"/>
                <w:color w:val="auto"/>
                <w:w w:val="86"/>
              </w:rPr>
              <w:t>09/11/2023</w:t>
            </w:r>
          </w:p>
        </w:tc>
        <w:tc>
          <w:tcPr>
            <w:tcW w:w="140" w:type="dxa"/>
            <w:vAlign w:val="bottom"/>
          </w:tcPr>
          <w:p>
            <w:pPr>
              <w:spacing w:after="0"/>
              <w:rPr>
                <w:sz w:val="11"/>
                <w:szCs w:val="11"/>
                <w:color w:val="auto"/>
              </w:rPr>
            </w:pP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3,947,368</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(49,918)</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08/19/2022</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7.12%</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9,914,849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08/19/2022</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3,000,000</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(60,000)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05/01/2023</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8.12%</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14,046,875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13,932,255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13,537,676</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12/08/2023</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8.17%</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6,983,750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6,909,661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6,930,659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12/08/2023</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975,000</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(7,412)</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Marketplace Events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7.64%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3,343,309</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3,313,221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3,343,309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7.07%</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3"/>
              </w:rPr>
              <w:t>C$ 16,473,429</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3"/>
              </w:rPr>
              <w:t>11,599,021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12,744,421</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P+275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425,791</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425,791</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425,791</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1,277,372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09/28/2021</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883,392</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(2,122)</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Montreign Operating Company,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01/24/2023</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Hotel, Gaming and Leisure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10.59%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L+825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26,163,397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26,518,501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23,350,832</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02/10/2023</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8.40%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20,644,462</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20,276,981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20,541,240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08/01/2022</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8.24%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7,068,161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6,998,756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5,654,528</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5"/>
              </w:rPr>
              <w:t>(PIK 3.00%)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NextiraOne Federal,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08/27/2024</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8.07%</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L+575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18,181,818</w:t>
            </w:r>
          </w:p>
        </w:tc>
        <w:tc>
          <w:tcPr>
            <w:tcW w:w="1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17,911,938</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17,906,255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08/27/2024</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8.07%</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L+575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2,647,727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2,647,727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2,607,599</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NextiraOne Federal, LLC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08/27/2024</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4,170,455</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(63,207)</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Olde Thompson,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05/14/2024</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6.66%</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L+450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1,852,500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1,833,975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1,852,500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Olde Thompson, LLC—Revolver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05/14/2024</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2,642,857</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Ox Two,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8.49%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13,034,722</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12,946,045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13,034,722</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12.50%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P+725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166,667</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166,667</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166,667</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02/27/2023</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388,889</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(5),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06/01/2023</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7.51%</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L+525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15,000,000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14,850,000</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14,850,000</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01/31/2023</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7.29%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2M L+500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10,075,023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9,997,462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10,075,023</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01/31/2022</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Questex,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8.57%</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7,500,000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7,351,373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7,350,000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8.57%</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199,468</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199,468</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195,479</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09/09/2024</w:t>
            </w:r>
          </w:p>
        </w:tc>
        <w:tc>
          <w:tcPr>
            <w:tcW w:w="2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997,340</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(19,947)</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08/23/2021</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7.06%</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3M L+475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9,375,000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9,288,885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7,921,875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Horizons,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8.36%</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5,250,000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5,150,977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5,145,000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2,128,378</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(42,568)</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8.36%</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L+625</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416,216</w:t>
            </w: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416,216</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407,892</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06/28/2022</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529,730</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(10,595)</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 and Survey Sampling International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12/20/2024</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7.74%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1M L+550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24,812,500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23,676,196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24,882,223</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Salient CRGT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02/28/2022</w:t>
            </w:r>
          </w:p>
        </w:tc>
        <w:tc>
          <w:tcPr>
            <w:tcW w:w="260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7.99%</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L+575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18,136,905</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17,867,722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18,318,274</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8.59%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3M L+625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5,985,000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5,898,822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5,985,000</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 (8)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4,125,000</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09/01/2022</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500,000</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160" w:type="dxa"/>
            <w:vAlign w:val="bottom"/>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07/19/2021</w:t>
            </w:r>
          </w:p>
        </w:tc>
        <w:tc>
          <w:tcPr>
            <w:tcW w:w="260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8.10%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1M L+600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483,333</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483,333</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418,084</w:t>
            </w:r>
          </w:p>
        </w:tc>
        <w:tc>
          <w:tcPr>
            <w:tcW w:w="0" w:type="dxa"/>
            <w:vAlign w:val="bottom"/>
          </w:tcPr>
          <w:p>
            <w:pPr>
              <w:spacing w:after="0"/>
              <w:rPr>
                <w:sz w:val="1"/>
                <w:szCs w:val="1"/>
                <w:color w:val="auto"/>
              </w:rPr>
            </w:pPr>
          </w:p>
        </w:tc>
      </w:tr>
      <w:tr>
        <w:trPr>
          <w:trHeight w:val="135"/>
        </w:trPr>
        <w:tc>
          <w:tcPr>
            <w:tcW w:w="4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07/19/2021</w:t>
            </w:r>
          </w:p>
        </w:tc>
        <w:tc>
          <w:tcPr>
            <w:tcW w:w="26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183,333</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(24,750)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0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w w:val="92"/>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Par /</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Maturity</w:t>
            </w:r>
          </w:p>
        </w:tc>
        <w:tc>
          <w:tcPr>
            <w:tcW w:w="2700" w:type="dxa"/>
            <w:vAlign w:val="bottom"/>
            <w:gridSpan w:val="2"/>
            <w:vMerge w:val="continue"/>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Coupon</w:t>
            </w: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2"/>
                <w:szCs w:val="12"/>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60"/>
              <w:spacing w:after="0" w:line="129" w:lineRule="exact"/>
              <w:rPr>
                <w:sz w:val="20"/>
                <w:szCs w:val="20"/>
                <w:color w:val="auto"/>
              </w:rPr>
            </w:pPr>
            <w:r>
              <w:rPr>
                <w:rFonts w:ascii="Arial" w:cs="Arial" w:eastAsia="Arial" w:hAnsi="Arial"/>
                <w:sz w:val="12"/>
                <w:szCs w:val="12"/>
                <w:color w:val="auto"/>
                <w:w w:val="83"/>
              </w:rPr>
              <w:t>02/22/2019</w:t>
            </w:r>
          </w:p>
        </w:tc>
        <w:tc>
          <w:tcPr>
            <w:tcW w:w="240" w:type="dxa"/>
            <w:vAlign w:val="bottom"/>
            <w:tcBorders>
              <w:top w:val="single" w:sz="8" w:color="CCEEFF"/>
            </w:tcBorders>
            <w:shd w:val="clear" w:color="auto" w:fill="CCEEFF"/>
          </w:tcPr>
          <w:p>
            <w:pPr>
              <w:spacing w:after="0"/>
              <w:rPr>
                <w:sz w:val="11"/>
                <w:szCs w:val="11"/>
                <w:color w:val="auto"/>
              </w:rPr>
            </w:pPr>
          </w:p>
        </w:tc>
        <w:tc>
          <w:tcPr>
            <w:tcW w:w="25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Beverage, Food and Tobacco</w:t>
            </w: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60"/>
              <w:spacing w:after="0" w:line="129"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133,333</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ind w:left="420"/>
              <w:spacing w:after="0" w:line="129"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Softvision, LLC</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05/21/2021</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7.74%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1M 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10,201,863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10,146,148</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10,201,863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TeleGuam Holdings, LLC</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07/25/2023</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7.24%</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1M 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7,920,000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7,818,453</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7,939,800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Tensar Corporation</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07/09/2021</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7.14%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L+475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22,620,696</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22,474,697</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22,281,386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The Infosoft Group, LLC</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12/02/2021</w:t>
            </w:r>
          </w:p>
        </w:tc>
        <w:tc>
          <w:tcPr>
            <w:tcW w:w="27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7.56%</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3M L+525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6,689,308</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6,644,404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6,622,415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07/20/2022</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7.20%</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2M 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7,721,739</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7,658,431</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7,721,739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07/20/2022</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6.70%</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2M L+450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5,500,217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5,459,582</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5,500,217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07/20/2022</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6.58%</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L+450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255,327</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255,327</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255,327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07/20/2022</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Consumer Goods: Non-Durable</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1,163,157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Triad Manufacturing, Inc.</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12/28/2020</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15.49%</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7"/>
              </w:rPr>
              <w:t>1M L+1,325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8,470,850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8,383,257</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8,216,724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04/03/2024</w:t>
            </w:r>
          </w:p>
        </w:tc>
        <w:tc>
          <w:tcPr>
            <w:tcW w:w="27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6.60%</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1M L+450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1,995,000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1,976,435</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04/03/2024</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6.88%</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L+450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1,173,333</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1,173,333</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1,173,333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04/03/2024</w:t>
            </w:r>
          </w:p>
        </w:tc>
        <w:tc>
          <w:tcPr>
            <w:tcW w:w="27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1,026,667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08/20/2024</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7.89%</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8,750,000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8,533,866</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8,662,500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 (8)</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08/20/2024</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US Dominion, Inc.</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07/15/2024</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9.14%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L+675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5,985,000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5,883,015</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5,985,000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 (8)</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07/15/2024</w:t>
            </w:r>
          </w:p>
        </w:tc>
        <w:tc>
          <w:tcPr>
            <w:tcW w:w="27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08/13/2021</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11.39%</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1M L+900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3,027,344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3,027,344</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2,875,976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07/15/2021</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7.75%</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1M 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15,398,203</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6"/>
              </w:rPr>
              <w:t>15,324,732</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15,475,194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07/15/2021</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2,094,671</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10,473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(Revolver) </w:t>
            </w:r>
            <w:r>
              <w:rPr>
                <w:rFonts w:ascii="Arial" w:cs="Arial" w:eastAsia="Arial" w:hAnsi="Arial"/>
                <w:sz w:val="9"/>
                <w:szCs w:val="9"/>
                <w:color w:val="auto"/>
              </w:rPr>
              <w:t>(7), (8)</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07/15/2021</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880,000</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VIP Cinema Holdings, Inc.</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03/01/2023</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8.25%</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1M L+600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6,937,500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6,910,133</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6,954,844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Walker Edison Furniture Company LLC </w:t>
            </w:r>
            <w:r>
              <w:rPr>
                <w:rFonts w:ascii="Arial" w:cs="Arial" w:eastAsia="Arial" w:hAnsi="Arial"/>
                <w:sz w:val="9"/>
                <w:szCs w:val="9"/>
                <w:color w:val="auto"/>
              </w:rPr>
              <w:t>(7)</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09/26/2024</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Wholesale</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8.88%</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3M L+650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16,307,500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6"/>
              </w:rPr>
              <w:t>15,981,904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6"/>
              </w:rPr>
              <w:t>15,981,350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06/30/2022</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9"/>
              </w:rPr>
              <w:t>Capital Equipment</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8.74%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1M L+650</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89"/>
              </w:rPr>
              <w:t>11,724,183</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11,675,472</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11,724,182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86"/>
              </w:rPr>
              <w:t>817,243,688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6"/>
              </w:rPr>
              <w:t>812,235,476</w:t>
            </w: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Second Lien Secured Debt—4.0%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04/25/2025</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11.09%</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3M L+875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1,963,478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03/31/2025</w:t>
            </w:r>
          </w:p>
        </w:tc>
        <w:tc>
          <w:tcPr>
            <w:tcW w:w="270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85"/>
              </w:rPr>
              <w:t>Beverage, Food and Tobacco</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10.64%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3M L+825</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89"/>
              </w:rPr>
              <w:t>11,341,463</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w w:val="96"/>
              </w:rPr>
              <w:t>11,136,261</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6"/>
              </w:rPr>
              <w:t>11,341,463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10/23/2024</w:t>
            </w:r>
          </w:p>
        </w:tc>
        <w:tc>
          <w:tcPr>
            <w:tcW w:w="27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3M L+925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3,775,000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3,702,622</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3,699,500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color w:val="auto"/>
              </w:rPr>
              <w:t>09/29/2025</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10.74%</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1M L+850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2,500,000</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2,464,229</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2,543,750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8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04/12/2023</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12.34%</w:t>
            </w: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w w:val="97"/>
              </w:rPr>
              <w:t>3M L+1,000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1,666,667</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1,638,368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1,650,000</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Total Second Lien Secured Debt</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76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w w:val="96"/>
              </w:rPr>
              <w:t>20,904,958</w:t>
            </w:r>
          </w:p>
        </w:tc>
        <w:tc>
          <w:tcPr>
            <w:tcW w:w="6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21,234,713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Preferred Equity—0.6% </w:t>
            </w:r>
            <w:r>
              <w:rPr>
                <w:rFonts w:ascii="Arial" w:cs="Arial" w:eastAsia="Arial" w:hAnsi="Arial"/>
                <w:sz w:val="9"/>
                <w:szCs w:val="9"/>
                <w:b w:val="1"/>
                <w:bCs w:val="1"/>
                <w:color w:val="auto"/>
              </w:rPr>
              <w:t>(6), (7)</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(11)</w:t>
            </w:r>
          </w:p>
        </w:tc>
        <w:tc>
          <w:tcPr>
            <w:tcW w:w="8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6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1,458</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21,870</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22,614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8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88,000</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10,173</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8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88,000</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77,827</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77,827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NXOF Holdings, Inc. (NextiraOne Federal, LLC)</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5"/>
              </w:rPr>
              <w:t>Aerospace and Defense</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490,000</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453,077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Inc.—Super Senior Preferred Equity</w:t>
            </w:r>
          </w:p>
        </w:tc>
        <w:tc>
          <w:tcPr>
            <w:tcW w:w="8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20.00%</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343,861</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343,861</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351,752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Inc.—Senior Preferred Equity</w:t>
            </w:r>
          </w:p>
        </w:tc>
        <w:tc>
          <w:tcPr>
            <w:tcW w:w="8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448,851</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448,851</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570,762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w:t>
            </w:r>
          </w:p>
        </w:tc>
        <w:tc>
          <w:tcPr>
            <w:tcW w:w="8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9"/>
              </w:rPr>
              <w:t>Telecommunications</w:t>
            </w: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13.50%</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1,047,317</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670,283</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1,726,920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2,062,865</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3,213,125</w:t>
            </w: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Common Equity/Warrants—3.3% </w:t>
            </w:r>
            <w:r>
              <w:rPr>
                <w:rFonts w:ascii="Arial" w:cs="Arial" w:eastAsia="Arial" w:hAnsi="Arial"/>
                <w:sz w:val="9"/>
                <w:szCs w:val="9"/>
                <w:b w:val="1"/>
                <w:bCs w:val="1"/>
                <w:color w:val="auto"/>
              </w:rPr>
              <w:t>(6), (7)</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8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99,029</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3,514,571</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2,089,710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82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line="135" w:lineRule="exact"/>
              <w:rPr>
                <w:sz w:val="20"/>
                <w:szCs w:val="20"/>
                <w:color w:val="auto"/>
              </w:rPr>
            </w:pPr>
            <w:r>
              <w:rPr>
                <w:rFonts w:ascii="Arial" w:cs="Arial" w:eastAsia="Arial" w:hAnsi="Arial"/>
                <w:sz w:val="12"/>
                <w:szCs w:val="12"/>
                <w:color w:val="auto"/>
                <w:w w:val="88"/>
              </w:rPr>
              <w:t>Consumer Goods: Durable</w:t>
            </w:r>
          </w:p>
        </w:tc>
        <w:tc>
          <w:tcPr>
            <w:tcW w:w="76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4,298</w:t>
            </w:r>
          </w:p>
        </w:tc>
        <w:tc>
          <w:tcPr>
            <w:tcW w:w="60" w:type="dxa"/>
            <w:vAlign w:val="bottom"/>
          </w:tcPr>
          <w:p>
            <w:pPr>
              <w:spacing w:after="0"/>
              <w:rPr>
                <w:sz w:val="11"/>
                <w:szCs w:val="11"/>
                <w:color w:val="auto"/>
              </w:rPr>
            </w:pP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1,186,649</w:t>
            </w:r>
          </w:p>
        </w:tc>
        <w:tc>
          <w:tcPr>
            <w:tcW w:w="6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3,449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82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21,908</w:t>
            </w: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2,190,771</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4,426,169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High Tech Industries</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5,592</w:t>
            </w:r>
          </w:p>
        </w:tc>
        <w:tc>
          <w:tcPr>
            <w:tcW w:w="60" w:type="dxa"/>
            <w:vAlign w:val="bottom"/>
          </w:tcPr>
          <w:p>
            <w:pPr>
              <w:spacing w:after="0"/>
              <w:rPr>
                <w:sz w:val="12"/>
                <w:szCs w:val="12"/>
                <w:color w:val="auto"/>
              </w:rPr>
            </w:pPr>
          </w:p>
        </w:tc>
        <w:tc>
          <w:tcPr>
            <w:tcW w:w="86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2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Above</w:t>
            </w: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9"/>
              </w:rPr>
              <w:t>Par /</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760" w:type="dxa"/>
            <w:vAlign w:val="bottom"/>
            <w:gridSpan w:val="3"/>
            <w:vMerge w:val="continue"/>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Maturity</w:t>
            </w:r>
          </w:p>
        </w:tc>
        <w:tc>
          <w:tcPr>
            <w:tcW w:w="2720" w:type="dxa"/>
            <w:vAlign w:val="bottom"/>
            <w:gridSpan w:val="2"/>
            <w:vMerge w:val="continue"/>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Coupon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4"/>
              </w:rPr>
              <w:t>Shares</w:t>
            </w:r>
          </w:p>
        </w:tc>
        <w:tc>
          <w:tcPr>
            <w:tcW w:w="10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CI (Allied) Investment Holdings, LLC (Allied America, Inc.) </w:t>
            </w:r>
            <w:r>
              <w:rPr>
                <w:rFonts w:ascii="Arial" w:cs="Arial" w:eastAsia="Arial" w:hAnsi="Arial"/>
                <w:sz w:val="9"/>
                <w:szCs w:val="9"/>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40"/>
              <w:spacing w:after="0" w:line="129"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5"/>
              </w:rPr>
              <w:t>Business Services</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80"/>
              <w:spacing w:after="0" w:line="12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40"/>
              <w:spacing w:after="0" w:line="129"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84,000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840,004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957,866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CI (PTN) Investment Holdings II, LLC (PT Network, LLC) </w:t>
            </w:r>
            <w:r>
              <w:rPr>
                <w:rFonts w:ascii="Arial" w:cs="Arial" w:eastAsia="Arial" w:hAnsi="Arial"/>
                <w:sz w:val="9"/>
                <w:szCs w:val="9"/>
                <w:color w:val="auto"/>
              </w:rPr>
              <w:t>(11)</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13,333</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200,000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CI (Summit) Investment Holdings, LLC (SFP Holding, Inc.)</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47,893</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596,660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DecoPac Holdings Inc.</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1,633</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1,632,744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1,972,251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1,141</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58,044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305,907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Gauge InfosoftCoInvest, LLC (The Infosoft Group, LLC)</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500</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738,439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1,281,433</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1,281,433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1,132,039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718,567</w:t>
            </w:r>
          </w:p>
        </w:tc>
        <w:tc>
          <w:tcPr>
            <w:tcW w:w="100" w:type="dxa"/>
            <w:vAlign w:val="bottom"/>
          </w:tcPr>
          <w:p>
            <w:pPr>
              <w:spacing w:after="0"/>
              <w:rPr>
                <w:sz w:val="11"/>
                <w:szCs w:val="11"/>
                <w:color w:val="auto"/>
              </w:rPr>
            </w:pPr>
          </w:p>
        </w:tc>
        <w:tc>
          <w:tcPr>
            <w:tcW w:w="780" w:type="dxa"/>
            <w:vAlign w:val="bottom"/>
            <w:gridSpan w:val="2"/>
          </w:tcPr>
          <w:p>
            <w:pPr>
              <w:ind w:left="5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(83,773)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IIN Group Holdings, LLC (Integrative Nutrition, LLC) </w:t>
            </w:r>
            <w:r>
              <w:rPr>
                <w:rFonts w:ascii="Arial" w:cs="Arial" w:eastAsia="Arial" w:hAnsi="Arial"/>
                <w:sz w:val="9"/>
                <w:szCs w:val="9"/>
                <w:color w:val="auto"/>
              </w:rPr>
              <w:t>(11)</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Consumer Services</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JWC/UMA Holdings, L.P.</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1,000</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JWC-WE Holdings, L.P. (Walker Edison Furniture Company LLC)</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Wholesale</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1,381,741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1,381,741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1,381,741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NXOF Holdings, Inc. (NextiraOne Federal, LLC)</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10,000</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10,000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32,308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SSC Dominion Holdings, LLC Class A (US Dominion, Inc.)</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500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500,000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500,000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SSC Dominion Holdings, LLC Class B (US Dominion, Inc.)</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500</w:t>
            </w:r>
          </w:p>
        </w:tc>
        <w:tc>
          <w:tcPr>
            <w:tcW w:w="100" w:type="dxa"/>
            <w:vAlign w:val="bottom"/>
          </w:tcPr>
          <w:p>
            <w:pPr>
              <w:spacing w:after="0"/>
              <w:rPr>
                <w:sz w:val="11"/>
                <w:szCs w:val="11"/>
                <w:color w:val="auto"/>
              </w:rPr>
            </w:pPr>
          </w:p>
        </w:tc>
        <w:tc>
          <w:tcPr>
            <w:tcW w:w="780" w:type="dxa"/>
            <w:vAlign w:val="bottom"/>
            <w:gridSpan w:val="2"/>
          </w:tcPr>
          <w:p>
            <w:pPr>
              <w:ind w:left="5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742,692</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742,692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1,024,002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257,308</w:t>
            </w:r>
          </w:p>
        </w:tc>
        <w:tc>
          <w:tcPr>
            <w:tcW w:w="100" w:type="dxa"/>
            <w:vAlign w:val="bottom"/>
          </w:tcPr>
          <w:p>
            <w:pPr>
              <w:spacing w:after="0"/>
              <w:rPr>
                <w:sz w:val="11"/>
                <w:szCs w:val="11"/>
                <w:color w:val="auto"/>
              </w:rPr>
            </w:pPr>
          </w:p>
        </w:tc>
        <w:tc>
          <w:tcPr>
            <w:tcW w:w="780" w:type="dxa"/>
            <w:vAlign w:val="bottom"/>
            <w:gridSpan w:val="2"/>
          </w:tcPr>
          <w:p>
            <w:pPr>
              <w:ind w:left="5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213,739</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ind w:left="5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524,411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UniTek Global Services, Inc. (Warrants)</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23,889</w:t>
            </w:r>
          </w:p>
        </w:tc>
        <w:tc>
          <w:tcPr>
            <w:tcW w:w="100" w:type="dxa"/>
            <w:vAlign w:val="bottom"/>
          </w:tcPr>
          <w:p>
            <w:pPr>
              <w:spacing w:after="0"/>
              <w:rPr>
                <w:sz w:val="11"/>
                <w:szCs w:val="11"/>
                <w:color w:val="auto"/>
              </w:rPr>
            </w:pPr>
          </w:p>
        </w:tc>
        <w:tc>
          <w:tcPr>
            <w:tcW w:w="780" w:type="dxa"/>
            <w:vAlign w:val="bottom"/>
            <w:gridSpan w:val="2"/>
          </w:tcPr>
          <w:p>
            <w:pPr>
              <w:ind w:left="54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78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142,857</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142,857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268,571</w:t>
            </w: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Total Common Equity/Warrants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16,681,506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18,069,750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0"/>
              </w:rPr>
              <w:t>Total Investments in Non-Controlled, Non-Affiliated Portfolio Companies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856,893,017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854,753,064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w w:val="92"/>
              </w:rPr>
              <w:t xml:space="preserve">Investments in Controlled, Affiliated Portfolio Companies—27.2% </w:t>
            </w:r>
            <w:r>
              <w:rPr>
                <w:rFonts w:ascii="Arial" w:cs="Arial" w:eastAsia="Arial" w:hAnsi="Arial"/>
                <w:sz w:val="9"/>
                <w:szCs w:val="9"/>
                <w:b w:val="1"/>
                <w:bCs w:val="1"/>
                <w:color w:val="auto"/>
                <w:w w:val="92"/>
              </w:rPr>
              <w:t>(3), (4)</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First Lien Secured Debt—18.9%</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05/06/2024</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10.39%</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color w:val="auto"/>
              </w:rPr>
              <w:t>3M L+800</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101,062,500</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101,062,500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101,062,500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Equity Interests—8.3%</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78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27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680" w:type="dxa"/>
            <w:vAlign w:val="bottom"/>
            <w:gridSpan w:val="2"/>
          </w:tcPr>
          <w:p>
            <w:pPr>
              <w:ind w:left="28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ind w:left="44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2"/>
          </w:tcPr>
          <w:p>
            <w:pPr>
              <w:ind w:left="520"/>
              <w:spacing w:after="0" w:line="135"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43,312,500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44,797,729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144,375,000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145,860,229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Total Investments—186.7%</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2"/>
                <w:szCs w:val="12"/>
                <w:color w:val="auto"/>
                <w:w w:val="91"/>
              </w:rPr>
              <w:t>1,001,268,017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1,000,613,293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Equivalents—13.5%</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69,502,018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69,502,018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2,729,783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2,722,165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72,231,801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72,224,183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Equivalents—200.2%</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1"/>
              </w:rPr>
              <w:t>1,073,499,818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w w:val="93"/>
              </w:rPr>
              <w:t>1,072,837,476</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Assets—(100.2)%</w:t>
            </w: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760" w:type="dxa"/>
            <w:vAlign w:val="bottom"/>
            <w:gridSpan w:val="3"/>
            <w:vMerge w:val="continue"/>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(536,995,908)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535,841,568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220" w:right="200" w:hanging="212"/>
        <w:spacing w:after="0" w:line="320" w:lineRule="auto"/>
        <w:tabs>
          <w:tab w:leader="none" w:pos="220" w:val="left"/>
        </w:tabs>
        <w:numPr>
          <w:ilvl w:val="0"/>
          <w:numId w:val="101"/>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1" w:lineRule="exact"/>
        <w:rPr>
          <w:rFonts w:ascii="Arial" w:cs="Arial" w:eastAsia="Arial" w:hAnsi="Arial"/>
          <w:sz w:val="9"/>
          <w:szCs w:val="9"/>
          <w:color w:val="auto"/>
        </w:rPr>
      </w:pPr>
    </w:p>
    <w:p>
      <w:pPr>
        <w:ind w:left="220" w:hanging="212"/>
        <w:spacing w:after="0" w:line="234" w:lineRule="auto"/>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ind w:left="220" w:right="80" w:hanging="212"/>
        <w:spacing w:after="0" w:line="234" w:lineRule="auto"/>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220" w:right="100" w:hanging="212"/>
        <w:spacing w:after="0" w:line="234" w:lineRule="auto"/>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220" w:hanging="212"/>
        <w:spacing w:after="0"/>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60" w:right="26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2018</w:t>
      </w:r>
    </w:p>
    <w:p>
      <w:pPr>
        <w:spacing w:after="0" w:line="215" w:lineRule="exact"/>
        <w:rPr>
          <w:sz w:val="20"/>
          <w:szCs w:val="20"/>
          <w:color w:val="auto"/>
        </w:rPr>
      </w:pPr>
    </w:p>
    <w:p>
      <w:pPr>
        <w:ind w:left="220" w:hanging="212"/>
        <w:spacing w:after="0"/>
        <w:tabs>
          <w:tab w:leader="none" w:pos="2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7" w:lineRule="exact"/>
        <w:rPr>
          <w:rFonts w:ascii="Arial" w:cs="Arial" w:eastAsia="Arial" w:hAnsi="Arial"/>
          <w:sz w:val="12"/>
          <w:szCs w:val="12"/>
          <w:color w:val="auto"/>
        </w:rPr>
      </w:pPr>
    </w:p>
    <w:p>
      <w:pPr>
        <w:ind w:left="220" w:hanging="212"/>
        <w:spacing w:after="0" w:line="234" w:lineRule="auto"/>
        <w:tabs>
          <w:tab w:leader="none" w:pos="2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220" w:hanging="212"/>
        <w:spacing w:after="0"/>
        <w:tabs>
          <w:tab w:leader="none" w:pos="22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220" w:hanging="212"/>
        <w:spacing w:after="0" w:line="234" w:lineRule="auto"/>
        <w:tabs>
          <w:tab w:leader="none" w:pos="2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82% of our total assets and non-qualifying assets represent 18% of our total assets.</w:t>
      </w:r>
    </w:p>
    <w:p>
      <w:pPr>
        <w:spacing w:after="0" w:line="1" w:lineRule="exact"/>
        <w:rPr>
          <w:rFonts w:ascii="Arial" w:cs="Arial" w:eastAsia="Arial" w:hAnsi="Arial"/>
          <w:sz w:val="12"/>
          <w:szCs w:val="12"/>
          <w:color w:val="auto"/>
        </w:rPr>
      </w:pPr>
    </w:p>
    <w:p>
      <w:pPr>
        <w:ind w:left="220" w:hanging="212"/>
        <w:spacing w:after="0"/>
        <w:tabs>
          <w:tab w:leader="none" w:pos="22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or Canadian Dollars (C$) as denoted.</w:t>
      </w:r>
    </w:p>
    <w:p>
      <w:pPr>
        <w:spacing w:after="0" w:line="8" w:lineRule="exact"/>
        <w:rPr>
          <w:rFonts w:ascii="Arial" w:cs="Arial" w:eastAsia="Arial" w:hAnsi="Arial"/>
          <w:sz w:val="11"/>
          <w:szCs w:val="11"/>
          <w:color w:val="auto"/>
        </w:rPr>
      </w:pPr>
    </w:p>
    <w:p>
      <w:pPr>
        <w:ind w:left="220" w:hanging="212"/>
        <w:spacing w:after="0"/>
        <w:tabs>
          <w:tab w:leader="none" w:pos="22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Investment is held through our Taxable Subsidiary (See Note 1).</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460"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740" w:type="dxa"/>
            <w:vAlign w:val="bottom"/>
          </w:tcPr>
          <w:p>
            <w:pPr>
              <w:spacing w:after="0"/>
              <w:rPr>
                <w:sz w:val="11"/>
                <w:szCs w:val="11"/>
                <w:color w:val="auto"/>
              </w:rPr>
            </w:pPr>
          </w:p>
        </w:tc>
        <w:tc>
          <w:tcPr>
            <w:tcW w:w="264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Par /</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220" w:type="dxa"/>
            <w:vAlign w:val="bottom"/>
            <w:vMerge w:val="continue"/>
          </w:tcPr>
          <w:p>
            <w:pPr>
              <w:spacing w:after="0"/>
              <w:rPr>
                <w:sz w:val="12"/>
                <w:szCs w:val="12"/>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Maturity</w:t>
            </w:r>
          </w:p>
        </w:tc>
        <w:tc>
          <w:tcPr>
            <w:tcW w:w="2640" w:type="dxa"/>
            <w:vAlign w:val="bottom"/>
            <w:gridSpan w:val="2"/>
            <w:vMerge w:val="continue"/>
          </w:tcPr>
          <w:p>
            <w:pPr>
              <w:spacing w:after="0"/>
              <w:rPr>
                <w:sz w:val="12"/>
                <w:szCs w:val="12"/>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Coupon</w:t>
            </w: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8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Shares</w:t>
            </w:r>
          </w:p>
        </w:tc>
        <w:tc>
          <w:tcPr>
            <w:tcW w:w="74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Cost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9"/>
        </w:trPr>
        <w:tc>
          <w:tcPr>
            <w:tcW w:w="42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740" w:type="dxa"/>
            <w:vAlign w:val="bottom"/>
            <w:tcBorders>
              <w:top w:val="single" w:sz="8" w:color="auto"/>
            </w:tcBorders>
            <w:shd w:val="clear" w:color="auto" w:fill="CCEEFF"/>
          </w:tcPr>
          <w:p>
            <w:pPr>
              <w:spacing w:after="0"/>
              <w:rPr>
                <w:sz w:val="11"/>
                <w:szCs w:val="11"/>
                <w:color w:val="auto"/>
              </w:rPr>
            </w:pPr>
          </w:p>
        </w:tc>
        <w:tc>
          <w:tcPr>
            <w:tcW w:w="2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Debt—133.1%</w:t>
            </w:r>
          </w:p>
        </w:tc>
        <w:tc>
          <w:tcPr>
            <w:tcW w:w="7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08/09/2021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16,225,000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3"/>
              </w:rPr>
              <w:t>$16,029,514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7"/>
              </w:rPr>
              <w:t>$  16,225,000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Alera Group Holdings, Inc.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12/30/2022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6.74%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L+550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9,177,637</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9,098,312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9,177,637</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12/30/2021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1,771,962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12/30/2022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2,983,500</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11/30/2021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Transportation: Consumer</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6.48%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10,945,000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10,805,812</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10,780,825</w:t>
            </w:r>
          </w:p>
        </w:tc>
        <w:tc>
          <w:tcPr>
            <w:tcW w:w="0" w:type="dxa"/>
            <w:vAlign w:val="bottom"/>
          </w:tcPr>
          <w:p>
            <w:pPr>
              <w:spacing w:after="0"/>
              <w:rPr>
                <w:sz w:val="1"/>
                <w:szCs w:val="1"/>
                <w:color w:val="auto"/>
              </w:rPr>
            </w:pPr>
          </w:p>
        </w:tc>
      </w:tr>
      <w:tr>
        <w:trPr>
          <w:trHeight w:val="129"/>
        </w:trPr>
        <w:tc>
          <w:tcPr>
            <w:tcW w:w="4220" w:type="dxa"/>
            <w:vAlign w:val="bottom"/>
          </w:tcPr>
          <w:p>
            <w:pPr>
              <w:spacing w:after="0" w:line="129"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740" w:type="dxa"/>
            <w:vAlign w:val="bottom"/>
          </w:tcPr>
          <w:p>
            <w:pPr>
              <w:ind w:left="20"/>
              <w:spacing w:after="0" w:line="129" w:lineRule="exact"/>
              <w:rPr>
                <w:sz w:val="20"/>
                <w:szCs w:val="20"/>
                <w:color w:val="auto"/>
              </w:rPr>
            </w:pPr>
            <w:r>
              <w:rPr>
                <w:rFonts w:ascii="Arial" w:cs="Arial" w:eastAsia="Arial" w:hAnsi="Arial"/>
                <w:sz w:val="12"/>
                <w:szCs w:val="12"/>
                <w:color w:val="auto"/>
              </w:rPr>
              <w:t>12/31/2021</w:t>
            </w:r>
          </w:p>
        </w:tc>
        <w:tc>
          <w:tcPr>
            <w:tcW w:w="264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2"/>
              </w:rPr>
              <w:t>Metals and Mining</w:t>
            </w:r>
          </w:p>
        </w:tc>
        <w:tc>
          <w:tcPr>
            <w:tcW w:w="80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15.00%</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128,248</w:t>
            </w: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124,746</w:t>
            </w:r>
          </w:p>
        </w:tc>
        <w:tc>
          <w:tcPr>
            <w:tcW w:w="74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141,073</w:t>
            </w:r>
          </w:p>
        </w:tc>
        <w:tc>
          <w:tcPr>
            <w:tcW w:w="0" w:type="dxa"/>
            <w:vAlign w:val="bottom"/>
          </w:tcPr>
          <w:p>
            <w:pPr>
              <w:spacing w:after="0"/>
              <w:rPr>
                <w:sz w:val="1"/>
                <w:szCs w:val="1"/>
                <w:color w:val="auto"/>
              </w:rPr>
            </w:pPr>
          </w:p>
        </w:tc>
      </w:tr>
      <w:tr>
        <w:trPr>
          <w:trHeight w:val="141"/>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w w:val="95"/>
              </w:rPr>
              <w:t>(PIK 5.00%)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03/31/2022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7.83%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4,691,657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4,702,500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American Teleconferencing Services, Ltd.</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12/08/2021</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7.78%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L+650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10,741,453</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10,574,347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10,338,648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Anesthesia Consulting &amp; Management, LP</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10/31/2022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6.58%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3,935,087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3,890,600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10/31/2022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04/22/2022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7.83%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4,881,581</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4,803,856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4,832,765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BEI Precision Systems &amp; Space Company, Inc.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04/28/2023</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6.84%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L+550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11,970,000</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3"/>
              </w:rPr>
              <w:t>11,854,093</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11,850,300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06/03/2021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2,239,494</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2,207,741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2,239,494</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06/03/2021</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13.58%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L+1,225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2,326,329</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2,291,698</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2,326,329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05/16/2022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8.57%</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L+725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15,630,360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15,263,130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15,630,360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05/16/2022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2,311,784</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06/30/2021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7"/>
              </w:rPr>
              <w:t>Transportation: Cargo</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L+475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2,443,750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2,427,358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2,346,000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06/16/2023</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5.58%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L+425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7,000,000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6,982,500</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7,084,560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11/29/2023</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3,913,750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3,923,223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3,874,613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07/21/2023</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7.33%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12,375,000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12,094,894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12,359,531</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12/24/2019</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12.33%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3,961,544</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3,935,418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3,367,313</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5"/>
              </w:rPr>
              <w:t>(PIK 3.00%)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Chicken Soup for the Soul Publishing, LLC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01/08/2019</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7.50%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4,589,286</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4,573,873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4,313,929</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Clarus Glassboards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03/16/2023</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6.49%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4,845,000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4,799,506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4,820,775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Corfin Industries LLC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11/25/2020</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10.99%</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L+975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6,024,894</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5,941,505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5,994,770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11/25/2020</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518,033</w:t>
            </w: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03/31/2023</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6.24%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19,874,245</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19,826,088</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19,598,775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08/02/2021</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6.49%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L+525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9,900,075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9,817,138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9,900,075</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Digital Room LLC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11/21/2022</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7.24%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6,737,500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6,618,201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6,670,125</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06/30/2020</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6.09%</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L+475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4,373,643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4,353,783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4,373,643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09/30/2022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6.01%</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L+475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10,621,111</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10,592,972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10,621,111</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09/30/2022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8"/>
              </w:rPr>
              <w:t>Consumer Goods: Durable</w:t>
            </w:r>
          </w:p>
        </w:tc>
        <w:tc>
          <w:tcPr>
            <w:tcW w:w="8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East Valley Tourist Development Authority</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03/07/2022</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Hotel, Gaming and Leisure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9.33%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16,743,500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16,527,764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16,827,218</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05/06/2021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8.33%</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L+700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7,657,615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7,627,450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7,581,039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05/06/2021</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Telecommunications</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1,304,348</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06/15/2022</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10,265,559</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3"/>
              </w:rPr>
              <w:t>10,180,889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10,265,559</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06/09/2023</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8"/>
              </w:rPr>
              <w:t>Consumer Goods: Non-Durable</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9.30%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12,468,750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12,228,162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12,344,063</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08/05/2019</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5"/>
              </w:rPr>
              <w:t>Aerospace and Defense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7.31%</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5,862,500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5,846,053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5,386,172</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11/04/2020</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7.56%</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L+625</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5,918,532</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5,850,581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5,740,976</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05/01/2019</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7.25%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7,032,993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6,999,227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6,962,663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10/12/2021</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8.00%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E+800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w w:val="95"/>
              </w:rPr>
              <w:t>€12,127,444</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3"/>
              </w:rPr>
              <w:t>12,605,265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14,337,076</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12/30/2021</w:t>
            </w:r>
          </w:p>
        </w:tc>
        <w:tc>
          <w:tcPr>
            <w:tcW w:w="26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8.30%</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L+700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6,693,709</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6,693,709</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6,693,710</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12/30/2021</w:t>
            </w:r>
          </w:p>
        </w:tc>
        <w:tc>
          <w:tcPr>
            <w:tcW w:w="264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89"/>
              </w:rPr>
              <w:t>Wholesale</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3,234,375</w:t>
            </w:r>
          </w:p>
        </w:tc>
        <w:tc>
          <w:tcPr>
            <w:tcW w:w="16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04/13/2022</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8.08%</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L+675</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3,373,623</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3,328,240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3,373,623</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04/13/2022</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530,973</w:t>
            </w: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Instant Web, LLC, Term Loan A</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03/28/2019</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5.80%</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L+450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7,600,388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7,465,921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7,600,388</w:t>
            </w:r>
          </w:p>
        </w:tc>
        <w:tc>
          <w:tcPr>
            <w:tcW w:w="0" w:type="dxa"/>
            <w:vAlign w:val="bottom"/>
          </w:tcPr>
          <w:p>
            <w:pPr>
              <w:spacing w:after="0"/>
              <w:rPr>
                <w:sz w:val="1"/>
                <w:szCs w:val="1"/>
                <w:color w:val="auto"/>
              </w:rPr>
            </w:pPr>
          </w:p>
        </w:tc>
      </w:tr>
      <w:tr>
        <w:trPr>
          <w:trHeight w:val="135"/>
        </w:trPr>
        <w:tc>
          <w:tcPr>
            <w:tcW w:w="4220" w:type="dxa"/>
            <w:vAlign w:val="bottom"/>
          </w:tcPr>
          <w:p>
            <w:pPr>
              <w:spacing w:after="0" w:line="135" w:lineRule="exact"/>
              <w:rPr>
                <w:sz w:val="20"/>
                <w:szCs w:val="20"/>
                <w:color w:val="auto"/>
              </w:rPr>
            </w:pPr>
            <w:r>
              <w:rPr>
                <w:rFonts w:ascii="Arial" w:cs="Arial" w:eastAsia="Arial" w:hAnsi="Arial"/>
                <w:sz w:val="12"/>
                <w:szCs w:val="12"/>
                <w:color w:val="auto"/>
              </w:rPr>
              <w:t>Instant Web, LLC, Term Loan B</w:t>
            </w:r>
          </w:p>
        </w:tc>
        <w:tc>
          <w:tcPr>
            <w:tcW w:w="740" w:type="dxa"/>
            <w:vAlign w:val="bottom"/>
          </w:tcPr>
          <w:p>
            <w:pPr>
              <w:ind w:left="20"/>
              <w:spacing w:after="0" w:line="135" w:lineRule="exact"/>
              <w:rPr>
                <w:sz w:val="20"/>
                <w:szCs w:val="20"/>
                <w:color w:val="auto"/>
              </w:rPr>
            </w:pPr>
            <w:r>
              <w:rPr>
                <w:rFonts w:ascii="Arial" w:cs="Arial" w:eastAsia="Arial" w:hAnsi="Arial"/>
                <w:sz w:val="12"/>
                <w:szCs w:val="12"/>
                <w:color w:val="auto"/>
              </w:rPr>
              <w:t>03/28/2019</w:t>
            </w:r>
          </w:p>
        </w:tc>
        <w:tc>
          <w:tcPr>
            <w:tcW w:w="2640" w:type="dxa"/>
            <w:vAlign w:val="bottom"/>
            <w:gridSpan w:val="2"/>
          </w:tcPr>
          <w:p>
            <w:pPr>
              <w:jc w:val="center"/>
              <w:ind w:right="16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12.30%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L+1,100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4,500,000</w:t>
            </w:r>
          </w:p>
        </w:tc>
        <w:tc>
          <w:tcPr>
            <w:tcW w:w="1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4,475,493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4,500,000</w:t>
            </w:r>
          </w:p>
        </w:tc>
        <w:tc>
          <w:tcPr>
            <w:tcW w:w="0" w:type="dxa"/>
            <w:vAlign w:val="bottom"/>
          </w:tcPr>
          <w:p>
            <w:pPr>
              <w:spacing w:after="0"/>
              <w:rPr>
                <w:sz w:val="1"/>
                <w:szCs w:val="1"/>
                <w:color w:val="auto"/>
              </w:rPr>
            </w:pPr>
          </w:p>
        </w:tc>
      </w:tr>
      <w:tr>
        <w:trPr>
          <w:trHeight w:val="135"/>
        </w:trPr>
        <w:tc>
          <w:tcPr>
            <w:tcW w:w="4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7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06/30/2020</w:t>
            </w:r>
          </w:p>
        </w:tc>
        <w:tc>
          <w:tcPr>
            <w:tcW w:w="26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9.25%</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L+800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6,525,437</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6,486,278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6,525,437</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2"/>
              </w:rPr>
              <w:t>Basis Point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3"/>
              </w:rPr>
              <w:t>Spread</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vMerge w:val="restart"/>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2"/>
                <w:szCs w:val="12"/>
                <w:b w:val="1"/>
                <w:bCs w:val="1"/>
                <w:color w:val="auto"/>
              </w:rPr>
              <w:t>Current</w:t>
            </w:r>
          </w:p>
        </w:tc>
        <w:tc>
          <w:tcPr>
            <w:tcW w:w="64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87"/>
              </w:rPr>
              <w:t>Above</w:t>
            </w:r>
          </w:p>
        </w:tc>
        <w:tc>
          <w:tcPr>
            <w:tcW w:w="8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Par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Maturity</w:t>
            </w:r>
          </w:p>
        </w:tc>
        <w:tc>
          <w:tcPr>
            <w:tcW w:w="14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92"/>
              </w:rPr>
              <w:t>Coupon</w:t>
            </w:r>
          </w:p>
        </w:tc>
        <w:tc>
          <w:tcPr>
            <w:tcW w:w="2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9"/>
              </w:rPr>
              <w:t>Shares</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Cost</w:t>
            </w:r>
          </w:p>
        </w:tc>
        <w:tc>
          <w:tcPr>
            <w:tcW w:w="1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0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Inventus Power, Inc.</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line="129" w:lineRule="exact"/>
              <w:rPr>
                <w:sz w:val="20"/>
                <w:szCs w:val="20"/>
                <w:color w:val="auto"/>
              </w:rPr>
            </w:pPr>
            <w:r>
              <w:rPr>
                <w:rFonts w:ascii="Arial" w:cs="Arial" w:eastAsia="Arial" w:hAnsi="Arial"/>
                <w:sz w:val="12"/>
                <w:szCs w:val="12"/>
                <w:color w:val="auto"/>
                <w:w w:val="86"/>
              </w:rPr>
              <w:t>04/30/2020</w:t>
            </w: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8"/>
              </w:rPr>
              <w:t>Consumer Goods: Durable</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2"/>
                <w:szCs w:val="12"/>
                <w:color w:val="auto"/>
              </w:rPr>
              <w:t>7.74%</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L+650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4,726,503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  4,701,985</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95"/>
              </w:rPr>
              <w:t>$  4,442,913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Jackson Hewitt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07/30/2020</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8.31%</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L+700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4,653,450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4,596,122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4,467,312</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02/19/2021</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L+900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4,002,471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3,936,841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3,889,079</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10/31/2022</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11,975,690</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12,140,282</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10/30/2020</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6.16%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241,935</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241,935</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10/30/2020</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967,742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Lago Resort &amp; Casino,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03/07/2022</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10.83%</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L+950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10,036,631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10,098,000</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09/12/2022</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7.54%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90"/>
              </w:rPr>
              <w:t>A$10,000,000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7,728,822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7,728,822</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11/30/2018</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4,954,937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4,935,975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3,740,977</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Lombart Brothers,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8.08%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6,170,275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6,244,708</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04/13/2022</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9.75%</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778,761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778,761</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04/13/2022</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460,177</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4,238,073</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4,204,738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4,195,692</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05/01/2023</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14,409,375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14,275,705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14,439,347</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3,335,177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3,377,372</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6.25%</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tcPr>
          <w:p>
            <w:pPr>
              <w:jc w:val="center"/>
              <w:spacing w:after="0" w:line="135" w:lineRule="exact"/>
              <w:rPr>
                <w:sz w:val="20"/>
                <w:szCs w:val="20"/>
                <w:color w:val="auto"/>
              </w:rPr>
            </w:pPr>
            <w:r>
              <w:rPr>
                <w:rFonts w:ascii="Arial" w:cs="Arial" w:eastAsia="Arial" w:hAnsi="Arial"/>
                <w:sz w:val="12"/>
                <w:szCs w:val="12"/>
                <w:color w:val="auto"/>
                <w:w w:val="86"/>
              </w:rPr>
              <w:t>C$ 17,070,749</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11,982,846</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13,581,250</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01/27/2021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7.00%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P+275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459,854</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459,854</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01/27/2021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1,243,309</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09/30/2024</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7,500,000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7,425,000</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7,533,750</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09/28/2021</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883,392</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(3,592)</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Montreign Operating Company,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01/24/2023</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Hotel, Gaming and Leisure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9.49%</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26,294,872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26,729,488</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26,513,908</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02/10/2023</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14,625,000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14,241,842</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14,405,625</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07/31/2019</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8,717,647</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8,682,164</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7,845,882</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One Sixty Over Ninety,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03/03/2022</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10.52%</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L+918</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2,699,796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2,750,000</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08/19/2022</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19,874,203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19,927,985</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01/31/2023</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10,045,209</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10,135,136</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01/31/2019</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573,770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01/31/2022</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2,459,016</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PT Network,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11/30/2021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7.82%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8,383,771</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8,450,400</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11/30/2021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2,291,100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08/23/2021</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6.02%</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9,625,000</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9,509,035</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9,288,125</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Salient CRGT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02/28/2022</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19,654,762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19,296,231</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19,753,036</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07/19/2021</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416,667</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416,667</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07/19/2021</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83,333</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Softvision,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05/21/2021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8,678,587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8,747,271</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Sundial Group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08/15/2024</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5.99%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10,000,000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9,851,797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9,850,000</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12/16/2020</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6.27%</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5,394,946</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5,366,833</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5,287,047</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TeleGuam Holdings,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07/25/2023</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6.24%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7,882,265</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8,000,000</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07/09/2021</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6.08%</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L+475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4,631,234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4,603,617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4,295,470</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12/02/2021</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6.58%</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8,139,730</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8,210,074</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6.81%</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3,037,176</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3,061,372</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07/20/2021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6.31%</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L+500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5,879,466</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5,926,142</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07/20/2021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1,418,484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12/28/2020</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12.49%</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L+1,125</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8,856,365</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8,730,717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8,812,084</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42,809</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42,809</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5"/>
              </w:rPr>
              <w:t>(PIK 1.00%)</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01/14/2019</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9.84%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L+850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599,702</w:t>
            </w: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2"/>
                <w:szCs w:val="12"/>
                <w:color w:val="auto"/>
              </w:rPr>
              <w:t>577,759</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611,696</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01/14/2019</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151,090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08/13/2021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10.33%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L+900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3,058,594</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3,058,594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2,905,664</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Veterinary Specialists of North America,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07/15/2021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6.56%</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L+525</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11,374,590</w:t>
            </w:r>
          </w:p>
        </w:tc>
        <w:tc>
          <w:tcPr>
            <w:tcW w:w="88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11,277,723</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11,362,740</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07/15/2021</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2,660,000</w:t>
            </w:r>
          </w:p>
        </w:tc>
        <w:tc>
          <w:tcPr>
            <w:tcW w:w="6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2"/>
                <w:szCs w:val="12"/>
                <w:color w:val="auto"/>
              </w:rPr>
              <w:t>(2,771)</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Veterinary Specialists of North America, LLC (Revolver)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07/15/2021</w:t>
            </w:r>
          </w:p>
        </w:tc>
        <w:tc>
          <w:tcPr>
            <w:tcW w:w="26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880,000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(917)</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03/01/2023</w:t>
            </w:r>
          </w:p>
        </w:tc>
        <w:tc>
          <w:tcPr>
            <w:tcW w:w="26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7.34%</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L+600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7,312,500</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7,278,094</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7,358,203</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08/19/2021</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6.74%</w:t>
            </w:r>
          </w:p>
        </w:tc>
        <w:tc>
          <w:tcPr>
            <w:tcW w:w="6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L+550</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5,029,514</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4,994,127</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5,042,087</w:t>
            </w:r>
          </w:p>
        </w:tc>
        <w:tc>
          <w:tcPr>
            <w:tcW w:w="0" w:type="dxa"/>
            <w:vAlign w:val="bottom"/>
          </w:tcPr>
          <w:p>
            <w:pPr>
              <w:spacing w:after="0"/>
              <w:rPr>
                <w:sz w:val="1"/>
                <w:szCs w:val="1"/>
                <w:color w:val="auto"/>
              </w:rPr>
            </w:pPr>
          </w:p>
        </w:tc>
      </w:tr>
      <w:tr>
        <w:trPr>
          <w:trHeight w:val="135"/>
        </w:trPr>
        <w:tc>
          <w:tcPr>
            <w:tcW w:w="4080" w:type="dxa"/>
            <w:vAlign w:val="bottom"/>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06/30/2022</w:t>
            </w:r>
          </w:p>
        </w:tc>
        <w:tc>
          <w:tcPr>
            <w:tcW w:w="262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7.83%</w:t>
            </w:r>
          </w:p>
        </w:tc>
        <w:tc>
          <w:tcPr>
            <w:tcW w:w="6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L+650</w:t>
            </w:r>
          </w:p>
        </w:tc>
        <w:tc>
          <w:tcPr>
            <w:tcW w:w="84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7,695,662</w:t>
            </w:r>
          </w:p>
        </w:tc>
        <w:tc>
          <w:tcPr>
            <w:tcW w:w="7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7,636,513</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7,734,140</w:t>
            </w:r>
          </w:p>
        </w:tc>
        <w:tc>
          <w:tcPr>
            <w:tcW w:w="0" w:type="dxa"/>
            <w:vAlign w:val="bottom"/>
          </w:tcPr>
          <w:p>
            <w:pPr>
              <w:spacing w:after="0"/>
              <w:rPr>
                <w:sz w:val="1"/>
                <w:szCs w:val="1"/>
                <w:color w:val="auto"/>
              </w:rPr>
            </w:pPr>
          </w:p>
        </w:tc>
      </w:tr>
      <w:tr>
        <w:trPr>
          <w:trHeight w:val="135"/>
        </w:trPr>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06/30/2022</w:t>
            </w:r>
          </w:p>
        </w:tc>
        <w:tc>
          <w:tcPr>
            <w:tcW w:w="262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708,333</w:t>
            </w:r>
          </w:p>
        </w:tc>
        <w:tc>
          <w:tcPr>
            <w:tcW w:w="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3,542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607,582,054</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609,668,554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Current</w:t>
            </w: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92"/>
              </w:rPr>
              <w:t>Par /</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Maturity</w:t>
            </w:r>
          </w:p>
        </w:tc>
        <w:tc>
          <w:tcPr>
            <w:tcW w:w="2680" w:type="dxa"/>
            <w:vAlign w:val="bottom"/>
            <w:gridSpan w:val="2"/>
            <w:vMerge w:val="continue"/>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Coupon</w:t>
            </w: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4"/>
              </w:rPr>
              <w:t>Shares</w:t>
            </w:r>
          </w:p>
        </w:tc>
        <w:tc>
          <w:tcPr>
            <w:tcW w:w="660" w:type="dxa"/>
            <w:vAlign w:val="bottom"/>
          </w:tcPr>
          <w:p>
            <w:pPr>
              <w:jc w:val="right"/>
              <w:ind w:right="142"/>
              <w:spacing w:after="0"/>
              <w:rPr>
                <w:sz w:val="20"/>
                <w:szCs w:val="20"/>
                <w:color w:val="auto"/>
              </w:rPr>
            </w:pPr>
            <w:r>
              <w:rPr>
                <w:rFonts w:ascii="Arial" w:cs="Arial" w:eastAsia="Arial" w:hAnsi="Arial"/>
                <w:sz w:val="12"/>
                <w:szCs w:val="12"/>
                <w:b w:val="1"/>
                <w:bCs w:val="1"/>
                <w:color w:val="auto"/>
              </w:rPr>
              <w:t>Cost</w:t>
            </w:r>
          </w:p>
        </w:tc>
        <w:tc>
          <w:tcPr>
            <w:tcW w:w="1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Second Lien Secured Debt—8.3%</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5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03/31/2025</w:t>
            </w:r>
          </w:p>
        </w:tc>
        <w:tc>
          <w:tcPr>
            <w:tcW w:w="26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9.58%</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15,000,000</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w w:val="87"/>
              </w:rPr>
              <w:t>$  14,700,169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  14,700,000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12/31/2020</w:t>
            </w:r>
          </w:p>
        </w:tc>
        <w:tc>
          <w:tcPr>
            <w:tcW w:w="26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11.84%</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1,976,823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line="129" w:lineRule="exact"/>
              <w:rPr>
                <w:sz w:val="20"/>
                <w:szCs w:val="20"/>
                <w:color w:val="auto"/>
              </w:rPr>
            </w:pPr>
            <w:r>
              <w:rPr>
                <w:rFonts w:ascii="Arial" w:cs="Arial" w:eastAsia="Arial" w:hAnsi="Arial"/>
                <w:sz w:val="12"/>
                <w:szCs w:val="12"/>
                <w:color w:val="auto"/>
              </w:rPr>
              <w:t>Howard Berger Co. LLC</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color w:val="auto"/>
              </w:rPr>
              <w:t>09/30/2020</w:t>
            </w:r>
          </w:p>
        </w:tc>
        <w:tc>
          <w:tcPr>
            <w:tcW w:w="26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Wholesale</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11.34%</w:t>
            </w: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L+1,000</w:t>
            </w: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w w:val="89"/>
              </w:rPr>
              <w:t>11,450,000</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11,064,344</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10,992,000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5.18%)</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MailSouth, Inc.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10/22/2021</w:t>
            </w:r>
          </w:p>
        </w:tc>
        <w:tc>
          <w:tcPr>
            <w:tcW w:w="26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11.80%</w:t>
            </w: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3,775,000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3,714,927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3,812,750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09/29/2025</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9.50%</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L+850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2,500,000</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2,462,500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08/01/2018</w:t>
            </w:r>
          </w:p>
        </w:tc>
        <w:tc>
          <w:tcPr>
            <w:tcW w:w="26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8"/>
              </w:rPr>
              <w:t>Energy: Oil and Gas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2,792,500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2,720,508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1,144,925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Veritext Corp.</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01/30/2023</w:t>
            </w:r>
          </w:p>
        </w:tc>
        <w:tc>
          <w:tcPr>
            <w:tcW w:w="26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10.33%</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L+900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2,690,625</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2,623,765</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2,663,719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39,263,036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37,833,394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12/31/2021</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2"/>
              </w:rPr>
              <w:t>Metals and Mining</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17.00%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382,989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382,989</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417,458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w w:val="95"/>
              </w:rPr>
              <w:t>(PIK 17.00%)</w:t>
            </w: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line="129" w:lineRule="exact"/>
              <w:rPr>
                <w:sz w:val="20"/>
                <w:szCs w:val="20"/>
                <w:color w:val="auto"/>
              </w:rPr>
            </w:pPr>
            <w:r>
              <w:rPr>
                <w:rFonts w:ascii="Arial" w:cs="Arial" w:eastAsia="Arial" w:hAnsi="Arial"/>
                <w:sz w:val="12"/>
                <w:szCs w:val="12"/>
                <w:color w:val="auto"/>
              </w:rPr>
              <w:t>Credit Infonet, Inc.</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color w:val="auto"/>
              </w:rPr>
              <w:t>10/26/2020</w:t>
            </w:r>
          </w:p>
        </w:tc>
        <w:tc>
          <w:tcPr>
            <w:tcW w:w="26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13.00%</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2,090,982</w:t>
            </w: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2,051,232</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2,090,982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(PIK 0.75%)</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Sonny’s Enterprises, LLC</w:t>
            </w:r>
          </w:p>
        </w:tc>
        <w:tc>
          <w:tcPr>
            <w:tcW w:w="840" w:type="dxa"/>
            <w:vAlign w:val="bottom"/>
            <w:gridSpan w:val="3"/>
            <w:shd w:val="clear" w:color="auto" w:fill="CCEEFF"/>
          </w:tcPr>
          <w:p>
            <w:pPr>
              <w:ind w:left="160"/>
              <w:spacing w:after="0" w:line="135" w:lineRule="exact"/>
              <w:rPr>
                <w:sz w:val="20"/>
                <w:szCs w:val="20"/>
                <w:color w:val="auto"/>
              </w:rPr>
            </w:pPr>
            <w:r>
              <w:rPr>
                <w:rFonts w:ascii="Arial" w:cs="Arial" w:eastAsia="Arial" w:hAnsi="Arial"/>
                <w:sz w:val="12"/>
                <w:szCs w:val="12"/>
                <w:color w:val="auto"/>
              </w:rPr>
              <w:t>06/01/2023</w:t>
            </w:r>
          </w:p>
        </w:tc>
        <w:tc>
          <w:tcPr>
            <w:tcW w:w="26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9"/>
              </w:rPr>
              <w:t>Capital Equipment</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11.00%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4,750,000</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4,662,663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Pr>
          <w:p>
            <w:pPr>
              <w:spacing w:after="0" w:line="129" w:lineRule="exact"/>
              <w:rPr>
                <w:sz w:val="20"/>
                <w:szCs w:val="20"/>
                <w:color w:val="auto"/>
              </w:rPr>
            </w:pPr>
            <w:r>
              <w:rPr>
                <w:rFonts w:ascii="Arial" w:cs="Arial" w:eastAsia="Arial" w:hAnsi="Arial"/>
                <w:sz w:val="12"/>
                <w:szCs w:val="12"/>
                <w:color w:val="auto"/>
              </w:rPr>
              <w:t>UniTek Global Services, Inc.</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color w:val="auto"/>
              </w:rPr>
              <w:t>07/15/2019</w:t>
            </w:r>
          </w:p>
        </w:tc>
        <w:tc>
          <w:tcPr>
            <w:tcW w:w="268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jc w:val="right"/>
              <w:ind w:right="200"/>
              <w:spacing w:after="0" w:line="129" w:lineRule="exact"/>
              <w:rPr>
                <w:sz w:val="20"/>
                <w:szCs w:val="20"/>
                <w:color w:val="auto"/>
              </w:rPr>
            </w:pPr>
            <w:r>
              <w:rPr>
                <w:rFonts w:ascii="Arial" w:cs="Arial" w:eastAsia="Arial" w:hAnsi="Arial"/>
                <w:sz w:val="12"/>
                <w:szCs w:val="12"/>
                <w:color w:val="auto"/>
              </w:rPr>
              <w:t>15.00%</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170,523</w:t>
            </w: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170,523</w:t>
            </w:r>
          </w:p>
        </w:tc>
        <w:tc>
          <w:tcPr>
            <w:tcW w:w="860" w:type="dxa"/>
            <w:vAlign w:val="bottom"/>
            <w:gridSpan w:val="3"/>
          </w:tcPr>
          <w:p>
            <w:pPr>
              <w:jc w:val="right"/>
              <w:ind w:right="40"/>
              <w:spacing w:after="0" w:line="129" w:lineRule="exact"/>
              <w:rPr>
                <w:sz w:val="20"/>
                <w:szCs w:val="20"/>
                <w:color w:val="auto"/>
              </w:rPr>
            </w:pPr>
            <w:r>
              <w:rPr>
                <w:rFonts w:ascii="Arial" w:cs="Arial" w:eastAsia="Arial" w:hAnsi="Arial"/>
                <w:sz w:val="12"/>
                <w:szCs w:val="12"/>
                <w:color w:val="auto"/>
              </w:rPr>
              <w:t>173,933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w w:val="95"/>
              </w:rPr>
              <w:t>(PIK 15.00%)</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7,267,407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7,432,373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Inc.—Senior Preferred Equity</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18.00%</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448,851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448,851</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472,846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2"/>
                <w:szCs w:val="12"/>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13.50%</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1,047,317</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670,283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1,509,417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1,119,134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1,982,263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99,029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3,514,572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2,263,885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4,298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1,186,649</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6,398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Gilsonite Company</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2"/>
              </w:rPr>
              <w:t>Metals and Mining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215,182</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339,402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By Light Investco LP</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21,908</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2,190,771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2,601,944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5,592</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Corfin InvestCo, L.P.</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3,000</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429,091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3,000</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DecoPac Holdings Inc.</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Beverage, Food and Tobacco</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1,633</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1,632,744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1,632,744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Construction and Building</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1,141</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58,044</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204,710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Gauge InfosoftCoInvest, LLC (The Infosoft Group, LLC)</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500,000</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631,240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11,867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27,995</w:t>
            </w:r>
          </w:p>
        </w:tc>
        <w:tc>
          <w:tcPr>
            <w:tcW w:w="8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16,020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TPC Broadband Investors, LP (Advanced Cable Communications, LLC) </w:t>
            </w:r>
            <w:r>
              <w:rPr>
                <w:rFonts w:ascii="Arial" w:cs="Arial" w:eastAsia="Arial" w:hAnsi="Arial"/>
                <w:sz w:val="9"/>
                <w:szCs w:val="9"/>
                <w:color w:val="auto"/>
              </w:rPr>
              <w:t>(12)</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657,233</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657,233</w:t>
            </w:r>
          </w:p>
        </w:tc>
        <w:tc>
          <w:tcPr>
            <w:tcW w:w="86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657,233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7"/>
              </w:rPr>
              <w:t xml:space="preserve">TPC Broadband Investors, LP (Advanced Cable Communications, LLC) </w:t>
            </w:r>
            <w:r>
              <w:rPr>
                <w:rFonts w:ascii="Arial" w:cs="Arial" w:eastAsia="Arial" w:hAnsi="Arial"/>
                <w:sz w:val="9"/>
                <w:szCs w:val="9"/>
                <w:color w:val="auto"/>
                <w:w w:val="97"/>
              </w:rPr>
              <w:t>(9), (12)</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342,767</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1"/>
                <w:szCs w:val="11"/>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213,739</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1,274,388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 (Warrants)</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86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23,889</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ind w:left="4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Total Common Equity/Warrants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10,283,190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10,057,055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5"/>
              </w:rPr>
              <w:t>665,514,821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666,973,639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Companies—9.5% </w:t>
            </w:r>
            <w:r>
              <w:rPr>
                <w:rFonts w:ascii="Arial" w:cs="Arial" w:eastAsia="Arial" w:hAnsi="Arial"/>
                <w:sz w:val="9"/>
                <w:szCs w:val="9"/>
                <w:b w:val="1"/>
                <w:bCs w:val="1"/>
                <w:color w:val="auto"/>
              </w:rPr>
              <w:t>(3), (4)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Subordinated Debt/Corporate Notes—6.6%</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840" w:type="dxa"/>
            <w:vAlign w:val="bottom"/>
            <w:gridSpan w:val="3"/>
          </w:tcPr>
          <w:p>
            <w:pPr>
              <w:ind w:left="160"/>
              <w:spacing w:after="0" w:line="135" w:lineRule="exact"/>
              <w:rPr>
                <w:sz w:val="20"/>
                <w:szCs w:val="20"/>
                <w:color w:val="auto"/>
              </w:rPr>
            </w:pPr>
            <w:r>
              <w:rPr>
                <w:rFonts w:ascii="Arial" w:cs="Arial" w:eastAsia="Arial" w:hAnsi="Arial"/>
                <w:sz w:val="12"/>
                <w:szCs w:val="12"/>
                <w:color w:val="auto"/>
              </w:rPr>
              <w:t>05/06/2024</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6.34%</w:t>
            </w: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30,100,000</w:t>
            </w:r>
          </w:p>
        </w:tc>
        <w:tc>
          <w:tcPr>
            <w:tcW w:w="140" w:type="dxa"/>
            <w:vAlign w:val="bottom"/>
          </w:tcPr>
          <w:p>
            <w:pPr>
              <w:spacing w:after="0"/>
              <w:rPr>
                <w:sz w:val="12"/>
                <w:szCs w:val="12"/>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30,100,000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30,100,000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00" w:type="dxa"/>
            <w:vAlign w:val="bottom"/>
          </w:tcPr>
          <w:p>
            <w:pPr>
              <w:spacing w:after="0"/>
              <w:rPr>
                <w:sz w:val="12"/>
                <w:szCs w:val="12"/>
                <w:color w:val="auto"/>
              </w:rPr>
            </w:pPr>
          </w:p>
        </w:tc>
        <w:tc>
          <w:tcPr>
            <w:tcW w:w="740" w:type="dxa"/>
            <w:vAlign w:val="bottom"/>
            <w:gridSpan w:val="2"/>
          </w:tcPr>
          <w:p>
            <w:pPr>
              <w:ind w:left="420"/>
              <w:spacing w:after="0" w:line="135" w:lineRule="exact"/>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Financial Services</w:t>
            </w:r>
          </w:p>
        </w:tc>
        <w:tc>
          <w:tcPr>
            <w:tcW w:w="86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12,900,000</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13,425,143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43,000,000</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43,525,143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Investments—155.2%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708,514,821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710,498,782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2017</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2"/>
              </w:rPr>
              <w:t>Basis Point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w w:val="83"/>
              </w:rPr>
              <w:t>Spread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Issuer Name</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gridSpan w:val="2"/>
            <w:vMerge w:val="restart"/>
          </w:tcPr>
          <w:p>
            <w:pPr>
              <w:ind w:left="1100"/>
              <w:spacing w:after="0"/>
              <w:rPr>
                <w:sz w:val="20"/>
                <w:szCs w:val="20"/>
                <w:color w:val="auto"/>
              </w:rPr>
            </w:pPr>
            <w:r>
              <w:rPr>
                <w:rFonts w:ascii="Arial" w:cs="Arial" w:eastAsia="Arial" w:hAnsi="Arial"/>
                <w:sz w:val="12"/>
                <w:szCs w:val="12"/>
                <w:b w:val="1"/>
                <w:bCs w:val="1"/>
                <w:color w:val="auto"/>
              </w:rPr>
              <w:t>Industry</w:t>
            </w:r>
          </w:p>
        </w:tc>
        <w:tc>
          <w:tcPr>
            <w:tcW w:w="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Current</w:t>
            </w:r>
          </w:p>
        </w:tc>
        <w:tc>
          <w:tcPr>
            <w:tcW w:w="7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Above</w:t>
            </w:r>
          </w:p>
        </w:tc>
        <w:tc>
          <w:tcPr>
            <w:tcW w:w="620" w:type="dxa"/>
            <w:vAlign w:val="bottom"/>
            <w:gridSpan w:val="3"/>
          </w:tcPr>
          <w:p>
            <w:pPr>
              <w:jc w:val="right"/>
              <w:ind w:right="320"/>
              <w:spacing w:after="0" w:line="135" w:lineRule="exact"/>
              <w:rPr>
                <w:sz w:val="20"/>
                <w:szCs w:val="20"/>
                <w:color w:val="auto"/>
              </w:rPr>
            </w:pPr>
            <w:r>
              <w:rPr>
                <w:rFonts w:ascii="Arial" w:cs="Arial" w:eastAsia="Arial" w:hAnsi="Arial"/>
                <w:sz w:val="12"/>
                <w:szCs w:val="12"/>
                <w:b w:val="1"/>
                <w:bCs w:val="1"/>
                <w:color w:val="auto"/>
              </w:rPr>
              <w:t>Par /</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60" w:type="dxa"/>
            <w:vAlign w:val="bottom"/>
            <w:gridSpan w:val="3"/>
            <w:vMerge w:val="continue"/>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Maturity</w:t>
            </w:r>
          </w:p>
        </w:tc>
        <w:tc>
          <w:tcPr>
            <w:tcW w:w="2740" w:type="dxa"/>
            <w:vAlign w:val="bottom"/>
            <w:gridSpan w:val="2"/>
            <w:vMerge w:val="continue"/>
          </w:tcPr>
          <w:p>
            <w:pPr>
              <w:spacing w:after="0"/>
              <w:rPr>
                <w:sz w:val="12"/>
                <w:szCs w:val="12"/>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Coupon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84"/>
              </w:rPr>
              <w:t>Shares</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and Cash Equivalents—4.1%</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gridSpan w:val="2"/>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w w:val="99"/>
              </w:rPr>
              <w:t>16,818,166</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16,818,166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BNY Mellon Cash</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2,029,507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2,092,590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gridSpan w:val="3"/>
          </w:tcPr>
          <w:p>
            <w:pPr>
              <w:spacing w:after="0"/>
              <w:rPr>
                <w:sz w:val="20"/>
                <w:szCs w:val="20"/>
                <w:color w:val="auto"/>
              </w:rPr>
            </w:pPr>
            <w:r>
              <w:rPr>
                <w:rFonts w:ascii="Arial" w:cs="Arial" w:eastAsia="Arial" w:hAnsi="Arial"/>
                <w:sz w:val="12"/>
                <w:szCs w:val="12"/>
                <w:b w:val="1"/>
                <w:bCs w:val="1"/>
                <w:color w:val="auto"/>
              </w:rPr>
              <w:t>Total Cash and Cash Equivalents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18,847,673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Equivalents—159.3%</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727,362,494</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729,409,538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Liabilities in Excess of Other Assets—(59.3)%</w:t>
            </w: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(271,503,264)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457,906,274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120" w:hanging="332"/>
        <w:spacing w:after="0" w:line="243"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EURIBOR or “E,” or Prime rate, or “P.”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340" w:right="22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340" w:hanging="332"/>
        <w:spacing w:after="0"/>
        <w:tabs>
          <w:tab w:leader="none" w:pos="34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right="22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1" w:lineRule="exact"/>
        <w:rPr>
          <w:rFonts w:ascii="Arial" w:cs="Arial" w:eastAsia="Arial" w:hAnsi="Arial"/>
          <w:sz w:val="12"/>
          <w:szCs w:val="12"/>
          <w:color w:val="auto"/>
        </w:rPr>
      </w:pP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ind w:left="340" w:hanging="332"/>
        <w:spacing w:after="0" w:line="234" w:lineRule="auto"/>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ind w:left="340" w:hanging="332"/>
        <w:spacing w:after="0"/>
        <w:tabs>
          <w:tab w:leader="none" w:pos="34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92"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2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$405 million at LIBOR plus 200 basis points during the revolving period. The Credit Facility is secured by all of the assets held by Funding I. See Note 11.</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In May 2017, we and Kemper formed PSSL, an unconsolidated joint venture. PSSL invests primarily in middle-market and other corporate debt securities consistent with our strategy. PSSL was formed as a Delaware limited liability company. See Note 4.</w:t>
      </w:r>
    </w:p>
    <w:p>
      <w:pPr>
        <w:spacing w:after="0" w:line="170"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 In connection with this offering, we have dual listed our common stock on the TASE.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9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900" w:right="2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the Investment Adviser;</w:t>
      </w:r>
    </w:p>
    <w:p>
      <w:pPr>
        <w:spacing w:after="0" w:line="130"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jc w:val="both"/>
        <w:ind w:left="920" w:right="180"/>
        <w:spacing w:after="0" w:line="264"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87" w:lineRule="exact"/>
        <w:rPr>
          <w:sz w:val="20"/>
          <w:szCs w:val="20"/>
          <w:color w:val="auto"/>
        </w:rPr>
      </w:pPr>
    </w:p>
    <w:p>
      <w:pPr>
        <w:ind w:left="900" w:right="260" w:hanging="446"/>
        <w:spacing w:after="0" w:line="286" w:lineRule="auto"/>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6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82"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treated as a RIC for federal income tax purposes. In this regard, we account for income taxes using the asset and liability method prescribed by ASC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years ended September 30, 2018, 2017 and 2016, we recorded a provision for taxes of $0.8 million, $0.3 million and zero, respectively, pertaining to U.S. federal excise tax.</w:t>
      </w:r>
    </w:p>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recognize the effect of a tax position in our Consolidated Financial Statements in accordance of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September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5540" w:right="1220" w:hanging="5532"/>
        <w:spacing w:after="0" w:line="449" w:lineRule="auto"/>
        <w:tabs>
          <w:tab w:leader="none" w:pos="4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Fair value of investment securities, other assets and liabilities – at the exchange rates prevailing at the end of the applicable period; and F-22</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 transactions.</w:t>
      </w:r>
    </w:p>
    <w:p>
      <w:pPr>
        <w:spacing w:after="0" w:line="24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As permitted under Regulation S-X and as explained by ASC paragraph 946-810-45-3,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non-controlling interest in PSSL. See further description of our investment in PSSL in Note 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its assets and such assets are not intended to be available to the creditors of PennantPark Floating Rate Capital Ltd. or any of its affiliates.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 Accounting Pronouncements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years ended September 30, 2018, 2017 and 2016, the Investment Adviser earned a base management fee of $8.4 million, $6.9 million and $5.0 million, respectively, from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2018, 2017 and 2016, the Investment Adviser earned $3.5 million, $4.9 million and $3.7 million, respectively, in incentive fees on net investment income from us.</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2018, 2017 and 2016, the Investment Adviser accrued an incentive fee on capital gains of approximately $(0.1) million, $0.1 million and zero, respectively, as calculated under the Investment Management Agreement (as described above).</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2018, 2017 and 2016 was $(1.0) million, $1.2 million and $1.1 million, respectively.</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2018.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2018, 2017 and 2016, we reimbursed the Investment Adviser approximately $1.3 million, $1.7 million and $0.8 million, respectively, including expenses the Investment Adviser incurred on behalf of the Administrator, for services described above.</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years ended September 30, 2018 and 2017, the Company purchased $3.9 million $38.1 million, respectively, from and sold zero and</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$5.0 million in total investments to an affiliated fund managed by our Investment Adviser in accordance with, and pursuant to procedures adopted under, Rule 17a-7 of the 1940 Act. Realized gains on those sales for the same periods amounted to zero and less than $0.1 million, respectively. There were no transactions in accordance with Rule 17a-7 of the 1940 Act during the year ended September 30, 2016.</w:t>
      </w:r>
    </w:p>
    <w:p>
      <w:pPr>
        <w:spacing w:after="0" w:line="19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years ended September 30, 2018 and 2017, we sold $108.0 million and $85.1 million investments, respectively, in investments to PSSL at fair value and recognized $0.8 million and $0.4 million of net realized gains for the same periods, respectively. There were no transactions with PSSL during the year ended September 30, 2016.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00" w:right="25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Purchases of investments, including PIK interest, for the years ended September 30, 2018, 2017 and 2016 totaled $683.4 million, $509.5 million and $364.6 million, respectively. Sales and repayments of investments for the same periods totaled $391.4 million, $406.5 million and $164.2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2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Pr>
          <w:p>
            <w:pPr>
              <w:spacing w:after="0"/>
              <w:rPr>
                <w:sz w:val="14"/>
                <w:szCs w:val="14"/>
                <w:color w:val="auto"/>
              </w:rPr>
            </w:pPr>
          </w:p>
        </w:tc>
        <w:tc>
          <w:tcPr>
            <w:tcW w:w="2560" w:type="dxa"/>
            <w:vAlign w:val="bottom"/>
            <w:gridSpan w:val="6"/>
          </w:tcPr>
          <w:p>
            <w:pPr>
              <w:ind w:left="5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49"/>
        </w:trPr>
        <w:tc>
          <w:tcPr>
            <w:tcW w:w="4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340"/>
              <w:spacing w:after="0" w:line="129"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First lien</w:t>
            </w:r>
          </w:p>
        </w:tc>
        <w:tc>
          <w:tcPr>
            <w:tcW w:w="2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817,243,688</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812,235,476</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607,582,054</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609,668,554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 xml:space="preserve">First lien in PSSL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101,062,500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101,062,500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20,904,958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21,234,713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39,263,036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37,833,394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Subordinated debt / corporate notes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7,267,407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7,432,373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Subordinated debt in PSSL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18,744,371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21,282,875</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11,402,324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12,039,318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interests in PSSL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43,312,500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44,797,729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13,425,143</w:t>
            </w:r>
          </w:p>
        </w:tc>
        <w:tc>
          <w:tcPr>
            <w:tcW w:w="0" w:type="dxa"/>
            <w:vAlign w:val="bottom"/>
          </w:tcPr>
          <w:p>
            <w:pPr>
              <w:spacing w:after="0"/>
              <w:rPr>
                <w:sz w:val="1"/>
                <w:szCs w:val="1"/>
                <w:color w:val="auto"/>
              </w:rPr>
            </w:pP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1,001,268,017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1,000,613,293</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708,514,821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710,498,782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72,231,801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72,224,183</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18,847,673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18,910,756</w:t>
            </w: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Total investments and cash and cash equivalents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1,073,499,818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1,072,837,476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727,362,494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729,409,538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08"/>
        </w:numPr>
        <w:rPr>
          <w:rFonts w:ascii="Arial" w:cs="Arial" w:eastAsia="Arial" w:hAnsi="Arial"/>
          <w:sz w:val="12"/>
          <w:szCs w:val="12"/>
          <w:color w:val="auto"/>
        </w:rPr>
      </w:pPr>
      <w:r>
        <w:rPr>
          <w:rFonts w:ascii="Arial" w:cs="Arial" w:eastAsia="Arial" w:hAnsi="Arial"/>
          <w:sz w:val="14"/>
          <w:szCs w:val="14"/>
          <w:color w:val="auto"/>
        </w:rPr>
        <w:t>During the three months ended March 31, 2018, our subordinated debt in PSSL was exchanged into first lien secured debt.</w:t>
      </w:r>
    </w:p>
    <w:p>
      <w:pPr>
        <w:spacing w:after="0" w:line="20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920" w:type="dxa"/>
            <w:vAlign w:val="bottom"/>
            <w:vMerge w:val="restart"/>
          </w:tcPr>
          <w:p>
            <w:pPr>
              <w:spacing w:after="0"/>
              <w:rPr>
                <w:sz w:val="14"/>
                <w:szCs w:val="14"/>
                <w:color w:val="auto"/>
              </w:rPr>
            </w:pPr>
          </w:p>
        </w:tc>
        <w:tc>
          <w:tcPr>
            <w:tcW w:w="27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3"/>
        </w:trPr>
        <w:tc>
          <w:tcPr>
            <w:tcW w:w="1420" w:type="dxa"/>
            <w:vAlign w:val="bottom"/>
            <w:tcBorders>
              <w:bottom w:val="single" w:sz="8" w:color="auto"/>
            </w:tcBorders>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2020" w:type="dxa"/>
            <w:vAlign w:val="bottom"/>
            <w:gridSpan w:val="2"/>
          </w:tcPr>
          <w:p>
            <w:pPr>
              <w:jc w:val="right"/>
              <w:ind w:right="110"/>
              <w:spacing w:after="0" w:line="158" w:lineRule="exact"/>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680" w:type="dxa"/>
            <w:vAlign w:val="bottom"/>
          </w:tcPr>
          <w:p>
            <w:pPr>
              <w:spacing w:after="0"/>
              <w:rPr>
                <w:sz w:val="13"/>
                <w:szCs w:val="13"/>
                <w:color w:val="auto"/>
              </w:rPr>
            </w:pPr>
          </w:p>
        </w:tc>
        <w:tc>
          <w:tcPr>
            <w:tcW w:w="1440" w:type="dxa"/>
            <w:vAlign w:val="bottom"/>
            <w:gridSpan w:val="2"/>
          </w:tcPr>
          <w:p>
            <w:pPr>
              <w:jc w:val="right"/>
              <w:ind w:right="130"/>
              <w:spacing w:after="0" w:line="158"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11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5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1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5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investments in PSSL.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May 2017, we and Kemper formed PSSL, an unconsolidated joint venture. PSSL invests primarily in middle-market and other corporate debt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consistent with our strategy. PSSL was formed as a Delaware limited liability company. As of September 30, 2018, PSSL had total assets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$443.4 million. As of the same date, we and Kemper had remaining commitments to fund first lien secured debt and equity interests in PSSL in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amount of $45.0 million. PSSL invests in portfolio companies in the same industries in which we may directly invest. During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2018, the terms of our debt investment in PSSL were modified to eliminate the subordination provision and to grant us a security interest in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of PSSL.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provide capital to PSSL in the form of first lien secured debt and equity interests. As of September 30, 2018, we and Kemper owned 87.5%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12.5%, respectively, of each of the outstanding first lien secured debt and equity interests. As of the same date, our investment in PSSL consisted of first lien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secured debt of $101.1 million and equity interests of $43.3 million. As of the same date, we had commitments to fund first lien secured debt to PSSL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$128.6 million, of which $27.5 million was unfunded. As of September 30, 2018, we had commitments to fund equity interests in PSSL of $55.1 million,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$11.8 million was unfunded.</w:t>
      </w:r>
    </w:p>
    <w:p>
      <w:pPr>
        <w:spacing w:after="0" w:line="2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w:t>
      </w:r>
    </w:p>
    <w:p>
      <w:pPr>
        <w:spacing w:after="0" w:line="2" w:lineRule="exact"/>
        <w:rPr>
          <w:sz w:val="20"/>
          <w:szCs w:val="20"/>
          <w:color w:val="auto"/>
        </w:rPr>
      </w:pPr>
    </w:p>
    <w:p>
      <w:pPr>
        <w:ind w:right="100" w:firstLine="8"/>
        <w:spacing w:after="0" w:line="261" w:lineRule="auto"/>
        <w:tabs>
          <w:tab w:leader="none" w:pos="3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presence of four members of the board of directors or investment committee shall constitute a quorum, provided that two individuals are present that were elected, designated or appointed by each member.</w:t>
      </w:r>
    </w:p>
    <w:p>
      <w:pPr>
        <w:spacing w:after="0" w:line="184"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Additionally, PSSL has entered into the PSSL Credit Facility, with Capital One, N.A. through PSSL Subsidiary, which as of September 30, 2018 allowed PSSL Subsidiary to borrow up to $420 million at any one time outstanding, subject to leverage and borrowing base restrictions.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PSSL’s portfolio at fair value:</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3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16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425,420,881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99,994,314</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Weighted average cost yield on income producing investments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Largest portfolio company investment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21,152,781</w:t>
            </w:r>
          </w:p>
        </w:tc>
        <w:tc>
          <w:tcPr>
            <w:tcW w:w="46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8,080,000</w:t>
            </w:r>
          </w:p>
        </w:tc>
        <w:tc>
          <w:tcPr>
            <w:tcW w:w="2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of five largest portfolio company investments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95,941,790</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34,935,330</w:t>
            </w:r>
          </w:p>
        </w:tc>
        <w:tc>
          <w:tcPr>
            <w:tcW w:w="200" w:type="dxa"/>
            <w:vAlign w:val="bottom"/>
            <w:shd w:val="clear" w:color="auto" w:fill="CCEEFF"/>
          </w:tcPr>
          <w:p>
            <w:pPr>
              <w:spacing w:after="0"/>
              <w:rPr>
                <w:sz w:val="18"/>
                <w:szCs w:val="18"/>
                <w:color w:val="auto"/>
              </w:rPr>
            </w:pPr>
          </w:p>
        </w:tc>
      </w:tr>
      <w:tr>
        <w:trPr>
          <w:trHeight w:val="365"/>
        </w:trPr>
        <w:tc>
          <w:tcPr>
            <w:tcW w:w="5160" w:type="dxa"/>
            <w:vAlign w:val="bottom"/>
          </w:tcPr>
          <w:p>
            <w:pPr>
              <w:ind w:left="4160"/>
              <w:spacing w:after="0"/>
              <w:rPr>
                <w:sz w:val="20"/>
                <w:szCs w:val="20"/>
                <w:color w:val="auto"/>
              </w:rPr>
            </w:pPr>
            <w:r>
              <w:rPr>
                <w:rFonts w:ascii="Arial" w:cs="Arial" w:eastAsia="Arial" w:hAnsi="Arial"/>
                <w:sz w:val="18"/>
                <w:szCs w:val="18"/>
                <w:color w:val="auto"/>
              </w:rPr>
              <w:t>F-27</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74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100" w:type="dxa"/>
            <w:vAlign w:val="bottom"/>
            <w:gridSpan w:val="2"/>
            <w:vMerge w:val="continue"/>
          </w:tcPr>
          <w:p>
            <w:pPr>
              <w:spacing w:after="0"/>
              <w:rPr>
                <w:sz w:val="12"/>
                <w:szCs w:val="12"/>
                <w:color w:val="auto"/>
              </w:rPr>
            </w:pPr>
          </w:p>
        </w:tc>
        <w:tc>
          <w:tcPr>
            <w:tcW w:w="94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40" w:type="dxa"/>
            <w:vAlign w:val="bottom"/>
            <w:vMerge w:val="continue"/>
          </w:tcPr>
          <w:p>
            <w:pPr>
              <w:spacing w:after="0"/>
              <w:rPr>
                <w:sz w:val="12"/>
                <w:szCs w:val="12"/>
                <w:color w:val="auto"/>
              </w:rPr>
            </w:pPr>
          </w:p>
        </w:tc>
        <w:tc>
          <w:tcPr>
            <w:tcW w:w="74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Pr>
          <w:p>
            <w:pPr>
              <w:spacing w:after="0"/>
              <w:rPr>
                <w:sz w:val="12"/>
                <w:szCs w:val="12"/>
                <w:color w:val="auto"/>
              </w:rPr>
            </w:pPr>
          </w:p>
        </w:tc>
        <w:tc>
          <w:tcPr>
            <w:tcW w:w="680" w:type="dxa"/>
            <w:vAlign w:val="bottom"/>
          </w:tcPr>
          <w:p>
            <w:pPr>
              <w:jc w:val="right"/>
              <w:ind w:right="322"/>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83"/>
              </w:rPr>
              <w:t xml:space="preserve">Fair Value </w:t>
            </w:r>
            <w:r>
              <w:rPr>
                <w:rFonts w:ascii="Arial" w:cs="Arial" w:eastAsia="Arial" w:hAnsi="Arial"/>
                <w:sz w:val="9"/>
                <w:szCs w:val="9"/>
                <w:b w:val="1"/>
                <w:bCs w:val="1"/>
                <w:color w:val="auto"/>
                <w:w w:val="83"/>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3"/>
              </w:rPr>
              <w:t>Investments in Non-Controlled, Non-Affiliated Portfolio Companies—830.9%</w:t>
            </w:r>
          </w:p>
        </w:tc>
        <w:tc>
          <w:tcPr>
            <w:tcW w:w="940" w:type="dxa"/>
            <w:vAlign w:val="bottom"/>
            <w:tcBorders>
              <w:top w:val="single" w:sz="8" w:color="auto"/>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Debt—830.9%</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5,424,261</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5,370,876</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5,464,943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American Auto Auction Group,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11/30/2021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Transportation: Consumer</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4,949,622</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4,910,720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4,875,378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Anvil International,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5,944,975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5,900,529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5,985,876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04/22/2024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19,950,000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19,710,688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19,750,500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Beauty Industry Group Opco,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04/06/2023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21,259,078</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21,057,494</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21,152,781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9.57%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L+725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10,761,235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10,538,732</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10,761,235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Cadence Aerospace,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11/14/2023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8.83%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11,854,375</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11,745,013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11,875,641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Cardenas Markets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7.99%</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L+575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7,424,433</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7,381,442</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7,424,433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Challenger Performance Optimization,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08/31/2023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7.85%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10,387,126</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10,284,272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10,283,255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7.39%</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4,348,465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4,348,465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4,218,011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08/02/2021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7.51%</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12,437,500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12,334,446</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12,437,500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Deva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19,949,749</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19,949,749</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19,949,749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Digital Room Holdings,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Media: Advertising, Printing and Publishing</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9,925,000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9,832,647</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9,813,344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03/29/2022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L+575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12,437,500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12,243,681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12,313,125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6.86%</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4,750,000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4,712,239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4,750,000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ENC Holding Corporation</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05/30/2025</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Transportation: Cargo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L+425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10,345,500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10,320,383</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10,319,636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05/31/2024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7"/>
              </w:rPr>
              <w:t>Banking, Finance, Insurance and Real Estate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7.23%</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L+525</w:t>
            </w:r>
          </w:p>
        </w:tc>
        <w:tc>
          <w:tcPr>
            <w:tcW w:w="220" w:type="dxa"/>
            <w:vAlign w:val="bottom"/>
            <w:shd w:val="clear" w:color="auto" w:fill="CCEEFF"/>
          </w:tcPr>
          <w:p>
            <w:pPr>
              <w:ind w:left="80"/>
              <w:spacing w:after="0" w:line="135" w:lineRule="exact"/>
              <w:rPr>
                <w:sz w:val="20"/>
                <w:szCs w:val="20"/>
                <w:color w:val="auto"/>
              </w:rPr>
            </w:pPr>
            <w:r>
              <w:rPr>
                <w:rFonts w:ascii="Arial" w:cs="Arial" w:eastAsia="Arial" w:hAnsi="Arial"/>
                <w:sz w:val="12"/>
                <w:szCs w:val="12"/>
                <w:color w:val="auto"/>
                <w:w w:val="81"/>
              </w:rPr>
              <w:t>A$</w:t>
            </w: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10,000,000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7,348,975</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7,018,455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GCOM Software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11/14/2022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9.67%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L+750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14,666,667</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14,597,068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14,666,667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Good Source Solutions,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8.39%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14,871,563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14,724,626</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14,670,097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GSM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06/03/2024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15,461,250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15,313,430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15,383,940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Group,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06/27/2023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L+625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9,975,000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9,860,343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9,925,125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12/12/2023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L+475</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w w:val="81"/>
              </w:rPr>
              <w:t>A$</w:t>
            </w: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15,000,000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10,941,545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10,810,400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Long’s Drugs Incorporated</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08/19/2022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7.12%</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18,000,000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17,831,930</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17,820,000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8.12%</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7,265,625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7,319,871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7,002,246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Manna Pro Products,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12/08/2023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8.15%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6,947,500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6,853,205</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6,894,684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01/27/2021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P+275</w:t>
            </w:r>
          </w:p>
        </w:tc>
        <w:tc>
          <w:tcPr>
            <w:tcW w:w="220" w:type="dxa"/>
            <w:vAlign w:val="bottom"/>
          </w:tcPr>
          <w:p>
            <w:pPr>
              <w:ind w:left="80"/>
              <w:spacing w:after="0" w:line="135" w:lineRule="exact"/>
              <w:rPr>
                <w:sz w:val="20"/>
                <w:szCs w:val="20"/>
                <w:color w:val="auto"/>
              </w:rPr>
            </w:pPr>
            <w:r>
              <w:rPr>
                <w:rFonts w:ascii="Arial" w:cs="Arial" w:eastAsia="Arial" w:hAnsi="Arial"/>
                <w:sz w:val="12"/>
                <w:szCs w:val="12"/>
                <w:color w:val="auto"/>
                <w:w w:val="77"/>
              </w:rPr>
              <w:t>C$</w:t>
            </w: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5,820,254</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4,486,587</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4,502,752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Maytex Mills,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12/27/2023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6.71%</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8,761,452</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8,721,691</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8,783,355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McAfee,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09/30/2024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7,425,000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7,359,161</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7,482,024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2M L+500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4,005,973</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3,986,058</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3,996,350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8.40%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17,355,538</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17,229,100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17,268,760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Milani Group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06/06/2024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6.37%</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15,000,000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14,856,552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14,925,000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Olde Thompson,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05/14/2024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6.66%</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13,965,000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13,825,350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13,965,000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Output Services Group,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03/27/2024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7,983,419</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8,015,803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8,023,336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8.10%</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4,687,495</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4,687,495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4,054,683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Sonny’s Enterprises,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12/01/2022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6.49%</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L+425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15,379,790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15,382,892</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15,379,790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The Infosoft Group,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Media: Broadcasting and Subscription</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7.58%</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L+525</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86"/>
              </w:rPr>
              <w:t>10,516,049</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10,459,746</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10,410,888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UBEO, LLC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04/03/2024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L+450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86"/>
              </w:rPr>
              <w:t>12,468,750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3"/>
              </w:rPr>
              <w:t>12,352,721</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12,468,750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Urology Management Associates,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08/30/2024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L+500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8,500,000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8,352,305</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8,351,250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Dominion,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07/15/2024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9.14%</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3M L+675</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3,990,000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3,921,923</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3,990,000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1M L+600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4,625,000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4,678,730</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4,636,563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Whitney, Bradley &amp; Brown, Inc.</w:t>
            </w:r>
          </w:p>
        </w:tc>
        <w:tc>
          <w:tcPr>
            <w:tcW w:w="94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10/18/2022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11.25%</w:t>
            </w:r>
          </w:p>
        </w:tc>
        <w:tc>
          <w:tcPr>
            <w:tcW w:w="7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1M L+900</w:t>
            </w: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w w:val="97"/>
              </w:rPr>
              <w:t>4,950,000</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4,866,299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4,950,000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Xebec Global Holdings, LLC</w:t>
            </w:r>
          </w:p>
        </w:tc>
        <w:tc>
          <w:tcPr>
            <w:tcW w:w="94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02/12/2024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7.84%</w:t>
            </w:r>
          </w:p>
        </w:tc>
        <w:tc>
          <w:tcPr>
            <w:tcW w:w="700" w:type="dxa"/>
            <w:vAlign w:val="bottom"/>
          </w:tcPr>
          <w:p>
            <w:pPr>
              <w:jc w:val="right"/>
              <w:ind w:right="2"/>
              <w:spacing w:after="0" w:line="135" w:lineRule="exact"/>
              <w:rPr>
                <w:sz w:val="20"/>
                <w:szCs w:val="20"/>
                <w:color w:val="auto"/>
              </w:rPr>
            </w:pPr>
            <w:r>
              <w:rPr>
                <w:rFonts w:ascii="Arial" w:cs="Arial" w:eastAsia="Arial" w:hAnsi="Arial"/>
                <w:sz w:val="12"/>
                <w:szCs w:val="12"/>
                <w:color w:val="auto"/>
              </w:rPr>
              <w:t>3M L+550</w:t>
            </w:r>
          </w:p>
        </w:tc>
        <w:tc>
          <w:tcPr>
            <w:tcW w:w="220" w:type="dxa"/>
            <w:vAlign w:val="bottom"/>
          </w:tcPr>
          <w:p>
            <w:pPr>
              <w:spacing w:after="0"/>
              <w:rPr>
                <w:sz w:val="11"/>
                <w:szCs w:val="11"/>
                <w:color w:val="auto"/>
              </w:rPr>
            </w:pPr>
          </w:p>
        </w:tc>
        <w:tc>
          <w:tcPr>
            <w:tcW w:w="680" w:type="dxa"/>
            <w:vAlign w:val="bottom"/>
          </w:tcPr>
          <w:p>
            <w:pPr>
              <w:jc w:val="right"/>
              <w:ind w:right="82"/>
              <w:spacing w:after="0" w:line="135" w:lineRule="exact"/>
              <w:rPr>
                <w:sz w:val="20"/>
                <w:szCs w:val="20"/>
                <w:color w:val="auto"/>
              </w:rPr>
            </w:pPr>
            <w:r>
              <w:rPr>
                <w:rFonts w:ascii="Arial" w:cs="Arial" w:eastAsia="Arial" w:hAnsi="Arial"/>
                <w:sz w:val="12"/>
                <w:szCs w:val="12"/>
                <w:color w:val="auto"/>
                <w:w w:val="97"/>
              </w:rPr>
              <w:t>6,749,730</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6,721,428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6,665,359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3"/>
              </w:rPr>
              <w:t>425,336,210</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425,420,881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8"/>
              </w:rPr>
              <w:t>Total Investments in Non-Controlled, Non-Affiliated Portfolio Companies</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83"/>
              </w:rPr>
              <w:t>425,336,210</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w w:val="92"/>
              </w:rPr>
              <w:t>425,420,881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Equivalents—26.4%</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w w:val="93"/>
              </w:rPr>
              <w:t>12,510,098</w:t>
            </w:r>
          </w:p>
        </w:tc>
        <w:tc>
          <w:tcPr>
            <w:tcW w:w="14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12,510,098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Bank Cash</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1,010,029</w:t>
            </w:r>
          </w:p>
        </w:tc>
        <w:tc>
          <w:tcPr>
            <w:tcW w:w="140" w:type="dxa"/>
            <w:vAlign w:val="bottom"/>
            <w:tcBorders>
              <w:right w:val="single" w:sz="8" w:color="CCEEFF"/>
            </w:tcBorders>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1,010,662</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13,520,127</w:t>
            </w:r>
          </w:p>
        </w:tc>
        <w:tc>
          <w:tcPr>
            <w:tcW w:w="14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13,520,760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Equivalents—857.3%</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83"/>
              </w:rPr>
              <w:t>438,856,337</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w w:val="92"/>
              </w:rPr>
              <w:t>438,941,641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Assets—(757.3)%</w:t>
            </w: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w w:val="88"/>
              </w:rPr>
              <w:t>(387,744,237)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9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51,197,404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89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4" w:lineRule="exact"/>
        <w:rPr>
          <w:sz w:val="20"/>
          <w:szCs w:val="20"/>
          <w:color w:val="auto"/>
        </w:rPr>
      </w:pPr>
    </w:p>
    <w:p>
      <w:pPr>
        <w:ind w:left="340" w:right="80" w:hanging="332"/>
        <w:spacing w:after="0" w:line="262" w:lineRule="auto"/>
        <w:tabs>
          <w:tab w:leader="none" w:pos="34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Canadian Dollars (C$) as denoted.</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listing of PSSL’s individual investments as of September 30, 2017: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2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Current</w:t>
            </w:r>
          </w:p>
        </w:tc>
        <w:tc>
          <w:tcPr>
            <w:tcW w:w="7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1"/>
              </w:rPr>
              <w:t>Above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020" w:type="dxa"/>
            <w:vAlign w:val="bottom"/>
            <w:gridSpan w:val="2"/>
            <w:vMerge w:val="continue"/>
          </w:tcPr>
          <w:p>
            <w:pPr>
              <w:spacing w:after="0"/>
              <w:rPr>
                <w:sz w:val="12"/>
                <w:szCs w:val="12"/>
                <w:color w:val="auto"/>
              </w:rPr>
            </w:pPr>
          </w:p>
        </w:tc>
        <w:tc>
          <w:tcPr>
            <w:tcW w:w="860" w:type="dxa"/>
            <w:vAlign w:val="bottom"/>
          </w:tcPr>
          <w:p>
            <w:pPr>
              <w:jc w:val="right"/>
              <w:ind w:right="182"/>
              <w:spacing w:after="0"/>
              <w:rPr>
                <w:sz w:val="20"/>
                <w:szCs w:val="20"/>
                <w:color w:val="auto"/>
              </w:rPr>
            </w:pPr>
            <w:r>
              <w:rPr>
                <w:rFonts w:ascii="Arial" w:cs="Arial" w:eastAsia="Arial" w:hAnsi="Arial"/>
                <w:sz w:val="12"/>
                <w:szCs w:val="12"/>
                <w:b w:val="1"/>
                <w:bCs w:val="1"/>
                <w:color w:val="auto"/>
              </w:rPr>
              <w:t>Maturity</w:t>
            </w:r>
          </w:p>
        </w:tc>
        <w:tc>
          <w:tcPr>
            <w:tcW w:w="2440" w:type="dxa"/>
            <w:vAlign w:val="bottom"/>
            <w:vMerge w:val="continue"/>
          </w:tcPr>
          <w:p>
            <w:pPr>
              <w:spacing w:after="0"/>
              <w:rPr>
                <w:sz w:val="12"/>
                <w:szCs w:val="12"/>
                <w:color w:val="auto"/>
              </w:rPr>
            </w:pPr>
          </w:p>
        </w:tc>
        <w:tc>
          <w:tcPr>
            <w:tcW w:w="800" w:type="dxa"/>
            <w:vAlign w:val="bottom"/>
          </w:tcPr>
          <w:p>
            <w:pPr>
              <w:jc w:val="right"/>
              <w:ind w:right="162"/>
              <w:spacing w:after="0"/>
              <w:rPr>
                <w:sz w:val="20"/>
                <w:szCs w:val="20"/>
                <w:color w:val="auto"/>
              </w:rPr>
            </w:pPr>
            <w:r>
              <w:rPr>
                <w:rFonts w:ascii="Arial" w:cs="Arial" w:eastAsia="Arial" w:hAnsi="Arial"/>
                <w:sz w:val="12"/>
                <w:szCs w:val="12"/>
                <w:b w:val="1"/>
                <w:bCs w:val="1"/>
                <w:color w:val="auto"/>
              </w:rPr>
              <w:t>Coupon</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60" w:type="dxa"/>
            <w:vAlign w:val="bottom"/>
          </w:tcPr>
          <w:p>
            <w:pPr>
              <w:spacing w:after="0"/>
              <w:rPr>
                <w:sz w:val="12"/>
                <w:szCs w:val="12"/>
                <w:color w:val="auto"/>
              </w:rPr>
            </w:pPr>
          </w:p>
        </w:tc>
        <w:tc>
          <w:tcPr>
            <w:tcW w:w="580" w:type="dxa"/>
            <w:vAlign w:val="bottom"/>
          </w:tcPr>
          <w:p>
            <w:pPr>
              <w:jc w:val="right"/>
              <w:ind w:right="222"/>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w w:val="91"/>
              </w:rPr>
              <w:t>Investments in Non-Controlled, Non-Affiliated Portfolio Companies—651.7%</w:t>
            </w:r>
          </w:p>
        </w:tc>
        <w:tc>
          <w:tcPr>
            <w:tcW w:w="860" w:type="dxa"/>
            <w:vAlign w:val="bottom"/>
            <w:tcBorders>
              <w:top w:val="single" w:sz="8" w:color="auto"/>
            </w:tcBorders>
            <w:shd w:val="clear" w:color="auto" w:fill="CCEEFF"/>
          </w:tcPr>
          <w:p>
            <w:pPr>
              <w:spacing w:after="0"/>
              <w:rPr>
                <w:sz w:val="11"/>
                <w:szCs w:val="11"/>
                <w:color w:val="auto"/>
              </w:rPr>
            </w:pPr>
          </w:p>
        </w:tc>
        <w:tc>
          <w:tcPr>
            <w:tcW w:w="24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Debt—674.2%</w:t>
            </w:r>
          </w:p>
        </w:tc>
        <w:tc>
          <w:tcPr>
            <w:tcW w:w="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04/04/2022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6.24%</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L+500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5,664,954</w:t>
            </w:r>
          </w:p>
        </w:tc>
        <w:tc>
          <w:tcPr>
            <w:tcW w:w="1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5,597,299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5,636,629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Anvil International,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08/01/2024</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L+450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5,000,000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4,950,000</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API Technologies Corp.</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04/22/2022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Aerospace and Defense</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7.83%</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L+650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4,955,919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4,908,646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4,906,360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By Light Professional IT Services,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05/16/2022</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8.57%</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L+725</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5,961,702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5,819,267</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Cardenas Markets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11/29/2023</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7.08%</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L+575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7,500,000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7,453,125</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Country Fresh Holdings,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03/31/2023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6.24%</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L+500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4,875,132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4,875,132</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DigiCert Holdings,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10/31/2024</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L+475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8,000,000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7,960,000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8,080,000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12/09/2020</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5.55%</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L+425</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4,744,586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4,732,725</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Driven Performance Brands,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09/30/2022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6.06%</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L+475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5,000,000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4,951,225</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10/12/2021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8.00%</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E+800</w:t>
            </w:r>
          </w:p>
        </w:tc>
        <w:tc>
          <w:tcPr>
            <w:tcW w:w="160" w:type="dxa"/>
            <w:vAlign w:val="bottom"/>
          </w:tcPr>
          <w:p>
            <w:pPr>
              <w:ind w:left="6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4,937,107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5,742,092</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Impact Sales,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12/30/2021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Wholesale</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8.30%</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L+700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4,984,962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4,970,404</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4,984,963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LSF9 Atlantis Holdings,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05/01/2023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7.24%</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L+600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7,453,125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7,521,186</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Mission Critical Electronics, Inc.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09/28/2022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Capital Equipment</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6.33%</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L+500</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4,075,442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4,050,930</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4,058,871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Morphe,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02/10/2023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7"/>
              </w:rPr>
              <w:t>Consumer Goods: Non-Durable</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7.33%</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L+600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4,875,000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4,810,511</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One Sixty Over Ninety,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03/03/2022</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Media: Advertising, Printing and Publishing</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10.52%</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L+918</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6,000,000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5,885,356</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07/19/2021</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5"/>
              </w:rPr>
              <w:t>Beverage, Food and Tobacco</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6.24%</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L+500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4,843,745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4,843,745</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The Infosoft Group, LLC</w:t>
            </w:r>
          </w:p>
        </w:tc>
        <w:tc>
          <w:tcPr>
            <w:tcW w:w="860" w:type="dxa"/>
            <w:vAlign w:val="bottom"/>
            <w:shd w:val="clear" w:color="auto" w:fill="CCEEFF"/>
          </w:tcPr>
          <w:p>
            <w:pPr>
              <w:jc w:val="right"/>
              <w:ind w:right="122"/>
              <w:spacing w:after="0" w:line="135" w:lineRule="exact"/>
              <w:rPr>
                <w:sz w:val="20"/>
                <w:szCs w:val="20"/>
                <w:color w:val="auto"/>
              </w:rPr>
            </w:pPr>
            <w:r>
              <w:rPr>
                <w:rFonts w:ascii="Arial" w:cs="Arial" w:eastAsia="Arial" w:hAnsi="Arial"/>
                <w:sz w:val="12"/>
                <w:szCs w:val="12"/>
                <w:color w:val="auto"/>
              </w:rPr>
              <w:t>12/02/2021</w:t>
            </w:r>
          </w:p>
        </w:tc>
        <w:tc>
          <w:tcPr>
            <w:tcW w:w="24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80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6.58%</w:t>
            </w:r>
          </w:p>
        </w:tc>
        <w:tc>
          <w:tcPr>
            <w:tcW w:w="760" w:type="dxa"/>
            <w:vAlign w:val="bottom"/>
            <w:shd w:val="clear" w:color="auto" w:fill="CCEEFF"/>
          </w:tcPr>
          <w:p>
            <w:pPr>
              <w:ind w:left="360"/>
              <w:spacing w:after="0" w:line="135" w:lineRule="exact"/>
              <w:rPr>
                <w:sz w:val="20"/>
                <w:szCs w:val="20"/>
                <w:color w:val="auto"/>
              </w:rPr>
            </w:pPr>
            <w:r>
              <w:rPr>
                <w:rFonts w:ascii="Arial" w:cs="Arial" w:eastAsia="Arial" w:hAnsi="Arial"/>
                <w:sz w:val="12"/>
                <w:szCs w:val="12"/>
                <w:color w:val="auto"/>
              </w:rPr>
              <w:t>L+525</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89"/>
              </w:rPr>
              <w:t>5,530,997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5,530,997</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5,530,997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VIP Cinema Holdings, Inc.</w:t>
            </w:r>
          </w:p>
        </w:tc>
        <w:tc>
          <w:tcPr>
            <w:tcW w:w="860" w:type="dxa"/>
            <w:vAlign w:val="bottom"/>
          </w:tcPr>
          <w:p>
            <w:pPr>
              <w:jc w:val="right"/>
              <w:ind w:right="122"/>
              <w:spacing w:after="0" w:line="135" w:lineRule="exact"/>
              <w:rPr>
                <w:sz w:val="20"/>
                <w:szCs w:val="20"/>
                <w:color w:val="auto"/>
              </w:rPr>
            </w:pPr>
            <w:r>
              <w:rPr>
                <w:rFonts w:ascii="Arial" w:cs="Arial" w:eastAsia="Arial" w:hAnsi="Arial"/>
                <w:sz w:val="12"/>
                <w:szCs w:val="12"/>
                <w:color w:val="auto"/>
              </w:rPr>
              <w:t>03/01/2023</w:t>
            </w:r>
          </w:p>
        </w:tc>
        <w:tc>
          <w:tcPr>
            <w:tcW w:w="2440" w:type="dxa"/>
            <w:vAlign w:val="bottom"/>
          </w:tcPr>
          <w:p>
            <w:pPr>
              <w:jc w:val="center"/>
              <w:spacing w:after="0" w:line="135" w:lineRule="exact"/>
              <w:rPr>
                <w:sz w:val="20"/>
                <w:szCs w:val="20"/>
                <w:color w:val="auto"/>
              </w:rPr>
            </w:pPr>
            <w:r>
              <w:rPr>
                <w:rFonts w:ascii="Arial" w:cs="Arial" w:eastAsia="Arial" w:hAnsi="Arial"/>
                <w:sz w:val="12"/>
                <w:szCs w:val="12"/>
                <w:color w:val="auto"/>
                <w:w w:val="86"/>
              </w:rPr>
              <w:t>Consumer Goods: Durable</w:t>
            </w:r>
          </w:p>
        </w:tc>
        <w:tc>
          <w:tcPr>
            <w:tcW w:w="80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7.34%</w:t>
            </w:r>
          </w:p>
        </w:tc>
        <w:tc>
          <w:tcPr>
            <w:tcW w:w="760" w:type="dxa"/>
            <w:vAlign w:val="bottom"/>
          </w:tcPr>
          <w:p>
            <w:pPr>
              <w:ind w:left="360"/>
              <w:spacing w:after="0" w:line="135" w:lineRule="exact"/>
              <w:rPr>
                <w:sz w:val="20"/>
                <w:szCs w:val="20"/>
                <w:color w:val="auto"/>
              </w:rPr>
            </w:pPr>
            <w:r>
              <w:rPr>
                <w:rFonts w:ascii="Arial" w:cs="Arial" w:eastAsia="Arial" w:hAnsi="Arial"/>
                <w:sz w:val="12"/>
                <w:szCs w:val="12"/>
                <w:color w:val="auto"/>
              </w:rPr>
              <w:t>L+600</w:t>
            </w:r>
          </w:p>
        </w:tc>
        <w:tc>
          <w:tcPr>
            <w:tcW w:w="160" w:type="dxa"/>
            <w:vAlign w:val="bottom"/>
          </w:tcPr>
          <w:p>
            <w:pPr>
              <w:spacing w:after="0"/>
              <w:rPr>
                <w:sz w:val="11"/>
                <w:szCs w:val="11"/>
                <w:color w:val="auto"/>
              </w:rPr>
            </w:pPr>
          </w:p>
        </w:tc>
        <w:tc>
          <w:tcPr>
            <w:tcW w:w="5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89"/>
              </w:rPr>
              <w:t>4,875,000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4,942,263</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4,905,469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99"/>
              </w:rPr>
              <w:t>99,544,903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99,994,314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w w:val="99"/>
              </w:rPr>
              <w:t>99,544,903</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99,994,314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Equivalents—15.5%</w:t>
            </w:r>
          </w:p>
        </w:tc>
        <w:tc>
          <w:tcPr>
            <w:tcW w:w="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line="135" w:lineRule="exact"/>
              <w:rPr>
                <w:sz w:val="20"/>
                <w:szCs w:val="20"/>
                <w:color w:val="auto"/>
              </w:rPr>
            </w:pPr>
            <w:r>
              <w:rPr>
                <w:rFonts w:ascii="Arial" w:cs="Arial" w:eastAsia="Arial" w:hAnsi="Arial"/>
                <w:sz w:val="12"/>
                <w:szCs w:val="12"/>
                <w:color w:val="auto"/>
              </w:rPr>
              <w:t>BlackRock Federal FD Institutional 30</w:t>
            </w:r>
          </w:p>
        </w:tc>
        <w:tc>
          <w:tcPr>
            <w:tcW w:w="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2,226,430</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Bank Cash</w:t>
            </w:r>
          </w:p>
        </w:tc>
        <w:tc>
          <w:tcPr>
            <w:tcW w:w="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144,739</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144,833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Total Cash and Cash Equivalents</w:t>
            </w: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2,371,169</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Equivalents—667.2%</w:t>
            </w:r>
          </w:p>
        </w:tc>
        <w:tc>
          <w:tcPr>
            <w:tcW w:w="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w w:val="89"/>
              </w:rPr>
              <w:t>101,916,072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2"/>
              </w:rPr>
              <w:t>102,365,577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Members’ Equity—100.0%</w:t>
            </w:r>
          </w:p>
        </w:tc>
        <w:tc>
          <w:tcPr>
            <w:tcW w:w="8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15,343,021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EURIBOR or “E”. All securities are subject to a LIBOR or Prime rate floor where a spread is provided, unless noted. The spread provided includes PIK interest and other fee rates, if any.</w:t>
      </w:r>
    </w:p>
    <w:p>
      <w:pPr>
        <w:ind w:left="340" w:hanging="332"/>
        <w:spacing w:after="0" w:line="234" w:lineRule="auto"/>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40" w:hanging="332"/>
        <w:spacing w:after="0" w:line="234" w:lineRule="auto"/>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40" w:hanging="332"/>
        <w:spacing w:after="0"/>
        <w:tabs>
          <w:tab w:leader="none" w:pos="34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 (cost—$425,336,210 and $99,544,903,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425,420,881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99,994,314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Cash and cash equivalents (cost—$13,520,127 and $2,371,169,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13,520,760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2,371,263</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332,980</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2,784,477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1,131,029</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443,396,171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103,829,586</w:t>
            </w:r>
          </w:p>
        </w:tc>
        <w:tc>
          <w:tcPr>
            <w:tcW w:w="60" w:type="dxa"/>
            <w:vAlign w:val="bottom"/>
            <w:shd w:val="clear" w:color="auto" w:fill="CCEEFF"/>
          </w:tcPr>
          <w:p>
            <w:pPr>
              <w:spacing w:after="0"/>
              <w:rPr>
                <w:sz w:val="18"/>
                <w:szCs w:val="18"/>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27,095,850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PSSL Credit Facility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275,285,900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26,783,885</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to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115,500,000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34,400,000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payable on PSSL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1,065,306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97,531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notes to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99,966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12,107</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247,595</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97,192</w:t>
            </w: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392,198,767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88,486,565</w:t>
            </w:r>
          </w:p>
        </w:tc>
        <w:tc>
          <w:tcPr>
            <w:tcW w:w="60" w:type="dxa"/>
            <w:vAlign w:val="bottom"/>
            <w:shd w:val="clear" w:color="auto" w:fill="CCEEFF"/>
          </w:tcPr>
          <w:p>
            <w:pPr>
              <w:spacing w:after="0"/>
              <w:rPr>
                <w:sz w:val="18"/>
                <w:szCs w:val="18"/>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5"/>
                <w:szCs w:val="15"/>
                <w:color w:val="auto"/>
              </w:rPr>
              <w:t>(1)</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Members’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51,197,404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15,343,021</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443,396,171</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103,829,586</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PSSL had no unfunded commitments as of September 30, 2018 and 2017.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vMerge w:val="restart"/>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7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May 4, 2017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1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through September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17,744,486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280,080</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18,024,566</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1,365,433</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7,654,035</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Interest expense on notes to members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6,060,468</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585,840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 xml:space="preserve">Other general and administrative expenses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692,736</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15,057,239</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2,967,327</w:t>
            </w:r>
          </w:p>
        </w:tc>
        <w:tc>
          <w:tcPr>
            <w:tcW w:w="10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Realized and unrealized gain on investments and credit facility foreign currency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translations: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right"/>
              <w:ind w:right="1080"/>
              <w:spacing w:after="0"/>
              <w:rPr>
                <w:sz w:val="20"/>
                <w:szCs w:val="20"/>
                <w:color w:val="auto"/>
              </w:rPr>
            </w:pPr>
            <w:r>
              <w:rPr>
                <w:rFonts w:ascii="Arial" w:cs="Arial" w:eastAsia="Arial" w:hAnsi="Arial"/>
                <w:sz w:val="18"/>
                <w:szCs w:val="18"/>
                <w:color w:val="auto"/>
              </w:rPr>
              <w:t>111,215</w:t>
            </w:r>
          </w:p>
        </w:tc>
        <w:tc>
          <w:tcPr>
            <w:tcW w:w="1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2"/>
          </w:tcPr>
          <w:p>
            <w:pPr>
              <w:jc w:val="right"/>
              <w:ind w:right="1020"/>
              <w:spacing w:after="0"/>
              <w:rPr>
                <w:sz w:val="20"/>
                <w:szCs w:val="20"/>
                <w:color w:val="auto"/>
              </w:rPr>
            </w:pPr>
            <w:r>
              <w:rPr>
                <w:rFonts w:ascii="Arial" w:cs="Arial" w:eastAsia="Arial" w:hAnsi="Arial"/>
                <w:sz w:val="18"/>
                <w:szCs w:val="18"/>
                <w:color w:val="auto"/>
              </w:rPr>
              <w:t>(364,201)</w:t>
            </w:r>
          </w:p>
        </w:tc>
        <w:tc>
          <w:tcPr>
            <w:tcW w:w="12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449,505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foreign currency translations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882,899</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(70,836)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6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Net change in unrealized (depreciation) appreciation on investments and</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60" w:type="dxa"/>
            <w:vAlign w:val="bottom"/>
          </w:tcPr>
          <w:p>
            <w:pPr>
              <w:ind w:left="520"/>
              <w:spacing w:after="0"/>
              <w:rPr>
                <w:sz w:val="20"/>
                <w:szCs w:val="20"/>
                <w:color w:val="auto"/>
              </w:rPr>
            </w:pPr>
            <w:r>
              <w:rPr>
                <w:rFonts w:ascii="Arial" w:cs="Arial" w:eastAsia="Arial" w:hAnsi="Arial"/>
                <w:sz w:val="18"/>
                <w:szCs w:val="18"/>
                <w:b w:val="1"/>
                <w:bCs w:val="1"/>
                <w:color w:val="auto"/>
              </w:rPr>
              <w:t>credit facility foreign currency translations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518,698</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378,669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realized and unrealized gain from investments and credit facility foreign</w:t>
            </w: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currency translations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629,913</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479,589</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3,597,240</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1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520" w:right="660" w:hanging="931"/>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520" w:right="920" w:hanging="931"/>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520" w:right="1380" w:hanging="931"/>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no reclassifications during the years ended September 30, 2018 and 2017.</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FASB Accounting Standards Update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7"/>
          <w:szCs w:val="17"/>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 at</w:t>
            </w:r>
          </w:p>
        </w:tc>
        <w:tc>
          <w:tcPr>
            <w:tcW w:w="2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Valuation Technique</w:t>
            </w:r>
          </w:p>
        </w:tc>
        <w:tc>
          <w:tcPr>
            <w:tcW w:w="2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Unobservable Input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2018</w:t>
            </w:r>
          </w:p>
        </w:tc>
        <w:tc>
          <w:tcPr>
            <w:tcW w:w="2140" w:type="dxa"/>
            <w:vAlign w:val="bottom"/>
            <w:gridSpan w:val="2"/>
            <w:vMerge w:val="continue"/>
          </w:tcPr>
          <w:p>
            <w:pPr>
              <w:spacing w:after="0"/>
              <w:rPr>
                <w:sz w:val="14"/>
                <w:szCs w:val="14"/>
                <w:color w:val="auto"/>
              </w:rPr>
            </w:pPr>
          </w:p>
        </w:tc>
        <w:tc>
          <w:tcPr>
            <w:tcW w:w="2500" w:type="dxa"/>
            <w:vAlign w:val="bottom"/>
            <w:gridSpan w:val="2"/>
            <w:vMerge w:val="continue"/>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303,786,401</w:t>
            </w:r>
          </w:p>
        </w:tc>
        <w:tc>
          <w:tcPr>
            <w:tcW w:w="14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Broker/Dealer bids or quotes</w:t>
            </w:r>
          </w:p>
        </w:tc>
        <w:tc>
          <w:tcPr>
            <w:tcW w:w="1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20" w:type="dxa"/>
            <w:vAlign w:val="bottom"/>
          </w:tcPr>
          <w:p>
            <w:pPr>
              <w:spacing w:after="0"/>
              <w:rPr>
                <w:sz w:val="17"/>
                <w:szCs w:val="17"/>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2,543,750</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Broker/Dealer bids or quotes</w:t>
            </w:r>
          </w:p>
        </w:tc>
        <w:tc>
          <w:tcPr>
            <w:tcW w:w="156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609,511,575</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6.6% – 17.5%</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(9.7%)</w:t>
            </w:r>
          </w:p>
        </w:tc>
        <w:tc>
          <w:tcPr>
            <w:tcW w:w="0" w:type="dxa"/>
            <w:vAlign w:val="bottom"/>
          </w:tcPr>
          <w:p>
            <w:pPr>
              <w:spacing w:after="0"/>
              <w:rPr>
                <w:sz w:val="1"/>
                <w:szCs w:val="1"/>
                <w:color w:val="auto"/>
              </w:rPr>
            </w:pPr>
          </w:p>
        </w:tc>
      </w:tr>
      <w:tr>
        <w:trPr>
          <w:trHeight w:val="193"/>
        </w:trPr>
        <w:tc>
          <w:tcPr>
            <w:tcW w:w="35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2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18,690,963</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5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10.7% – 14.1%</w:t>
            </w:r>
          </w:p>
        </w:tc>
        <w:tc>
          <w:tcPr>
            <w:tcW w:w="0" w:type="dxa"/>
            <w:vAlign w:val="bottom"/>
          </w:tcPr>
          <w:p>
            <w:pPr>
              <w:spacing w:after="0"/>
              <w:rPr>
                <w:sz w:val="1"/>
                <w:szCs w:val="1"/>
                <w:color w:val="auto"/>
              </w:rPr>
            </w:pPr>
          </w:p>
        </w:tc>
      </w:tr>
      <w:tr>
        <w:trPr>
          <w:trHeight w:val="206"/>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212"/>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21,282,875</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Enterprise Market Value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EBITDA multiple</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6.2x – 12.0x</w:t>
            </w: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(9.2x)</w:t>
            </w:r>
          </w:p>
        </w:tc>
        <w:tc>
          <w:tcPr>
            <w:tcW w:w="0" w:type="dxa"/>
            <w:vAlign w:val="bottom"/>
          </w:tcPr>
          <w:p>
            <w:pPr>
              <w:spacing w:after="0"/>
              <w:rPr>
                <w:sz w:val="1"/>
                <w:szCs w:val="1"/>
                <w:color w:val="auto"/>
              </w:rPr>
            </w:pPr>
          </w:p>
        </w:tc>
      </w:tr>
      <w:tr>
        <w:trPr>
          <w:trHeight w:val="207"/>
        </w:trPr>
        <w:tc>
          <w:tcPr>
            <w:tcW w:w="3540" w:type="dxa"/>
            <w:vAlign w:val="bottom"/>
            <w:gridSpan w:val="2"/>
          </w:tcPr>
          <w:p>
            <w:pPr>
              <w:ind w:left="180"/>
              <w:spacing w:after="0"/>
              <w:rPr>
                <w:sz w:val="20"/>
                <w:szCs w:val="20"/>
                <w:color w:val="auto"/>
              </w:rPr>
            </w:pPr>
            <w:r>
              <w:rPr>
                <w:rFonts w:ascii="Arial" w:cs="Arial" w:eastAsia="Arial" w:hAnsi="Arial"/>
                <w:sz w:val="16"/>
                <w:szCs w:val="16"/>
                <w:color w:val="auto"/>
              </w:rPr>
              <w:t>Total Level 3 investments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955,815,564</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332,128,815</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Market Comparable</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6"/>
              </w:rPr>
              <w:t>Market Yield</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00" w:type="dxa"/>
            <w:vAlign w:val="bottom"/>
          </w:tcPr>
          <w:p>
            <w:pPr>
              <w:spacing w:after="0"/>
              <w:rPr>
                <w:sz w:val="14"/>
                <w:szCs w:val="14"/>
                <w:color w:val="auto"/>
              </w:rPr>
            </w:pPr>
          </w:p>
        </w:tc>
        <w:tc>
          <w:tcPr>
            <w:tcW w:w="1400" w:type="dxa"/>
            <w:vAlign w:val="bottom"/>
          </w:tcPr>
          <w:p>
            <w:pPr>
              <w:jc w:val="right"/>
              <w:ind w:right="281"/>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2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Unobservable Input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81"/>
              <w:spacing w:after="0"/>
              <w:rPr>
                <w:sz w:val="20"/>
                <w:szCs w:val="20"/>
                <w:color w:val="auto"/>
              </w:rPr>
            </w:pPr>
            <w:r>
              <w:rPr>
                <w:rFonts w:ascii="Arial" w:cs="Arial" w:eastAsia="Arial" w:hAnsi="Arial"/>
                <w:sz w:val="14"/>
                <w:szCs w:val="14"/>
                <w:b w:val="1"/>
                <w:bCs w:val="1"/>
                <w:color w:val="auto"/>
                <w:w w:val="93"/>
              </w:rPr>
              <w:t>September 30, 2017</w:t>
            </w:r>
          </w:p>
        </w:tc>
        <w:tc>
          <w:tcPr>
            <w:tcW w:w="24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54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260,595,796</w:t>
            </w:r>
          </w:p>
        </w:tc>
        <w:tc>
          <w:tcPr>
            <w:tcW w:w="24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Market Comparable</w:t>
            </w:r>
          </w:p>
        </w:tc>
        <w:tc>
          <w:tcPr>
            <w:tcW w:w="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2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2,500,000</w:t>
            </w:r>
          </w:p>
        </w:tc>
        <w:tc>
          <w:tcPr>
            <w:tcW w:w="240" w:type="dxa"/>
            <w:vAlign w:val="bottom"/>
          </w:tcPr>
          <w:p>
            <w:pPr>
              <w:spacing w:after="0"/>
              <w:rPr>
                <w:sz w:val="17"/>
                <w:szCs w:val="17"/>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Broker/Dealer bids or quotes</w:t>
            </w:r>
          </w:p>
        </w:tc>
        <w:tc>
          <w:tcPr>
            <w:tcW w:w="152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349,072,758</w:t>
            </w:r>
          </w:p>
        </w:tc>
        <w:tc>
          <w:tcPr>
            <w:tcW w:w="240" w:type="dxa"/>
            <w:vAlign w:val="bottom"/>
            <w:shd w:val="clear" w:color="auto" w:fill="CCEEFF"/>
          </w:tcPr>
          <w:p>
            <w:pPr>
              <w:spacing w:after="0"/>
              <w:rPr>
                <w:sz w:val="16"/>
                <w:szCs w:val="16"/>
                <w:color w:val="auto"/>
              </w:rPr>
            </w:pPr>
          </w:p>
        </w:tc>
        <w:tc>
          <w:tcPr>
            <w:tcW w:w="2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5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5.8% –20.6%</w:t>
            </w: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(8.6%)</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35,333,394</w:t>
            </w:r>
          </w:p>
        </w:tc>
        <w:tc>
          <w:tcPr>
            <w:tcW w:w="24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540" w:type="dxa"/>
            <w:vAlign w:val="bottom"/>
            <w:gridSpan w:val="2"/>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9.6% –14.0%</w:t>
            </w:r>
          </w:p>
        </w:tc>
        <w:tc>
          <w:tcPr>
            <w:tcW w:w="0" w:type="dxa"/>
            <w:vAlign w:val="bottom"/>
          </w:tcPr>
          <w:p>
            <w:pPr>
              <w:spacing w:after="0"/>
              <w:rPr>
                <w:sz w:val="1"/>
                <w:szCs w:val="1"/>
                <w:color w:val="auto"/>
              </w:rPr>
            </w:pPr>
          </w:p>
        </w:tc>
      </w:tr>
      <w:tr>
        <w:trPr>
          <w:trHeight w:val="206"/>
        </w:trPr>
        <w:tc>
          <w:tcPr>
            <w:tcW w:w="3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(11.7%)</w:t>
            </w:r>
          </w:p>
        </w:tc>
        <w:tc>
          <w:tcPr>
            <w:tcW w:w="0" w:type="dxa"/>
            <w:vAlign w:val="bottom"/>
          </w:tcPr>
          <w:p>
            <w:pPr>
              <w:spacing w:after="0"/>
              <w:rPr>
                <w:sz w:val="1"/>
                <w:szCs w:val="1"/>
                <w:color w:val="auto"/>
              </w:rPr>
            </w:pPr>
          </w:p>
        </w:tc>
      </w:tr>
      <w:tr>
        <w:trPr>
          <w:trHeight w:val="212"/>
        </w:trPr>
        <w:tc>
          <w:tcPr>
            <w:tcW w:w="34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37,532,373</w:t>
            </w:r>
          </w:p>
        </w:tc>
        <w:tc>
          <w:tcPr>
            <w:tcW w:w="2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5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9.8% –16.7%</w:t>
            </w:r>
          </w:p>
        </w:tc>
        <w:tc>
          <w:tcPr>
            <w:tcW w:w="0" w:type="dxa"/>
            <w:vAlign w:val="bottom"/>
          </w:tcPr>
          <w:p>
            <w:pPr>
              <w:spacing w:after="0"/>
              <w:rPr>
                <w:sz w:val="1"/>
                <w:szCs w:val="1"/>
                <w:color w:val="auto"/>
              </w:rPr>
            </w:pPr>
          </w:p>
        </w:tc>
      </w:tr>
      <w:tr>
        <w:trPr>
          <w:trHeight w:val="226"/>
        </w:trPr>
        <w:tc>
          <w:tcPr>
            <w:tcW w:w="3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(10.4%)</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rPr>
                <w:sz w:val="20"/>
                <w:szCs w:val="20"/>
                <w:color w:val="auto"/>
              </w:rPr>
            </w:pPr>
            <w:r>
              <w:rPr>
                <w:rFonts w:ascii="Arial" w:cs="Arial" w:eastAsia="Arial" w:hAnsi="Arial"/>
                <w:sz w:val="16"/>
                <w:szCs w:val="16"/>
                <w:color w:val="auto"/>
              </w:rPr>
              <w:t>Equity</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12,023,298</w:t>
            </w:r>
          </w:p>
        </w:tc>
        <w:tc>
          <w:tcPr>
            <w:tcW w:w="240" w:type="dxa"/>
            <w:vAlign w:val="bottom"/>
          </w:tcPr>
          <w:p>
            <w:pPr>
              <w:spacing w:after="0"/>
              <w:rPr>
                <w:sz w:val="16"/>
                <w:szCs w:val="16"/>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54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EBITDA multiple</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6.5x –9.0x</w:t>
            </w:r>
          </w:p>
        </w:tc>
        <w:tc>
          <w:tcPr>
            <w:tcW w:w="0" w:type="dxa"/>
            <w:vAlign w:val="bottom"/>
          </w:tcPr>
          <w:p>
            <w:pPr>
              <w:spacing w:after="0"/>
              <w:rPr>
                <w:sz w:val="1"/>
                <w:szCs w:val="1"/>
                <w:color w:val="auto"/>
              </w:rPr>
            </w:pPr>
          </w:p>
        </w:tc>
      </w:tr>
      <w:tr>
        <w:trPr>
          <w:trHeight w:val="226"/>
        </w:trPr>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7"/>
              </w:rPr>
              <w:t>(7.8x)</w:t>
            </w:r>
          </w:p>
        </w:tc>
        <w:tc>
          <w:tcPr>
            <w:tcW w:w="0" w:type="dxa"/>
            <w:vAlign w:val="bottom"/>
          </w:tcPr>
          <w:p>
            <w:pPr>
              <w:spacing w:after="0"/>
              <w:rPr>
                <w:sz w:val="1"/>
                <w:szCs w:val="1"/>
                <w:color w:val="auto"/>
              </w:rPr>
            </w:pPr>
          </w:p>
        </w:tc>
      </w:tr>
      <w:tr>
        <w:trPr>
          <w:trHeight w:val="209"/>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Level 3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697,057,619</w:t>
            </w:r>
          </w:p>
        </w:tc>
        <w:tc>
          <w:tcPr>
            <w:tcW w:w="2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0" w:type="dxa"/>
            <w:vAlign w:val="bottom"/>
            <w:gridSpan w:val="2"/>
            <w:vMerge w:val="restart"/>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5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6"/>
              </w:rPr>
              <w:t>Market Yield</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3"/>
              </w:rPr>
              <w:t>3.7%</w:t>
            </w:r>
          </w:p>
        </w:tc>
        <w:tc>
          <w:tcPr>
            <w:tcW w:w="0" w:type="dxa"/>
            <w:vAlign w:val="bottom"/>
          </w:tcPr>
          <w:p>
            <w:pPr>
              <w:spacing w:after="0" w:line="20" w:lineRule="exact"/>
              <w:rPr>
                <w:sz w:val="1"/>
                <w:szCs w:val="1"/>
                <w:color w:val="auto"/>
              </w:rPr>
            </w:pPr>
          </w:p>
        </w:tc>
      </w:tr>
      <w:tr>
        <w:trPr>
          <w:trHeight w:val="194"/>
        </w:trPr>
        <w:tc>
          <w:tcPr>
            <w:tcW w:w="3420" w:type="dxa"/>
            <w:vAlign w:val="bottom"/>
            <w:gridSpan w:val="2"/>
            <w:vMerge w:val="continue"/>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256,858,457</w:t>
            </w:r>
          </w:p>
        </w:tc>
        <w:tc>
          <w:tcPr>
            <w:tcW w:w="24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investments, cash and cash equivalents, Credit Facility and the 2023 Notes were categorized as follows in the fair value hierarchy for ASC 820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Fair Value at September 30, 2018</w:t>
            </w: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5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0"/>
                <w:szCs w:val="10"/>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Measured at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 xml:space="preserve">Asset Value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0"/>
        </w:trPr>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913,297,976</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913,297,976</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80" w:type="dxa"/>
            <w:vAlign w:val="bottom"/>
          </w:tcPr>
          <w:p>
            <w:pPr>
              <w:spacing w:after="0"/>
              <w:rPr>
                <w:sz w:val="17"/>
                <w:szCs w:val="17"/>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21,234,713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21,234,713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8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66,080,604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21,282,875</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520"/>
              <w:spacing w:after="0"/>
              <w:rPr>
                <w:sz w:val="20"/>
                <w:szCs w:val="20"/>
                <w:color w:val="auto"/>
              </w:rPr>
            </w:pPr>
            <w:r>
              <w:rPr>
                <w:rFonts w:ascii="Arial" w:cs="Arial" w:eastAsia="Arial" w:hAnsi="Arial"/>
                <w:sz w:val="16"/>
                <w:szCs w:val="16"/>
                <w:color w:val="auto"/>
                <w:w w:val="94"/>
              </w:rPr>
              <w:t>44,797,729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1,000,613,293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955,815,564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94"/>
              </w:rPr>
              <w:t>44,797,729</w:t>
            </w:r>
          </w:p>
        </w:tc>
        <w:tc>
          <w:tcPr>
            <w:tcW w:w="0" w:type="dxa"/>
            <w:vAlign w:val="bottom"/>
          </w:tcPr>
          <w:p>
            <w:pPr>
              <w:spacing w:after="0"/>
              <w:rPr>
                <w:sz w:val="1"/>
                <w:szCs w:val="1"/>
                <w:color w:val="auto"/>
              </w:rPr>
            </w:pPr>
          </w:p>
        </w:tc>
      </w:tr>
      <w:tr>
        <w:trPr>
          <w:trHeight w:val="217"/>
        </w:trPr>
        <w:tc>
          <w:tcPr>
            <w:tcW w:w="330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72,224,183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72,224,183</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and cash and cash</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equivalents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1,072,837,476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72,224,183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955,815,564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94"/>
              </w:rPr>
              <w:t>44,797,729</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332,128,815</w:t>
            </w:r>
          </w:p>
        </w:tc>
        <w:tc>
          <w:tcPr>
            <w:tcW w:w="2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332,128,815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2023 Notes</w:t>
            </w:r>
          </w:p>
        </w:tc>
        <w:tc>
          <w:tcPr>
            <w:tcW w:w="2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135,503,385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135,503,385</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00" w:type="dxa"/>
            <w:vAlign w:val="bottom"/>
            <w:gridSpan w:val="2"/>
          </w:tcPr>
          <w:p>
            <w:pPr>
              <w:spacing w:after="0"/>
              <w:rPr>
                <w:sz w:val="20"/>
                <w:szCs w:val="20"/>
                <w:color w:val="auto"/>
              </w:rPr>
            </w:pPr>
            <w:r>
              <w:rPr>
                <w:rFonts w:ascii="Arial" w:cs="Arial" w:eastAsia="Arial" w:hAnsi="Arial"/>
                <w:sz w:val="16"/>
                <w:szCs w:val="16"/>
                <w:color w:val="auto"/>
              </w:rPr>
              <w:t>Total debt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467,632,200</w:t>
            </w:r>
          </w:p>
        </w:tc>
        <w:tc>
          <w:tcPr>
            <w:tcW w:w="24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135,503,385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332,128,815</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620" w:hanging="332"/>
        <w:spacing w:after="0" w:line="253" w:lineRule="auto"/>
        <w:tabs>
          <w:tab w:leader="none" w:pos="340" w:val="left"/>
        </w:tabs>
        <w:numPr>
          <w:ilvl w:val="0"/>
          <w:numId w:val="113"/>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4"/>
                <w:szCs w:val="14"/>
                <w:b w:val="1"/>
                <w:bCs w:val="1"/>
                <w:color w:val="auto"/>
              </w:rPr>
              <w:t>Fair Value at September 30, 2017</w:t>
            </w: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92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10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0"/>
                <w:szCs w:val="10"/>
                <w:color w:val="auto"/>
              </w:rPr>
            </w:pPr>
          </w:p>
        </w:tc>
        <w:tc>
          <w:tcPr>
            <w:tcW w:w="124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Measured at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 xml:space="preserve">Asset Value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0"/>
        </w:trPr>
        <w:tc>
          <w:tcPr>
            <w:tcW w:w="3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First lien</w:t>
            </w: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609,668,554</w:t>
            </w: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24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37,833,394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37,833,394</w:t>
            </w:r>
          </w:p>
        </w:tc>
        <w:tc>
          <w:tcPr>
            <w:tcW w:w="120" w:type="dxa"/>
            <w:vAlign w:val="bottom"/>
          </w:tcPr>
          <w:p>
            <w:pPr>
              <w:spacing w:after="0"/>
              <w:rPr>
                <w:sz w:val="17"/>
                <w:szCs w:val="17"/>
                <w:color w:val="auto"/>
              </w:rPr>
            </w:pPr>
          </w:p>
        </w:tc>
        <w:tc>
          <w:tcPr>
            <w:tcW w:w="130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37,532,373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37,532,373</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25,464,461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16,020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12,023,298</w:t>
            </w:r>
          </w:p>
        </w:tc>
        <w:tc>
          <w:tcPr>
            <w:tcW w:w="120" w:type="dxa"/>
            <w:vAlign w:val="bottom"/>
          </w:tcPr>
          <w:p>
            <w:pPr>
              <w:spacing w:after="0"/>
              <w:rPr>
                <w:sz w:val="17"/>
                <w:szCs w:val="17"/>
                <w:color w:val="auto"/>
              </w:rPr>
            </w:pPr>
          </w:p>
        </w:tc>
        <w:tc>
          <w:tcPr>
            <w:tcW w:w="1300" w:type="dxa"/>
            <w:vAlign w:val="bottom"/>
            <w:gridSpan w:val="2"/>
          </w:tcPr>
          <w:p>
            <w:pPr>
              <w:ind w:left="52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710,498,782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697,057,619</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17"/>
        </w:trPr>
        <w:tc>
          <w:tcPr>
            <w:tcW w:w="36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18,910,756</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investments and cash and cash</w:t>
            </w: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equivalents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729,409,538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18,926,776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697,057,619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94"/>
              </w:rPr>
              <w:t>13,425,143</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6"/>
                <w:szCs w:val="16"/>
                <w:color w:val="auto"/>
              </w:rPr>
              <w:t>Long-Term Credit Facility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640" w:type="dxa"/>
            <w:vAlign w:val="bottom"/>
            <w:gridSpan w:val="2"/>
            <w:vMerge w:val="continue"/>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256,858,457</w:t>
            </w:r>
          </w:p>
        </w:tc>
        <w:tc>
          <w:tcPr>
            <w:tcW w:w="24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ind w:left="70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256,858,457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160" w:hanging="332"/>
        <w:spacing w:after="0" w:line="253" w:lineRule="auto"/>
        <w:tabs>
          <w:tab w:leader="none" w:pos="340" w:val="left"/>
        </w:tabs>
        <w:numPr>
          <w:ilvl w:val="0"/>
          <w:numId w:val="114"/>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814"/>
              <w:spacing w:after="0"/>
              <w:rPr>
                <w:sz w:val="20"/>
                <w:szCs w:val="20"/>
                <w:color w:val="auto"/>
              </w:rPr>
            </w:pPr>
            <w:r>
              <w:rPr>
                <w:rFonts w:ascii="Arial" w:cs="Arial" w:eastAsia="Arial" w:hAnsi="Arial"/>
                <w:sz w:val="14"/>
                <w:szCs w:val="14"/>
                <w:b w:val="1"/>
                <w:bCs w:val="1"/>
                <w:color w:val="auto"/>
                <w:w w:val="92"/>
              </w:rPr>
              <w:t>Year Ended September 30, 2018</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First Lien</w:t>
            </w: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609,668,554</w:t>
            </w: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87,389,065</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697,057,619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Net realized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279,771</w:t>
            </w:r>
          </w:p>
        </w:tc>
        <w:tc>
          <w:tcPr>
            <w:tcW w:w="8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(862,383)</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(582,612)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(depreciation) appreciation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(7,094,712)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3,483,965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(3,610,747)</w:t>
            </w:r>
          </w:p>
        </w:tc>
        <w:tc>
          <w:tcPr>
            <w:tcW w:w="0" w:type="dxa"/>
            <w:vAlign w:val="bottom"/>
          </w:tcPr>
          <w:p>
            <w:pPr>
              <w:spacing w:after="0"/>
              <w:rPr>
                <w:sz w:val="1"/>
                <w:szCs w:val="1"/>
                <w:color w:val="auto"/>
              </w:rPr>
            </w:pPr>
          </w:p>
        </w:tc>
      </w:tr>
      <w:tr>
        <w:trPr>
          <w:trHeight w:val="202"/>
        </w:trPr>
        <w:tc>
          <w:tcPr>
            <w:tcW w:w="520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8"/>
              </w:rPr>
              <w:t>Purchases, PIK interest, net discount accretion and non-cash</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540"/>
              <w:spacing w:after="0"/>
              <w:rPr>
                <w:sz w:val="20"/>
                <w:szCs w:val="20"/>
                <w:color w:val="auto"/>
              </w:rPr>
            </w:pPr>
            <w:r>
              <w:rPr>
                <w:rFonts w:ascii="Arial" w:cs="Arial" w:eastAsia="Arial" w:hAnsi="Arial"/>
                <w:sz w:val="18"/>
                <w:szCs w:val="18"/>
                <w:color w:val="auto"/>
              </w:rPr>
              <w:t>exchanges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670,431,163</w:t>
            </w:r>
          </w:p>
        </w:tc>
        <w:tc>
          <w:tcPr>
            <w:tcW w:w="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37,162,713</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707,593,876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(359,986,800)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(84,655,772)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(444,642,572)</w:t>
            </w:r>
          </w:p>
        </w:tc>
        <w:tc>
          <w:tcPr>
            <w:tcW w:w="0" w:type="dxa"/>
            <w:vAlign w:val="bottom"/>
          </w:tcPr>
          <w:p>
            <w:pPr>
              <w:spacing w:after="0"/>
              <w:rPr>
                <w:sz w:val="1"/>
                <w:szCs w:val="1"/>
                <w:color w:val="auto"/>
              </w:rPr>
            </w:pPr>
          </w:p>
        </w:tc>
      </w:tr>
      <w:tr>
        <w:trPr>
          <w:trHeight w:val="223"/>
        </w:trPr>
        <w:tc>
          <w:tcPr>
            <w:tcW w:w="520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913,297,976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42,517,588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955,815,564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w w:val="95"/>
              </w:rPr>
              <w:t>Net change in unrealized (depreciation) appreciation reported within</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the net change in unrealized (depreciation) appreciation 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investments in our Consolidated Statements of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180"/>
              <w:spacing w:after="0"/>
              <w:rPr>
                <w:sz w:val="20"/>
                <w:szCs w:val="20"/>
                <w:color w:val="auto"/>
              </w:rPr>
            </w:pPr>
            <w:r>
              <w:rPr>
                <w:rFonts w:ascii="Arial" w:cs="Arial" w:eastAsia="Arial" w:hAnsi="Arial"/>
                <w:sz w:val="18"/>
                <w:szCs w:val="18"/>
                <w:color w:val="auto"/>
                <w:w w:val="99"/>
              </w:rPr>
              <w:t>attributable to our Level 3 assets still held at the reporting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(5,553,426)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2,435,268</w:t>
            </w:r>
          </w:p>
        </w:tc>
        <w:tc>
          <w:tcPr>
            <w:tcW w:w="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(3,118,158)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80" w:type="dxa"/>
            <w:vAlign w:val="bottom"/>
            <w:vMerge w:val="restart"/>
          </w:tcPr>
          <w:p>
            <w:pPr>
              <w:ind w:left="3900"/>
              <w:spacing w:after="0"/>
              <w:rPr>
                <w:sz w:val="20"/>
                <w:szCs w:val="20"/>
                <w:color w:val="auto"/>
              </w:rPr>
            </w:pPr>
            <w:r>
              <w:rPr>
                <w:rFonts w:ascii="Arial" w:cs="Arial" w:eastAsia="Arial" w:hAnsi="Arial"/>
                <w:sz w:val="18"/>
                <w:szCs w:val="18"/>
                <w:color w:val="auto"/>
              </w:rPr>
              <w:t>F-35</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7"/>
          </w:tcPr>
          <w:p>
            <w:pPr>
              <w:jc w:val="center"/>
              <w:ind w:left="814"/>
              <w:spacing w:after="0"/>
              <w:rPr>
                <w:sz w:val="20"/>
                <w:szCs w:val="20"/>
                <w:color w:val="auto"/>
              </w:rPr>
            </w:pPr>
            <w:r>
              <w:rPr>
                <w:rFonts w:ascii="Arial" w:cs="Arial" w:eastAsia="Arial" w:hAnsi="Arial"/>
                <w:sz w:val="14"/>
                <w:szCs w:val="14"/>
                <w:b w:val="1"/>
                <w:bCs w:val="1"/>
                <w:color w:val="auto"/>
                <w:w w:val="92"/>
              </w:rPr>
              <w:t>Year Ended September 30, 2017</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subordinated</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7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First Lien</w:t>
            </w: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debt and equity</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548,410,095</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47,412,741</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595,822,836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Net 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2,751,432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508,716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3,260,148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appreciation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3,413,386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(178,828)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Purchases, PIK interest, net discount accretion and non-cash</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540"/>
              <w:spacing w:after="0"/>
              <w:rPr>
                <w:sz w:val="20"/>
                <w:szCs w:val="20"/>
                <w:color w:val="auto"/>
              </w:rPr>
            </w:pPr>
            <w:r>
              <w:rPr>
                <w:rFonts w:ascii="Arial" w:cs="Arial" w:eastAsia="Arial" w:hAnsi="Arial"/>
                <w:sz w:val="18"/>
                <w:szCs w:val="18"/>
                <w:color w:val="auto"/>
              </w:rPr>
              <w:t>exchanges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433,620,964</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64,717,862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498,338,826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repayments and non-cash exchanges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0"/>
              </w:rPr>
              <w:t>(378,527,323)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(25,071,426)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(403,598,749)</w:t>
            </w:r>
          </w:p>
        </w:tc>
        <w:tc>
          <w:tcPr>
            <w:tcW w:w="0" w:type="dxa"/>
            <w:vAlign w:val="bottom"/>
          </w:tcPr>
          <w:p>
            <w:pPr>
              <w:spacing w:after="0"/>
              <w:rPr>
                <w:sz w:val="1"/>
                <w:szCs w:val="1"/>
                <w:color w:val="auto"/>
              </w:rPr>
            </w:pPr>
          </w:p>
        </w:tc>
      </w:tr>
      <w:tr>
        <w:trPr>
          <w:trHeight w:val="223"/>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609,668,554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87,389,065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697,057,619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w w:val="95"/>
              </w:rPr>
              <w:t>Net change in unrealized appreciation reported within the net change in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unrealized appreciation (depreciation) on investments in our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Consolidated Statements of Operations attributable to our Level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2,819,530</w:t>
            </w:r>
          </w:p>
        </w:tc>
        <w:tc>
          <w:tcPr>
            <w:tcW w:w="3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621,165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3,440,695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40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4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3"/>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Beginning Balance (cost – $253,783,301 and $232,907,500,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256,858,457</w:t>
            </w:r>
          </w:p>
        </w:tc>
        <w:tc>
          <w:tcPr>
            <w:tcW w:w="3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232,389,498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Net change in unrealized (depreciation) appreciation included in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ind w:left="54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(4,673,861)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3,593,159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246,485,010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309,680,000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ind w:left="360"/>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(166,540,791)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(288,804,200)</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Ending Balance (cost – $333,727,520 and $253,783,301, respectively)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332,128,815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256,858,457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2018,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400" w:type="dxa"/>
            <w:vAlign w:val="bottom"/>
            <w:vMerge w:val="restart"/>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7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Reset Date</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2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Australian Dollar</w:t>
            </w:r>
          </w:p>
        </w:tc>
        <w:tc>
          <w:tcPr>
            <w:tcW w:w="1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9,900,000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7,720,020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7,163,165</w:t>
            </w:r>
          </w:p>
        </w:tc>
        <w:tc>
          <w:tcPr>
            <w:tcW w:w="4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October 1, 2018</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(556,855)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color w:val="auto"/>
              </w:rPr>
              <w:t>Canadian Dollar</w:t>
            </w: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17,500,000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13,538,612</w:t>
            </w:r>
          </w:p>
        </w:tc>
        <w:tc>
          <w:tcPr>
            <w:tcW w:w="400" w:type="dxa"/>
            <w:vAlign w:val="bottom"/>
          </w:tcPr>
          <w:p>
            <w:pPr>
              <w:spacing w:after="0"/>
              <w:rPr>
                <w:sz w:val="19"/>
                <w:szCs w:val="19"/>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October 1, 2018</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20,127,520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20,701,777</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ind w:left="60"/>
              <w:spacing w:after="0"/>
              <w:rPr>
                <w:sz w:val="20"/>
                <w:szCs w:val="20"/>
                <w:color w:val="auto"/>
              </w:rPr>
            </w:pPr>
            <w:r>
              <w:rPr>
                <w:rFonts w:ascii="Arial" w:cs="Arial" w:eastAsia="Arial" w:hAnsi="Arial"/>
                <w:sz w:val="18"/>
                <w:szCs w:val="18"/>
                <w:color w:val="auto"/>
              </w:rPr>
              <w:t>F-36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of September 30, 2017, we had outstanding non-U.S. dollar borrowings on our Credit Facility. Net change in fair value from foreign currency translation on outstanding borrowings is listed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5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Amount Borrowed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Borrowing Cost</w:t>
            </w:r>
          </w:p>
        </w:tc>
        <w:tc>
          <w:tcPr>
            <w:tcW w:w="200" w:type="dxa"/>
            <w:vAlign w:val="bottom"/>
          </w:tcPr>
          <w:p>
            <w:pPr>
              <w:spacing w:after="0"/>
              <w:rPr>
                <w:sz w:val="14"/>
                <w:szCs w:val="14"/>
                <w:color w:val="auto"/>
              </w:rPr>
            </w:pP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 Value</w:t>
            </w:r>
          </w:p>
        </w:tc>
        <w:tc>
          <w:tcPr>
            <w:tcW w:w="16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Reset Date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82"/>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Currency</w:t>
            </w:r>
          </w:p>
        </w:tc>
        <w:tc>
          <w:tcPr>
            <w:tcW w:w="1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3"/>
        </w:trPr>
        <w:tc>
          <w:tcPr>
            <w:tcW w:w="2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Canadian Dollar</w:t>
            </w: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6"/>
              </w:rPr>
              <w:t>C$</w:t>
            </w:r>
          </w:p>
        </w:tc>
        <w:tc>
          <w:tcPr>
            <w:tcW w:w="1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17,500,000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w w:val="86"/>
              </w:rPr>
              <w:t>12,407,501</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13,992,720</w:t>
            </w:r>
          </w:p>
        </w:tc>
        <w:tc>
          <w:tcPr>
            <w:tcW w:w="3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88"/>
              </w:rPr>
              <w:t>October 2, 2017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1,585,219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Euro</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12,200,000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500"/>
              <w:spacing w:after="0"/>
              <w:rPr>
                <w:sz w:val="20"/>
                <w:szCs w:val="20"/>
                <w:color w:val="auto"/>
              </w:rPr>
            </w:pPr>
            <w:r>
              <w:rPr>
                <w:rFonts w:ascii="Arial" w:cs="Arial" w:eastAsia="Arial" w:hAnsi="Arial"/>
                <w:sz w:val="18"/>
                <w:szCs w:val="18"/>
                <w:color w:val="auto"/>
              </w:rPr>
              <w:t>12,675,800</w:t>
            </w:r>
          </w:p>
        </w:tc>
        <w:tc>
          <w:tcPr>
            <w:tcW w:w="2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14,422,852</w:t>
            </w:r>
          </w:p>
        </w:tc>
        <w:tc>
          <w:tcPr>
            <w:tcW w:w="1640" w:type="dxa"/>
            <w:vAlign w:val="bottom"/>
            <w:gridSpan w:val="2"/>
          </w:tcPr>
          <w:p>
            <w:pPr>
              <w:ind w:left="280"/>
              <w:spacing w:after="0"/>
              <w:rPr>
                <w:sz w:val="20"/>
                <w:szCs w:val="20"/>
                <w:color w:val="auto"/>
              </w:rPr>
            </w:pPr>
            <w:r>
              <w:rPr>
                <w:rFonts w:ascii="Arial" w:cs="Arial" w:eastAsia="Arial" w:hAnsi="Arial"/>
                <w:sz w:val="18"/>
                <w:szCs w:val="18"/>
                <w:color w:val="auto"/>
              </w:rPr>
              <w:t>October 2, 2017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25,083,301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28,415,572</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The carrying value of our consolidated financial liabilities approximates fair value. We have adopted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$10.9 million, $0.1 million and $0.9 million relating to amendment costs on the Credit Facility and debt issuance costs on the 2023 Notes during the years ended September 30, 2018, 2017 and 2016,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years ended September 30, 2018, 2017 and 2016, our Credit Facility and the 2023 Notes had a net change in unrealized depreciation (appreciation) of $7.8 million, $(3.6) million and $0.5 million, respectively. As of September 30, 2018 and 2017, the net unrealized depreciation (appreciation) on our Credit Facility and the 2023 Notes totaled $4.7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2018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Purchases of /</w:t>
            </w:r>
          </w:p>
        </w:tc>
        <w:tc>
          <w:tcPr>
            <w:tcW w:w="8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Sale of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Dividend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Net 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Fair Value at</w:t>
            </w: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4"/>
        </w:trPr>
        <w:tc>
          <w:tcPr>
            <w:tcW w:w="262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8"/>
              </w:rPr>
              <w:t>Advances to</w:t>
            </w:r>
          </w:p>
        </w:tc>
        <w:tc>
          <w:tcPr>
            <w:tcW w:w="80" w:type="dxa"/>
            <w:vAlign w:val="bottom"/>
          </w:tcPr>
          <w:p>
            <w:pPr>
              <w:spacing w:after="0"/>
              <w:rPr>
                <w:sz w:val="12"/>
                <w:szCs w:val="12"/>
                <w:color w:val="auto"/>
              </w:rPr>
            </w:pPr>
          </w:p>
        </w:tc>
        <w:tc>
          <w:tcPr>
            <w:tcW w:w="880" w:type="dxa"/>
            <w:vAlign w:val="bottom"/>
          </w:tcPr>
          <w:p>
            <w:pPr>
              <w:jc w:val="center"/>
              <w:ind w:right="8"/>
              <w:spacing w:after="0" w:line="145" w:lineRule="exact"/>
              <w:rPr>
                <w:sz w:val="20"/>
                <w:szCs w:val="20"/>
                <w:color w:val="auto"/>
              </w:rPr>
            </w:pPr>
            <w:r>
              <w:rPr>
                <w:rFonts w:ascii="Arial" w:cs="Arial" w:eastAsia="Arial" w:hAnsi="Arial"/>
                <w:sz w:val="14"/>
                <w:szCs w:val="14"/>
                <w:b w:val="1"/>
                <w:bCs w:val="1"/>
                <w:color w:val="auto"/>
                <w:w w:val="92"/>
              </w:rPr>
              <w:t>Distributions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6"/>
              </w:rPr>
              <w:t>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62"/>
        </w:trPr>
        <w:tc>
          <w:tcPr>
            <w:tcW w:w="262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Affiliates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from Affiliates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Appreciation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Controlled Affiliates</w:t>
            </w: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gridSpan w:val="2"/>
          </w:tcPr>
          <w:p>
            <w:pPr>
              <w:spacing w:after="0" w:line="130" w:lineRule="exact"/>
              <w:rPr>
                <w:sz w:val="20"/>
                <w:szCs w:val="20"/>
                <w:color w:val="auto"/>
              </w:rPr>
            </w:pPr>
            <w:r>
              <w:rPr>
                <w:rFonts w:ascii="Arial" w:cs="Arial" w:eastAsia="Arial" w:hAnsi="Arial"/>
                <w:sz w:val="14"/>
                <w:szCs w:val="14"/>
                <w:color w:val="auto"/>
              </w:rPr>
              <w:t>PennantPark Senior Secured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gridSpan w:val="2"/>
          </w:tcPr>
          <w:p>
            <w:pPr>
              <w:ind w:left="280"/>
              <w:spacing w:after="0"/>
              <w:rPr>
                <w:sz w:val="20"/>
                <w:szCs w:val="20"/>
                <w:color w:val="auto"/>
              </w:rPr>
            </w:pPr>
            <w:r>
              <w:rPr>
                <w:rFonts w:ascii="Arial" w:cs="Arial" w:eastAsia="Arial" w:hAnsi="Arial"/>
                <w:sz w:val="14"/>
                <w:szCs w:val="14"/>
                <w:color w:val="auto"/>
              </w:rPr>
              <w:t>Loan Fund I LLC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43,525,143</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101,375,000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ind w:left="6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5,302,909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2,187,500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960,086</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145,860,229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Controlled Affiliates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43,525,143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101,375,000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5,302,909</w:t>
            </w:r>
          </w:p>
        </w:tc>
        <w:tc>
          <w:tcPr>
            <w:tcW w:w="2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2,187,500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960,086</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145,860,229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line="234" w:lineRule="auto"/>
        <w:tabs>
          <w:tab w:leader="none" w:pos="3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Years Ended September 30,</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33,490,222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36,325,280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38,299,077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30,274,595</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26,730,074</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per share resulting from operations</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0.87</w:t>
            </w:r>
          </w:p>
        </w:tc>
        <w:tc>
          <w:tcPr>
            <w:tcW w:w="5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As of September 30, 2018 and 2017, the cost of investments for federal income tax purposes was $1,003.6 million and $710.9 million, respectively, resulting in a gross unrealized appreciation of $14.4 million and $8.7 million, respectively, and depreciation of $17.5 million and $9.1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11"/>
          </w:tcPr>
          <w:p>
            <w:pPr>
              <w:jc w:val="right"/>
              <w:ind w:right="920"/>
              <w:spacing w:after="0"/>
              <w:rPr>
                <w:sz w:val="20"/>
                <w:szCs w:val="20"/>
                <w:color w:val="auto"/>
              </w:rPr>
            </w:pPr>
            <w:r>
              <w:rPr>
                <w:rFonts w:ascii="Arial" w:cs="Arial" w:eastAsia="Arial" w:hAnsi="Arial"/>
                <w:sz w:val="14"/>
                <w:szCs w:val="14"/>
                <w:b w:val="1"/>
                <w:bCs w:val="1"/>
                <w:color w:val="auto"/>
                <w:w w:val="91"/>
              </w:rPr>
              <w:t>Years Ended September 30,</w:t>
            </w:r>
          </w:p>
        </w:tc>
      </w:tr>
      <w:tr>
        <w:trPr>
          <w:trHeight w:val="142"/>
        </w:trPr>
        <w:tc>
          <w:tcPr>
            <w:tcW w:w="7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$(256,194)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$(308,435)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(Decrease) increase in accumulated net realized gain</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88"/>
              </w:rPr>
              <w:t>(106,509)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255,274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5"/>
              </w:rPr>
              <w:t>106,509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920</w:t>
            </w: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308,435</w:t>
            </w:r>
          </w:p>
        </w:tc>
      </w:tr>
      <w:tr>
        <w:trPr>
          <w:trHeight w:val="432"/>
        </w:trPr>
        <w:tc>
          <w:tcPr>
            <w:tcW w:w="7520" w:type="dxa"/>
            <w:vAlign w:val="bottom"/>
          </w:tcPr>
          <w:p>
            <w:pPr>
              <w:ind w:left="460"/>
              <w:spacing w:after="0"/>
              <w:rPr>
                <w:sz w:val="20"/>
                <w:szCs w:val="20"/>
                <w:color w:val="auto"/>
              </w:rPr>
            </w:pPr>
            <w:r>
              <w:rPr>
                <w:rFonts w:ascii="Arial" w:cs="Arial" w:eastAsia="Arial" w:hAnsi="Arial"/>
                <w:sz w:val="18"/>
                <w:szCs w:val="18"/>
                <w:color w:val="auto"/>
                <w:w w:val="93"/>
              </w:rPr>
              <w:t>The following reconciles net increase in net assets resulting from operations to taxable income:</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33,490,222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36,325,280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33,488,663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2,327,118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(5,410,903)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1,376,788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 and debt</w:t>
            </w:r>
          </w:p>
        </w:tc>
        <w:tc>
          <w:tcPr>
            <w:tcW w:w="14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88"/>
              <w:spacing w:after="0"/>
              <w:rPr>
                <w:sz w:val="20"/>
                <w:szCs w:val="20"/>
                <w:color w:val="auto"/>
              </w:rPr>
            </w:pPr>
            <w:r>
              <w:rPr>
                <w:rFonts w:ascii="Arial" w:cs="Arial" w:eastAsia="Arial" w:hAnsi="Arial"/>
                <w:sz w:val="18"/>
                <w:szCs w:val="18"/>
                <w:color w:val="auto"/>
                <w:w w:val="97"/>
              </w:rPr>
              <w:t>(4,853,251)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2,530,986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9"/>
              </w:rPr>
              <w:t>(7,529,291)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8,448,942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956,942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642,719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804,113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Taxable income before dividends paid deduction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40,217,144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34,702,305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27,978,879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undistributed taxable income on a tax basis and reconciliation to accumulated surplus on a book basis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As of September 30,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12,020,827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13,882,332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10,097,684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8"/>
              </w:rPr>
              <w:t>(Realized loss carried forward)/Undistributed long-term capital gain</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93"/>
              </w:rPr>
              <w:t>(2,381,225)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808,615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(1,121,514)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33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(17,124,281)</w:t>
            </w:r>
          </w:p>
        </w:tc>
        <w:tc>
          <w:tcPr>
            <w:tcW w:w="2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3"/>
              </w:rPr>
              <w:t>(7,237,913)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(5,793,312)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8"/>
              </w:rPr>
              <w:t>Net unrealized appreciation (depreciation) of investments and debt</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3,825,139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w w:val="93"/>
              </w:rPr>
              <w:t>(1,028,112)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1,502,874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(3,659,540)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6,424,922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4,685,732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40"/>
              <w:spacing w:after="0"/>
              <w:rPr>
                <w:sz w:val="20"/>
                <w:szCs w:val="20"/>
                <w:color w:val="auto"/>
              </w:rPr>
            </w:pPr>
            <w:r>
              <w:rPr>
                <w:rFonts w:ascii="Arial" w:cs="Arial" w:eastAsia="Arial" w:hAnsi="Arial"/>
                <w:sz w:val="18"/>
                <w:szCs w:val="18"/>
                <w:color w:val="auto"/>
                <w:w w:val="96"/>
              </w:rPr>
              <w:t>The tax characteristics of distributions declared are as follows:</w:t>
            </w: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1"/>
              </w:rPr>
              <w:t>Years Ended September 30,</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 if any)</w:t>
            </w:r>
          </w:p>
        </w:tc>
        <w:tc>
          <w:tcPr>
            <w:tcW w:w="2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42,766,069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$ 34,842,284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30,472,284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Long-term capital gain</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808,615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2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43,574,684</w:t>
            </w:r>
          </w:p>
        </w:tc>
        <w:tc>
          <w:tcPr>
            <w:tcW w:w="162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$ 34,842,284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30,472,284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23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238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500" w:type="dxa"/>
            <w:vAlign w:val="bottom"/>
            <w:gridSpan w:val="3"/>
          </w:tcPr>
          <w:p>
            <w:pPr>
              <w:jc w:val="right"/>
              <w:ind w:right="1805"/>
              <w:spacing w:after="0"/>
              <w:rPr>
                <w:sz w:val="20"/>
                <w:szCs w:val="20"/>
                <w:color w:val="auto"/>
              </w:rPr>
            </w:pPr>
            <w:r>
              <w:rPr>
                <w:rFonts w:ascii="Arial" w:cs="Arial" w:eastAsia="Arial" w:hAnsi="Arial"/>
                <w:sz w:val="18"/>
                <w:szCs w:val="18"/>
                <w:color w:val="auto"/>
              </w:rPr>
              <w:t>F-39</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0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AND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2018 and 2017, cash and cash equivalents consisted of money market funds in the amounts of $72.2 million and $18.9 million at fair value, respectively.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59" w:right="2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2018</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2016</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2015</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Per Share Data:</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asset value, beginning of year</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14.10</w:t>
            </w:r>
          </w:p>
        </w:tc>
        <w:tc>
          <w:tcPr>
            <w:tcW w:w="3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14.06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13.95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14.40</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 xml:space="preserve">Net change in realized and unrealized gain (loss) </w:t>
            </w:r>
            <w:r>
              <w:rPr>
                <w:rFonts w:ascii="Arial" w:cs="Arial" w:eastAsia="Arial" w:hAnsi="Arial"/>
                <w:sz w:val="23"/>
                <w:szCs w:val="23"/>
                <w:color w:val="auto"/>
                <w:vertAlign w:val="superscript"/>
              </w:rPr>
              <w:t>(1)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0.06</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(0.31)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23"/>
                <w:szCs w:val="23"/>
                <w:color w:val="auto"/>
                <w:vertAlign w:val="superscript"/>
              </w:rPr>
              <w:t>(1), (2)</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Distribution of net investment income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160"/>
              <w:spacing w:after="0"/>
              <w:rPr>
                <w:sz w:val="20"/>
                <w:szCs w:val="20"/>
                <w:color w:val="auto"/>
              </w:rPr>
            </w:pPr>
            <w:r>
              <w:rPr>
                <w:rFonts w:ascii="Arial" w:cs="Arial" w:eastAsia="Arial" w:hAnsi="Arial"/>
                <w:sz w:val="16"/>
                <w:szCs w:val="16"/>
                <w:color w:val="auto"/>
              </w:rPr>
              <w:t>Distribution of realized gains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(0.01)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distributions to stockholders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(Dilutive) effect of common stock issuance and acquisition of</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60"/>
              <w:spacing w:after="0" w:line="216" w:lineRule="exact"/>
              <w:rPr>
                <w:sz w:val="20"/>
                <w:szCs w:val="20"/>
                <w:color w:val="auto"/>
              </w:rPr>
            </w:pPr>
            <w:r>
              <w:rPr>
                <w:rFonts w:ascii="Arial" w:cs="Arial" w:eastAsia="Arial" w:hAnsi="Arial"/>
                <w:sz w:val="15"/>
                <w:szCs w:val="15"/>
                <w:color w:val="auto"/>
              </w:rPr>
              <w:t xml:space="preserve">MCG </w:t>
            </w:r>
            <w:r>
              <w:rPr>
                <w:rFonts w:ascii="Arial" w:cs="Arial" w:eastAsia="Arial" w:hAnsi="Arial"/>
                <w:sz w:val="25"/>
                <w:szCs w:val="25"/>
                <w:color w:val="auto"/>
                <w:vertAlign w:val="superscript"/>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(0.06)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end of year</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3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6"/>
                <w:szCs w:val="16"/>
                <w:color w:val="auto"/>
              </w:rPr>
              <w:t>Per share market value, end of year</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80" w:type="dxa"/>
            <w:vAlign w:val="bottom"/>
            <w:gridSpan w:val="2"/>
            <w:vMerge w:val="continue"/>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13.15</w:t>
            </w:r>
          </w:p>
        </w:tc>
        <w:tc>
          <w:tcPr>
            <w:tcW w:w="38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14.48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13.23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11.94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360" w:type="dxa"/>
            <w:vAlign w:val="bottom"/>
            <w:shd w:val="clear" w:color="auto" w:fill="CCEEFF"/>
          </w:tcPr>
          <w:p>
            <w:pPr>
              <w:spacing w:after="0" w:line="200"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18.71%</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21.77%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Shares outstanding at end of year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7"/>
              </w:rPr>
              <w:t>38,772,074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w w:val="99"/>
              </w:rPr>
              <w:t>32,480,074</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26,730,074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26,730,074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97"/>
              </w:rPr>
              <w:t>14,898,056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Ratios / Supplemental Data:</w:t>
            </w: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23"/>
                <w:szCs w:val="23"/>
                <w:color w:val="auto"/>
                <w:vertAlign w:val="superscript"/>
              </w:rPr>
              <w:t>(4)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4.13%</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Ratio of debt related expenses to average net assets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1.98%</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6"/>
                <w:szCs w:val="16"/>
                <w:color w:val="auto"/>
              </w:rPr>
              <w:t>Ratio of total expenses to average net assets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7.74%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6.11%</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5.14%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Ratio of net investment income to average net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assets at end of year</w:t>
            </w:r>
          </w:p>
        </w:tc>
        <w:tc>
          <w:tcPr>
            <w:tcW w:w="4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87"/>
              </w:rPr>
              <w:t>535,841,568</w:t>
            </w:r>
          </w:p>
        </w:tc>
        <w:tc>
          <w:tcPr>
            <w:tcW w:w="3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w w:val="89"/>
              </w:rPr>
              <w:t>457,906,274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w w:val="89"/>
              </w:rPr>
              <w:t>375,906,828</w:t>
            </w: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372,890,449</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w w:val="87"/>
              </w:rPr>
              <w:t>214,527,710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debt outstanding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354,321,752</w:t>
            </w:r>
          </w:p>
        </w:tc>
        <w:tc>
          <w:tcPr>
            <w:tcW w:w="3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269,319,832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89"/>
              </w:rPr>
              <w:t>140,218,095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123,924,384</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7"/>
              </w:rPr>
              <w:t>147,599,452</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line="230" w:lineRule="exact"/>
              <w:rPr>
                <w:sz w:val="20"/>
                <w:szCs w:val="20"/>
                <w:color w:val="auto"/>
              </w:rPr>
            </w:pPr>
            <w:r>
              <w:rPr>
                <w:rFonts w:ascii="Arial" w:cs="Arial" w:eastAsia="Arial" w:hAnsi="Arial"/>
                <w:sz w:val="16"/>
                <w:szCs w:val="16"/>
                <w:color w:val="auto"/>
              </w:rPr>
              <w:t xml:space="preserve">Weighted average debt per share </w:t>
            </w:r>
            <w:r>
              <w:rPr>
                <w:rFonts w:ascii="Arial" w:cs="Arial" w:eastAsia="Arial" w:hAnsi="Arial"/>
                <w:sz w:val="26"/>
                <w:szCs w:val="26"/>
                <w:color w:val="auto"/>
                <w:vertAlign w:val="superscript"/>
              </w:rPr>
              <w:t>(1)</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gridSpan w:val="2"/>
            <w:vMerge w:val="continue"/>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9.25</w:t>
            </w:r>
          </w:p>
        </w:tc>
        <w:tc>
          <w:tcPr>
            <w:tcW w:w="3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6"/>
                <w:szCs w:val="16"/>
                <w:color w:val="auto"/>
              </w:rPr>
              <w:t>8.90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5.25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7.61</w:t>
            </w:r>
          </w:p>
        </w:tc>
        <w:tc>
          <w:tcPr>
            <w:tcW w:w="3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23"/>
                <w:szCs w:val="23"/>
                <w:color w:val="auto"/>
                <w:vertAlign w:val="superscript"/>
              </w:rPr>
              <w:t>(5)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3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2,783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13,598</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Portfolio turnover ratio</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47.15%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59.70%</w:t>
            </w:r>
          </w:p>
        </w:tc>
        <w:tc>
          <w:tcPr>
            <w:tcW w:w="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32.16%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51.02%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62.74%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40" w:right="20" w:hanging="332"/>
        <w:spacing w:after="0" w:line="221"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right="620" w:hanging="332"/>
        <w:spacing w:after="0" w:line="221"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40" w:hanging="332"/>
        <w:spacing w:after="0" w:line="221"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40" w:right="280" w:hanging="332"/>
        <w:spacing w:after="0" w:line="271" w:lineRule="auto"/>
        <w:tabs>
          <w:tab w:leader="none" w:pos="340" w:val="left"/>
        </w:tabs>
        <w:numPr>
          <w:ilvl w:val="0"/>
          <w:numId w:val="116"/>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annualized weighted average cost of debt for the years ended September 30, 2018, 2017 and 2016, inclusive of the fee on the undrawn commitment of 0.375% on the Credit Facility, amendment costs and debt issuance costs, was 7.12%, 3.14% and 4.16%, respectively. As of September 30, 2018, in accordance with the 1940 Act, with certain limited exceptions, we are only allowed to borrow amounts such that we are in compliance with a 200% asset coverage ratio requirement after such borrowing.</w:t>
      </w:r>
    </w:p>
    <w:p>
      <w:pPr>
        <w:spacing w:after="0" w:line="18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requirements applicable to us for senior securities will be reduced from 200% to 150%, effective as of April 5, 2019, subject to compliance with certain disclosure requirements. As of September 30, 2018 and 2017, our asset coverage ratio, as computed in accordance with the 1940 Act, was 215% and 278%,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Funding I’s multi-currency Credit Facility with the Lenders was $405 million as of September 30, 2018, subject to satisfaction of certain conditions and the regulatory restrictions that the 1940 Act imposes on us as a BDC, has an interest rate spread above LIBOR of 200 basis points, a maturity date of November 2022 and a revolving period that ends in November 2020. As of September 30, 2018 and 2017, Funding I had $333.7 million and $253.8 million of outstanding borrowings under the Credit Facility, respectively. The Credit Facility had a weighted average interest rate of 4.25% and 3.18%, exclusive of the fee on undrawn commitments as of September 30, 2018 and 2017, respectively.</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2018, we were in compliance with the covenants relating to our Credit Facility.</w:t>
      </w:r>
    </w:p>
    <w:p>
      <w:pPr>
        <w:spacing w:after="0" w:line="15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Our Investment Adviser serves as collateral manager to Funding I under the Credit Facility.</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Notes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In November 2017, we issued $138.6 million of our 2023 Notes. The 2023 Notes were issued pursuant to a deed of trust between the Company and Mishmeret Trust Company, Ltd. as trustee.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right="320" w:firstLine="456"/>
        <w:spacing w:after="0" w:line="276" w:lineRule="auto"/>
        <w:rPr>
          <w:sz w:val="20"/>
          <w:szCs w:val="20"/>
          <w:color w:val="auto"/>
        </w:rPr>
      </w:pPr>
      <w:r>
        <w:rPr>
          <w:rFonts w:ascii="Arial" w:cs="Arial" w:eastAsia="Arial" w:hAnsi="Arial"/>
          <w:sz w:val="17"/>
          <w:szCs w:val="17"/>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September 30, 2018 and 2017, we had $79.4 million and $30.6 million, respectively, in commitments to fund investments. Additionally, as described in Note 4, the Company had unfunded commitments of up to $39.4 million and $44.6 million to PSSL as of September 30, 2018 and 2017, respectively, that may be contributed primarily for the purpose of funding new investments approved by the PSSL board of directors or investment committee.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Subsequent to September 30, 2018, we entered into an amendment and restatement of our Credit Facility to, among other things, (i) increase the size of the Credit Facility from $405 million to $520 million, (ii) extend the reinvestment period to October 30, 2021, (iii) extend the maturity date to October 30, 2023 and (iv) reduce the asset coverage ratio covenant from 200% to 150%. The interest rate of LIBOR plus 200 basis points remains unchanged.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60" w:hanging="587"/>
        <w:spacing w:after="0"/>
        <w:tabs>
          <w:tab w:leader="none" w:pos="7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225" w:lineRule="exact"/>
        <w:rPr>
          <w:sz w:val="20"/>
          <w:szCs w:val="20"/>
          <w:color w:val="auto"/>
        </w:rPr>
      </w:pPr>
    </w:p>
    <w:p>
      <w:pPr>
        <w:ind w:left="760" w:hanging="587"/>
        <w:spacing w:after="0"/>
        <w:tabs>
          <w:tab w:leader="none" w:pos="7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760" w:right="240" w:hanging="640"/>
        <w:spacing w:after="0" w:line="268" w:lineRule="auto"/>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Articles of Amendment and Restatement of the Registrant (Incorporated by reference to Exhibit 99(A) to the Registrant’s Pre-Effective Amendment No. 3 to the Registration Statement on Form N-2 (File No. 333-170243), filed on March 29, 2011).</w:t>
      </w:r>
    </w:p>
    <w:p>
      <w:pPr>
        <w:spacing w:after="0" w:line="145" w:lineRule="exact"/>
        <w:rPr>
          <w:rFonts w:ascii="Arial" w:cs="Arial" w:eastAsia="Arial" w:hAnsi="Arial"/>
          <w:sz w:val="18"/>
          <w:szCs w:val="18"/>
          <w:color w:val="auto"/>
        </w:rPr>
      </w:pPr>
    </w:p>
    <w:p>
      <w:pPr>
        <w:ind w:left="760" w:right="260" w:hanging="645"/>
        <w:spacing w:after="0" w:line="268" w:lineRule="auto"/>
        <w:tabs>
          <w:tab w:leader="none" w:pos="7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814-00891), filed on December 2, 2015).</w:t>
      </w:r>
    </w:p>
    <w:p>
      <w:pPr>
        <w:spacing w:after="0" w:line="145" w:lineRule="exact"/>
        <w:rPr>
          <w:sz w:val="20"/>
          <w:szCs w:val="20"/>
          <w:color w:val="auto"/>
        </w:rPr>
      </w:pPr>
    </w:p>
    <w:p>
      <w:pPr>
        <w:ind w:left="760" w:hanging="739"/>
        <w:spacing w:after="0" w:line="268" w:lineRule="auto"/>
        <w:tabs>
          <w:tab w:leader="none" w:pos="74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Share Certificate (Incorporated by reference to Exhibit 99(D) to the Registrant’s Pre-Effective Amendment No. 5 to the Registration Statement on Form N-2 (File No. 333-170243), filed on April 5, 2011).</w:t>
      </w:r>
    </w:p>
    <w:p>
      <w:pPr>
        <w:spacing w:after="0" w:line="145" w:lineRule="exact"/>
        <w:rPr>
          <w:sz w:val="20"/>
          <w:szCs w:val="20"/>
          <w:color w:val="auto"/>
        </w:rPr>
      </w:pPr>
    </w:p>
    <w:p>
      <w:pPr>
        <w:ind w:left="760" w:right="60" w:hanging="739"/>
        <w:spacing w:after="0" w:line="268" w:lineRule="auto"/>
        <w:tabs>
          <w:tab w:leader="none" w:pos="74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Subscription Certificate (Incorporated by reference to Exhibit 99(D)(2) to the Registrant’s Registration Statement on Form N-2 (File No. 333-180084), filed on March 14, 2012).</w:t>
      </w:r>
    </w:p>
    <w:p>
      <w:pPr>
        <w:spacing w:after="0" w:line="145" w:lineRule="exact"/>
        <w:rPr>
          <w:sz w:val="20"/>
          <w:szCs w:val="20"/>
          <w:color w:val="auto"/>
        </w:rPr>
      </w:pPr>
    </w:p>
    <w:p>
      <w:pPr>
        <w:ind w:left="760" w:right="60" w:hanging="739"/>
        <w:spacing w:after="0" w:line="268" w:lineRule="auto"/>
        <w:tabs>
          <w:tab w:leader="none" w:pos="74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Form of Indenture (Incorporated by reference to Exhibit 99(D)(3) to the Registrant’s Registration Statement on Form N-2 (File No. 333-180084), filed on March 14, 2012).</w:t>
      </w:r>
    </w:p>
    <w:p>
      <w:pPr>
        <w:spacing w:after="0" w:line="145" w:lineRule="exact"/>
        <w:rPr>
          <w:sz w:val="20"/>
          <w:szCs w:val="20"/>
          <w:color w:val="auto"/>
        </w:rPr>
      </w:pPr>
    </w:p>
    <w:p>
      <w:pPr>
        <w:ind w:left="760" w:right="220" w:hanging="739"/>
        <w:spacing w:after="0" w:line="268" w:lineRule="auto"/>
        <w:tabs>
          <w:tab w:leader="none" w:pos="74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Subscription Agent Agreement (Incorporated by reference to Exhibit 99(D)(4) to the Registrant’s Registration Statement on Form N-2 (File No. 333-180084), filed on March 14, 2012).</w:t>
      </w:r>
    </w:p>
    <w:p>
      <w:pPr>
        <w:spacing w:after="0" w:line="145" w:lineRule="exact"/>
        <w:rPr>
          <w:sz w:val="20"/>
          <w:szCs w:val="20"/>
          <w:color w:val="auto"/>
        </w:rPr>
      </w:pPr>
    </w:p>
    <w:p>
      <w:pPr>
        <w:ind w:left="760" w:right="360" w:hanging="739"/>
        <w:spacing w:after="0" w:line="268" w:lineRule="auto"/>
        <w:tabs>
          <w:tab w:leader="none" w:pos="740" w:val="left"/>
        </w:tabs>
        <w:rPr>
          <w:sz w:val="20"/>
          <w:szCs w:val="20"/>
          <w:color w:val="auto"/>
        </w:rPr>
      </w:pPr>
      <w:r>
        <w:rPr>
          <w:rFonts w:ascii="Arial" w:cs="Arial" w:eastAsia="Arial" w:hAnsi="Arial"/>
          <w:sz w:val="18"/>
          <w:szCs w:val="18"/>
          <w:color w:val="auto"/>
        </w:rPr>
        <w:t>(d)(5)</w:t>
      </w:r>
      <w:r>
        <w:rPr>
          <w:sz w:val="20"/>
          <w:szCs w:val="20"/>
          <w:color w:val="auto"/>
        </w:rPr>
        <w:tab/>
      </w:r>
      <w:r>
        <w:rPr>
          <w:rFonts w:ascii="Arial" w:cs="Arial" w:eastAsia="Arial" w:hAnsi="Arial"/>
          <w:sz w:val="18"/>
          <w:szCs w:val="18"/>
          <w:color w:val="auto"/>
        </w:rPr>
        <w:t>Form of Warrant Agreement (Incorporated by reference to Exhibit 99(D)(5) to the Registrant’s Registration Statement on Form N-2 (File No. 333-180084), filed on March 14, 2012).</w:t>
      </w:r>
    </w:p>
    <w:p>
      <w:pPr>
        <w:spacing w:after="0" w:line="145" w:lineRule="exact"/>
        <w:rPr>
          <w:sz w:val="20"/>
          <w:szCs w:val="20"/>
          <w:color w:val="auto"/>
        </w:rPr>
      </w:pPr>
    </w:p>
    <w:p>
      <w:pPr>
        <w:ind w:left="760" w:right="80" w:hanging="739"/>
        <w:spacing w:after="0" w:line="268" w:lineRule="auto"/>
        <w:tabs>
          <w:tab w:leader="none" w:pos="74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T-1 Statement of Eligibility with respect to the Form of Indenture (Incorporated by reference to Exhibit 99(D)(6) to the Registrant’s Registration Statement on Form N-2 (File No. 333-180084), filed on March 14, 2012).</w:t>
      </w:r>
    </w:p>
    <w:p>
      <w:pPr>
        <w:spacing w:after="0" w:line="145" w:lineRule="exact"/>
        <w:rPr>
          <w:sz w:val="20"/>
          <w:szCs w:val="20"/>
          <w:color w:val="auto"/>
        </w:rPr>
      </w:pPr>
    </w:p>
    <w:p>
      <w:pPr>
        <w:ind w:left="760" w:right="80" w:hanging="739"/>
        <w:spacing w:after="0" w:line="268" w:lineRule="auto"/>
        <w:tabs>
          <w:tab w:leader="none" w:pos="74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Articles Supplementary (Incorporated by reference to Exhibit 99(D)(7) to the Registrant’s Registration Statement on Form N-2 (File No. 333-180084), filed on March 14, 2012).</w:t>
      </w:r>
    </w:p>
    <w:p>
      <w:pPr>
        <w:spacing w:after="0" w:line="145" w:lineRule="exact"/>
        <w:rPr>
          <w:sz w:val="20"/>
          <w:szCs w:val="20"/>
          <w:color w:val="auto"/>
        </w:rPr>
      </w:pPr>
    </w:p>
    <w:p>
      <w:pPr>
        <w:ind w:left="760" w:right="560" w:hanging="739"/>
        <w:spacing w:after="0" w:line="332" w:lineRule="auto"/>
        <w:tabs>
          <w:tab w:leader="none" w:pos="740" w:val="left"/>
        </w:tabs>
        <w:rPr>
          <w:sz w:val="20"/>
          <w:szCs w:val="20"/>
          <w:color w:val="auto"/>
        </w:rPr>
      </w:pPr>
      <w:r>
        <w:rPr>
          <w:rFonts w:ascii="Arial" w:cs="Arial" w:eastAsia="Arial" w:hAnsi="Arial"/>
          <w:sz w:val="16"/>
          <w:szCs w:val="16"/>
          <w:color w:val="auto"/>
        </w:rPr>
        <w:t>(d)(8)</w:t>
      </w:r>
      <w:r>
        <w:rPr>
          <w:sz w:val="20"/>
          <w:szCs w:val="20"/>
          <w:color w:val="auto"/>
        </w:rPr>
        <w:tab/>
      </w:r>
      <w:r>
        <w:rPr>
          <w:rFonts w:ascii="Arial" w:cs="Arial" w:eastAsia="Arial" w:hAnsi="Arial"/>
          <w:sz w:val="16"/>
          <w:szCs w:val="16"/>
          <w:color w:val="auto"/>
        </w:rPr>
        <w:t>Deed of Trust dated November 23, 2017, between PennantPark Floating Rate Capital Ltd. and Mishmeret Trust Company, Ltd (Incorporated by reference to Exhibit 99(D)(8) to the Registrant’s Registration Statement on Form N-2 (File No. 333-215111), filed on December 13, 2017).</w:t>
      </w:r>
    </w:p>
    <w:p>
      <w:pPr>
        <w:spacing w:after="0" w:line="99" w:lineRule="exact"/>
        <w:rPr>
          <w:sz w:val="20"/>
          <w:szCs w:val="20"/>
          <w:color w:val="auto"/>
        </w:rPr>
      </w:pPr>
    </w:p>
    <w:p>
      <w:pPr>
        <w:ind w:left="760" w:right="40" w:hanging="739"/>
        <w:spacing w:after="0" w:line="268" w:lineRule="auto"/>
        <w:tabs>
          <w:tab w:leader="none" w:pos="74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Supplementary Notice dated November 23, 2017 (Incorporated by reference to Exhibit 99(D)(9) to the Registrant’s Registration Statement on Form N-2 (File No. 333-215111), filed on December 13, 2017).</w:t>
      </w:r>
    </w:p>
    <w:p>
      <w:pPr>
        <w:spacing w:after="0" w:line="145" w:lineRule="exact"/>
        <w:rPr>
          <w:sz w:val="20"/>
          <w:szCs w:val="20"/>
          <w:color w:val="auto"/>
        </w:rPr>
      </w:pPr>
    </w:p>
    <w:p>
      <w:pPr>
        <w:ind w:left="760" w:right="160" w:hanging="645"/>
        <w:spacing w:after="0" w:line="259" w:lineRule="auto"/>
        <w:tabs>
          <w:tab w:leader="none" w:pos="7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Second Amended and Restated Investment Advisory Agreement, dated as of February 2, 2016, between PennantPark Floating Rate Capital Ltd. and PennantPark Investment Advisers, LLC (Incorporated by reference to the Registrant’s Quarterly Report on Form 10-Q (File No. 814-00891), filed on February 4, 2016).</w:t>
      </w:r>
    </w:p>
    <w:p>
      <w:pPr>
        <w:spacing w:after="0" w:line="154" w:lineRule="exact"/>
        <w:rPr>
          <w:sz w:val="20"/>
          <w:szCs w:val="20"/>
          <w:color w:val="auto"/>
        </w:rPr>
      </w:pPr>
    </w:p>
    <w:p>
      <w:pPr>
        <w:ind w:left="760" w:right="280" w:hanging="739"/>
        <w:spacing w:after="0" w:line="268" w:lineRule="auto"/>
        <w:tabs>
          <w:tab w:leader="none" w:pos="74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(Incorporated by reference to Exhibit 99(H)(1) to the Registrant’s Registration Statement on Form N-2 (File No. 333-180084), filed on March 14, 2012).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20" w:right="100" w:hanging="659"/>
        <w:spacing w:after="0" w:line="268" w:lineRule="auto"/>
        <w:tabs>
          <w:tab w:leader="none" w:pos="700" w:val="left"/>
        </w:tabs>
        <w:rPr>
          <w:sz w:val="20"/>
          <w:szCs w:val="20"/>
          <w:color w:val="auto"/>
        </w:rPr>
      </w:pPr>
      <w:r>
        <w:rPr>
          <w:rFonts w:ascii="Arial" w:cs="Arial" w:eastAsia="Arial" w:hAnsi="Arial"/>
          <w:sz w:val="18"/>
          <w:szCs w:val="18"/>
          <w:color w:val="auto"/>
        </w:rPr>
        <w:t>(h)(2)</w:t>
        <w:tab/>
        <w:t>Form of Underwriting Agreement for debt (Incorporated by reference to Exhibit 99(H)(2) to the Registrant’s Registration Statement on Form N-2 (File No. 333-180084), filed on March 14, 2012).</w:t>
      </w:r>
    </w:p>
    <w:p>
      <w:pPr>
        <w:spacing w:after="0" w:line="145" w:lineRule="exact"/>
        <w:rPr>
          <w:sz w:val="20"/>
          <w:szCs w:val="20"/>
          <w:color w:val="auto"/>
        </w:rPr>
      </w:pPr>
    </w:p>
    <w:p>
      <w:pPr>
        <w:ind w:left="720" w:right="140" w:hanging="659"/>
        <w:spacing w:after="0" w:line="268" w:lineRule="auto"/>
        <w:tabs>
          <w:tab w:leader="none" w:pos="700" w:val="left"/>
        </w:tabs>
        <w:rPr>
          <w:sz w:val="20"/>
          <w:szCs w:val="20"/>
          <w:color w:val="auto"/>
        </w:rPr>
      </w:pPr>
      <w:r>
        <w:rPr>
          <w:rFonts w:ascii="Arial" w:cs="Arial" w:eastAsia="Arial" w:hAnsi="Arial"/>
          <w:sz w:val="18"/>
          <w:szCs w:val="18"/>
          <w:color w:val="auto"/>
        </w:rPr>
        <w:t>(h)(3)</w:t>
        <w:tab/>
        <w:t>Underwriting Agreement dated February 14, 2017 (Incorporated by reference to Exhibit 99(H)(3) to the Registrant’s Post-Effective Amendment No. 1 to the Registration Statement on Form N-2 (File No. 333-215111), filed on February 16, 2017).</w:t>
      </w:r>
    </w:p>
    <w:p>
      <w:pPr>
        <w:spacing w:after="0" w:line="145"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(h)(4)</w:t>
        <w:tab/>
        <w:t>Underwriting Agreement dated October 25, 2017 (Incorporated by reference to Exhibit 99(H)(4) to the Registrant’s Post-Effective Amendment No. 2 to the Registration Statement on Form N-2 (File No. 333-215111), filed on October 27, 2017).</w:t>
      </w:r>
    </w:p>
    <w:p>
      <w:pPr>
        <w:spacing w:after="0" w:line="145" w:lineRule="exact"/>
        <w:rPr>
          <w:sz w:val="20"/>
          <w:szCs w:val="20"/>
          <w:color w:val="auto"/>
        </w:rPr>
      </w:pPr>
    </w:p>
    <w:p>
      <w:pPr>
        <w:ind w:left="720" w:right="880" w:hanging="545"/>
        <w:spacing w:after="0" w:line="332" w:lineRule="auto"/>
        <w:tabs>
          <w:tab w:leader="none" w:pos="7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Form of Custodian Agreement between the Registrant and The Bank of New York Mellon (Incorporated by reference to Exhibit 99(J) to the Registrant’s Pre-Effective Amendment No. 3 to the Registration Statement on Form N-2 (File No. 333-170243), filed on March 29, 2011).</w:t>
      </w:r>
    </w:p>
    <w:p>
      <w:pPr>
        <w:spacing w:after="0" w:line="99" w:lineRule="exact"/>
        <w:rPr>
          <w:sz w:val="20"/>
          <w:szCs w:val="20"/>
          <w:color w:val="auto"/>
        </w:rPr>
      </w:pPr>
    </w:p>
    <w:p>
      <w:pPr>
        <w:jc w:val="both"/>
        <w:ind w:left="720" w:right="60" w:hanging="659"/>
        <w:spacing w:after="0" w:line="259" w:lineRule="auto"/>
        <w:tabs>
          <w:tab w:leader="none" w:pos="700" w:val="left"/>
        </w:tabs>
        <w:rPr>
          <w:sz w:val="20"/>
          <w:szCs w:val="20"/>
          <w:color w:val="auto"/>
        </w:rPr>
      </w:pPr>
      <w:r>
        <w:rPr>
          <w:rFonts w:ascii="Arial" w:cs="Arial" w:eastAsia="Arial" w:hAnsi="Arial"/>
          <w:sz w:val="18"/>
          <w:szCs w:val="18"/>
          <w:color w:val="auto"/>
        </w:rPr>
        <w:t>(k)(1)</w:t>
        <w:tab/>
        <w:t>Form of Stock Transfer Agency Agreement between the Registrant and American Stock Transfer &amp; Trust Company, LLC (Incorporated by reference to Exhibit 99(K)(1) to the Registrant’s Pre-Effective Amendment No. 3 to the Registration Statement on Form N-2 (File No. 333-170243), filed on March 29, 2011).</w:t>
      </w:r>
    </w:p>
    <w:p>
      <w:pPr>
        <w:spacing w:after="0" w:line="154" w:lineRule="exact"/>
        <w:rPr>
          <w:sz w:val="20"/>
          <w:szCs w:val="20"/>
          <w:color w:val="auto"/>
        </w:rPr>
      </w:pPr>
    </w:p>
    <w:p>
      <w:pPr>
        <w:jc w:val="both"/>
        <w:ind w:left="720" w:right="320" w:hanging="659"/>
        <w:spacing w:after="0" w:line="259" w:lineRule="auto"/>
        <w:tabs>
          <w:tab w:leader="none" w:pos="700" w:val="left"/>
        </w:tabs>
        <w:rPr>
          <w:sz w:val="20"/>
          <w:szCs w:val="20"/>
          <w:color w:val="auto"/>
        </w:rPr>
      </w:pPr>
      <w:r>
        <w:rPr>
          <w:rFonts w:ascii="Arial" w:cs="Arial" w:eastAsia="Arial" w:hAnsi="Arial"/>
          <w:sz w:val="18"/>
          <w:szCs w:val="18"/>
          <w:color w:val="auto"/>
        </w:rPr>
        <w:t>(k)(2)</w:t>
        <w:tab/>
        <w:t>Form of Administration Agreement between the Registrant and PennantPark Investment Administration, LLC (Incorporated by reference to Exhibit 99(K)(2) to the Registrant’s Pre-Effective Amendment No. 3 to the Registration Statement on Form N-2 (File No. 333-170243), filed on March 29, 2011).</w:t>
      </w:r>
    </w:p>
    <w:p>
      <w:pPr>
        <w:spacing w:after="0" w:line="154" w:lineRule="exact"/>
        <w:rPr>
          <w:sz w:val="20"/>
          <w:szCs w:val="20"/>
          <w:color w:val="auto"/>
        </w:rPr>
      </w:pPr>
    </w:p>
    <w:p>
      <w:pPr>
        <w:ind w:left="720" w:right="520" w:hanging="659"/>
        <w:spacing w:after="0" w:line="268" w:lineRule="auto"/>
        <w:tabs>
          <w:tab w:leader="none" w:pos="700" w:val="left"/>
        </w:tabs>
        <w:rPr>
          <w:sz w:val="20"/>
          <w:szCs w:val="20"/>
          <w:color w:val="auto"/>
        </w:rPr>
      </w:pPr>
      <w:r>
        <w:rPr>
          <w:rFonts w:ascii="Arial" w:cs="Arial" w:eastAsia="Arial" w:hAnsi="Arial"/>
          <w:sz w:val="18"/>
          <w:szCs w:val="18"/>
          <w:color w:val="auto"/>
        </w:rPr>
        <w:t>(k)(3)</w:t>
        <w:tab/>
        <w:t>Form of Trademark License Agreement (Incorporated by reference to Exhibit 99(K)(3) to the Registrant’s Pre-Effective Amendment No. 3 to the Registration Statement on Form N-2 (File No. 333-170243), filed on March 29, 2011).</w:t>
      </w:r>
    </w:p>
    <w:p>
      <w:pPr>
        <w:spacing w:after="0" w:line="145" w:lineRule="exact"/>
        <w:rPr>
          <w:sz w:val="20"/>
          <w:szCs w:val="20"/>
          <w:color w:val="auto"/>
        </w:rPr>
      </w:pPr>
    </w:p>
    <w:p>
      <w:pPr>
        <w:ind w:left="720" w:hanging="659"/>
        <w:spacing w:after="0" w:line="298" w:lineRule="auto"/>
        <w:tabs>
          <w:tab w:leader="none" w:pos="70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Third Amended and Restated Revolving Credit and Security Agreement, dated as of May 22, 2015,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 (Incorporated by reference to Exhibit 10.1 to the Registrant’s Quarterly Report on Form 10-Q (File No. 814-00891), filed on August 6, 2015).</w:t>
      </w:r>
    </w:p>
    <w:p>
      <w:pPr>
        <w:spacing w:after="0" w:line="126" w:lineRule="exact"/>
        <w:rPr>
          <w:sz w:val="20"/>
          <w:szCs w:val="20"/>
          <w:color w:val="auto"/>
        </w:rPr>
      </w:pPr>
    </w:p>
    <w:p>
      <w:pPr>
        <w:ind w:left="720" w:right="120" w:hanging="659"/>
        <w:spacing w:after="0" w:line="323" w:lineRule="auto"/>
        <w:tabs>
          <w:tab w:leader="none" w:pos="700" w:val="left"/>
        </w:tabs>
        <w:rPr>
          <w:sz w:val="20"/>
          <w:szCs w:val="20"/>
          <w:color w:val="auto"/>
        </w:rPr>
      </w:pPr>
      <w:r>
        <w:rPr>
          <w:rFonts w:ascii="Arial" w:cs="Arial" w:eastAsia="Arial" w:hAnsi="Arial"/>
          <w:sz w:val="15"/>
          <w:szCs w:val="15"/>
          <w:color w:val="auto"/>
        </w:rPr>
        <w:t>(k)(5)</w:t>
      </w:r>
      <w:r>
        <w:rPr>
          <w:sz w:val="20"/>
          <w:szCs w:val="20"/>
          <w:color w:val="auto"/>
        </w:rPr>
        <w:tab/>
      </w:r>
      <w:r>
        <w:rPr>
          <w:rFonts w:ascii="Arial" w:cs="Arial" w:eastAsia="Arial" w:hAnsi="Arial"/>
          <w:sz w:val="15"/>
          <w:szCs w:val="15"/>
          <w:color w:val="auto"/>
        </w:rPr>
        <w:t>First Amendment to Third Amended and Restated Revolving Credit and Security Agreement, dated as of August 26, 2015, among PennantPark Floating Rate Funding I, LLC, as borrower, PennantPark Investment Advisers, LLC, as collateral manager, the lenders from time to time party thereto, SunTrust Bank, as administrative agent, and U.S. Bank National Association, as collateral agent, as backup collateral manager and as custodian (Incorporated by reference to Exhibit 10.1 to the Registrant’s Annual Report on Form 10-K (File No. 814-00891), filed on November 12, 2015).</w:t>
      </w:r>
    </w:p>
    <w:p>
      <w:pPr>
        <w:spacing w:after="0" w:line="111" w:lineRule="exact"/>
        <w:rPr>
          <w:sz w:val="20"/>
          <w:szCs w:val="20"/>
          <w:color w:val="auto"/>
        </w:rPr>
      </w:pPr>
    </w:p>
    <w:p>
      <w:pPr>
        <w:ind w:left="720" w:right="20" w:hanging="659"/>
        <w:spacing w:after="0" w:line="255" w:lineRule="auto"/>
        <w:tabs>
          <w:tab w:leader="none" w:pos="700" w:val="left"/>
        </w:tabs>
        <w:rPr>
          <w:sz w:val="20"/>
          <w:szCs w:val="20"/>
          <w:color w:val="auto"/>
        </w:rPr>
      </w:pPr>
      <w:r>
        <w:rPr>
          <w:rFonts w:ascii="Arial" w:cs="Arial" w:eastAsia="Arial" w:hAnsi="Arial"/>
          <w:sz w:val="18"/>
          <w:szCs w:val="18"/>
          <w:color w:val="auto"/>
        </w:rPr>
        <w:t>(k)(6)</w:t>
        <w:tab/>
        <w:t>Second Amendment to Third Amended and Restated Revolving Credit and Security Agreement, dated as of November 9, 2017, among PennantPark Floating Rate Funding I, LLC, as borrower, PennantPark Investment Advisers, LLC, as collateral manager, the lenders from time to time parties thereto, SunTrust Bank, as administrative agent, and U.S. Bank National Association, as collateral agent, as custodian, as collateral administrator and as backup collateral manager (Incorporated by reference to Exhibit 10.1 to the Registrant’s Current Report on Form 8-K (File No. 814-00891), filed on November 13, 2017).</w:t>
      </w:r>
    </w:p>
    <w:p>
      <w:pPr>
        <w:spacing w:after="0" w:line="156" w:lineRule="exact"/>
        <w:rPr>
          <w:sz w:val="20"/>
          <w:szCs w:val="20"/>
          <w:color w:val="auto"/>
        </w:rPr>
      </w:pPr>
    </w:p>
    <w:p>
      <w:pPr>
        <w:ind w:left="720" w:right="20" w:hanging="659"/>
        <w:spacing w:after="0" w:line="255" w:lineRule="auto"/>
        <w:tabs>
          <w:tab w:leader="none" w:pos="700" w:val="left"/>
        </w:tabs>
        <w:rPr>
          <w:sz w:val="20"/>
          <w:szCs w:val="20"/>
          <w:color w:val="auto"/>
        </w:rPr>
      </w:pPr>
      <w:r>
        <w:rPr>
          <w:rFonts w:ascii="Arial" w:cs="Arial" w:eastAsia="Arial" w:hAnsi="Arial"/>
          <w:sz w:val="18"/>
          <w:szCs w:val="18"/>
          <w:color w:val="auto"/>
        </w:rPr>
        <w:t>(k)(7)</w:t>
        <w:tab/>
        <w:t>Fourth Amended and Restated Revolving Credit and Security Agreement, dated as of October 30, 2018, among PennantPark Floating Rate Funding I, LLC, as borrower, PennantPark Investment Advisers, LLC, as collateral manager, the lenders from time to time parties thereto, SunTrust Bank, as administrative agent, SunTrust Robinson Humphrey, Inc., as lead arranger, and U.S. Bank National Association, as collateral agent, as collateral administrator, as backup collateral manager, and as custodian (Incorporated by reference to Exhibit 10.1 to the Registrant’s Current Report on Form 8-K (File No. 814-00891), filed on November 8, 2018).</w:t>
      </w:r>
    </w:p>
    <w:p>
      <w:pPr>
        <w:spacing w:after="0" w:line="156" w:lineRule="exact"/>
        <w:rPr>
          <w:sz w:val="20"/>
          <w:szCs w:val="20"/>
          <w:color w:val="auto"/>
        </w:rPr>
      </w:pPr>
    </w:p>
    <w:p>
      <w:pPr>
        <w:ind w:left="720" w:right="180" w:hanging="659"/>
        <w:spacing w:after="0" w:line="259" w:lineRule="auto"/>
        <w:tabs>
          <w:tab w:leader="none" w:pos="700" w:val="left"/>
        </w:tabs>
        <w:rPr>
          <w:sz w:val="20"/>
          <w:szCs w:val="20"/>
          <w:color w:val="auto"/>
        </w:rPr>
      </w:pPr>
      <w:r>
        <w:rPr>
          <w:rFonts w:ascii="Arial" w:cs="Arial" w:eastAsia="Arial" w:hAnsi="Arial"/>
          <w:sz w:val="18"/>
          <w:szCs w:val="18"/>
          <w:color w:val="auto"/>
        </w:rPr>
        <w:t>(k)(8)</w:t>
        <w:tab/>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154" w:lineRule="exact"/>
        <w:rPr>
          <w:sz w:val="20"/>
          <w:szCs w:val="20"/>
          <w:color w:val="auto"/>
        </w:rPr>
      </w:pPr>
    </w:p>
    <w:p>
      <w:pPr>
        <w:ind w:left="720" w:right="20" w:hanging="659"/>
        <w:spacing w:after="0" w:line="259" w:lineRule="auto"/>
        <w:tabs>
          <w:tab w:leader="none" w:pos="700" w:val="left"/>
        </w:tabs>
        <w:rPr>
          <w:sz w:val="20"/>
          <w:szCs w:val="20"/>
          <w:color w:val="auto"/>
        </w:rPr>
      </w:pPr>
      <w:r>
        <w:rPr>
          <w:rFonts w:ascii="Arial" w:cs="Arial" w:eastAsia="Arial" w:hAnsi="Arial"/>
          <w:sz w:val="18"/>
          <w:szCs w:val="18"/>
          <w:color w:val="auto"/>
        </w:rPr>
        <w:t>(k)(9)</w:t>
        <w:tab/>
        <w:t>First Amendment to Purchase and Contribution Agreement, dated as of January 16, 2018, between PennantPark Floating Rate Capital Ltd., as the seller, and PennantPark Floating Rate Funding I, LLC, as the buyer (Incorporated by reference to Exhibit 10.4 to the Registrant’s Quarterly Report on Form 10-Q (File No. 814-00891), filed on February 8, 2018).</w:t>
      </w:r>
    </w:p>
    <w:p>
      <w:pPr>
        <w:spacing w:after="0" w:line="154" w:lineRule="exact"/>
        <w:rPr>
          <w:sz w:val="20"/>
          <w:szCs w:val="20"/>
          <w:color w:val="auto"/>
        </w:rPr>
      </w:pPr>
    </w:p>
    <w:p>
      <w:pPr>
        <w:ind w:left="720" w:right="80" w:hanging="719"/>
        <w:spacing w:after="0" w:line="259" w:lineRule="auto"/>
        <w:tabs>
          <w:tab w:leader="none" w:pos="700" w:val="left"/>
        </w:tabs>
        <w:rPr>
          <w:sz w:val="20"/>
          <w:szCs w:val="20"/>
          <w:color w:val="auto"/>
        </w:rPr>
      </w:pPr>
      <w:r>
        <w:rPr>
          <w:rFonts w:ascii="Arial" w:cs="Arial" w:eastAsia="Arial" w:hAnsi="Arial"/>
          <w:sz w:val="18"/>
          <w:szCs w:val="18"/>
          <w:color w:val="auto"/>
        </w:rPr>
        <w:t>(k)(10)</w:t>
        <w:tab/>
        <w:t>Limited Liability Company Agreement of PennantPark Senior Secured Loan Fund I LLC, dated as of May 4, 2017, by and between PennantPark Floating Rate Capital Ltd. and Trinity Universal Insurance Company (Incorporated by reference to Exhibit 10.1 to the Registrant’s Quarterly Report on Form 10-Q (File No. 814-00891), filed on August 8, 2017).</w:t>
      </w:r>
    </w:p>
    <w:p>
      <w:pPr>
        <w:spacing w:after="0" w:line="154" w:lineRule="exact"/>
        <w:rPr>
          <w:sz w:val="20"/>
          <w:szCs w:val="20"/>
          <w:color w:val="auto"/>
        </w:rPr>
      </w:pPr>
    </w:p>
    <w:p>
      <w:pPr>
        <w:ind w:left="720" w:right="20" w:hanging="699"/>
        <w:spacing w:after="0" w:line="259" w:lineRule="auto"/>
        <w:tabs>
          <w:tab w:leader="none" w:pos="700" w:val="left"/>
        </w:tabs>
        <w:rPr>
          <w:sz w:val="20"/>
          <w:szCs w:val="20"/>
          <w:color w:val="auto"/>
        </w:rPr>
      </w:pPr>
      <w:r>
        <w:rPr>
          <w:rFonts w:ascii="Arial" w:cs="Arial" w:eastAsia="Arial" w:hAnsi="Arial"/>
          <w:sz w:val="18"/>
          <w:szCs w:val="18"/>
          <w:color w:val="auto"/>
        </w:rPr>
        <w:t>(k)(11)</w:t>
        <w:tab/>
        <w:t>Indemnification Agreement, dated as of November 15, 2016, between PennantPark Floating Rate Capital Ltd. and each of the directors and officers listed on Schedule A attached thereto (Incorporated by reference to Exhibit 10.6 on the Registrant’s Annual Report on Form 10-K (File No. 814-00891), filed on November 22, 2016).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618"/>
        <w:spacing w:after="0"/>
        <w:tabs>
          <w:tab w:leader="none" w:pos="92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(l)(1)</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Opinion and Consent of Venable LLP (Incorporated by reference to Exhibit 99(L)(1) to the Registrant’s Registration Statement on Form N-2 (File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No. 333-215111), filed on December 15, 2016).</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(l)(2)</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Opinion and Consent of Dechert LLP (Incorporated by reference to Exhibit 99(L)(2) to the Registrant’s Registration Statement on Form N-2 (File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No. 333-215111), filed on December 15, 2016).</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(l)(3)</w:t>
            </w:r>
          </w:p>
        </w:tc>
        <w:tc>
          <w:tcPr>
            <w:tcW w:w="10600" w:type="dxa"/>
            <w:vAlign w:val="bottom"/>
          </w:tcPr>
          <w:p>
            <w:pPr>
              <w:ind w:left="200"/>
              <w:spacing w:after="0"/>
              <w:rPr>
                <w:sz w:val="20"/>
                <w:szCs w:val="20"/>
                <w:color w:val="auto"/>
              </w:rPr>
            </w:pPr>
            <w:r>
              <w:rPr>
                <w:rFonts w:ascii="Arial" w:cs="Arial" w:eastAsia="Arial" w:hAnsi="Arial"/>
                <w:sz w:val="18"/>
                <w:szCs w:val="18"/>
                <w:color w:val="auto"/>
                <w:w w:val="91"/>
              </w:rPr>
              <w:t>Opinion and Consent of Venable LLP (Incorporated by reference to Exhibit 99(L)(3) to the Registrant’s Post-Effective Amendment No. 1 to the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Registration Statement on Form N-2 (File No. 333-215111), filed on February 16, 2017).</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4"/>
              </w:rPr>
              <w:t>(l)(4)</w:t>
            </w:r>
          </w:p>
        </w:tc>
        <w:tc>
          <w:tcPr>
            <w:tcW w:w="10600" w:type="dxa"/>
            <w:vAlign w:val="bottom"/>
          </w:tcPr>
          <w:p>
            <w:pPr>
              <w:ind w:left="200"/>
              <w:spacing w:after="0"/>
              <w:rPr>
                <w:sz w:val="20"/>
                <w:szCs w:val="20"/>
                <w:color w:val="auto"/>
              </w:rPr>
            </w:pPr>
            <w:r>
              <w:rPr>
                <w:rFonts w:ascii="Arial" w:cs="Arial" w:eastAsia="Arial" w:hAnsi="Arial"/>
                <w:sz w:val="18"/>
                <w:szCs w:val="18"/>
                <w:color w:val="auto"/>
                <w:w w:val="91"/>
              </w:rPr>
              <w:t>Opinion and Consent of Venable LLP (Incorporated by reference to Exhibit 99(L)(4) to the Registrant’s Post-Effective Amendment No. 2 to the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Registration Statement on Form N-2 (File No. 333-215111), filed on October 27, 2017).</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(n)(1)*</w:t>
            </w:r>
          </w:p>
        </w:tc>
        <w:tc>
          <w:tcPr>
            <w:tcW w:w="10600" w:type="dxa"/>
            <w:vAlign w:val="bottom"/>
          </w:tcPr>
          <w:p>
            <w:pPr>
              <w:ind w:left="200"/>
              <w:spacing w:after="0"/>
              <w:rPr>
                <w:sz w:val="20"/>
                <w:szCs w:val="20"/>
                <w:color w:val="auto"/>
              </w:rPr>
            </w:pPr>
            <w:r>
              <w:rPr>
                <w:rFonts w:ascii="Arial" w:cs="Arial" w:eastAsia="Arial" w:hAnsi="Arial"/>
                <w:sz w:val="18"/>
                <w:szCs w:val="18"/>
                <w:color w:val="auto"/>
              </w:rPr>
              <w:t>Consent of RSM US LLP.</w:t>
            </w:r>
          </w:p>
        </w:tc>
      </w:tr>
      <w:tr>
        <w:trPr>
          <w:trHeight w:val="392"/>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7"/>
              </w:rPr>
              <w:t>(n)(2)*</w:t>
            </w:r>
          </w:p>
        </w:tc>
        <w:tc>
          <w:tcPr>
            <w:tcW w:w="10600" w:type="dxa"/>
            <w:vAlign w:val="bottom"/>
          </w:tcPr>
          <w:p>
            <w:pPr>
              <w:ind w:left="20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85"/>
        </w:trPr>
        <w:tc>
          <w:tcPr>
            <w:tcW w:w="720" w:type="dxa"/>
            <w:vAlign w:val="bottom"/>
          </w:tcPr>
          <w:p>
            <w:pPr>
              <w:jc w:val="center"/>
              <w:ind w:right="132"/>
              <w:spacing w:after="0"/>
              <w:rPr>
                <w:sz w:val="20"/>
                <w:szCs w:val="20"/>
                <w:color w:val="auto"/>
              </w:rPr>
            </w:pPr>
            <w:r>
              <w:rPr>
                <w:rFonts w:ascii="Arial" w:cs="Arial" w:eastAsia="Arial" w:hAnsi="Arial"/>
                <w:sz w:val="18"/>
                <w:szCs w:val="18"/>
                <w:color w:val="auto"/>
                <w:w w:val="94"/>
              </w:rPr>
              <w:t>(r)(1)</w:t>
            </w:r>
          </w:p>
        </w:tc>
        <w:tc>
          <w:tcPr>
            <w:tcW w:w="10600" w:type="dxa"/>
            <w:vAlign w:val="bottom"/>
          </w:tcPr>
          <w:p>
            <w:pPr>
              <w:ind w:left="200"/>
              <w:spacing w:after="0"/>
              <w:rPr>
                <w:sz w:val="20"/>
                <w:szCs w:val="20"/>
                <w:color w:val="auto"/>
              </w:rPr>
            </w:pPr>
            <w:r>
              <w:rPr>
                <w:rFonts w:ascii="Arial" w:cs="Arial" w:eastAsia="Arial" w:hAnsi="Arial"/>
                <w:sz w:val="18"/>
                <w:szCs w:val="18"/>
                <w:color w:val="auto"/>
                <w:w w:val="88"/>
              </w:rPr>
              <w:t>Joint Code of Ethics of the Registrant, PennantPark Investment Corporation and PennantPark Investment Advisers, LLC (Incorporated by reference</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to Exhibit 14.1 to the Registrant’s Annual Report on Form 10-K (File No. 814-00891), filed on November 14, 2018).</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(s)(1)</w:t>
            </w:r>
          </w:p>
        </w:tc>
        <w:tc>
          <w:tcPr>
            <w:tcW w:w="10600" w:type="dxa"/>
            <w:vAlign w:val="bottom"/>
          </w:tcPr>
          <w:p>
            <w:pPr>
              <w:ind w:left="200"/>
              <w:spacing w:after="0"/>
              <w:rPr>
                <w:sz w:val="20"/>
                <w:szCs w:val="20"/>
                <w:color w:val="auto"/>
              </w:rPr>
            </w:pPr>
            <w:r>
              <w:rPr>
                <w:rFonts w:ascii="Arial" w:cs="Arial" w:eastAsia="Arial" w:hAnsi="Arial"/>
                <w:sz w:val="18"/>
                <w:szCs w:val="18"/>
                <w:color w:val="auto"/>
                <w:w w:val="93"/>
              </w:rPr>
              <w:t>Form of Prospectus Supplement For Common Stock Offerings (Incorporated by reference to Exhibit 99(S)(1) to the Registrant’s Registration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(s)(2)</w:t>
            </w:r>
          </w:p>
        </w:tc>
        <w:tc>
          <w:tcPr>
            <w:tcW w:w="10600" w:type="dxa"/>
            <w:vAlign w:val="bottom"/>
          </w:tcPr>
          <w:p>
            <w:pPr>
              <w:ind w:left="200"/>
              <w:spacing w:after="0"/>
              <w:rPr>
                <w:sz w:val="20"/>
                <w:szCs w:val="20"/>
                <w:color w:val="auto"/>
              </w:rPr>
            </w:pPr>
            <w:r>
              <w:rPr>
                <w:rFonts w:ascii="Arial" w:cs="Arial" w:eastAsia="Arial" w:hAnsi="Arial"/>
                <w:sz w:val="18"/>
                <w:szCs w:val="18"/>
                <w:color w:val="auto"/>
                <w:w w:val="92"/>
              </w:rPr>
              <w:t>Form of Prospectus Supplement For Preferred Stock Offerings (Incorporated by reference to Exhibit 99(S)(2) to the Registrant’s Registration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Statement on 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(s)(3)</w:t>
            </w:r>
          </w:p>
        </w:tc>
        <w:tc>
          <w:tcPr>
            <w:tcW w:w="10600" w:type="dxa"/>
            <w:vAlign w:val="bottom"/>
          </w:tcPr>
          <w:p>
            <w:pPr>
              <w:ind w:left="200"/>
              <w:spacing w:after="0"/>
              <w:rPr>
                <w:sz w:val="20"/>
                <w:szCs w:val="20"/>
                <w:color w:val="auto"/>
              </w:rPr>
            </w:pPr>
            <w:r>
              <w:rPr>
                <w:rFonts w:ascii="Arial" w:cs="Arial" w:eastAsia="Arial" w:hAnsi="Arial"/>
                <w:sz w:val="18"/>
                <w:szCs w:val="18"/>
                <w:color w:val="auto"/>
                <w:w w:val="90"/>
              </w:rPr>
              <w:t>Form of Prospectus Supplement For Debt Offerings (Incorporated by reference to Exhibit 99(S)(3)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(s)(4)</w:t>
            </w:r>
          </w:p>
        </w:tc>
        <w:tc>
          <w:tcPr>
            <w:tcW w:w="10600" w:type="dxa"/>
            <w:vAlign w:val="bottom"/>
          </w:tcPr>
          <w:p>
            <w:pPr>
              <w:ind w:left="200"/>
              <w:spacing w:after="0"/>
              <w:rPr>
                <w:sz w:val="20"/>
                <w:szCs w:val="20"/>
                <w:color w:val="auto"/>
              </w:rPr>
            </w:pPr>
            <w:r>
              <w:rPr>
                <w:rFonts w:ascii="Arial" w:cs="Arial" w:eastAsia="Arial" w:hAnsi="Arial"/>
                <w:sz w:val="18"/>
                <w:szCs w:val="18"/>
                <w:color w:val="auto"/>
                <w:w w:val="89"/>
              </w:rPr>
              <w:t>Form of Prospectus Supplement For Rights Offerings (Incorporated by reference to Exhibit 99(S)(4)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r>
        <w:trPr>
          <w:trHeight w:val="385"/>
        </w:trPr>
        <w:tc>
          <w:tcPr>
            <w:tcW w:w="720" w:type="dxa"/>
            <w:vAlign w:val="bottom"/>
          </w:tcPr>
          <w:p>
            <w:pPr>
              <w:jc w:val="center"/>
              <w:ind w:right="112"/>
              <w:spacing w:after="0"/>
              <w:rPr>
                <w:sz w:val="20"/>
                <w:szCs w:val="20"/>
                <w:color w:val="auto"/>
              </w:rPr>
            </w:pPr>
            <w:r>
              <w:rPr>
                <w:rFonts w:ascii="Arial" w:cs="Arial" w:eastAsia="Arial" w:hAnsi="Arial"/>
                <w:sz w:val="18"/>
                <w:szCs w:val="18"/>
                <w:color w:val="auto"/>
                <w:w w:val="92"/>
              </w:rPr>
              <w:t>(s)(5)</w:t>
            </w:r>
          </w:p>
        </w:tc>
        <w:tc>
          <w:tcPr>
            <w:tcW w:w="10600" w:type="dxa"/>
            <w:vAlign w:val="bottom"/>
          </w:tcPr>
          <w:p>
            <w:pPr>
              <w:ind w:left="200"/>
              <w:spacing w:after="0"/>
              <w:rPr>
                <w:sz w:val="20"/>
                <w:szCs w:val="20"/>
                <w:color w:val="auto"/>
              </w:rPr>
            </w:pPr>
            <w:r>
              <w:rPr>
                <w:rFonts w:ascii="Arial" w:cs="Arial" w:eastAsia="Arial" w:hAnsi="Arial"/>
                <w:sz w:val="18"/>
                <w:szCs w:val="18"/>
                <w:color w:val="auto"/>
                <w:w w:val="88"/>
              </w:rPr>
              <w:t>Form of Prospectus Supplement For Warrant Offerings (Incorporated by reference to Exhibit 99(S)(5) to the Registrant’s Registration Statement on</w:t>
            </w:r>
          </w:p>
        </w:tc>
      </w:tr>
      <w:tr>
        <w:trPr>
          <w:trHeight w:val="222"/>
        </w:trPr>
        <w:tc>
          <w:tcPr>
            <w:tcW w:w="720" w:type="dxa"/>
            <w:vAlign w:val="bottom"/>
          </w:tcPr>
          <w:p>
            <w:pPr>
              <w:spacing w:after="0"/>
              <w:rPr>
                <w:sz w:val="19"/>
                <w:szCs w:val="19"/>
                <w:color w:val="auto"/>
              </w:rPr>
            </w:pPr>
          </w:p>
        </w:tc>
        <w:tc>
          <w:tcPr>
            <w:tcW w:w="10600" w:type="dxa"/>
            <w:vAlign w:val="bottom"/>
          </w:tcPr>
          <w:p>
            <w:pPr>
              <w:ind w:left="200"/>
              <w:spacing w:after="0"/>
              <w:rPr>
                <w:sz w:val="20"/>
                <w:szCs w:val="20"/>
                <w:color w:val="auto"/>
              </w:rPr>
            </w:pPr>
            <w:r>
              <w:rPr>
                <w:rFonts w:ascii="Arial" w:cs="Arial" w:eastAsia="Arial" w:hAnsi="Arial"/>
                <w:sz w:val="18"/>
                <w:szCs w:val="18"/>
                <w:color w:val="auto"/>
              </w:rPr>
              <w:t>Form N-2 (File No. 333-180084), filed on March 14, 2012).</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57,950*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NASDAQ listing fee</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65,000**</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75,500*</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Printing (other than certificates)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30"/>
        </w:trPr>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3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58"/>
        </w:trPr>
        <w:tc>
          <w:tcPr>
            <w:tcW w:w="3020" w:type="dxa"/>
            <w:vAlign w:val="bottom"/>
          </w:tcPr>
          <w:p>
            <w:pPr>
              <w:spacing w:after="0"/>
              <w:rPr>
                <w:sz w:val="24"/>
                <w:szCs w:val="24"/>
                <w:color w:val="auto"/>
              </w:rPr>
            </w:pPr>
          </w:p>
        </w:tc>
        <w:tc>
          <w:tcPr>
            <w:tcW w:w="3880" w:type="dxa"/>
            <w:vAlign w:val="bottom"/>
            <w:gridSpan w:val="2"/>
          </w:tcPr>
          <w:p>
            <w:pPr>
              <w:jc w:val="right"/>
              <w:ind w:right="2812"/>
              <w:spacing w:after="0"/>
              <w:rPr>
                <w:sz w:val="20"/>
                <w:szCs w:val="20"/>
                <w:color w:val="auto"/>
              </w:rPr>
            </w:pPr>
            <w:r>
              <w:rPr>
                <w:rFonts w:ascii="Arial" w:cs="Arial" w:eastAsia="Arial" w:hAnsi="Arial"/>
                <w:sz w:val="18"/>
                <w:szCs w:val="18"/>
                <w:color w:val="auto"/>
              </w:rPr>
              <w:t>C-3</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460"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12"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lists sets forth each of the companies considered to be controlled by us as defined by the 1940 Act.</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gridSpan w:val="2"/>
          </w:tcPr>
          <w:p>
            <w:pPr>
              <w:ind w:left="220"/>
              <w:spacing w:after="0"/>
              <w:rPr>
                <w:sz w:val="20"/>
                <w:szCs w:val="20"/>
                <w:color w:val="auto"/>
              </w:rPr>
            </w:pPr>
            <w:r>
              <w:rPr>
                <w:rFonts w:ascii="Arial" w:cs="Arial" w:eastAsia="Arial" w:hAnsi="Arial"/>
                <w:sz w:val="14"/>
                <w:szCs w:val="14"/>
                <w:b w:val="1"/>
                <w:bCs w:val="1"/>
                <w:color w:val="auto"/>
              </w:rPr>
              <w:t>Voting Securities</w:t>
            </w:r>
          </w:p>
        </w:tc>
        <w:tc>
          <w:tcPr>
            <w:tcW w:w="0" w:type="dxa"/>
            <w:vAlign w:val="bottom"/>
          </w:tcPr>
          <w:p>
            <w:pPr>
              <w:spacing w:after="0"/>
              <w:rPr>
                <w:sz w:val="1"/>
                <w:szCs w:val="1"/>
                <w:color w:val="auto"/>
              </w:rPr>
            </w:pPr>
          </w:p>
        </w:tc>
      </w:tr>
      <w:tr>
        <w:trPr>
          <w:trHeight w:val="174"/>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760" w:type="dxa"/>
            <w:vAlign w:val="bottom"/>
            <w:vMerge w:val="restart"/>
          </w:tcPr>
          <w:p>
            <w:pPr>
              <w:spacing w:after="0"/>
              <w:rPr>
                <w:sz w:val="15"/>
                <w:szCs w:val="15"/>
                <w:color w:val="auto"/>
              </w:rPr>
            </w:pPr>
          </w:p>
        </w:tc>
        <w:tc>
          <w:tcPr>
            <w:tcW w:w="1880" w:type="dxa"/>
            <w:vAlign w:val="bottom"/>
            <w:gridSpan w:val="2"/>
          </w:tcPr>
          <w:p>
            <w:pPr>
              <w:ind w:left="260"/>
              <w:spacing w:after="0"/>
              <w:rPr>
                <w:sz w:val="20"/>
                <w:szCs w:val="20"/>
                <w:color w:val="auto"/>
              </w:rPr>
            </w:pPr>
            <w:r>
              <w:rPr>
                <w:rFonts w:ascii="Arial" w:cs="Arial" w:eastAsia="Arial" w:hAnsi="Arial"/>
                <w:sz w:val="14"/>
                <w:szCs w:val="14"/>
                <w:b w:val="1"/>
                <w:bCs w:val="1"/>
                <w:color w:val="auto"/>
              </w:rPr>
              <w:t>Owned Percentage</w:t>
            </w:r>
          </w:p>
        </w:tc>
        <w:tc>
          <w:tcPr>
            <w:tcW w:w="0" w:type="dxa"/>
            <w:vAlign w:val="bottom"/>
          </w:tcPr>
          <w:p>
            <w:pPr>
              <w:spacing w:after="0"/>
              <w:rPr>
                <w:sz w:val="1"/>
                <w:szCs w:val="1"/>
                <w:color w:val="auto"/>
              </w:rPr>
            </w:pPr>
          </w:p>
        </w:tc>
      </w:tr>
      <w:tr>
        <w:trPr>
          <w:trHeight w:val="135"/>
        </w:trPr>
        <w:tc>
          <w:tcPr>
            <w:tcW w:w="4120" w:type="dxa"/>
            <w:vAlign w:val="bottom"/>
            <w:tcBorders>
              <w:bottom w:val="single" w:sz="8" w:color="auto"/>
            </w:tcBorders>
            <w:vMerge w:val="continue"/>
          </w:tcPr>
          <w:p>
            <w:pPr>
              <w:spacing w:after="0"/>
              <w:rPr>
                <w:sz w:val="11"/>
                <w:szCs w:val="11"/>
                <w:color w:val="auto"/>
              </w:rPr>
            </w:pPr>
          </w:p>
        </w:tc>
        <w:tc>
          <w:tcPr>
            <w:tcW w:w="176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4"/>
              </w:rPr>
              <w:t>PennantPark Floating Rate Funding I, LLC (Delaware)</w:t>
            </w:r>
          </w:p>
        </w:tc>
        <w:tc>
          <w:tcPr>
            <w:tcW w:w="17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PFLT Funding II,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Investment Holdings,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GMC Television Broadcasting Holdings, Inc.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LLC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w w:val="95"/>
              </w:rPr>
              <w:t>100% (1)</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Solutions Capital G.P., LLC (Delaware)</w:t>
            </w:r>
          </w:p>
        </w:tc>
        <w:tc>
          <w:tcPr>
            <w:tcW w:w="1880" w:type="dxa"/>
            <w:vAlign w:val="bottom"/>
            <w:gridSpan w:val="2"/>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I, L.P. (Delaware)</w:t>
            </w:r>
          </w:p>
        </w:tc>
        <w:tc>
          <w:tcPr>
            <w:tcW w:w="188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326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20" w:lineRule="exact"/>
        <w:rPr>
          <w:sz w:val="20"/>
          <w:szCs w:val="20"/>
          <w:color w:val="auto"/>
        </w:rPr>
      </w:pPr>
    </w:p>
    <w:p>
      <w:pPr>
        <w:ind w:left="5580" w:right="3859" w:hanging="5572"/>
        <w:spacing w:after="0" w:line="525" w:lineRule="auto"/>
        <w:tabs>
          <w:tab w:leader="none" w:pos="34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entity is directly owned by PFLT Funding II, LLC, which is wholly owned by us. C-4</w:t>
      </w:r>
    </w:p>
    <w:p>
      <w:pPr>
        <w:sectPr>
          <w:pgSz w:w="11900" w:h="16838" w:orient="portrait"/>
          <w:cols w:equalWidth="0" w:num="1">
            <w:col w:w="10219"/>
          </w:cols>
          <w:pgMar w:left="240" w:top="460" w:right="1440"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52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240" w:type="dxa"/>
            <w:vAlign w:val="bottom"/>
            <w:gridSpan w:val="3"/>
          </w:tcPr>
          <w:p>
            <w:pPr>
              <w:ind w:left="580"/>
              <w:spacing w:after="0"/>
              <w:rPr>
                <w:sz w:val="20"/>
                <w:szCs w:val="20"/>
                <w:color w:val="auto"/>
              </w:rPr>
            </w:pPr>
            <w:r>
              <w:rPr>
                <w:rFonts w:ascii="Arial" w:cs="Arial" w:eastAsia="Arial" w:hAnsi="Arial"/>
                <w:sz w:val="18"/>
                <w:szCs w:val="18"/>
                <w:color w:val="auto"/>
              </w:rPr>
              <w:t>As of November 30, 2018</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520" w:type="dxa"/>
            <w:vAlign w:val="bottom"/>
            <w:gridSpan w:val="2"/>
            <w:vMerge w:val="restart"/>
          </w:tcPr>
          <w:p>
            <w:pPr>
              <w:jc w:val="center"/>
              <w:ind w:right="5000"/>
              <w:spacing w:after="0"/>
              <w:rPr>
                <w:sz w:val="20"/>
                <w:szCs w:val="20"/>
                <w:color w:val="auto"/>
              </w:rPr>
            </w:pPr>
            <w:r>
              <w:rPr>
                <w:rFonts w:ascii="Arial" w:cs="Arial" w:eastAsia="Arial" w:hAnsi="Arial"/>
                <w:sz w:val="14"/>
                <w:szCs w:val="14"/>
                <w:b w:val="1"/>
                <w:bCs w:val="1"/>
                <w:color w:val="auto"/>
                <w:w w:val="87"/>
              </w:rPr>
              <w:t>Title of Class</w:t>
            </w:r>
          </w:p>
        </w:tc>
        <w:tc>
          <w:tcPr>
            <w:tcW w:w="2100" w:type="dxa"/>
            <w:vAlign w:val="bottom"/>
          </w:tcPr>
          <w:p>
            <w:pPr>
              <w:jc w:val="right"/>
              <w:ind w:right="122"/>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520" w:type="dxa"/>
            <w:vAlign w:val="bottom"/>
            <w:gridSpan w:val="2"/>
            <w:vMerge w:val="continue"/>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639"/>
              <w:spacing w:after="0"/>
              <w:rPr>
                <w:sz w:val="20"/>
                <w:szCs w:val="20"/>
                <w:color w:val="auto"/>
              </w:rPr>
            </w:pPr>
            <w:r>
              <w:rPr>
                <w:rFonts w:ascii="Arial" w:cs="Arial" w:eastAsia="Arial" w:hAnsi="Arial"/>
                <w:sz w:val="18"/>
                <w:szCs w:val="18"/>
                <w:color w:val="auto"/>
                <w:w w:val="88"/>
              </w:rPr>
              <w:t>Common Stock, $0.001 par value</w:t>
            </w:r>
          </w:p>
        </w:tc>
        <w:tc>
          <w:tcPr>
            <w:tcW w:w="4280" w:type="dxa"/>
            <w:vAlign w:val="bottom"/>
          </w:tcPr>
          <w:p>
            <w:pPr>
              <w:spacing w:after="0"/>
              <w:rPr>
                <w:sz w:val="18"/>
                <w:szCs w:val="18"/>
                <w:color w:val="auto"/>
              </w:rPr>
            </w:pPr>
          </w:p>
        </w:tc>
        <w:tc>
          <w:tcPr>
            <w:tcW w:w="2100" w:type="dxa"/>
            <w:vAlign w:val="bottom"/>
          </w:tcPr>
          <w:p>
            <w:pPr>
              <w:jc w:val="right"/>
              <w:ind w:right="882"/>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340"/>
          </w:cols>
          <w:pgMar w:left="240" w:top="459" w:right="13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60" w:right="3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w:t>
      </w:r>
      <w:r>
        <w:rPr>
          <w:rFonts w:ascii="Arial" w:cs="Arial" w:eastAsia="Arial" w:hAnsi="Arial"/>
          <w:sz w:val="11"/>
          <w:szCs w:val="11"/>
          <w:color w:val="auto"/>
        </w:rPr>
        <w:t>th</w:t>
      </w:r>
      <w:r>
        <w:rPr>
          <w:rFonts w:ascii="Arial" w:cs="Arial" w:eastAsia="Arial" w:hAnsi="Arial"/>
          <w:sz w:val="18"/>
          <w:szCs w:val="18"/>
          <w:color w:val="auto"/>
        </w:rPr>
        <w:t xml:space="preserve"> Avenue, 3rd floor,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171" w:lineRule="exact"/>
        <w:rPr>
          <w:rFonts w:ascii="Arial" w:cs="Arial" w:eastAsia="Arial" w:hAnsi="Arial"/>
          <w:sz w:val="18"/>
          <w:szCs w:val="18"/>
          <w:color w:val="auto"/>
        </w:rPr>
      </w:pPr>
    </w:p>
    <w:p>
      <w:pPr>
        <w:ind w:left="5580" w:right="1540" w:hanging="5001"/>
        <w:spacing w:after="0" w:line="440" w:lineRule="auto"/>
        <w:tabs>
          <w:tab w:leader="none" w:pos="82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 C-8</w:t>
      </w:r>
    </w:p>
    <w:p>
      <w:pPr>
        <w:sectPr>
          <w:pgSz w:w="11900" w:h="16838" w:orient="portrait"/>
          <w:cols w:equalWidth="0" w:num="1">
            <w:col w:w="10960"/>
          </w:cols>
          <w:pgMar w:left="240" w:top="460" w:right="6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60" w:right="1440"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580" w:right="200" w:hanging="1"/>
        <w:spacing w:after="0" w:line="259" w:lineRule="auto"/>
        <w:tabs>
          <w:tab w:leader="none" w:pos="82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hanging="1"/>
        <w:spacing w:after="0" w:line="318" w:lineRule="auto"/>
        <w:tabs>
          <w:tab w:leader="none" w:pos="829"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900" w:hanging="207"/>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700" w:right="360" w:hanging="7"/>
        <w:spacing w:after="0" w:line="357" w:lineRule="auto"/>
        <w:tabs>
          <w:tab w:leader="none" w:pos="958"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700" w:right="320" w:hanging="7"/>
        <w:spacing w:after="0" w:line="268" w:lineRule="auto"/>
        <w:tabs>
          <w:tab w:leader="none" w:pos="100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left="700" w:right="320" w:hanging="7"/>
        <w:spacing w:after="0" w:line="268" w:lineRule="auto"/>
        <w:tabs>
          <w:tab w:leader="none" w:pos="9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700" w:right="80" w:hanging="7"/>
        <w:spacing w:after="0" w:line="259" w:lineRule="auto"/>
        <w:tabs>
          <w:tab w:leader="none" w:pos="93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700" w:hanging="7"/>
        <w:spacing w:after="0" w:line="268" w:lineRule="auto"/>
        <w:tabs>
          <w:tab w:leader="none" w:pos="9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40" w:hanging="7"/>
        <w:spacing w:after="0" w:line="253" w:lineRule="auto"/>
        <w:tabs>
          <w:tab w:leader="none" w:pos="93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64" w:lineRule="exact"/>
        <w:rPr>
          <w:rFonts w:ascii="Arial" w:cs="Arial" w:eastAsia="Arial" w:hAnsi="Arial"/>
          <w:sz w:val="18"/>
          <w:szCs w:val="18"/>
          <w:color w:val="auto"/>
        </w:rPr>
      </w:pPr>
    </w:p>
    <w:p>
      <w:pPr>
        <w:ind w:left="700" w:hanging="7"/>
        <w:spacing w:after="0" w:line="255" w:lineRule="auto"/>
        <w:tabs>
          <w:tab w:leader="none" w:pos="91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62" w:lineRule="exact"/>
        <w:rPr>
          <w:sz w:val="20"/>
          <w:szCs w:val="20"/>
          <w:color w:val="auto"/>
        </w:rPr>
      </w:pPr>
    </w:p>
    <w:p>
      <w:pPr>
        <w:ind w:left="700" w:right="280" w:hanging="7"/>
        <w:spacing w:after="0" w:line="268" w:lineRule="auto"/>
        <w:tabs>
          <w:tab w:leader="none" w:pos="9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700" w:right="340" w:hanging="7"/>
        <w:spacing w:after="0" w:line="268" w:lineRule="auto"/>
        <w:tabs>
          <w:tab w:leader="none" w:pos="9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000" w:hanging="307"/>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sz w:val="20"/>
          <w:szCs w:val="20"/>
          <w:color w:val="auto"/>
        </w:rPr>
      </w:pPr>
    </w:p>
    <w:p>
      <w:pPr>
        <w:ind w:left="700" w:right="20" w:hanging="7"/>
        <w:spacing w:after="0" w:line="291" w:lineRule="auto"/>
        <w:tabs>
          <w:tab w:leader="none" w:pos="9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1933 Act, in the event the shares of the Registrant are trading below its net asset value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20" w:lineRule="exact"/>
        <w:rPr>
          <w:sz w:val="20"/>
          <w:szCs w:val="20"/>
          <w:color w:val="auto"/>
        </w:rPr>
      </w:pPr>
    </w:p>
    <w:p>
      <w:pPr>
        <w:ind w:left="580" w:right="20"/>
        <w:spacing w:after="0" w:line="306" w:lineRule="auto"/>
        <w:rPr>
          <w:sz w:val="20"/>
          <w:szCs w:val="20"/>
          <w:color w:val="auto"/>
        </w:rPr>
      </w:pPr>
      <w:r>
        <w:rPr>
          <w:rFonts w:ascii="Arial" w:cs="Arial" w:eastAsia="Arial" w:hAnsi="Arial"/>
          <w:sz w:val="16"/>
          <w:szCs w:val="16"/>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26" w:lineRule="exact"/>
        <w:rPr>
          <w:sz w:val="20"/>
          <w:szCs w:val="20"/>
          <w:color w:val="auto"/>
        </w:rPr>
      </w:pPr>
    </w:p>
    <w:p>
      <w:pPr>
        <w:ind w:left="700" w:right="20" w:hanging="7"/>
        <w:spacing w:after="0" w:line="259" w:lineRule="auto"/>
        <w:tabs>
          <w:tab w:leader="none" w:pos="949"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580" w:right="220" w:hanging="1"/>
        <w:spacing w:after="0" w:line="259" w:lineRule="auto"/>
        <w:tabs>
          <w:tab w:leader="none" w:pos="82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line="298" w:lineRule="auto"/>
        <w:rPr>
          <w:sz w:val="20"/>
          <w:szCs w:val="20"/>
          <w:color w:val="auto"/>
        </w:rPr>
      </w:pPr>
      <w:r>
        <w:rPr>
          <w:rFonts w:ascii="Arial" w:cs="Arial" w:eastAsia="Arial" w:hAnsi="Arial"/>
          <w:sz w:val="16"/>
          <w:szCs w:val="16"/>
          <w:color w:val="auto"/>
        </w:rPr>
        <w:t>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360"/>
          </w:cols>
          <w:pgMar w:left="240" w:top="459" w:right="2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4 to the Registration Statement on Form N-2 to be signed on its behalf by the undersigned, thereunto duly authorized, in the City of New York, and State of New York, on the 7th day of December 2018.</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By:</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r>
      <w:tr>
        <w:trPr>
          <w:trHeight w:val="224"/>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Name: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600" w:type="dxa"/>
            <w:vAlign w:val="bottom"/>
          </w:tcPr>
          <w:p>
            <w:pPr>
              <w:jc w:val="right"/>
              <w:ind w:right="12"/>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600" w:type="dxa"/>
            <w:vAlign w:val="bottom"/>
          </w:tcPr>
          <w:p>
            <w:pPr>
              <w:spacing w:after="0"/>
              <w:rPr>
                <w:sz w:val="19"/>
                <w:szCs w:val="19"/>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Board</w:t>
            </w:r>
          </w:p>
        </w:tc>
      </w:tr>
    </w:tbl>
    <w:p>
      <w:pPr>
        <w:spacing w:after="0" w:line="16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4 to the Registration Statement on Form N-2 has been signed by the following persons in the capacities set forth below on the 7th day of December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760" w:type="dxa"/>
            <w:vAlign w:val="bottom"/>
          </w:tcPr>
          <w:p>
            <w:pPr>
              <w:spacing w:after="0"/>
              <w:rPr>
                <w:sz w:val="20"/>
                <w:szCs w:val="20"/>
                <w:color w:val="auto"/>
              </w:rPr>
            </w:pP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Arthur H. Penn</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17"/>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4"/>
              </w:rPr>
              <w:t>Arthur H. Penn</w:t>
            </w:r>
          </w:p>
        </w:tc>
        <w:tc>
          <w:tcPr>
            <w:tcW w:w="760" w:type="dxa"/>
            <w:vAlign w:val="bottom"/>
          </w:tcPr>
          <w:p>
            <w:pPr>
              <w:spacing w:after="0"/>
              <w:rPr>
                <w:sz w:val="18"/>
                <w:szCs w:val="18"/>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Aviv Efrat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Adam K. Bernstein</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r>
        <w:trPr>
          <w:trHeight w:val="431"/>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24"/>
        </w:trPr>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76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Director</w:t>
            </w:r>
          </w:p>
        </w:tc>
      </w:tr>
    </w:tbl>
    <w:p>
      <w:pPr>
        <w:spacing w:after="0" w:line="195" w:lineRule="exact"/>
        <w:rPr>
          <w:sz w:val="20"/>
          <w:szCs w:val="20"/>
          <w:color w:val="auto"/>
        </w:rPr>
      </w:pPr>
    </w:p>
    <w:p>
      <w:pPr>
        <w:ind w:left="5540" w:right="1440" w:hanging="5532"/>
        <w:spacing w:after="0" w:line="440" w:lineRule="auto"/>
        <w:tabs>
          <w:tab w:leader="none" w:pos="2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an attorney-in-fact signed by each on December 15, 2016. C-13</w:t>
      </w:r>
    </w:p>
    <w:p>
      <w:pPr>
        <w:sectPr>
          <w:pgSz w:w="11900" w:h="16838" w:orient="portrait"/>
          <w:cols w:equalWidth="0" w:num="1">
            <w:col w:w="11420"/>
          </w:cols>
          <w:pgMar w:left="240" w:top="460"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We consent to use in this Post-Effective Amendment No. 4 to the Registration Statement (No. 333-215111) on Form N-2 of PennantPark Floating Rate Capital Ltd. and Subsidiaries of our reports dated November 14, 2018, relating to the consolidated financial statements and the effectiveness of internal control over financial reporting of PennantPark Floating Rate Capital Ltd. and Subsidiaries, appearing in the Prospectus, which is part of this Registration Statement, and of our report dated November 14, 2018, relating to the senior securities table appearing elsewhere in this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“Independent Registered Public Accounting Firm” in such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7, 2018</w:t>
      </w:r>
    </w:p>
    <w:p>
      <w:pPr>
        <w:sectPr>
          <w:pgSz w:w="11900" w:h="16838" w:orient="portrait"/>
          <w:cols w:equalWidth="0" w:num="1">
            <w:col w:w="11420"/>
          </w:cols>
          <w:pgMar w:left="240" w:top="125"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Subsidiaries</w:t>
      </w:r>
    </w:p>
    <w:p>
      <w:pPr>
        <w:spacing w:after="0" w:line="2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audit of the consolidated financial statements and internal control over financial reporting referred to in our reports dated November 14, 2018, (appearing in the accompanying registration statement on Form N-2) also included an audit of the senior securities table of PennantPark Floating Rate Capital Ltd. and Subsidiaries appearing in this Registration Statement on Form N-2. This table is the responsibility of PennantPark Floating Rate Capital Ltd. and Subsidiaries’ management. Our responsibility is to express an opinion based on our audit of the consolidated financial statements.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1)"/>
      <w:numFmt w:val="decimal"/>
      <w:start w:val="1"/>
    </w:lvl>
  </w:abstractNum>
  <w:abstractNum w:abstractNumId="2">
    <w:nsid w:val="100F8FCA"/>
    <w:multiLevelType w:val="hybridMultilevel"/>
    <w:lvl w:ilvl="0">
      <w:lvlJc w:val="left"/>
      <w:lvlText w:val="(%1)"/>
      <w:numFmt w:val="decimal"/>
      <w:start w:val="1"/>
    </w:lvl>
  </w:abstractNum>
  <w:abstractNum w:abstractNumId="3">
    <w:nsid w:val="6590700B"/>
    <w:multiLevelType w:val="hybridMultilevel"/>
    <w:lvl w:ilvl="0">
      <w:lvlJc w:val="left"/>
      <w:lvlText w:val="(%1)"/>
      <w:numFmt w:val="decimal"/>
      <w:start w:val="7"/>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1)"/>
      <w:numFmt w:val="decimal"/>
      <w:start w:val="2"/>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1)"/>
      <w:numFmt w:val="decimal"/>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1."/>
      <w:numFmt w:val="decimal"/>
      <w:start w:val="1"/>
    </w:lvl>
  </w:abstractNum>
  <w:abstractNum w:abstractNumId="12">
    <w:nsid w:val="661E3F1E"/>
    <w:multiLevelType w:val="hybridMultilevel"/>
    <w:lvl w:ilvl="0">
      <w:lvlJc w:val="left"/>
      <w:lvlText w:val="%1."/>
      <w:numFmt w:val="decimal"/>
      <w:start w:val="2"/>
    </w:lvl>
  </w:abstractNum>
  <w:abstractNum w:abstractNumId="13">
    <w:nsid w:val="5DC79EA8"/>
    <w:multiLevelType w:val="hybridMultilevel"/>
    <w:lvl w:ilvl="0">
      <w:lvlJc w:val="left"/>
      <w:lvlText w:val="%1."/>
      <w:numFmt w:val="decimal"/>
      <w:start w:val="3"/>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1)"/>
      <w:numFmt w:val="decimal"/>
      <w:start w:val="1"/>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decimal"/>
      <w:start w:val="5"/>
    </w:lvl>
  </w:abstractNum>
  <w:abstractNum w:abstractNumId="30">
    <w:nsid w:val="7FFFCA11"/>
    <w:multiLevelType w:val="hybridMultilevel"/>
    <w:lvl w:ilvl="0">
      <w:lvlJc w:val="left"/>
      <w:lvlText w:val="(%1)"/>
      <w:numFmt w:val="decimal"/>
      <w:start w:val="1"/>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1)"/>
      <w:numFmt w:val="lowerRoman"/>
      <w:start w:val="3"/>
    </w:lvl>
  </w:abstractNum>
  <w:abstractNum w:abstractNumId="33">
    <w:nsid w:val="100F59DC"/>
    <w:multiLevelType w:val="hybridMultilevel"/>
    <w:lvl w:ilvl="0">
      <w:lvlJc w:val="left"/>
      <w:lvlText w:val="(%1)"/>
      <w:numFmt w:val="decimal"/>
      <w:start w:val="1"/>
    </w:lvl>
  </w:abstractNum>
  <w:abstractNum w:abstractNumId="34">
    <w:nsid w:val="7FB7E0AA"/>
    <w:multiLevelType w:val="hybridMultilevel"/>
    <w:lvl w:ilvl="0">
      <w:lvlJc w:val="left"/>
      <w:lvlText w:val="(%1)"/>
      <w:numFmt w:val="decimal"/>
      <w:start w:val="3"/>
    </w:lvl>
  </w:abstractNum>
  <w:abstractNum w:abstractNumId="35">
    <w:nsid w:val="6EB5BD4"/>
    <w:multiLevelType w:val="hybridMultilevel"/>
    <w:lvl w:ilvl="0">
      <w:lvlJc w:val="left"/>
      <w:lvlText w:val="(%1)"/>
      <w:numFmt w:val="decimal"/>
      <w:start w:val="1"/>
    </w:lvl>
  </w:abstractNum>
  <w:abstractNum w:abstractNumId="36">
    <w:nsid w:val="6F6DD9AC"/>
    <w:multiLevelType w:val="hybridMultilevel"/>
    <w:lvl w:ilvl="0">
      <w:lvlJc w:val="left"/>
      <w:lvlText w:val="(%1)"/>
      <w:numFmt w:val="decimal"/>
      <w:start w:val="1"/>
    </w:lvl>
  </w:abstractNum>
  <w:abstractNum w:abstractNumId="37">
    <w:nsid w:val="94211F2"/>
    <w:multiLevelType w:val="hybridMultilevel"/>
    <w:lvl w:ilvl="0">
      <w:lvlJc w:val="left"/>
      <w:lvlText w:val="(%1)"/>
      <w:numFmt w:val="decimal"/>
      <w:start w:val="1"/>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1"/>
    </w:lvl>
  </w:abstractNum>
  <w:abstractNum w:abstractNumId="40">
    <w:nsid w:val="4C04A8AF"/>
    <w:multiLevelType w:val="hybridMultilevel"/>
    <w:lvl w:ilvl="0">
      <w:lvlJc w:val="left"/>
      <w:lvlText w:val="•"/>
      <w:numFmt w:val="bullet"/>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1)"/>
      <w:numFmt w:val="lowerLetter"/>
      <w:start w:val="2"/>
    </w:lvl>
    <w:lvl w:ilvl="1">
      <w:lvlJc w:val="left"/>
      <w:lvlText w:val="•"/>
      <w:numFmt w:val="bullet"/>
      <w:start w:val="1"/>
    </w:lvl>
  </w:abstractNum>
  <w:abstractNum w:abstractNumId="46">
    <w:nsid w:val="2DF6D648"/>
    <w:multiLevelType w:val="hybridMultilevel"/>
    <w:lvl w:ilvl="0">
      <w:lvlJc w:val="left"/>
      <w:lvlText w:val="•"/>
      <w:numFmt w:val="bullet"/>
      <w:start w:val="1"/>
    </w:lvl>
  </w:abstractNum>
  <w:abstractNum w:abstractNumId="47">
    <w:nsid w:val="46B7D447"/>
    <w:multiLevelType w:val="hybridMultilevel"/>
    <w:lvl w:ilvl="0">
      <w:lvlJc w:val="left"/>
      <w:lvlText w:val="•"/>
      <w:numFmt w:val="bullet"/>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1)"/>
      <w:numFmt w:val="decimal"/>
      <w:start w:val="1"/>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1)"/>
      <w:numFmt w:val="decimal"/>
      <w:start w:val="4"/>
    </w:lvl>
  </w:abstractNum>
  <w:abstractNum w:abstractNumId="54">
    <w:nsid w:val="26F324BA"/>
    <w:multiLevelType w:val="hybridMultilevel"/>
    <w:lvl w:ilvl="0">
      <w:lvlJc w:val="left"/>
      <w:lvlText w:val="(%1)"/>
      <w:numFmt w:val="decimal"/>
      <w:start w:val="1"/>
    </w:lvl>
  </w:abstractNum>
  <w:abstractNum w:abstractNumId="55">
    <w:nsid w:val="7F01579B"/>
    <w:multiLevelType w:val="hybridMultilevel"/>
    <w:lvl w:ilvl="0">
      <w:lvlJc w:val="left"/>
      <w:lvlText w:val="(%1)"/>
      <w:numFmt w:val="decimal"/>
      <w:start w:val="1"/>
    </w:lvl>
  </w:abstractNum>
  <w:abstractNum w:abstractNumId="56">
    <w:nsid w:val="49DA307D"/>
    <w:multiLevelType w:val="hybridMultilevel"/>
    <w:lvl w:ilvl="0">
      <w:lvlJc w:val="left"/>
      <w:lvlText w:val="*"/>
      <w:numFmt w:val="bullet"/>
      <w:start w:val="1"/>
    </w:lvl>
  </w:abstractNum>
  <w:abstractNum w:abstractNumId="57">
    <w:nsid w:val="7055A5F5"/>
    <w:multiLevelType w:val="hybridMultilevel"/>
    <w:lvl w:ilvl="0">
      <w:lvlJc w:val="left"/>
      <w:lvlText w:val="(%1)"/>
      <w:numFmt w:val="decimal"/>
      <w:start w:val="1"/>
    </w:lvl>
  </w:abstractNum>
  <w:abstractNum w:abstractNumId="58">
    <w:nsid w:val="5FB8370B"/>
    <w:multiLevelType w:val="hybridMultilevel"/>
    <w:lvl w:ilvl="0">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
      <w:numFmt w:val="bullet"/>
      <w:start w:val="1"/>
    </w:lvl>
  </w:abstractNum>
  <w:abstractNum w:abstractNumId="61">
    <w:nsid w:val="5FB8011C"/>
    <w:multiLevelType w:val="hybridMultilevel"/>
    <w:lvl w:ilvl="0">
      <w:lvlJc w:val="left"/>
      <w:lvlText w:val="*"/>
      <w:numFmt w:val="bullet"/>
      <w:start w:val="1"/>
    </w:lvl>
  </w:abstractNum>
  <w:abstractNum w:abstractNumId="62">
    <w:nsid w:val="6AA78F7F"/>
    <w:multiLevelType w:val="hybridMultilevel"/>
    <w:lvl w:ilvl="0">
      <w:lvlJc w:val="left"/>
      <w:lvlText w:val="(%1)"/>
      <w:numFmt w:val="decimal"/>
      <w:start w:val="1"/>
    </w:lvl>
  </w:abstractNum>
  <w:abstractNum w:abstractNumId="63">
    <w:nsid w:val="7672BD23"/>
    <w:multiLevelType w:val="hybridMultilevel"/>
    <w:lvl w:ilvl="0">
      <w:lvlJc w:val="left"/>
      <w:lvlText w:val="(%1)"/>
      <w:numFmt w:val="decimal"/>
      <w:start w:val="1"/>
    </w:lvl>
  </w:abstractNum>
  <w:abstractNum w:abstractNumId="64">
    <w:nsid w:val="6FC75AF8"/>
    <w:multiLevelType w:val="hybridMultilevel"/>
    <w:lvl w:ilvl="0">
      <w:lvlJc w:val="left"/>
      <w:lvlText w:val="(%1)"/>
      <w:numFmt w:val="decimal"/>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
      <w:numFmt w:val="bullet"/>
      <w:start w:val="1"/>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
      <w:numFmt w:val="bullet"/>
      <w:start w:val="1"/>
    </w:lvl>
  </w:abstractNum>
  <w:abstractNum w:abstractNumId="77">
    <w:nsid w:val="1FBFE8E0"/>
    <w:multiLevelType w:val="hybridMultilevel"/>
    <w:lvl w:ilvl="0">
      <w:lvlJc w:val="left"/>
      <w:lvlText w:val="•"/>
      <w:numFmt w:val="bullet"/>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
      <w:numFmt w:val="bullet"/>
      <w:start w:val="1"/>
    </w:lvl>
  </w:abstractNum>
  <w:abstractNum w:abstractNumId="90">
    <w:nsid w:val="23D86AAC"/>
    <w:multiLevelType w:val="hybridMultilevel"/>
    <w:lvl w:ilvl="0">
      <w:lvlJc w:val="left"/>
      <w:lvlText w:val="•"/>
      <w:numFmt w:val="bullet"/>
      <w:start w:val="1"/>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3C5991AA"/>
    <w:multiLevelType w:val="hybridMultilevel"/>
    <w:lvl w:ilvl="0">
      <w:lvlJc w:val="left"/>
      <w:lvlText w:val="(%1)"/>
      <w:numFmt w:val="decimal"/>
      <w:start w:val="2"/>
    </w:lvl>
  </w:abstractNum>
  <w:abstractNum w:abstractNumId="95">
    <w:nsid w:val="4BD8591A"/>
    <w:multiLevelType w:val="hybridMultilevel"/>
    <w:lvl w:ilvl="0">
      <w:lvlJc w:val="left"/>
      <w:lvlText w:val="•"/>
      <w:numFmt w:val="bullet"/>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lvl w:ilvl="1">
      <w:lvlJc w:val="left"/>
      <w:lvlText w:val="%2)"/>
      <w:numFmt w:val="decimal"/>
      <w:start w:val="1"/>
    </w:lvl>
  </w:abstractNum>
  <w:abstractNum w:abstractNumId="98">
    <w:nsid w:val="2B0D8DBE"/>
    <w:multiLevelType w:val="hybridMultilevel"/>
    <w:lvl w:ilvl="0">
      <w:lvlJc w:val="left"/>
      <w:lvlText w:val="(%1)"/>
      <w:numFmt w:val="decimal"/>
      <w:start w:val="2"/>
    </w:lvl>
  </w:abstractNum>
  <w:abstractNum w:abstractNumId="99">
    <w:nsid w:val="6C80EC70"/>
    <w:multiLevelType w:val="hybridMultilevel"/>
    <w:lvl w:ilvl="0">
      <w:lvlJc w:val="left"/>
      <w:lvlText w:val="•"/>
      <w:numFmt w:val="bullet"/>
      <w:start w:val="1"/>
    </w:lvl>
  </w:abstractNum>
  <w:abstractNum w:abstractNumId="100">
    <w:nsid w:val="379E21B5"/>
    <w:multiLevelType w:val="hybridMultilevel"/>
    <w:lvl w:ilvl="0">
      <w:lvlJc w:val="left"/>
      <w:lvlText w:val="(%1)"/>
      <w:numFmt w:val="decimal"/>
      <w:start w:val="1"/>
    </w:lvl>
  </w:abstractNum>
  <w:abstractNum w:abstractNumId="101">
    <w:nsid w:val="69E373"/>
    <w:multiLevelType w:val="hybridMultilevel"/>
    <w:lvl w:ilvl="0">
      <w:lvlJc w:val="left"/>
      <w:lvlText w:val="(%1)"/>
      <w:numFmt w:val="decimal"/>
      <w:start w:val="6"/>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1"/>
    </w:lvl>
  </w:abstractNum>
  <w:abstractNum w:abstractNumId="104">
    <w:nsid w:val="6AA7B75C"/>
    <w:multiLevelType w:val="hybridMultilevel"/>
    <w:lvl w:ilvl="0">
      <w:lvlJc w:val="left"/>
      <w:lvlText w:val="(%1)"/>
      <w:numFmt w:val="decimal"/>
      <w:start w:val="4"/>
    </w:lvl>
  </w:abstractNum>
  <w:abstractNum w:abstractNumId="105">
    <w:nsid w:val="1DF029D3"/>
    <w:multiLevelType w:val="hybridMultilevel"/>
    <w:lvl w:ilvl="0">
      <w:lvlJc w:val="left"/>
      <w:lvlText w:val="%1."/>
      <w:numFmt w:val="decimal"/>
      <w:start w:val="1"/>
    </w:lvl>
  </w:abstractNum>
  <w:abstractNum w:abstractNumId="106">
    <w:nsid w:val="5675FF36"/>
    <w:multiLevelType w:val="hybridMultilevel"/>
    <w:lvl w:ilvl="0">
      <w:lvlJc w:val="left"/>
      <w:lvlText w:val="%1."/>
      <w:numFmt w:val="decimal"/>
      <w:start w:val="2"/>
    </w:lvl>
  </w:abstractNum>
  <w:abstractNum w:abstractNumId="107">
    <w:nsid w:val="3DD15094"/>
    <w:multiLevelType w:val="hybridMultilevel"/>
    <w:lvl w:ilvl="0">
      <w:lvlJc w:val="left"/>
      <w:lvlText w:val="(%1)"/>
      <w:numFmt w:val="decimal"/>
      <w:start w:val="1"/>
    </w:lvl>
  </w:abstractNum>
  <w:abstractNum w:abstractNumId="108">
    <w:nsid w:val="3DB012B3"/>
    <w:multiLevelType w:val="hybridMultilevel"/>
    <w:lvl w:ilvl="0">
      <w:lvlJc w:val="left"/>
      <w:lvlText w:val="(%1)"/>
      <w:numFmt w:val="lowerRoman"/>
      <w:start w:val="3"/>
    </w:lvl>
  </w:abstractNum>
  <w:abstractNum w:abstractNumId="109">
    <w:nsid w:val="2708C9AF"/>
    <w:multiLevelType w:val="hybridMultilevel"/>
    <w:lvl w:ilvl="0">
      <w:lvlJc w:val="left"/>
      <w:lvlText w:val="(%1)"/>
      <w:numFmt w:val="decimal"/>
      <w:start w:val="1"/>
    </w:lvl>
  </w:abstractNum>
  <w:abstractNum w:abstractNumId="110">
    <w:nsid w:val="5B25ACE2"/>
    <w:multiLevelType w:val="hybridMultilevel"/>
    <w:lvl w:ilvl="0">
      <w:lvlJc w:val="left"/>
      <w:lvlText w:val="(%1)"/>
      <w:numFmt w:val="decimal"/>
      <w:start w:val="1"/>
    </w:lvl>
  </w:abstractNum>
  <w:abstractNum w:abstractNumId="111">
    <w:nsid w:val="175DFCF0"/>
    <w:multiLevelType w:val="hybridMultilevel"/>
    <w:lvl w:ilvl="0">
      <w:lvlJc w:val="left"/>
      <w:lvlText w:val="(%1)"/>
      <w:numFmt w:val="decimal"/>
      <w:start w:val="1"/>
    </w:lvl>
  </w:abstractNum>
  <w:abstractNum w:abstractNumId="112">
    <w:nsid w:val="4F97E3E4"/>
    <w:multiLevelType w:val="hybridMultilevel"/>
    <w:lvl w:ilvl="0">
      <w:lvlJc w:val="left"/>
      <w:lvlText w:val="(%1)"/>
      <w:numFmt w:val="decimal"/>
      <w:start w:val="1"/>
    </w:lvl>
  </w:abstractNum>
  <w:abstractNum w:abstractNumId="113">
    <w:nsid w:val="53B0A9E"/>
    <w:multiLevelType w:val="hybridMultilevel"/>
    <w:lvl w:ilvl="0">
      <w:lvlJc w:val="left"/>
      <w:lvlText w:val="(%1)"/>
      <w:numFmt w:val="decimal"/>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1)"/>
      <w:numFmt w:val="decimal"/>
      <w:start w:val="1"/>
    </w:lvl>
  </w:abstractNum>
  <w:abstractNum w:abstractNumId="116">
    <w:nsid w:val="56438D15"/>
    <w:multiLevelType w:val="hybridMultilevel"/>
    <w:lvl w:ilvl="0">
      <w:lvlJc w:val="left"/>
      <w:lvlText w:val="1"/>
      <w:numFmt w:val="bullet"/>
      <w:start w:val="1"/>
    </w:lvl>
  </w:abstractNum>
  <w:abstractNum w:abstractNumId="117">
    <w:nsid w:val="519E3149"/>
    <w:multiLevelType w:val="hybridMultilevel"/>
    <w:lvl w:ilvl="0">
      <w:lvlJc w:val="left"/>
      <w:lvlText w:val="2"/>
      <w:numFmt w:val="bullet"/>
      <w:start w:val="1"/>
    </w:lvl>
  </w:abstractNum>
  <w:abstractNum w:abstractNumId="118">
    <w:nsid w:val="2C6E4AFD"/>
    <w:multiLevelType w:val="hybridMultilevel"/>
    <w:lvl w:ilvl="0">
      <w:lvlJc w:val="left"/>
      <w:lvlText w:val="(%1)"/>
      <w:numFmt w:val="lowerLetter"/>
      <w:start w:val="1"/>
    </w:lvl>
  </w:abstractNum>
  <w:abstractNum w:abstractNumId="119">
    <w:nsid w:val="17A1B582"/>
    <w:multiLevelType w:val="hybridMultilevel"/>
    <w:lvl w:ilvl="0">
      <w:lvlJc w:val="left"/>
      <w:lvlText w:val="(%1)"/>
      <w:numFmt w:val="lowerLetter"/>
      <w:start w:val="7"/>
    </w:lvl>
  </w:abstractNum>
  <w:abstractNum w:abstractNumId="120">
    <w:nsid w:val="4DF72E4E"/>
    <w:multiLevelType w:val="hybridMultilevel"/>
    <w:lvl w:ilvl="0">
      <w:lvlJc w:val="left"/>
      <w:lvlText w:val="(%1)"/>
      <w:numFmt w:val="lowerLetter"/>
      <w:start w:val="10"/>
    </w:lvl>
  </w:abstractNum>
  <w:abstractNum w:abstractNumId="121">
    <w:nsid w:val="5046B5A9"/>
    <w:multiLevelType w:val="hybridMultilevel"/>
    <w:lvl w:ilvl="0">
      <w:lvlJc w:val="left"/>
      <w:lvlText w:val="2"/>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1)"/>
      <w:numFmt w:val="decimal"/>
      <w:start w:val="1"/>
    </w:lvl>
  </w:abstractNum>
  <w:abstractNum w:abstractNumId="126">
    <w:nsid w:val="75E0858A"/>
    <w:multiLevelType w:val="hybridMultilevel"/>
    <w:lvl w:ilvl="0">
      <w:lvlJc w:val="left"/>
      <w:lvlText w:val="(%1)"/>
      <w:numFmt w:val="lowerRoman"/>
      <w:start w:val="1"/>
    </w:lvl>
  </w:abstractNum>
  <w:abstractNum w:abstractNumId="127">
    <w:nsid w:val="57A61A29"/>
    <w:multiLevelType w:val="hybridMultilevel"/>
    <w:lvl w:ilvl="0">
      <w:lvlJc w:val="left"/>
      <w:lvlText w:val="(%1)"/>
      <w:numFmt w:val="lowerLetter"/>
      <w:start w:val="2"/>
    </w:lvl>
  </w:abstractNum>
  <w:abstractNum w:abstractNumId="128">
    <w:nsid w:val="5399C654"/>
    <w:multiLevelType w:val="hybridMultilevel"/>
    <w:lvl w:ilvl="0">
      <w:lvlJc w:val="left"/>
      <w:lvlText w:val="(%1)"/>
      <w:numFmt w:val="lowerLetter"/>
      <w:start w:val="5"/>
    </w:lvl>
  </w:abstractNum>
  <w:abstractNum w:abstractNumId="129">
    <w:nsid w:val="20EE1348"/>
    <w:multiLevelType w:val="hybridMultilevel"/>
    <w:lvl w:ilvl="0">
      <w:lvlJc w:val="left"/>
      <w:lvlText w:val="(%1)"/>
      <w:numFmt w:val="lowerRoman"/>
      <w:start w:val="1"/>
    </w:lvl>
  </w:abstractNum>
  <w:abstractNum w:abstractNumId="130">
    <w:nsid w:val="4427069A"/>
    <w:multiLevelType w:val="hybridMultilevel"/>
    <w:lvl w:ilvl="0">
      <w:lvlJc w:val="left"/>
      <w:lvlText w:val="(%1)"/>
      <w:numFmt w:val="lowerLetter"/>
      <w:start w:val="7"/>
    </w:lvl>
  </w:abstractNum>
  <w:abstractNum w:abstractNumId="131">
    <w:nsid w:val="B37E80A"/>
    <w:multiLevelType w:val="hybridMultilevel"/>
    <w:lvl w:ilvl="0">
      <w:lvlJc w:val="left"/>
      <w:lvlText w:val="%1"/>
      <w:numFmt w:val="decimal"/>
      <w:start w:val="1"/>
    </w:lvl>
    <w:lvl w:ilvl="1">
      <w:lvlJc w:val="left"/>
      <w:lvlText w:val="(%2)"/>
      <w:numFmt w:val="lowerLetter"/>
      <w:start w:val="2"/>
    </w:lvl>
  </w:abstractNum>
  <w:abstractNum w:abstractNumId="132">
    <w:nsid w:val="2157F6BC"/>
    <w:multiLevelType w:val="hybridMultilevel"/>
    <w:lvl w:ilvl="0">
      <w:lvlJc w:val="left"/>
      <w:lvlText w:val="(%1)"/>
      <w:numFmt w:val="decimal"/>
      <w:start w:val="6"/>
    </w:lvl>
    <w:lvl w:ilvl="1">
      <w:lvlJc w:val="left"/>
      <w:lvlText w:val="%2"/>
      <w:numFmt w:val="lowerLetter"/>
      <w:start w:val="1"/>
    </w:lvl>
  </w:abstractNum>
  <w:abstractNum w:abstractNumId="133">
    <w:nsid w:val="704E1DD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2019-12-07T20:59:02Z</dcterms:created>
  <dcterms:modified xsi:type="dcterms:W3CDTF">2019-12-07T20:59:02Z</dcterms:modified>
</cp:coreProperties>
</file>