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16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-3049905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-2252345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-1917700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-811530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-476885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cordially invited to attend the 2016 Joint Annual Meeting of Stockholders of PennantPark Investment Corporation (“PNNT”) and PennantPark Floating Rate Capital Ltd. (“PFLT” and PNNT each, a “Company” and together, the “Companies”) to be held on February 2, 2016 at 9:30 a.m., Eastern Time, at the offices of Dechert LLP, located at 1095 Avenue of the Americas, New York, New York.</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Notice of Joint Annual Meeting of Stockholders and the Joint Proxy Statement of the Companies, which is accessible on the Internet or by request, provides an outline of the business to be conducted at the Joint Annual Meeting of Stockholders. At the meeting, you will be asked to: (1) elect one director for PNNT and/or two directors for PFLT and (2) ratify the selection of RSM US LLP (formerly McGladrey LLP) as your Company’s independent registered public accounting firm for the fiscal year ending September 30, 2016. I will also report on the progress of the Companies during the past year and respond to stockholders’ questions.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Special Meeting of Stockholders, which will be held on the same date and at the same location as the Joint Annual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2, 2016</w:t>
      </w:r>
    </w:p>
    <w:p>
      <w:pPr>
        <w:spacing w:after="0" w:line="84"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December 1, 2015</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2016 Joint Annual Meeting of Stockholders of the Companies (the “Annual Meeting”) will be held at the offices of Dechert LLP, located at 1095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Avenue of the Americas, New York, New York, on February 2, 2016 at 9:30 a.m., Eastern Time, for the following purposes, as to each Company:</w:t>
      </w:r>
    </w:p>
    <w:p>
      <w:pPr>
        <w:spacing w:after="0" w:line="107" w:lineRule="exact"/>
        <w:rPr>
          <w:sz w:val="20"/>
          <w:szCs w:val="20"/>
          <w:color w:val="auto"/>
        </w:rPr>
      </w:pPr>
    </w:p>
    <w:p>
      <w:pPr>
        <w:ind w:left="1080" w:right="1120" w:hanging="613"/>
        <w:spacing w:after="0" w:line="25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 the Stockholders of PNNT</w:t>
      </w:r>
      <w:r>
        <w:rPr>
          <w:rFonts w:ascii="Arial" w:cs="Arial" w:eastAsia="Arial" w:hAnsi="Arial"/>
          <w:sz w:val="18"/>
          <w:szCs w:val="18"/>
          <w:color w:val="auto"/>
        </w:rPr>
        <w:t>: To elect one director to the Board of the Company, who will serve until the 2019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his successor is duly elected and qualifies; and</w:t>
      </w:r>
    </w:p>
    <w:p>
      <w:pPr>
        <w:ind w:left="1080" w:right="720" w:hanging="613"/>
        <w:spacing w:after="0" w:line="250"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 the Stockholders of PFLT</w:t>
      </w:r>
      <w:r>
        <w:rPr>
          <w:rFonts w:ascii="Arial" w:cs="Arial" w:eastAsia="Arial" w:hAnsi="Arial"/>
          <w:sz w:val="18"/>
          <w:szCs w:val="18"/>
          <w:color w:val="auto"/>
        </w:rPr>
        <w:t>: To elect two directors to the Board of the Company, who will each serve until the 2019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his successor is duly elected and qualifies; and</w:t>
      </w:r>
    </w:p>
    <w:p>
      <w:pPr>
        <w:ind w:left="1080" w:right="780" w:hanging="613"/>
        <w:spacing w:after="0" w:line="26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RSM US LLP (formerly McGladrey LLP) to serve as the Company’s independent registered public accounting firm for the fiscal year ending September 30, 2016.</w:t>
      </w:r>
    </w:p>
    <w:p>
      <w:pPr>
        <w:spacing w:after="0" w:line="5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PNNT and/or a stockholder of record of PFLT at the close of business on November 20, 2015.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3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the Company.</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9756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7646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98"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2016 Joint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2, 2016</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2016 Joint Annual Meeting of Stockholders (the “Meeting”) to be held on Tuesday, February 2, 2016 at 9:30 a.m., Eastern Time, at the offices of Dechert LLP, located at 1095 Avenue of the Americas, New York, New York, and at any postponements or adjournments thereof. This Joint Proxy Statement and each Company’s Annual Report for the fiscal year ended September 30, 2015 are being provided to the stockholders thereof (the “Stockholders”) via the Internet on or about December 1, 2015. In addition, a Notice of Annual Meeting and a Notice of Internet Availability of Proxy Materials are being sent to Stockholders of record of PNNT and Stockholders of record of PFLT as of November 20, 2015.</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of each of the Companies of soliciting proxies for the Meeting.</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 for your Company:</w:t>
      </w:r>
    </w:p>
    <w:p>
      <w:pPr>
        <w:spacing w:after="0" w:line="90" w:lineRule="exact"/>
        <w:rPr>
          <w:sz w:val="20"/>
          <w:szCs w:val="20"/>
          <w:color w:val="auto"/>
        </w:rPr>
      </w:pPr>
    </w:p>
    <w:p>
      <w:pPr>
        <w:ind w:left="1100" w:right="700" w:hanging="633"/>
        <w:spacing w:after="0" w:line="268" w:lineRule="auto"/>
        <w:tabs>
          <w:tab w:leader="none" w:pos="78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To elect one director to the Board of PNNT, who will serve until the 2019 annual meeting of stockholders and until his successor is duly elected and qualifies;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 w:name="page5"/>
    <w:bookmarkEnd w:id="4"/>
    <w:p>
      <w:pPr>
        <w:ind w:left="1100" w:right="480" w:hanging="309"/>
        <w:spacing w:after="0" w:line="268"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elect two directors to the Board of the PFLT, who will each serve until the 2019 annual meeting of stockholders and until his successor is duly elected and qualifies (together with clause (a) above, “Proposal 1”); and</w:t>
      </w:r>
    </w:p>
    <w:p>
      <w:pPr>
        <w:spacing w:after="0" w:line="77" w:lineRule="exact"/>
        <w:rPr>
          <w:rFonts w:ascii="Arial" w:cs="Arial" w:eastAsia="Arial" w:hAnsi="Arial"/>
          <w:sz w:val="18"/>
          <w:szCs w:val="18"/>
          <w:color w:val="auto"/>
        </w:rPr>
      </w:pPr>
    </w:p>
    <w:p>
      <w:pPr>
        <w:ind w:left="1100" w:right="760" w:hanging="633"/>
        <w:spacing w:after="0" w:line="268"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RSM US LLP (formerly McGladrey LLP) to serve as the Company’s independent registered public accounting firm for the fiscal year ending September 30, 2016 (“Proposal 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November 20, 2015 (the “Record Date”). There were 72,966,043 shares of PNNT common stock and 26,730,074 shares of PFLT common stock (the “Common Stock”) outstanding on the Record Date. Stockholders are entitled to one vote for each share of Common Stock of their Company held. Stockholders can vote only on matters affecting a Company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Broker Non-Votes (as defined below) will be treated as shares present at the Meeting for quorum purposes.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will have the effect of a vote against the nominee.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For each Company, the affirmative vote of a majority of the votes of that Company cast at the Meeting in person or by proxy is required to ratify the appointment of RSM US LLP (formerly McGladrey LLP) to serve as such Company’s independent registered public accounting firm. Abstentions will not be included in determining the number of votes cast and, as a result, will have no effect on this proposal.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 Non-Votes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 Common Stock in street name,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 1 for that Company. Thus, if you are a Stockholder of PNNT and you do not vote or give your Broker specific instructions on how to vote for you, your shares will have the effect of a vote against Proposal 1.</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For this reason, it is imperative that Stockholders of PNNT vote or provide instructions to their Brokers as to how to vote with respect to Proposal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vote or provide your Broker with proxy instructions, your Broker will be able to vote your shares for you on Proposal 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Company, if there appears not to be enough votes to approve a proposal at the Meeting, the chairman of the Meeting may adjourn the Meeting with respect to that Company to permit further solicitation of proxies.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Company will bear the expense of its solicitation of proxies for the Meeting, including its portion of the cost of preparing and posting this Joint Proxy Statement and the Annual Report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to input the Control Number, which is provided with the Notice of Internet Availability of Proxy Materials.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2"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as of November 10, 2015,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83"/>
              </w:rPr>
              <w:t>Name and address</w:t>
            </w:r>
            <w:r>
              <w:rPr>
                <w:rFonts w:ascii="Arial" w:cs="Arial" w:eastAsia="Arial" w:hAnsi="Arial"/>
                <w:sz w:val="22"/>
                <w:szCs w:val="22"/>
                <w:color w:val="auto"/>
                <w:w w:val="83"/>
                <w:vertAlign w:val="superscript"/>
              </w:rPr>
              <w:t>(1)</w:t>
            </w:r>
          </w:p>
        </w:tc>
        <w:tc>
          <w:tcPr>
            <w:tcW w:w="4880" w:type="dxa"/>
            <w:vAlign w:val="bottom"/>
            <w:vMerge w:val="restart"/>
          </w:tcPr>
          <w:p>
            <w:pPr>
              <w:spacing w:after="0"/>
              <w:rPr>
                <w:sz w:val="12"/>
                <w:szCs w:val="12"/>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w w:val="92"/>
              </w:rPr>
              <w:t>Type of ownership</w:t>
            </w:r>
            <w:r>
              <w:rPr>
                <w:rFonts w:ascii="Arial" w:cs="Arial" w:eastAsia="Arial" w:hAnsi="Arial"/>
                <w:sz w:val="22"/>
                <w:szCs w:val="22"/>
                <w:color w:val="auto"/>
                <w:w w:val="92"/>
                <w:vertAlign w:val="superscript"/>
              </w:rPr>
              <w:t>(4)</w:t>
            </w:r>
          </w:p>
        </w:tc>
        <w:tc>
          <w:tcPr>
            <w:tcW w:w="4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vMerge w:val="continue"/>
          </w:tcPr>
          <w:p>
            <w:pPr>
              <w:spacing w:after="0"/>
              <w:rPr>
                <w:sz w:val="13"/>
                <w:szCs w:val="13"/>
                <w:color w:val="auto"/>
              </w:rPr>
            </w:pPr>
          </w:p>
        </w:tc>
        <w:tc>
          <w:tcPr>
            <w:tcW w:w="4880" w:type="dxa"/>
            <w:vAlign w:val="bottom"/>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20" w:type="dxa"/>
            <w:vAlign w:val="bottom"/>
            <w:tcBorders>
              <w:bottom w:val="single" w:sz="8" w:color="auto"/>
            </w:tcBorders>
            <w:gridSpan w:val="3"/>
          </w:tcPr>
          <w:p>
            <w:pPr>
              <w:jc w:val="right"/>
              <w:ind w:right="435"/>
              <w:spacing w:after="0" w:line="146" w:lineRule="exact"/>
              <w:rPr>
                <w:sz w:val="20"/>
                <w:szCs w:val="20"/>
                <w:color w:val="auto"/>
              </w:rPr>
            </w:pPr>
            <w:r>
              <w:rPr>
                <w:rFonts w:ascii="Arial" w:cs="Arial" w:eastAsia="Arial" w:hAnsi="Arial"/>
                <w:sz w:val="14"/>
                <w:szCs w:val="14"/>
                <w:color w:val="auto"/>
              </w:rPr>
              <w:t>Shares Owned</w:t>
            </w:r>
          </w:p>
        </w:tc>
        <w:tc>
          <w:tcPr>
            <w:tcW w:w="420" w:type="dxa"/>
            <w:vAlign w:val="bottom"/>
          </w:tcPr>
          <w:p>
            <w:pPr>
              <w:spacing w:after="0"/>
              <w:rPr>
                <w:sz w:val="13"/>
                <w:szCs w:val="13"/>
                <w:color w:val="auto"/>
              </w:rPr>
            </w:pPr>
          </w:p>
        </w:tc>
        <w:tc>
          <w:tcPr>
            <w:tcW w:w="120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color w:val="auto"/>
                <w:w w:val="87"/>
              </w:rPr>
              <w:t>Outstanding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PNNT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PFLT</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PNNT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PFLT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91,721</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236,088</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13,500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110,100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613,323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149,209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1,176,937</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308,059</w:t>
            </w:r>
          </w:p>
        </w:tc>
        <w:tc>
          <w:tcPr>
            <w:tcW w:w="42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80" w:right="2260" w:hanging="5672"/>
        <w:spacing w:after="0" w:line="440" w:lineRule="auto"/>
        <w:tabs>
          <w:tab w:leader="none" w:pos="4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4</w:t>
      </w:r>
    </w:p>
    <w:p>
      <w:pPr>
        <w:sectPr>
          <w:pgSz w:w="11900" w:h="16838" w:orient="portrait"/>
          <w:cols w:equalWidth="0" w:num="1">
            <w:col w:w="11420"/>
          </w:cols>
          <w:pgMar w:left="240" w:top="280" w:right="239" w:bottom="1440" w:gutter="0" w:footer="0" w:header="0"/>
        </w:sectPr>
      </w:pPr>
    </w:p>
    <w:bookmarkStart w:id="7" w:name="page8"/>
    <w:bookmarkEnd w:id="7"/>
    <w:p>
      <w:pPr>
        <w:ind w:left="460" w:right="5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Bernstein is the President of JAM Investments, LLC and may therefore be deemed to own beneficially the 68,236 shares of PNNT held by JAM Investments, LLC.</w:t>
      </w:r>
    </w:p>
    <w:p>
      <w:pPr>
        <w:ind w:left="460" w:right="3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429,923 shares of PNNT and 149,209 shares of PFLT held by the Adviser.</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2015, all Section 16(a) filing requirements applicable to such persons were met in a timely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dollar range of each Company’s Common Stock beneficially owned by each of our directors as of November 10,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Directors of the Companies</w:t>
            </w:r>
          </w:p>
        </w:tc>
        <w:tc>
          <w:tcPr>
            <w:tcW w:w="6180" w:type="dxa"/>
            <w:vAlign w:val="bottom"/>
            <w:gridSpan w:val="6"/>
          </w:tcPr>
          <w:p>
            <w:pPr>
              <w:ind w:left="1480"/>
              <w:spacing w:after="0"/>
              <w:rPr>
                <w:sz w:val="20"/>
                <w:szCs w:val="20"/>
                <w:color w:val="auto"/>
              </w:rPr>
            </w:pPr>
            <w:r>
              <w:rPr>
                <w:rFonts w:ascii="Arial" w:cs="Arial" w:eastAsia="Arial" w:hAnsi="Arial"/>
                <w:sz w:val="14"/>
                <w:szCs w:val="14"/>
                <w:b w:val="1"/>
                <w:bCs w:val="1"/>
                <w:color w:val="auto"/>
              </w:rPr>
              <w:t>Dollar Range of the Common Stock of the Companies</w:t>
            </w:r>
            <w:r>
              <w:rPr>
                <w:rFonts w:ascii="Arial" w:cs="Arial" w:eastAsia="Arial" w:hAnsi="Arial"/>
                <w:sz w:val="22"/>
                <w:szCs w:val="22"/>
                <w:b w:val="1"/>
                <w:bCs w:val="1"/>
                <w:color w:val="auto"/>
                <w:vertAlign w:val="superscript"/>
              </w:rPr>
              <w:t>(1)</w:t>
            </w:r>
          </w:p>
        </w:tc>
      </w:tr>
      <w:tr>
        <w:trPr>
          <w:trHeight w:val="149"/>
        </w:trPr>
        <w:tc>
          <w:tcPr>
            <w:tcW w:w="1680" w:type="dxa"/>
            <w:vAlign w:val="bottom"/>
            <w:tcBorders>
              <w:top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2540" w:type="dxa"/>
            <w:vAlign w:val="bottom"/>
            <w:tcBorders>
              <w:top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9"/>
              </w:rPr>
              <w:t>PNNT</w:t>
            </w:r>
          </w:p>
        </w:tc>
        <w:tc>
          <w:tcPr>
            <w:tcW w:w="2040" w:type="dxa"/>
            <w:vAlign w:val="bottom"/>
            <w:tcBorders>
              <w:top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PFLT</w:t>
            </w:r>
          </w:p>
        </w:tc>
        <w:tc>
          <w:tcPr>
            <w:tcW w:w="16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96"/>
        </w:trPr>
        <w:tc>
          <w:tcPr>
            <w:tcW w:w="5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7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c>
          <w:tcPr>
            <w:tcW w:w="8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$50,001 - $100,000</w:t>
            </w: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87"/>
              </w:rPr>
              <w:t>$500,001 - $1,000,000</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7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8"/>
              </w:rPr>
              <w:t>$50,001 - $100,000</w:t>
            </w: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$10,001</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$50,000</w:t>
            </w:r>
          </w:p>
        </w:tc>
        <w:tc>
          <w:tcPr>
            <w:tcW w:w="5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$100,001 - $500,000</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40" w:type="dxa"/>
            <w:vAlign w:val="bottom"/>
            <w:gridSpan w:val="2"/>
          </w:tcPr>
          <w:p>
            <w:pPr>
              <w:jc w:val="center"/>
              <w:ind w:right="800"/>
              <w:spacing w:after="0"/>
              <w:rPr>
                <w:sz w:val="20"/>
                <w:szCs w:val="20"/>
                <w:color w:val="auto"/>
              </w:rPr>
            </w:pPr>
            <w:r>
              <w:rPr>
                <w:rFonts w:ascii="Arial" w:cs="Arial" w:eastAsia="Arial" w:hAnsi="Arial"/>
                <w:sz w:val="18"/>
                <w:szCs w:val="18"/>
                <w:color w:val="auto"/>
                <w:w w:val="87"/>
              </w:rPr>
              <w:t>Over $1,000,000</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$100,001</w:t>
            </w:r>
          </w:p>
        </w:tc>
        <w:tc>
          <w:tcPr>
            <w:tcW w:w="780" w:type="dxa"/>
            <w:vAlign w:val="bottom"/>
          </w:tcPr>
          <w:p>
            <w:pPr>
              <w:ind w:left="20"/>
              <w:spacing w:after="0"/>
              <w:rPr>
                <w:sz w:val="20"/>
                <w:szCs w:val="20"/>
                <w:color w:val="auto"/>
              </w:rPr>
            </w:pPr>
            <w:r>
              <w:rPr>
                <w:rFonts w:ascii="Arial" w:cs="Arial" w:eastAsia="Arial" w:hAnsi="Arial"/>
                <w:sz w:val="18"/>
                <w:szCs w:val="18"/>
                <w:color w:val="auto"/>
                <w:w w:val="85"/>
              </w:rPr>
              <w:t>- $500,000</w:t>
            </w:r>
          </w:p>
        </w:tc>
        <w:tc>
          <w:tcPr>
            <w:tcW w:w="5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87"/>
              </w:rPr>
              <w:t>Over $1,000,000</w:t>
            </w:r>
          </w:p>
        </w:tc>
        <w:tc>
          <w:tcPr>
            <w:tcW w:w="204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87"/>
              </w:rPr>
              <w:t>Over $1,000,000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87"/>
              </w:rPr>
              <w:t>Over $1,000,000</w:t>
            </w:r>
          </w:p>
        </w:tc>
        <w:tc>
          <w:tcPr>
            <w:tcW w:w="204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87"/>
              </w:rPr>
              <w:t>Over $1,000,000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and until his successor is duly elected and qualifies. After this election, the terms of Class I, II and III directors will expire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Companies</w:t>
            </w:r>
          </w:p>
        </w:tc>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II</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Class III</w:t>
            </w: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PennantPark Investment Corporation</w:t>
            </w:r>
          </w:p>
        </w:tc>
        <w:tc>
          <w:tcPr>
            <w:tcW w:w="1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2017</w:t>
            </w: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2018</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The Boards have no reason to believe that either of their nominees will be unable or unwilling to serve.</w:t>
      </w:r>
    </w:p>
    <w:p>
      <w:pPr>
        <w:spacing w:after="0" w:line="107"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Mr. Arthur H. Penn has been nominated for election as a Class III director of PNNT for a three-year term expiring in 2019. Mr. Penn is not being proposed for election pursuant to any agreement or understanding between Mr. Penn and PNNT.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Each of Mr. Adam Bernstein and Mr. Jeffrey Flug has been nominated for election as a Class II director of PFLT for a three-year term expiring in 2019. Neither Mr. Bernstein nor Mr. Flug is being proposed for election pursuant to any agreement or understanding between either Mr. Bernstein or Mr. Flug and PFLT.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900" w:type="dxa"/>
            <w:vAlign w:val="bottom"/>
          </w:tcPr>
          <w:p>
            <w:pPr>
              <w:spacing w:after="0"/>
              <w:rPr>
                <w:sz w:val="20"/>
                <w:szCs w:val="20"/>
                <w:color w:val="auto"/>
              </w:rPr>
            </w:pPr>
            <w:r>
              <w:rPr>
                <w:rFonts w:ascii="Arial" w:cs="Arial" w:eastAsia="Arial" w:hAnsi="Arial"/>
                <w:sz w:val="14"/>
                <w:szCs w:val="14"/>
                <w:b w:val="1"/>
                <w:bCs w:val="1"/>
                <w:color w:val="auto"/>
                <w:w w:val="83"/>
              </w:rPr>
              <w:t>Position(s) held</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Independent Directors</w:t>
            </w:r>
          </w:p>
        </w:tc>
        <w:tc>
          <w:tcPr>
            <w:tcW w:w="19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Company,</w:t>
            </w:r>
          </w:p>
        </w:tc>
        <w:tc>
          <w:tcPr>
            <w:tcW w:w="2620" w:type="dxa"/>
            <w:vAlign w:val="bottom"/>
          </w:tcPr>
          <w:p>
            <w:pPr>
              <w:spacing w:after="0"/>
              <w:rPr>
                <w:sz w:val="14"/>
                <w:szCs w:val="14"/>
                <w:color w:val="auto"/>
              </w:rPr>
            </w:pP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Occupation(s) During the</w:t>
            </w:r>
          </w:p>
        </w:tc>
      </w:tr>
      <w:tr>
        <w:trPr>
          <w:trHeight w:val="17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-685165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80" w:right="6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314" w:lineRule="exact"/>
        <w:rPr>
          <w:sz w:val="20"/>
          <w:szCs w:val="20"/>
          <w:color w:val="auto"/>
        </w:rPr>
      </w:pPr>
    </w:p>
    <w:p>
      <w:pPr>
        <w:sectPr>
          <w:pgSz w:w="11900" w:h="16838" w:orient="portrait"/>
          <w:cols w:equalWidth="0" w:num="3">
            <w:col w:w="4480" w:space="460"/>
            <w:col w:w="4540" w:space="480"/>
            <w:col w:w="1080"/>
          </w:cols>
          <w:pgMar w:left="240" w:top="275" w:right="619" w:bottom="1440" w:gutter="0" w:footer="0" w:header="0"/>
        </w:sectPr>
      </w:pPr>
    </w:p>
    <w:p>
      <w:pPr>
        <w:spacing w:after="0"/>
        <w:tabs>
          <w:tab w:leader="none" w:pos="3720" w:val="left"/>
        </w:tabs>
        <w:rPr>
          <w:sz w:val="20"/>
          <w:szCs w:val="20"/>
          <w:color w:val="auto"/>
        </w:rPr>
      </w:pPr>
      <w:r>
        <w:rPr>
          <w:rFonts w:ascii="Arial" w:cs="Arial" w:eastAsia="Arial" w:hAnsi="Arial"/>
          <w:sz w:val="18"/>
          <w:szCs w:val="18"/>
          <w:color w:val="auto"/>
        </w:rPr>
        <w:t>Adam K. Bernstein (52)</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Director</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Marshall Brozost (48)</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ind w:right="380"/>
        <w:spacing w:after="0" w:line="323" w:lineRule="auto"/>
        <w:rPr>
          <w:sz w:val="20"/>
          <w:szCs w:val="20"/>
          <w:color w:val="auto"/>
        </w:rPr>
      </w:pPr>
      <w:r>
        <w:rPr>
          <w:rFonts w:ascii="Arial" w:cs="Arial" w:eastAsia="Arial" w:hAnsi="Arial"/>
          <w:sz w:val="15"/>
          <w:szCs w:val="15"/>
          <w:color w:val="auto"/>
        </w:rPr>
        <w:t>PNNT - Class II Director since February 2007; Term Expires 2018</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PFLT - Class 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 Expires, if elected,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PNNT - Class I Director since February 2007; Term Expires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PFLT - Class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8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5"/>
          <w:szCs w:val="15"/>
          <w:color w:val="auto"/>
        </w:rPr>
        <w:t>President of The Bernstein Companies, a Washington, D.C.-based real estate investment and development firm, since 1995 and President and Chief Executive Officer of Consortium Atlantic Realty Trust, Inc., a private real estate investment trust operating in the Mid-Atlantic region, from 2006. Also, Mr. Bernstein serves on the Board of Overseers of the School of Arts and Sciences at the University of Pennsylvania since 2012.</w:t>
      </w:r>
    </w:p>
    <w:p>
      <w:pPr>
        <w:spacing w:after="0" w:line="5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Partner at Schulte Roth &amp; Zabel LLP, where he practices in the real estate and private equity groups, since May 2012. Prior to Schulte Roth &amp; Zabel, Mr. Brozost practiced law at Dewey &amp; LeBoeuf LLP from 2005 to 2012, at Solomon &amp; Weinberg LLP from 2004 to 2005 and at O’Melveny &amp; Myers LLP from 2001 to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4">
            <w:col w:w="4340" w:space="600"/>
            <w:col w:w="1720" w:space="200"/>
            <w:col w:w="2720" w:space="720"/>
            <w:col w:w="740"/>
          </w:cols>
          <w:pgMar w:left="240" w:top="275" w:right="619" w:bottom="1440" w:gutter="0" w:footer="0" w:header="0"/>
          <w:type w:val="continuous"/>
        </w:sectPr>
      </w:pPr>
    </w:p>
    <w:bookmarkStart w:id="10" w:name="page11"/>
    <w:bookmarkEnd w:id="10"/>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 held</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Independent Directors</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auto"/>
              </w:rPr>
              <w:t>(continued)</w:t>
            </w: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580" w:type="dxa"/>
            <w:vAlign w:val="bottom"/>
            <w:gridSpan w:val="2"/>
          </w:tcPr>
          <w:p>
            <w:pPr>
              <w:spacing w:after="0"/>
              <w:rPr>
                <w:sz w:val="20"/>
                <w:szCs w:val="20"/>
                <w:color w:val="auto"/>
              </w:rPr>
            </w:pPr>
            <w:r>
              <w:rPr>
                <w:rFonts w:ascii="Arial" w:cs="Arial" w:eastAsia="Arial" w:hAnsi="Arial"/>
                <w:sz w:val="18"/>
                <w:szCs w:val="18"/>
                <w:color w:val="auto"/>
              </w:rPr>
              <w:t>Jeffrey Flug (52)</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Samuel L. Katz (50)</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-384810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479"/>
        <w:spacing w:after="0"/>
        <w:rPr>
          <w:sz w:val="20"/>
          <w:szCs w:val="20"/>
          <w:color w:val="auto"/>
        </w:rPr>
      </w:pPr>
      <w:r>
        <w:rPr>
          <w:rFonts w:ascii="Arial" w:cs="Arial" w:eastAsia="Arial" w:hAnsi="Arial"/>
          <w:sz w:val="12"/>
          <w:szCs w:val="12"/>
          <w:b w:val="1"/>
          <w:bCs w:val="1"/>
          <w:color w:val="auto"/>
        </w:rPr>
        <w:t>Term of Office</w:t>
      </w:r>
    </w:p>
    <w:p>
      <w:pPr>
        <w:spacing w:after="0" w:line="11" w:lineRule="exact"/>
        <w:rPr>
          <w:sz w:val="20"/>
          <w:szCs w:val="20"/>
          <w:color w:val="auto"/>
        </w:rPr>
      </w:pPr>
    </w:p>
    <w:p>
      <w:pPr>
        <w:jc w:val="center"/>
        <w:ind w:left="-479"/>
        <w:spacing w:after="0"/>
        <w:rPr>
          <w:sz w:val="20"/>
          <w:szCs w:val="20"/>
          <w:color w:val="auto"/>
        </w:rPr>
      </w:pPr>
      <w:r>
        <w:rPr>
          <w:rFonts w:ascii="Arial" w:cs="Arial" w:eastAsia="Arial" w:hAnsi="Arial"/>
          <w:sz w:val="12"/>
          <w:szCs w:val="12"/>
          <w:b w:val="1"/>
          <w:bCs w:val="1"/>
          <w:color w:val="auto"/>
        </w:rPr>
        <w:t>and Length of</w:t>
      </w:r>
    </w:p>
    <w:p>
      <w:pPr>
        <w:spacing w:after="0" w:line="10"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Time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157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PNNT - Class II Director since February 2007; Term Expires 2018</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PFLT - Class 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PNNT - Class I Director since February 2007; Term Expires 2017</w:t>
      </w:r>
    </w:p>
    <w:p>
      <w:pPr>
        <w:spacing w:after="0" w:line="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PFLT - Class I Director since October 2010; Term Expires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left="-119"/>
        <w:spacing w:after="0"/>
        <w:rPr>
          <w:sz w:val="20"/>
          <w:szCs w:val="20"/>
          <w:color w:val="auto"/>
        </w:rPr>
      </w:pPr>
      <w:r>
        <w:rPr>
          <w:rFonts w:ascii="Arial" w:cs="Arial" w:eastAsia="Arial" w:hAnsi="Arial"/>
          <w:sz w:val="14"/>
          <w:szCs w:val="14"/>
          <w:b w:val="1"/>
          <w:bCs w:val="1"/>
          <w:color w:val="auto"/>
        </w:rPr>
        <w:t>Principal</w:t>
      </w:r>
    </w:p>
    <w:p>
      <w:pPr>
        <w:jc w:val="center"/>
        <w:ind w:left="-119"/>
        <w:spacing w:after="0" w:line="223" w:lineRule="auto"/>
        <w:rPr>
          <w:sz w:val="20"/>
          <w:szCs w:val="20"/>
          <w:color w:val="auto"/>
        </w:rPr>
      </w:pPr>
      <w:r>
        <w:rPr>
          <w:rFonts w:ascii="Arial" w:cs="Arial" w:eastAsia="Arial" w:hAnsi="Arial"/>
          <w:sz w:val="14"/>
          <w:szCs w:val="14"/>
          <w:b w:val="1"/>
          <w:bCs w:val="1"/>
          <w:color w:val="auto"/>
        </w:rPr>
        <w:t>Occupation(s) During the</w:t>
      </w:r>
    </w:p>
    <w:p>
      <w:pPr>
        <w:jc w:val="center"/>
        <w:ind w:left="-119"/>
        <w:spacing w:after="0"/>
        <w:rPr>
          <w:sz w:val="20"/>
          <w:szCs w:val="20"/>
          <w:color w:val="auto"/>
        </w:rPr>
      </w:pPr>
      <w:r>
        <w:rPr>
          <w:rFonts w:ascii="Arial" w:cs="Arial" w:eastAsia="Arial" w:hAnsi="Arial"/>
          <w:sz w:val="14"/>
          <w:szCs w:val="14"/>
          <w:b w:val="1"/>
          <w:bCs w:val="1"/>
          <w:color w:val="auto"/>
        </w:rPr>
        <w:t>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63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Mr. Flug was President of Union Square Hospitality Group, an exclusive chain of restaurants, from 2009 to July 2015. Mr. Flug served as Chief Executive Officer and Executive Director of Millennium Promise Alliance, Inc., a non-profit organization whose mission is to eradicate extreme global poverty, from 2006 to 2008. From 2000 to 2006, Mr. Flug was a Managing Director and Head of North American Institutional Sales at JP Morgan’s Investment Bank.</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Managing Partner of TZP Group LLC, a private equity fund, since 2007. Before joining TZP Group, Mr. Katz was Chief Executive Officer of MacAndrews &amp; Forbes Acquisition Holdings, Inc. from 2006 to 2007. Prior to that position, Mr. Katz was Chairman and Chief Executive Officer of the Cendant Travel Distribution Services Division from 2001 to 2005.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jc w:val="center"/>
        <w:spacing w:after="0" w:line="222" w:lineRule="auto"/>
        <w:rPr>
          <w:sz w:val="20"/>
          <w:szCs w:val="20"/>
          <w:color w:val="auto"/>
        </w:rPr>
      </w:pPr>
      <w:r>
        <w:rPr>
          <w:rFonts w:ascii="Arial" w:cs="Arial" w:eastAsia="Arial" w:hAnsi="Arial"/>
          <w:sz w:val="14"/>
          <w:szCs w:val="14"/>
          <w:b w:val="1"/>
          <w:bCs w:val="1"/>
          <w:color w:val="auto"/>
        </w:rPr>
        <w:t>Held by Director</w:t>
      </w:r>
    </w:p>
    <w:p>
      <w:pPr>
        <w:ind w:left="220" w:right="22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b w:val="1"/>
          <w:bCs w:val="1"/>
          <w:u w:val="single" w:color="auto"/>
          <w:color w:val="auto"/>
        </w:rPr>
        <w:t xml:space="preserve">the Past 5 Years </w:t>
      </w:r>
      <w:r>
        <w:rPr>
          <w:rFonts w:ascii="Arial" w:cs="Arial" w:eastAsia="Arial" w:hAnsi="Arial"/>
          <w:sz w:val="21"/>
          <w:szCs w:val="21"/>
          <w:b w:val="1"/>
          <w:bCs w:val="1"/>
          <w:u w:val="single" w:color="auto"/>
          <w:color w:val="auto"/>
          <w:vertAlign w:val="superscript"/>
        </w:rPr>
        <w:t>(2)</w:t>
      </w:r>
    </w:p>
    <w:p>
      <w:pPr>
        <w:spacing w:after="0" w:line="269" w:lineRule="exact"/>
        <w:rPr>
          <w:sz w:val="20"/>
          <w:szCs w:val="20"/>
          <w:color w:val="auto"/>
        </w:rPr>
      </w:pPr>
    </w:p>
    <w:p>
      <w:pPr>
        <w:jc w:val="center"/>
        <w:spacing w:after="0" w:line="312" w:lineRule="auto"/>
        <w:rPr>
          <w:sz w:val="20"/>
          <w:szCs w:val="20"/>
          <w:color w:val="auto"/>
        </w:rPr>
      </w:pPr>
      <w:r>
        <w:rPr>
          <w:rFonts w:ascii="Arial" w:cs="Arial" w:eastAsia="Arial" w:hAnsi="Arial"/>
          <w:sz w:val="15"/>
          <w:szCs w:val="15"/>
          <w:color w:val="auto"/>
        </w:rPr>
        <w:t>Shake Shack Inc, from September 2014; Sears Hometown and Outlet Stores, Inc., from October 2012 to September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ectPr>
          <w:pgSz w:w="11900" w:h="16838" w:orient="portrait"/>
          <w:cols w:equalWidth="0" w:num="4">
            <w:col w:w="4480" w:space="460"/>
            <w:col w:w="1340" w:space="580"/>
            <w:col w:w="2520" w:space="440"/>
            <w:col w:w="1380"/>
          </w:cols>
          <w:pgMar w:left="240" w:top="275" w:right="459" w:bottom="1440" w:gutter="0" w:footer="0" w:header="0"/>
        </w:sectPr>
      </w:pPr>
    </w:p>
    <w:bookmarkStart w:id="11" w:name="page12"/>
    <w:bookmarkEnd w:id="11"/>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Name, Address and Age </w:t>
            </w:r>
            <w:r>
              <w:rPr>
                <w:rFonts w:ascii="Arial" w:cs="Arial" w:eastAsia="Arial" w:hAnsi="Arial"/>
                <w:sz w:val="22"/>
                <w:szCs w:val="22"/>
                <w:b w:val="1"/>
                <w:bCs w:val="1"/>
                <w:color w:val="auto"/>
                <w:w w:val="87"/>
                <w:vertAlign w:val="superscript"/>
              </w:rPr>
              <w:t>(1)</w:t>
            </w:r>
          </w:p>
        </w:tc>
        <w:tc>
          <w:tcPr>
            <w:tcW w:w="19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3"/>
              </w:rPr>
              <w:t>Position(s) held</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w w:val="99"/>
              </w:rPr>
              <w:t>Interested Director</w:t>
            </w: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Company,</w:t>
            </w:r>
          </w:p>
        </w:tc>
        <w:tc>
          <w:tcPr>
            <w:tcW w:w="2620" w:type="dxa"/>
            <w:vAlign w:val="bottom"/>
          </w:tcPr>
          <w:p>
            <w:pPr>
              <w:spacing w:after="0"/>
              <w:rPr>
                <w:sz w:val="14"/>
                <w:szCs w:val="14"/>
                <w:color w:val="auto"/>
              </w:rPr>
            </w:pP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Occupation(s) During the</w:t>
            </w:r>
          </w:p>
        </w:tc>
      </w:tr>
      <w:tr>
        <w:trPr>
          <w:trHeight w:val="17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-685165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80" w:right="6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222" w:lineRule="exact"/>
        <w:rPr>
          <w:sz w:val="20"/>
          <w:szCs w:val="20"/>
          <w:color w:val="auto"/>
        </w:rPr>
      </w:pPr>
    </w:p>
    <w:p>
      <w:pPr>
        <w:sectPr>
          <w:pgSz w:w="11900" w:h="16838" w:orient="portrait"/>
          <w:cols w:equalWidth="0" w:num="3">
            <w:col w:w="4480" w:space="460"/>
            <w:col w:w="4540" w:space="480"/>
            <w:col w:w="1080"/>
          </w:cols>
          <w:pgMar w:left="240" w:top="275" w:right="619" w:bottom="1440" w:gutter="0" w:footer="0" w:header="0"/>
        </w:sectPr>
      </w:pPr>
    </w:p>
    <w:p>
      <w:pPr>
        <w:spacing w:after="0"/>
        <w:tabs>
          <w:tab w:leader="none" w:pos="3200" w:val="left"/>
        </w:tabs>
        <w:rPr>
          <w:sz w:val="20"/>
          <w:szCs w:val="20"/>
          <w:color w:val="auto"/>
        </w:rPr>
      </w:pPr>
      <w:r>
        <w:rPr>
          <w:rFonts w:ascii="Arial" w:cs="Arial" w:eastAsia="Arial" w:hAnsi="Arial"/>
          <w:sz w:val="18"/>
          <w:szCs w:val="18"/>
          <w:color w:val="auto"/>
        </w:rPr>
        <w:t>Arthur H. Penn (52)</w:t>
      </w:r>
      <w:r>
        <w:rPr>
          <w:rFonts w:ascii="Arial" w:cs="Arial" w:eastAsia="Arial" w:hAnsi="Arial"/>
          <w:sz w:val="11"/>
          <w:szCs w:val="11"/>
          <w:color w:val="auto"/>
        </w:rPr>
        <w:t>(3)</w:t>
      </w:r>
      <w:r>
        <w:rPr>
          <w:sz w:val="20"/>
          <w:szCs w:val="20"/>
          <w:color w:val="auto"/>
        </w:rPr>
        <w:tab/>
      </w:r>
      <w:r>
        <w:rPr>
          <w:rFonts w:ascii="Arial" w:cs="Arial" w:eastAsia="Arial" w:hAnsi="Arial"/>
          <w:sz w:val="16"/>
          <w:szCs w:val="16"/>
          <w:color w:val="auto"/>
        </w:rPr>
        <w:t>Director</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Nominee</w:t>
      </w:r>
    </w:p>
    <w:p>
      <w:pPr>
        <w:spacing w:after="0" w:line="20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Chief Executive</w:t>
      </w:r>
    </w:p>
    <w:p>
      <w:pPr>
        <w:spacing w:after="0" w:line="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Chairman of the</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Directors</w:t>
      </w:r>
    </w:p>
    <w:p>
      <w:pPr>
        <w:spacing w:after="0" w:line="20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Chief Executive</w:t>
      </w:r>
    </w:p>
    <w:p>
      <w:pPr>
        <w:spacing w:after="0" w:line="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Chairman of the</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PNNT - Class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 Expires, if elected, 2019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PFLT - Class III Director since October 2010; Term Expires 2017</w:t>
      </w:r>
    </w:p>
    <w:p>
      <w:pPr>
        <w:spacing w:after="0" w:line="20" w:lineRule="exact"/>
        <w:rPr>
          <w:sz w:val="20"/>
          <w:szCs w:val="20"/>
          <w:color w:val="auto"/>
        </w:rPr>
      </w:pPr>
      <w:r>
        <w:rPr>
          <w:sz w:val="20"/>
          <w:szCs w:val="20"/>
          <w:color w:val="auto"/>
        </w:rPr>
        <w:br w:type="column"/>
      </w:r>
    </w:p>
    <w:p>
      <w:pPr>
        <w:ind w:right="100"/>
        <w:spacing w:after="0" w:line="283" w:lineRule="auto"/>
        <w:rPr>
          <w:sz w:val="20"/>
          <w:szCs w:val="20"/>
          <w:color w:val="auto"/>
        </w:rPr>
      </w:pPr>
      <w:r>
        <w:rPr>
          <w:rFonts w:ascii="Arial" w:cs="Arial" w:eastAsia="Arial" w:hAnsi="Arial"/>
          <w:sz w:val="16"/>
          <w:szCs w:val="16"/>
          <w:color w:val="auto"/>
        </w:rPr>
        <w:t>Founder, Chairman and Chief Executive Officer of PNNT and of PFLT from their inception in 2007 and 2010, respectively. Mr. Penn also is the Founder and Managing Member of the Adviser. Before founding PNNT, Mr. Penn was the Co-Founder of Apollo Investment Management, where he was a Managing Partner from 2004 to 2006. He also served as Chief Operating Officer of Apollo Investment Corporation from inception in 2004 to 2006 and served as President and Chief Operating Officer in 2006. He formerly was a Managing Partner of Apollo Value Fund L.P. (formerly Apollo Distressed Investment Fund, L.P.) from 2003 to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4283" w:lineRule="exact"/>
        <w:rPr>
          <w:sz w:val="20"/>
          <w:szCs w:val="20"/>
          <w:color w:val="auto"/>
        </w:rPr>
      </w:pPr>
    </w:p>
    <w:p>
      <w:pPr>
        <w:sectPr>
          <w:pgSz w:w="11900" w:h="16838" w:orient="portrait"/>
          <w:cols w:equalWidth="0" w:num="4">
            <w:col w:w="4360" w:space="580"/>
            <w:col w:w="1720" w:space="200"/>
            <w:col w:w="2720" w:space="720"/>
            <w:col w:w="740"/>
          </w:cols>
          <w:pgMar w:left="240" w:top="275" w:right="619" w:bottom="1440" w:gutter="0" w:footer="0" w:header="0"/>
          <w:type w:val="continuous"/>
        </w:sect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address for each officer and director is c/o PennantPark,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275" w:right="61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Each Board has determined that each of its directors, other than Mr. Penn, is independent under the applicable listing standards of the NASDAQ Global Select Market and the New York Stock Exchange and under the Exchange Act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its Nominating and Corporate Governance Committee and its Compensation Committee to Independent Directors.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Each Board performs its risk oversight function primarily through (1) its three standing committees, which report to the entire Board and are comprised solely of Independent Directors and (2) monitoring by the Company’s Chief Compliance Officer (the “CCO”) in accordance with the Company’s compliance policies and procedures.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below in more detail under “Audit Committees”, “Nominating and Corporate Governance Committees” and “Compensation Committees”, each Board’s Audit Committee, Nominating and Corporate Governance Committee and Compensation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Each Compensation Committee’s risk oversight responsibilities include determining, or recommending to its Board for determining, the compensation of the Company’s chief executive officer and all other executive officers, paid directly by the Company, if any, and assisting its Board with matters related to compensation, as directed by each Board.</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by the asset coverage ratio set forth in the 1940 Act (as modified by any exemptive relief granted by the SEC)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2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the Nominating and Corporate Governance Committees and Compensation Committees are able to exercise their oversight responsibilities without any conflict of interest that might discourage critical questioning and review. Through regular executive session meetings with the Companies’ independent registered public accounting firm, their CCO and their Chief Executive Officer, the Independent Directors have similarly established direct communication and oversight channels that the Boards believe foster open communication and early detection of issues of concern.</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indicative of Board effectiveness. However, each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of the Boards and its committees has the ability to engage other experts as appropriate. Each Board evaluates its performance on an annual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As Chairman of each Board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Companies</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Board benefits from Mr. Penn’s business leadership and experience and knowledge of senior loan,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Adam K. Bernstein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Mr. Bernstein brings to the Boards 29 years of experience at a real estate development, investment and management business in the Mid-Atlantic region of the United States. Mr. Bernstein affords the Boards his vast experience in the area of strategic and financial planning and capital and risk management.</w:t>
      </w:r>
    </w:p>
    <w:p>
      <w:pPr>
        <w:ind w:right="380"/>
        <w:spacing w:after="0" w:line="254" w:lineRule="auto"/>
        <w:rPr>
          <w:sz w:val="20"/>
          <w:szCs w:val="20"/>
          <w:color w:val="auto"/>
        </w:rPr>
      </w:pPr>
      <w:r>
        <w:rPr>
          <w:rFonts w:ascii="Arial" w:cs="Arial" w:eastAsia="Arial" w:hAnsi="Arial"/>
          <w:sz w:val="18"/>
          <w:szCs w:val="18"/>
          <w:color w:val="auto"/>
        </w:rPr>
        <w:t>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Brozost brings to the Boards 21 years of experience in the areas of finance, private equity, mergers and acquisitions and restructurings. Since May 2012, Mr. Brozost has been a Partner at Schulte Roth &amp; Zabel LLP, where he practices in the real estate and private equity groups. Prior to Schulte Roth &amp; Zabel, Mr. Brozost practiced law at Dewey &amp; LeBoeuf LLP from 2005 to 2012, at Solomon &amp; Weinberg LLP from 2004 to 2005 and at O’Melveny &amp; Myers LLP from 2001 to 2004. Mr. Brozost also served as a Vice President of Nomura Asset Capital Corporation from 1997 through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Flug brings to the Boards expertise in fixed income, investment banking, accounting and business operations. From 2009 to July 2015, Mr. Flug held a variety of senior positions, including, most recently, President, with Union Square Hospitality Group, an exclusive chain of restaurants. From September 2014, Mr. Flug has served as a director of Shake Shack, Inc. From October 2012 to September 2015,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the Boards a diverse knowledge of business and finance as a result of his career over the past 29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Board has established an Audit Committee, a Nominating and Corporate Governance Committee and a Compensation Committee. For the fiscal year ended September 30, 2015, the Board of PNNT held four board meetings, four Audit Committee meetings, one Nominating and Corporate Governance Committee meeting and one Compensation Committee meeting and the Board of PFLT held eight board meetings, four Audit Committee meetings, one Nominating and Corporate Governance Committee meeting and one Compensation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joint annual stockholders’ meetings. Last year, all of the members of the Boards attended the joint annual stockholders’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reviewing and approving all related party transactions; and evaluating the qualifications, performance and independence of the auditors. The Audit Committees are also responsible for aiding the Boards in fair valuing the Companies’ portfolio securities that are not publicly traded or for which current market values are not readily available. The Boards and Audit Committees use the services of nationally recognized independent valuation firms to help them determine the fair value of certain securities held by the Companies. The Boards have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Neither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each Board with all matters related to compensation, as directed by each Board. The current members of the Compensation Committee are Messrs. Bernstein, Brozost, Flug and Katz, each of whom is independent for purposes of the 1940 Act and the NASDAQ corporate governance rules. As discussed below, none of our executive officers is directly compensated by either Company and, as a result, the Compensation Committees do not produce and/or review and report on executive compensation practices. Each Compensation Committee Charter is available on the Companies’ website (http://www.pennantpark.com).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relevant Board.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pertains to our executive officer who is not a director of the Companies.</w:t>
      </w:r>
    </w:p>
    <w:p>
      <w:pPr>
        <w:sectPr>
          <w:pgSz w:w="11900" w:h="16838" w:orient="portrait"/>
          <w:cols w:equalWidth="0" w:num="1">
            <w:col w:w="11420"/>
          </w:cols>
          <w:pgMar w:left="240" w:top="274"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Address</w:t>
      </w:r>
    </w:p>
    <w:p>
      <w:pPr>
        <w:spacing w:after="0" w:line="190" w:lineRule="auto"/>
        <w:rPr>
          <w:sz w:val="20"/>
          <w:szCs w:val="20"/>
          <w:color w:val="auto"/>
        </w:rPr>
      </w:pPr>
      <w:r>
        <w:rPr>
          <w:rFonts w:ascii="Arial" w:cs="Arial" w:eastAsia="Arial" w:hAnsi="Arial"/>
          <w:sz w:val="14"/>
          <w:szCs w:val="14"/>
          <w:b w:val="1"/>
          <w:bCs w:val="1"/>
          <w:color w:val="auto"/>
        </w:rPr>
        <w:t xml:space="preserve">and Age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91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Aviv Efrat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Position(s) held</w:t>
            </w:r>
          </w:p>
        </w:tc>
        <w:tc>
          <w:tcPr>
            <w:tcW w:w="6720" w:type="dxa"/>
            <w:vAlign w:val="bottom"/>
          </w:tcPr>
          <w:p>
            <w:pPr>
              <w:spacing w:after="0"/>
              <w:rPr>
                <w:sz w:val="14"/>
                <w:szCs w:val="14"/>
                <w:color w:val="auto"/>
              </w:rPr>
            </w:pPr>
          </w:p>
        </w:tc>
      </w:tr>
      <w:tr>
        <w:trPr>
          <w:trHeight w:val="175"/>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with the Companies</w:t>
            </w:r>
          </w:p>
        </w:tc>
        <w:tc>
          <w:tcPr>
            <w:tcW w:w="6720" w:type="dxa"/>
            <w:vAlign w:val="bottom"/>
          </w:tcPr>
          <w:p>
            <w:pPr>
              <w:ind w:left="1980"/>
              <w:spacing w:after="0"/>
              <w:rPr>
                <w:sz w:val="20"/>
                <w:szCs w:val="20"/>
                <w:color w:val="auto"/>
              </w:rPr>
            </w:pPr>
            <w:r>
              <w:rPr>
                <w:rFonts w:ascii="Arial" w:cs="Arial" w:eastAsia="Arial" w:hAnsi="Arial"/>
                <w:sz w:val="14"/>
                <w:szCs w:val="14"/>
                <w:b w:val="1"/>
                <w:bCs w:val="1"/>
                <w:color w:val="auto"/>
              </w:rPr>
              <w:t>Principal Occupation(s) During the Past 5 Years</w:t>
            </w:r>
          </w:p>
        </w:tc>
      </w:tr>
      <w:tr>
        <w:trPr>
          <w:trHeight w:val="201"/>
        </w:trPr>
        <w:tc>
          <w:tcPr>
            <w:tcW w:w="2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PNNT and PFLT -</w:t>
            </w:r>
          </w:p>
        </w:tc>
        <w:tc>
          <w:tcPr>
            <w:tcW w:w="120" w:type="dxa"/>
            <w:vAlign w:val="bottom"/>
          </w:tcPr>
          <w:p>
            <w:pPr>
              <w:spacing w:after="0"/>
              <w:rPr>
                <w:sz w:val="17"/>
                <w:szCs w:val="17"/>
                <w:color w:val="auto"/>
              </w:rPr>
            </w:pPr>
          </w:p>
        </w:tc>
        <w:tc>
          <w:tcPr>
            <w:tcW w:w="6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Chief Financial Officer and Treasurer of PNNT and PFLT from their inception in 2007 and</w:t>
            </w:r>
          </w:p>
        </w:tc>
      </w:tr>
      <w:tr>
        <w:trPr>
          <w:trHeight w:val="216"/>
        </w:trPr>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Chief Financial Officer and Treasurer</w:t>
            </w:r>
          </w:p>
        </w:tc>
        <w:tc>
          <w:tcPr>
            <w:tcW w:w="6720" w:type="dxa"/>
            <w:vAlign w:val="bottom"/>
          </w:tcPr>
          <w:p>
            <w:pPr>
              <w:spacing w:after="0"/>
              <w:rPr>
                <w:sz w:val="20"/>
                <w:szCs w:val="20"/>
                <w:color w:val="auto"/>
              </w:rPr>
            </w:pPr>
            <w:r>
              <w:rPr>
                <w:rFonts w:ascii="Arial" w:cs="Arial" w:eastAsia="Arial" w:hAnsi="Arial"/>
                <w:sz w:val="18"/>
                <w:szCs w:val="18"/>
                <w:color w:val="auto"/>
                <w:w w:val="92"/>
              </w:rPr>
              <w:t>2010, respectively. Managing Director of the Administrator from inception in 2007. Mr. Efrat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was a Director at BlackRock, Inc., where he was responsible for a variety of administrative,</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7"/>
              </w:rPr>
              <w:t>operational, and financial aspects of closed-end and open-end registered investment companies</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from 1997 to 2007. From 1994 to 1997, Mr. Efrat was in the Investment Companies Business</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Unit at Deloitte &amp; Touche LLP. He is a member of the American Institute of Certified Public</w:t>
            </w:r>
          </w:p>
        </w:tc>
      </w:tr>
      <w:tr>
        <w:trPr>
          <w:trHeight w:val="222"/>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Accountants and the New York State Society of Certified Public Accountants.</w:t>
            </w:r>
          </w:p>
        </w:tc>
      </w:tr>
    </w:tbl>
    <w:p>
      <w:pPr>
        <w:spacing w:after="0" w:line="142" w:lineRule="exact"/>
        <w:rPr>
          <w:sz w:val="20"/>
          <w:szCs w:val="20"/>
          <w:color w:val="auto"/>
        </w:rPr>
      </w:pPr>
    </w:p>
    <w:p>
      <w:pPr>
        <w:sectPr>
          <w:pgSz w:w="11900" w:h="16838" w:orient="portrait"/>
          <w:cols w:equalWidth="0" w:num="2">
            <w:col w:w="1120" w:space="720"/>
            <w:col w:w="9580"/>
          </w:cols>
          <w:pgMar w:left="240" w:top="274" w:right="239" w:bottom="1440" w:gutter="0" w:footer="0" w:header="0"/>
          <w:type w:val="continuous"/>
        </w:sect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Position held</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1480" w:type="dxa"/>
            <w:vAlign w:val="bottom"/>
          </w:tcPr>
          <w:p>
            <w:pPr>
              <w:spacing w:after="0"/>
              <w:rPr>
                <w:sz w:val="14"/>
                <w:szCs w:val="14"/>
                <w:color w:val="auto"/>
              </w:rPr>
            </w:pP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with the Companies</w:t>
            </w:r>
          </w:p>
        </w:tc>
        <w:tc>
          <w:tcPr>
            <w:tcW w:w="6040" w:type="dxa"/>
            <w:vAlign w:val="bottom"/>
          </w:tcPr>
          <w:p>
            <w:pPr>
              <w:ind w:left="164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Guy F. Talarico (60)</w:t>
            </w:r>
          </w:p>
        </w:tc>
        <w:tc>
          <w:tcPr>
            <w:tcW w:w="2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2740" w:type="dxa"/>
            <w:vAlign w:val="bottom"/>
          </w:tcPr>
          <w:p>
            <w:pPr>
              <w:jc w:val="center"/>
              <w:spacing w:after="0" w:line="189" w:lineRule="exact"/>
              <w:rPr>
                <w:sz w:val="20"/>
                <w:szCs w:val="20"/>
                <w:color w:val="auto"/>
              </w:rPr>
            </w:pPr>
            <w:r>
              <w:rPr>
                <w:rFonts w:ascii="Arial" w:cs="Arial" w:eastAsia="Arial" w:hAnsi="Arial"/>
                <w:sz w:val="18"/>
                <w:szCs w:val="18"/>
                <w:color w:val="auto"/>
                <w:w w:val="89"/>
              </w:rPr>
              <w:t>PNNT and PFLT - Chief Compliance</w:t>
            </w:r>
          </w:p>
        </w:tc>
        <w:tc>
          <w:tcPr>
            <w:tcW w:w="220" w:type="dxa"/>
            <w:vAlign w:val="bottom"/>
          </w:tcPr>
          <w:p>
            <w:pPr>
              <w:spacing w:after="0"/>
              <w:rPr>
                <w:sz w:val="16"/>
                <w:szCs w:val="16"/>
                <w:color w:val="auto"/>
              </w:rPr>
            </w:pPr>
          </w:p>
        </w:tc>
        <w:tc>
          <w:tcPr>
            <w:tcW w:w="6040" w:type="dxa"/>
            <w:vAlign w:val="bottom"/>
          </w:tcPr>
          <w:p>
            <w:pPr>
              <w:spacing w:after="0" w:line="189" w:lineRule="exact"/>
              <w:rPr>
                <w:sz w:val="20"/>
                <w:szCs w:val="20"/>
                <w:color w:val="auto"/>
              </w:rPr>
            </w:pPr>
            <w:r>
              <w:rPr>
                <w:rFonts w:ascii="Arial" w:cs="Arial" w:eastAsia="Arial" w:hAnsi="Arial"/>
                <w:sz w:val="18"/>
                <w:szCs w:val="18"/>
                <w:color w:val="auto"/>
                <w:w w:val="96"/>
              </w:rPr>
              <w:t>Chief Compliance Officer of PNNT and PFLT from May 2008 and March 2011,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Officer</w:t>
            </w:r>
          </w:p>
        </w:tc>
        <w:tc>
          <w:tcPr>
            <w:tcW w:w="6040" w:type="dxa"/>
            <w:vAlign w:val="bottom"/>
          </w:tcPr>
          <w:p>
            <w:pPr>
              <w:spacing w:after="0"/>
              <w:rPr>
                <w:sz w:val="20"/>
                <w:szCs w:val="20"/>
                <w:color w:val="auto"/>
              </w:rPr>
            </w:pPr>
            <w:r>
              <w:rPr>
                <w:rFonts w:ascii="Arial" w:cs="Arial" w:eastAsia="Arial" w:hAnsi="Arial"/>
                <w:sz w:val="18"/>
                <w:szCs w:val="18"/>
                <w:color w:val="auto"/>
                <w:w w:val="94"/>
              </w:rPr>
              <w:t>respectively. Mr. Talarico has held the position of Chief Compliance Officer for 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0"/>
              </w:rPr>
              <w:t>number of investment advisers, private funds and investment companies from 2004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when he founded Alaric Compliance Services, LLC, of which he is chief executive</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PNNT and PFLT each filed its Joint Code of Ethics as Exhibit 14.1 to its Annual Report on Form 10-K, filed with the SEC on November 10 and 12, 2015, respectively. You may access the Joint Codes of Ethics via the Internet site of the SEC (http://www.sec.gov) or our website (http://www.pennantpark.com</w:t>
      </w:r>
      <w:r>
        <w:rPr>
          <w:rFonts w:ascii="Arial" w:cs="Arial" w:eastAsia="Arial" w:hAnsi="Arial"/>
          <w:sz w:val="18"/>
          <w:szCs w:val="18"/>
          <w:u w:val="single" w:color="auto"/>
          <w:color w:val="auto"/>
        </w:rPr>
        <w:t>)</w:t>
      </w:r>
      <w:r>
        <w:rPr>
          <w:rFonts w:ascii="Arial" w:cs="Arial" w:eastAsia="Arial" w:hAnsi="Arial"/>
          <w:sz w:val="18"/>
          <w:szCs w:val="18"/>
          <w:color w:val="auto"/>
        </w:rPr>
        <w:t>. Each Company intends to disclose any material amendments to or waivers of required provisions of its Joint Code of Conduct or its Joint Code of Ethics on Form 8-K.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of Independent Directors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PNNT, each Independent Director receives an annual payment of $110,000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PFLT, each Independent Director receives an annual payment of $50,000 for services performed on behalf of PFLT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ended September 30,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is paid directly by either Company to any interested director or executive officer of the Companies.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PNNT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PFLT</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Aggregate</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Aggregate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benefits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accrued as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4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100" w:type="dxa"/>
            <w:vAlign w:val="bottom"/>
          </w:tcPr>
          <w:p>
            <w:pPr>
              <w:spacing w:after="0"/>
              <w:rPr>
                <w:sz w:val="11"/>
                <w:szCs w:val="11"/>
                <w:color w:val="auto"/>
              </w:rPr>
            </w:pPr>
          </w:p>
        </w:tc>
        <w:tc>
          <w:tcPr>
            <w:tcW w:w="12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5"/>
              </w:rPr>
              <w:t>from the</w:t>
            </w:r>
          </w:p>
        </w:tc>
        <w:tc>
          <w:tcPr>
            <w:tcW w:w="120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88"/>
              </w:rPr>
              <w:t>part of our</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62"/>
        </w:trPr>
        <w:tc>
          <w:tcPr>
            <w:tcW w:w="262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Company</w:t>
            </w:r>
          </w:p>
        </w:tc>
        <w:tc>
          <w:tcPr>
            <w:tcW w:w="1200" w:type="dxa"/>
            <w:vAlign w:val="bottom"/>
            <w:gridSpan w:val="2"/>
          </w:tcPr>
          <w:p>
            <w:pPr>
              <w:jc w:val="right"/>
              <w:ind w:right="58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9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122,500</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71,250</w:t>
            </w:r>
          </w:p>
        </w:tc>
        <w:tc>
          <w:tcPr>
            <w:tcW w:w="120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71,250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132,500</w:t>
            </w:r>
          </w:p>
        </w:tc>
        <w:tc>
          <w:tcPr>
            <w:tcW w:w="5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132,500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73,750</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73,750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Interested director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Each Company’s investment activities are managed by the Adviser and supervised by its Board, of which 80% of the members are Independent Directors. Each Company’s Investment Management Agreement with the Adviser was re-approved by its Board, including a majority of the Independent Directors, in February 2015.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2015, the Adviser earned a base management fee of $26.7 million and an incentive fee of $20.6 million from PNNT, and a base management fee of $3.6 million and an incentive fee of $1.1 million from PFLT.</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Company’s Administration Agreement with the Administrator was re-approved by its Board, including a majority of the Independent Directors, in February 2015.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2015, the Adviser and the Administrator, collectively, were reimbursed $3.3 million from PNNT and $0.5 million from PFLT, for the services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RSM US LLP (“RSM”), formerly McGladrey LLP, has been selected as the independent registered public accounting firm to audit the consolidated financial statements of each Company and its subsidiaries on and during the Company’s fiscal year ending September 30, 2016. RSM was selected by each Audit Committee, and that selection was ratified by a majority of each Company’s Board, including all of the Independent Directors, by a vote cast in person. This selection is subject to ratification or rejection by the stockholders of the Companies. The Companies do not know of any direct or indirect financial interest of RSM in the Companies. Representative(s) of RSM will attend the Meeting and will have the opportunity to make a statement if they desire to do so and will be available to answer questions.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aggregate fees by RSM were billed to the Companies for work attributed to audit, tax and other services provided to the Companies for the fiscal years ended September 30,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PNNT</w:t>
            </w:r>
          </w:p>
        </w:tc>
        <w:tc>
          <w:tcPr>
            <w:tcW w:w="7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color w:val="auto"/>
              </w:rPr>
              <w:t>PFLT</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color w:val="auto"/>
                <w:w w:val="92"/>
              </w:rPr>
              <w:t>September 30, 2014</w:t>
            </w:r>
          </w:p>
        </w:tc>
        <w:tc>
          <w:tcPr>
            <w:tcW w:w="7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83"/>
              </w:rPr>
              <w:t>September 30, 2015</w:t>
            </w:r>
          </w:p>
        </w:tc>
        <w:tc>
          <w:tcPr>
            <w:tcW w:w="8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83"/>
              </w:rPr>
              <w:t>September 30, 2014</w:t>
            </w:r>
          </w:p>
        </w:tc>
        <w:tc>
          <w:tcPr>
            <w:tcW w:w="8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3"/>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302,564</w:t>
            </w: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149,273</w:t>
            </w: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Audit Related Fees</w:t>
            </w:r>
          </w:p>
        </w:tc>
        <w:tc>
          <w:tcPr>
            <w:tcW w:w="18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131,350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2,600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All Other Fees</w:t>
            </w:r>
          </w:p>
        </w:tc>
        <w:tc>
          <w:tcPr>
            <w:tcW w:w="18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97,652</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260,032</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436,514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169,473</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in connection with statutory and regulatory filings.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Companies during the fiscal year ended September 30, 2015 were approved by the Audit Committees in accordance with such policy.</w:t>
      </w:r>
    </w:p>
    <w:p>
      <w:pPr>
        <w:spacing w:after="0" w:line="1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RATIFICATION OF RSM AS INDEPENDENT REGISTERED PUBLIC ACCOUNTING FIRM TO YOUR COMPANY FOR THE FISCAL YEAR ENDING SEPTEMBER 30, 2016.</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Committee Report </w:t>
      </w:r>
      <w:r>
        <w:rPr>
          <w:rFonts w:ascii="Arial" w:cs="Arial" w:eastAsia="Arial" w:hAnsi="Arial"/>
          <w:sz w:val="11"/>
          <w:szCs w:val="11"/>
          <w:b w:val="1"/>
          <w:bCs w:val="1"/>
          <w:i w:val="1"/>
          <w:iCs w:val="1"/>
          <w:color w:val="auto"/>
        </w:rPr>
        <w:t>(1)</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2015.</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RSM, the Companies’ independent registered public accounting firm, with and without management present. Each Audit Committee included in its review results of RSM’s audits,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procedures.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Audit Committee also has discussed with RSM matters relating to RSM’s assessment about the quality, as well as the acceptability, of the Company’s accounting principles as applied in its financial reporting as required by PCAOB Auditing Standard 16 (Communications with Audit Committees). In addition, each Audit Committee has discussed with RSM its independence from management and the Company, as well as the matters in the written disclosures received from RSM and required by Public Company Accounting Oversight Board Rule 3520 (Auditor Independence). Each Audit Committee received a report from RSM confirming its independence and discussed the report with RSM. Each Audit Committee discussed and reviewed with RSM the Company’s critical accounting policies and practices, internal controls, other material written communications to management and the scope of RSM’s audits and all fees paid to RSM during the fiscal year. Each Audit Committee adopted guidelines requiring review and pre-approval by the Audit Committee of audit and non-audit services performed by RSM for the Company. Each Audit Committee has reviewed and considered the compatibility of RSM’s performance of non-audit services with the maintenance of RSM’s independence as the Company’s independent registered public accounting firm.</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2015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460" w:right="1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may adjourn the Meeting with respect to that Company to permit the further solicitation of proxies.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2017 Joint Annual Meeting of Stockholders in February 2017,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2017 Joint Annual Meeting of Stockholders must be received by the relevant Company between July 5, 2016 and August 5, 2016.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2015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80" w:right="359" w:bottom="1440"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30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730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82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782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30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730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5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38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6938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38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6938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04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704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28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52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25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425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262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6826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2550160</wp:posOffset>
            </wp:positionV>
            <wp:extent cx="5402580" cy="37903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402580" cy="37903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1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lvl w:ilvl="1">
      <w:lvlJc w:val="left"/>
      <w:lvlText w:val="(%2)"/>
      <w:numFmt w:val="lowerLetter"/>
      <w:start w:val="2"/>
    </w:lvl>
  </w:abstractNum>
  <w:abstractNum w:abstractNumId="7">
    <w:nsid w:val="140E0F76"/>
    <w:multiLevelType w:val="hybridMultilevel"/>
    <w:lvl w:ilvl="0">
      <w:lvlJc w:val="left"/>
      <w:lvlText w:val="%1."/>
      <w:numFmt w:val="decimal"/>
      <w:start w:val="2"/>
    </w:lvl>
    <w:lvl w:ilvl="1">
      <w:lvlJc w:val="left"/>
      <w:lvlText w:val="%2"/>
      <w:numFmt w:val="low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2019-12-08T17:59:41Z</dcterms:created>
  <dcterms:modified xsi:type="dcterms:W3CDTF">2019-12-08T17:59:41Z</dcterms:modified>
</cp:coreProperties>
</file>