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30,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30, 2017, PennantPark Floating Rate Capital Ltd. issued a press release announcing its financial results for the fourth quarter and fiscal year ended September 30, 2017.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30,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30, 2017</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1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2017</w:t>
      </w:r>
    </w:p>
    <w:p>
      <w:pPr>
        <w:spacing w:after="0" w:line="168"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NEW YORK, Nov. 30, 2017 (GLOBE NEWSWIRE) -- PennantPark Floating Rate Capital Ltd. (NASDAQ: PFLT) announced today financial results for the fourth quarter and fiscal year ended September 30,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2017</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4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560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4120" w:type="dxa"/>
            <w:vAlign w:val="bottom"/>
          </w:tcPr>
          <w:p>
            <w:pPr>
              <w:jc w:val="right"/>
              <w:ind w:right="5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710.5</w:t>
            </w:r>
          </w:p>
        </w:tc>
      </w:tr>
      <w:tr>
        <w:trPr>
          <w:trHeight w:val="270"/>
        </w:trPr>
        <w:tc>
          <w:tcPr>
            <w:tcW w:w="560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4120" w:type="dxa"/>
            <w:vAlign w:val="bottom"/>
          </w:tcPr>
          <w:p>
            <w:pPr>
              <w:jc w:val="right"/>
              <w:ind w:right="5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457.9</w:t>
            </w:r>
          </w:p>
        </w:tc>
      </w:tr>
      <w:tr>
        <w:trPr>
          <w:trHeight w:val="270"/>
        </w:trPr>
        <w:tc>
          <w:tcPr>
            <w:tcW w:w="560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4120" w:type="dxa"/>
            <w:vAlign w:val="bottom"/>
          </w:tcPr>
          <w:p>
            <w:pPr>
              <w:jc w:val="right"/>
              <w:ind w:right="5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14.10</w:t>
            </w:r>
          </w:p>
        </w:tc>
      </w:tr>
      <w:tr>
        <w:trPr>
          <w:trHeight w:val="274"/>
        </w:trPr>
        <w:tc>
          <w:tcPr>
            <w:tcW w:w="560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4120" w:type="dxa"/>
            <w:vAlign w:val="bottom"/>
          </w:tcPr>
          <w:p>
            <w:pPr>
              <w:jc w:val="right"/>
              <w:ind w:right="5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256.9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08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jc w:val="right"/>
              <w:ind w:right="152"/>
              <w:spacing w:after="0"/>
              <w:rPr>
                <w:sz w:val="20"/>
                <w:szCs w:val="20"/>
                <w:color w:val="auto"/>
              </w:rPr>
            </w:pPr>
            <w:r>
              <w:rPr>
                <w:rFonts w:ascii="Arial" w:cs="Arial" w:eastAsia="Arial" w:hAnsi="Arial"/>
                <w:sz w:val="22"/>
                <w:szCs w:val="22"/>
                <w:color w:val="auto"/>
              </w:rPr>
              <w:t>8.0%</w:t>
            </w:r>
          </w:p>
        </w:tc>
      </w:tr>
      <w:tr>
        <w:trPr>
          <w:trHeight w:val="914"/>
        </w:trPr>
        <w:tc>
          <w:tcPr>
            <w:tcW w:w="6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gridSpan w:val="2"/>
          </w:tcPr>
          <w:p>
            <w:pPr>
              <w:ind w:left="40"/>
              <w:spacing w:after="0"/>
              <w:rPr>
                <w:sz w:val="20"/>
                <w:szCs w:val="20"/>
                <w:color w:val="auto"/>
              </w:rPr>
            </w:pPr>
            <w:r>
              <w:rPr>
                <w:rFonts w:ascii="Arial" w:cs="Arial" w:eastAsia="Arial" w:hAnsi="Arial"/>
                <w:sz w:val="22"/>
                <w:szCs w:val="22"/>
                <w:color w:val="auto"/>
              </w:rPr>
              <w:t>Quarter Ended</w:t>
            </w:r>
          </w:p>
        </w:tc>
        <w:tc>
          <w:tcPr>
            <w:tcW w:w="620" w:type="dxa"/>
            <w:vAlign w:val="bottom"/>
          </w:tcPr>
          <w:p>
            <w:pPr>
              <w:spacing w:after="0"/>
              <w:rPr>
                <w:sz w:val="24"/>
                <w:szCs w:val="24"/>
                <w:color w:val="auto"/>
              </w:rPr>
            </w:pPr>
          </w:p>
        </w:tc>
        <w:tc>
          <w:tcPr>
            <w:tcW w:w="1860" w:type="dxa"/>
            <w:vAlign w:val="bottom"/>
          </w:tcPr>
          <w:p>
            <w:pPr>
              <w:jc w:val="right"/>
              <w:ind w:right="632"/>
              <w:spacing w:after="0"/>
              <w:rPr>
                <w:sz w:val="20"/>
                <w:szCs w:val="20"/>
                <w:color w:val="auto"/>
              </w:rPr>
            </w:pPr>
            <w:r>
              <w:rPr>
                <w:rFonts w:ascii="Arial" w:cs="Arial" w:eastAsia="Arial" w:hAnsi="Arial"/>
                <w:sz w:val="22"/>
                <w:szCs w:val="22"/>
                <w:color w:val="auto"/>
                <w:w w:val="94"/>
              </w:rPr>
              <w:t>Year Ended</w:t>
            </w:r>
          </w:p>
        </w:tc>
      </w:tr>
      <w:tr>
        <w:trPr>
          <w:trHeight w:val="274"/>
        </w:trPr>
        <w:tc>
          <w:tcPr>
            <w:tcW w:w="6080" w:type="dxa"/>
            <w:vAlign w:val="bottom"/>
          </w:tcPr>
          <w:p>
            <w:pPr>
              <w:spacing w:after="0"/>
              <w:rPr>
                <w:sz w:val="20"/>
                <w:szCs w:val="20"/>
                <w:color w:val="auto"/>
              </w:rPr>
            </w:pPr>
            <w:r>
              <w:rPr>
                <w:rFonts w:ascii="Arial" w:cs="Arial" w:eastAsia="Arial" w:hAnsi="Arial"/>
                <w:sz w:val="22"/>
                <w:szCs w:val="22"/>
                <w:color w:val="auto"/>
              </w:rPr>
              <w:t>Operating Results:</w:t>
            </w:r>
          </w:p>
        </w:tc>
        <w:tc>
          <w:tcPr>
            <w:tcW w:w="2540" w:type="dxa"/>
            <w:vAlign w:val="bottom"/>
            <w:gridSpan w:val="3"/>
          </w:tcPr>
          <w:p>
            <w:pPr>
              <w:ind w:left="360"/>
              <w:spacing w:after="0"/>
              <w:rPr>
                <w:sz w:val="20"/>
                <w:szCs w:val="20"/>
                <w:color w:val="auto"/>
              </w:rPr>
            </w:pPr>
            <w:r>
              <w:rPr>
                <w:rFonts w:ascii="Arial" w:cs="Arial" w:eastAsia="Arial" w:hAnsi="Arial"/>
                <w:sz w:val="22"/>
                <w:szCs w:val="22"/>
                <w:color w:val="auto"/>
              </w:rPr>
              <w:t>September 30, 2017</w:t>
            </w:r>
          </w:p>
        </w:tc>
        <w:tc>
          <w:tcPr>
            <w:tcW w:w="2480" w:type="dxa"/>
            <w:vAlign w:val="bottom"/>
            <w:gridSpan w:val="2"/>
          </w:tcPr>
          <w:p>
            <w:pPr>
              <w:ind w:left="380"/>
              <w:spacing w:after="0"/>
              <w:rPr>
                <w:sz w:val="20"/>
                <w:szCs w:val="20"/>
                <w:color w:val="auto"/>
              </w:rPr>
            </w:pPr>
            <w:r>
              <w:rPr>
                <w:rFonts w:ascii="Arial" w:cs="Arial" w:eastAsia="Arial" w:hAnsi="Arial"/>
                <w:sz w:val="22"/>
                <w:szCs w:val="22"/>
                <w:color w:val="auto"/>
              </w:rPr>
              <w:t>September 30, 2017</w:t>
            </w:r>
          </w:p>
        </w:tc>
      </w:tr>
      <w:tr>
        <w:trPr>
          <w:trHeight w:val="259"/>
        </w:trPr>
        <w:tc>
          <w:tcPr>
            <w:tcW w:w="608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22"/>
                <w:szCs w:val="22"/>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10.4</w:t>
            </w:r>
          </w:p>
        </w:tc>
        <w:tc>
          <w:tcPr>
            <w:tcW w:w="100" w:type="dxa"/>
            <w:vAlign w:val="bottom"/>
          </w:tcPr>
          <w:p>
            <w:pPr>
              <w:spacing w:after="0"/>
              <w:rPr>
                <w:sz w:val="22"/>
                <w:szCs w:val="22"/>
                <w:color w:val="auto"/>
              </w:rPr>
            </w:pP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22"/>
                <w:szCs w:val="22"/>
                <w:color w:val="auto"/>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33.4</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0.32</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0.285</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536"/>
        </w:trPr>
        <w:tc>
          <w:tcPr>
            <w:tcW w:w="6080" w:type="dxa"/>
            <w:vAlign w:val="bottom"/>
          </w:tcPr>
          <w:p>
            <w:pPr>
              <w:spacing w:after="0"/>
              <w:rPr>
                <w:sz w:val="20"/>
                <w:szCs w:val="20"/>
                <w:color w:val="auto"/>
              </w:rPr>
            </w:pPr>
            <w:r>
              <w:rPr>
                <w:rFonts w:ascii="Arial" w:cs="Arial" w:eastAsia="Arial" w:hAnsi="Arial"/>
                <w:sz w:val="22"/>
                <w:szCs w:val="22"/>
                <w:color w:val="auto"/>
              </w:rPr>
              <w:t>Portfolio Activity:</w:t>
            </w: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101.1</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508.9</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91.7</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406.5</w:t>
            </w:r>
          </w:p>
        </w:tc>
      </w:tr>
      <w:tr>
        <w:trPr>
          <w:trHeight w:val="536"/>
        </w:trPr>
        <w:tc>
          <w:tcPr>
            <w:tcW w:w="608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5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5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5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82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DECEMBER 1, 2017</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“Company”) will host a conference call at 10:00 a.m. (Eastern Time) on Friday, December 1, 2017 to discuss its financial results. All interested parties are welcome to participate. You can access the conference call by dialing toll-free (844) 455-1364 approximately 5-10 minutes prior to the call. International callers should dial (509) 844-0156. All callers should reference PennantPark Floating Rate Capital Ltd. An archived replay of the call will be available through December 15, 2017 by calling toll-free (855) 859-2056. International callers please dial (404) 537-3406. For all phone replays, please reference conference ID #99337854.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of September 30, 2017, our portfolio totaled $710.5 million and consisted of $609.7 million of first lien secured debt, $37.8 million of second lien secured debt, $37.5 million of subordinated debt (including $30.1 million in PennantPark Senior Secured Loan Fund I LLC, or PSSL) and $25.5 million of preferred and common equity (including $13.4 million in PSSL). Our debt portfolio consisted of 99% variable-rate investments (including 7% where London Interbank Offered Rate, or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(including 4% in PSSL) and 4% in preferred and common equity (including 2% in PSSL). As of September 30, 2017, all of the investments held in PSSL were first lien secured debt.</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September 30, 2016, our portfolio totaled $598.9 million and consisted of $548.4 million of first lien secured debt, $36.6 million of second lien secured debt, $3.2 million of subordinated debt and $10.7 million of preferred and common equity. Our debt portfolio consisted of 99% variable-rate investments (including 94% where LIBOR was below the floor) and 1% fixed-rate</w:t>
      </w:r>
    </w:p>
    <w:p>
      <w:pPr>
        <w:sectPr>
          <w:pgSz w:w="11900" w:h="16965" w:orient="portrait"/>
          <w:cols w:equalWidth="0" w:num="1">
            <w:col w:w="11240"/>
          </w:cols>
          <w:pgMar w:left="320" w:top="112" w:right="339" w:bottom="0" w:gutter="0" w:footer="0" w:header="0"/>
        </w:sectPr>
      </w:pPr>
    </w:p>
    <w:bookmarkStart w:id="4" w:name="page5"/>
    <w:bookmarkEnd w:id="4"/>
    <w:p>
      <w:pPr>
        <w:spacing w:after="0" w:line="1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first lien secured debt, 6% in second lien secured debt and 2% in subordinated debt, preferred and common equity.</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September 30, 2017, we invested $101.1 million in four new and 12 existing portfolio companies with a weighted average yield on debt investments of 7.2%. Sales and repayments of investments for the three months ended September 30, 2017 totaled $91.7 million. This compares to the three months ended September 30, 2016, in which we invested $106.8 million in 11 new and six existing portfolio companies with a weighted average yield on debt investments of 7.0%. Sales and repayments of investments for the same period totaled $67.1 million.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fiscal year ended September 30, 2017, we invested $508.9 million in 29 new and 49 existing portfolio companies with a weighted average yield on debt investments of 7.7%. Sales and repayments of investments for the year ended September 30, 2017 totaled $406.5 million. This compares to the fiscal year ended September 30, 2016, in which we invested $364.4 million in 37 new and 25 existing portfolio companies with a weighted average yield on debt investments of 7.8%. Sales and repayments of investments for the same period totaled $164.2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2017 and 2016.</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Investment income for the three months ended September 30, 2017 and 2016 was $18.5 million (including $4.6 million from a litigation settlement related to a former portfolio company of MCG Capital Corporation, which is not expected to be recurring) and $15.4 million (including $3.3 million from such litigation settlement, which is not expected to be recurring), respectively, and was attributable to $12.8 million and $7.1 million from first lien secured debt, $0.8 million and $1.6 million from second lien secured debt and $0.3 million and $3.4 million from subordinated debt.</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Investment income for the fiscal years ended September 30, 2017 and 2016 was $59.5 million (including $4.6 million from such litigation settlement, which is not expected to be recurring) and $46.3 million (including $3.3 million from such litigation settlement, which is not expected to be recurring), respectively, and was attributable to $50.0 million and $33.1 million from first lien secured debt, $4.0 million and $6.1 million from second lien secured debt and $0.9 million and $3.8 million from subordinated debt, respectively. The increase in investment income over the prior year was primarily due to the growth of our portfolio.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Expenses for the three months ended September 30, 2017 and 2016 totaled $8.0 million and $7.2 million, respectively. Base management fee for the same periods totaled $1.8 million and $1.5 million, incentive fee totaled $2.8 million (including $(0.1) million on realized gains and $0.3 million on net unrealized gains accrued but not payable) and $3.4 million, our multi-currency, senior secured revolving credit facility, or the Credit Facility, expenses totaled $2.1 million and $1.6 million, general and administrative expenses totaled $1.2 million and $0.7 million and excise taxes were $0.1 million and zero,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fiscal years ended September 30, 2017 and 2016 totaled $26.1 million and $19.0 million, respectively. Base management fee for the same periods totaled $6.9 million and $5.0 million, incentive fee totaled $6.2 million (including $0.1 million on realized gains and $1.2 million on net unrealized gains accrued but not payable) and $4.8 million, Credit Facility expenses totaled $8.5 million (including $0.1 million of Credit Facility amendment expenses) and $5.8 million (including $0.9 million of Credit Facility amendment expenses), general and administrative expenses totaled $4.2 million and $3.4 million and excise taxes were $0.3 million and zero, respectively. The increase in expenses over the prior year was primarily due to increases in base management and incentive fees as a result from the growth of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$10.4 million and $8.2 million, or $0.32 and $0.31 per share, for the three months ended September 30, 2017 and 2016,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$33.4 million and $27.3 million, or $1.10 and $1.02 per share, for the fiscal years ended September 30, 2017 and 2016, respectively. The increase in net investment income compared to the prior year was primarily due to the growth of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Sales and repayments of investments for the three months ended September 30, 2017 and 2016 totaled $91.7 million and $67.1 million, respectively. Net realized gains totaled $0.4 million and $0.6 million for the same periods, respectively.</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Sales and repayments of investments for the fiscal years ended September 30, 2017 and 2016 totaled $406.5 million and $164.2 million, respectively, and net realized gains (losses) totaled $5.4 million and $(1.4) million, respectively. The change in realized gains/losses was primarily due to changes in the market conditions of our investments and the values at which they were realized.</w:t>
      </w:r>
    </w:p>
    <w:p>
      <w:pPr>
        <w:sectPr>
          <w:pgSz w:w="11900" w:h="16979"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three months ended September 30, 2017 and 2016, we reported unrealized appreciation on investments of $0.6 million and $7.1 million, respectively. Net change in unrealized appreciation on our Credit Facility totaled $0.6 million and less than $0.1 million, respectively, for the same periods.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fiscal years ended September 30, 2017 and 2016, we reported unrealized appreciation on investments of $1.1 million and $7.0 million, respectively. As of September 30, 2017 and 2016, net unrealized appreciation on investments totaled $2.0 million and $1.0 million, respectively. The net change in unrealized appreciation on our investments compared to the prior year was driven primarily by changes in the capital market conditions, financial performance of certain portfolio companies, and the reversal of unrealized depreciation (appreciation) of investments sold.</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fiscal years ended September 30, 2017 and 2016, our Credit Facility had a change in unrealized (appreciation) depreciation of $(3.6) million and $0.5 million, respectively. As of September 30, 2017 and 2016, net unrealized (appreciation) depreciation on our Credit Facility totaled $(3.1) million and $0.5 million, respectively. The change compared to the prior year was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$10.9 million and $15.9 million, or $0.33 and $0.59 per share, for the three months ended September 30, 2017 and 2016, respectively.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change in net assets resulting from operations totaled $36.3 million and $33.5 million, or $1.20 and $1.25 per share, for the fiscal years ended September 30, 2017 and 2016, respectively. The dollar increase in the net change in net assets from operations compared to the prior year reflects the change in portfolio investment valuation during the reporting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2017 and 2016, we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and 2016, inclusive of the fee on the undrawn commitment of 0.375% on the Credit Facility and amendment costs, was 3.14% and 4.16%, respectively.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2017 and 2016, we had $121.2 million and $117.1 million of unused borrowing capacity under our Credit Facility, respectively, subject to regulatory restrictions.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September 30, 2017 and 2016, we had cash equivalents of $18.9 million and $28.9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our February 2017 equity offering and net borrowings under the Credit Facility.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years ended September 30, 2017 and 2016, we declared distributions of $1.14 and $1.14 per share, respectively, for total distributions of $34.8 million and $30.5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Subsequent to September 30, 2017, we completed a follow-on public offering of approximately 6.3 million shares of common stock at a public offering price of $14.15 per share resulting in net proceeds of approximately $88.0 million. The Investment</w:t>
      </w:r>
    </w:p>
    <w:p>
      <w:pPr>
        <w:sectPr>
          <w:pgSz w:w="11900" w:h="16838" w:orient="portrait"/>
          <w:cols w:equalWidth="0" w:num="1">
            <w:col w:w="11240"/>
          </w:cols>
          <w:pgMar w:left="320" w:top="111" w:right="339" w:bottom="0" w:gutter="0" w:footer="0" w:header="0"/>
        </w:sectPr>
      </w:pPr>
    </w:p>
    <w:bookmarkStart w:id="6" w:name="page7"/>
    <w:bookmarkEnd w:id="6"/>
    <w:p>
      <w:pPr>
        <w:jc w:val="both"/>
        <w:ind w:right="20"/>
        <w:spacing w:after="0" w:line="251" w:lineRule="auto"/>
        <w:rPr>
          <w:sz w:val="20"/>
          <w:szCs w:val="20"/>
          <w:color w:val="auto"/>
        </w:rPr>
      </w:pPr>
      <w:r>
        <w:rPr>
          <w:rFonts w:ascii="Arial" w:cs="Arial" w:eastAsia="Arial" w:hAnsi="Arial"/>
          <w:sz w:val="22"/>
          <w:szCs w:val="22"/>
          <w:color w:val="auto"/>
        </w:rPr>
        <w:t>Adviser paid approximately $2.1 million as a portion of the sales load payable to the underwriters. We are not obligated to repay the sales load paid by our Investment Adviser.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November 28, 2017, we priced an offering of $138.6 million of our 3.83% Series A Notes, or the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TASE. In connection with this offering, we have dual listed our common stock on TASE.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November 22, 2017, we terminated our dividend reinvestment plan. The termination of the plan will apply to the reinvestment of cash distributions paid on or after December 22,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22"/>
                <w:szCs w:val="22"/>
                <w:b w:val="1"/>
                <w:bCs w:val="1"/>
                <w:color w:val="auto"/>
                <w:w w:val="86"/>
              </w:rPr>
              <w:t>September 30,</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2"/>
                <w:szCs w:val="22"/>
                <w:b w:val="1"/>
                <w:bCs w:val="1"/>
                <w:color w:val="auto"/>
                <w:w w:val="87"/>
              </w:rPr>
              <w:t>September 30,</w:t>
            </w:r>
          </w:p>
        </w:tc>
      </w:tr>
      <w:tr>
        <w:trPr>
          <w:trHeight w:val="280"/>
        </w:trPr>
        <w:tc>
          <w:tcPr>
            <w:tcW w:w="7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r>
      <w:tr>
        <w:trPr>
          <w:trHeight w:val="259"/>
        </w:trPr>
        <w:tc>
          <w:tcPr>
            <w:tcW w:w="772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(cost—$665,514,821 and $597,910,267,</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666,973,639</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598,887,525</w:t>
            </w:r>
          </w:p>
        </w:tc>
        <w:tc>
          <w:tcPr>
            <w:tcW w:w="80" w:type="dxa"/>
            <w:vAlign w:val="bottom"/>
          </w:tcPr>
          <w:p>
            <w:pPr>
              <w:spacing w:after="0"/>
              <w:rPr>
                <w:sz w:val="23"/>
                <w:szCs w:val="23"/>
                <w:color w:val="auto"/>
              </w:rPr>
            </w:pPr>
          </w:p>
        </w:tc>
      </w:tr>
      <w:tr>
        <w:trPr>
          <w:trHeight w:val="274"/>
        </w:trPr>
        <w:tc>
          <w:tcPr>
            <w:tcW w:w="7720" w:type="dxa"/>
            <w:vAlign w:val="bottom"/>
          </w:tcPr>
          <w:p>
            <w:pPr>
              <w:ind w:left="260"/>
              <w:spacing w:after="0"/>
              <w:rPr>
                <w:sz w:val="20"/>
                <w:szCs w:val="20"/>
                <w:color w:val="auto"/>
              </w:rPr>
            </w:pPr>
            <w:r>
              <w:rPr>
                <w:rFonts w:ascii="Arial" w:cs="Arial" w:eastAsia="Arial" w:hAnsi="Arial"/>
                <w:sz w:val="22"/>
                <w:szCs w:val="22"/>
                <w:color w:val="auto"/>
              </w:rPr>
              <w:t>Controlled, affiliated investments (cost—$43,000,000 and $0,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43,525,143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59"/>
        </w:trPr>
        <w:tc>
          <w:tcPr>
            <w:tcW w:w="7720" w:type="dxa"/>
            <w:vAlign w:val="bottom"/>
          </w:tcPr>
          <w:p>
            <w:pPr>
              <w:ind w:left="260"/>
              <w:spacing w:after="0"/>
              <w:rPr>
                <w:sz w:val="20"/>
                <w:szCs w:val="20"/>
                <w:color w:val="auto"/>
              </w:rPr>
            </w:pPr>
            <w:r>
              <w:rPr>
                <w:rFonts w:ascii="Arial" w:cs="Arial" w:eastAsia="Arial" w:hAnsi="Arial"/>
                <w:sz w:val="22"/>
                <w:szCs w:val="22"/>
                <w:color w:val="auto"/>
              </w:rPr>
              <w:t>Total of investments (cost—$708,514,821 and $597,910,267, respectively)</w:t>
            </w: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710,498,782</w:t>
            </w: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598,887,525</w:t>
            </w: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(cost—$18,847,673 and $28,903,359,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18,910,756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28,910,973</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2,520,506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2,480,406</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14,185,850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1,229,505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1,141,191</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631,420,095</w:t>
            </w:r>
          </w:p>
        </w:tc>
        <w:tc>
          <w:tcPr>
            <w:tcW w:w="80" w:type="dxa"/>
            <w:vAlign w:val="bottom"/>
          </w:tcPr>
          <w:p>
            <w:pPr>
              <w:spacing w:after="0"/>
              <w:rPr>
                <w:sz w:val="23"/>
                <w:szCs w:val="23"/>
                <w:color w:val="auto"/>
              </w:rPr>
            </w:pPr>
          </w:p>
        </w:tc>
      </w:tr>
      <w:tr>
        <w:trPr>
          <w:trHeight w:val="256"/>
        </w:trPr>
        <w:tc>
          <w:tcPr>
            <w:tcW w:w="77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3,085,607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2,539,357</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21,730,512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14,935,970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Credit Facility payable (cost—$253,783,301 and $232,907,500,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256,858,457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232,389,498</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Interest payable on Credit Facility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693,787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531,926</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1,784,806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1,458,625</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5,061,217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3,454,914</w:t>
            </w:r>
          </w:p>
        </w:tc>
        <w:tc>
          <w:tcPr>
            <w:tcW w:w="80" w:type="dxa"/>
            <w:vAlign w:val="bottom"/>
          </w:tcPr>
          <w:p>
            <w:pPr>
              <w:spacing w:after="0"/>
              <w:rPr>
                <w:sz w:val="23"/>
                <w:szCs w:val="23"/>
                <w:color w:val="auto"/>
              </w:rPr>
            </w:pP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224,739</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202,977</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289,439,125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255,513,267</w:t>
            </w:r>
          </w:p>
        </w:tc>
        <w:tc>
          <w:tcPr>
            <w:tcW w:w="80" w:type="dxa"/>
            <w:vAlign w:val="bottom"/>
          </w:tcPr>
          <w:p>
            <w:pPr>
              <w:spacing w:after="0"/>
              <w:rPr>
                <w:sz w:val="23"/>
                <w:szCs w:val="23"/>
                <w:color w:val="auto"/>
              </w:rPr>
            </w:pPr>
          </w:p>
        </w:tc>
      </w:tr>
      <w:tr>
        <w:trPr>
          <w:trHeight w:val="250"/>
        </w:trPr>
        <w:tc>
          <w:tcPr>
            <w:tcW w:w="77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4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w w:val="89"/>
              </w:rPr>
              <w:t>Common stock, 32,480,074 and 26,730,074 shares issued and outstanding, respectively</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2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32,480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26,730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451,448,872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371,194,366</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3,163,645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4,559,646</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Accumulated net realized gain (loss) on investments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4,289,389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(1,376,788)</w:t>
            </w: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2,047,044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984,872</w:t>
            </w:r>
          </w:p>
        </w:tc>
        <w:tc>
          <w:tcPr>
            <w:tcW w:w="80" w:type="dxa"/>
            <w:vAlign w:val="bottom"/>
          </w:tcPr>
          <w:p>
            <w:pPr>
              <w:spacing w:after="0"/>
              <w:rPr>
                <w:sz w:val="23"/>
                <w:szCs w:val="23"/>
                <w:color w:val="auto"/>
              </w:rPr>
            </w:pP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Net unrealized (appreciation) depreciation on Credit Facility</w:t>
            </w:r>
          </w:p>
        </w:tc>
        <w:tc>
          <w:tcPr>
            <w:tcW w:w="140" w:type="dxa"/>
            <w:vAlign w:val="bottom"/>
          </w:tcPr>
          <w:p>
            <w:pPr>
              <w:spacing w:after="0"/>
              <w:rPr>
                <w:sz w:val="23"/>
                <w:szCs w:val="2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22"/>
                <w:szCs w:val="22"/>
                <w:color w:val="auto"/>
              </w:rPr>
              <w:t>(3,075,156)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518,002</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457,906,274</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375,906,828</w:t>
            </w:r>
          </w:p>
        </w:tc>
        <w:tc>
          <w:tcPr>
            <w:tcW w:w="80" w:type="dxa"/>
            <w:vAlign w:val="bottom"/>
          </w:tcPr>
          <w:p>
            <w:pPr>
              <w:spacing w:after="0"/>
              <w:rPr>
                <w:sz w:val="23"/>
                <w:szCs w:val="23"/>
                <w:color w:val="auto"/>
              </w:rPr>
            </w:pPr>
          </w:p>
        </w:tc>
      </w:tr>
      <w:tr>
        <w:trPr>
          <w:trHeight w:val="264"/>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631,420,095</w:t>
            </w:r>
          </w:p>
        </w:tc>
        <w:tc>
          <w:tcPr>
            <w:tcW w:w="80" w:type="dxa"/>
            <w:vAlign w:val="bottom"/>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7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14.10</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14.06</w:t>
            </w:r>
          </w:p>
        </w:tc>
        <w:tc>
          <w:tcPr>
            <w:tcW w:w="80" w:type="dxa"/>
            <w:vAlign w:val="bottom"/>
          </w:tcPr>
          <w:p>
            <w:pPr>
              <w:spacing w:after="0"/>
              <w:rPr>
                <w:sz w:val="22"/>
                <w:szCs w:val="22"/>
                <w:color w:val="auto"/>
              </w:rPr>
            </w:pPr>
          </w:p>
        </w:tc>
      </w:tr>
      <w:tr>
        <w:trPr>
          <w:trHeight w:val="21"/>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96"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780" w:type="dxa"/>
            <w:vAlign w:val="bottom"/>
            <w:gridSpan w:val="4"/>
          </w:tcPr>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8460" w:type="dxa"/>
            <w:vAlign w:val="bottom"/>
          </w:tcPr>
          <w:p>
            <w:pPr>
              <w:ind w:left="3080"/>
              <w:spacing w:after="0"/>
              <w:rPr>
                <w:sz w:val="20"/>
                <w:szCs w:val="20"/>
                <w:color w:val="auto"/>
              </w:rPr>
            </w:pPr>
            <w:r>
              <w:rPr>
                <w:rFonts w:ascii="Arial" w:cs="Arial" w:eastAsia="Arial" w:hAnsi="Arial"/>
                <w:sz w:val="22"/>
                <w:szCs w:val="22"/>
                <w:b w:val="1"/>
                <w:bCs w:val="1"/>
                <w:color w:val="auto"/>
              </w:rPr>
              <w:t>CONSOLIDATED STATEMENTS OF OPERATIONS</w:t>
            </w:r>
          </w:p>
        </w:tc>
        <w:tc>
          <w:tcPr>
            <w:tcW w:w="2680" w:type="dxa"/>
            <w:vAlign w:val="bottom"/>
            <w:gridSpan w:val="6"/>
            <w:vMerge w:val="restart"/>
          </w:tcPr>
          <w:p>
            <w:pPr>
              <w:ind w:left="20"/>
              <w:spacing w:after="0"/>
              <w:rPr>
                <w:sz w:val="20"/>
                <w:szCs w:val="20"/>
                <w:color w:val="auto"/>
              </w:rPr>
            </w:pPr>
            <w:r>
              <w:rPr>
                <w:rFonts w:ascii="Arial" w:cs="Arial" w:eastAsia="Arial" w:hAnsi="Arial"/>
                <w:sz w:val="22"/>
                <w:szCs w:val="22"/>
                <w:b w:val="1"/>
                <w:bCs w:val="1"/>
                <w:color w:val="auto"/>
                <w:w w:val="91"/>
              </w:rPr>
              <w:t>Years Ended September 30,</w:t>
            </w:r>
          </w:p>
        </w:tc>
        <w:tc>
          <w:tcPr>
            <w:tcW w:w="0" w:type="dxa"/>
            <w:vAlign w:val="bottom"/>
          </w:tcPr>
          <w:p>
            <w:pPr>
              <w:spacing w:after="0"/>
              <w:rPr>
                <w:sz w:val="1"/>
                <w:szCs w:val="1"/>
                <w:color w:val="auto"/>
              </w:rPr>
            </w:pPr>
          </w:p>
        </w:tc>
      </w:tr>
      <w:tr>
        <w:trPr>
          <w:trHeight w:val="272"/>
        </w:trPr>
        <w:tc>
          <w:tcPr>
            <w:tcW w:w="8460" w:type="dxa"/>
            <w:vAlign w:val="bottom"/>
          </w:tcPr>
          <w:p>
            <w:pPr>
              <w:spacing w:after="0"/>
              <w:rPr>
                <w:sz w:val="23"/>
                <w:szCs w:val="23"/>
                <w:color w:val="auto"/>
              </w:rPr>
            </w:pPr>
          </w:p>
        </w:tc>
        <w:tc>
          <w:tcPr>
            <w:tcW w:w="2680" w:type="dxa"/>
            <w:vAlign w:val="bottom"/>
            <w:gridSpan w:val="6"/>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4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60" w:type="dxa"/>
            <w:vAlign w:val="bottom"/>
          </w:tcPr>
          <w:p>
            <w:pPr>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52,772,368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40,561,694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Other income</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1,660,371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2,334,330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Settlement proceeds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4,551,485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3,299,764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46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512,610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105,502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460" w:type="dxa"/>
            <w:vAlign w:val="bottom"/>
          </w:tcPr>
          <w:p>
            <w:pPr>
              <w:ind w:left="320"/>
              <w:spacing w:after="0"/>
              <w:rPr>
                <w:sz w:val="20"/>
                <w:szCs w:val="20"/>
                <w:color w:val="auto"/>
              </w:rPr>
            </w:pPr>
            <w:r>
              <w:rPr>
                <w:rFonts w:ascii="Arial" w:cs="Arial" w:eastAsia="Arial" w:hAnsi="Arial"/>
                <w:sz w:val="22"/>
                <w:szCs w:val="22"/>
                <w:b w:val="1"/>
                <w:bCs w:val="1"/>
                <w:color w:val="auto"/>
              </w:rPr>
              <w:t>Total investment income</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59,496,834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46,301,290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Base management fee</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6,902,645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5,015,077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Performance-based incentive fee</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6,217,210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4,791,574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Interest and expenses on the Credit Facility</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8,338,880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4,923,219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Administrative services expenses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2,245,000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1,148,281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460" w:type="dxa"/>
            <w:vAlign w:val="bottom"/>
          </w:tcPr>
          <w:p>
            <w:pPr>
              <w:ind w:left="320"/>
              <w:spacing w:after="0"/>
              <w:rPr>
                <w:sz w:val="20"/>
                <w:szCs w:val="20"/>
                <w:color w:val="auto"/>
              </w:rPr>
            </w:pPr>
            <w:r>
              <w:rPr>
                <w:rFonts w:ascii="Arial" w:cs="Arial" w:eastAsia="Arial" w:hAnsi="Arial"/>
                <w:sz w:val="22"/>
                <w:szCs w:val="22"/>
                <w:color w:val="auto"/>
              </w:rPr>
              <w:t>Other general and administrative expenses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1,935,000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2,179,257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8460" w:type="dxa"/>
            <w:vAlign w:val="bottom"/>
          </w:tcPr>
          <w:p>
            <w:pPr>
              <w:ind w:left="320"/>
              <w:spacing w:after="0"/>
              <w:rPr>
                <w:sz w:val="20"/>
                <w:szCs w:val="20"/>
                <w:color w:val="auto"/>
              </w:rPr>
            </w:pPr>
            <w:r>
              <w:rPr>
                <w:rFonts w:ascii="Arial" w:cs="Arial" w:eastAsia="Arial" w:hAnsi="Arial"/>
                <w:sz w:val="22"/>
                <w:szCs w:val="22"/>
                <w:b w:val="1"/>
                <w:bCs w:val="1"/>
                <w:color w:val="auto"/>
              </w:rPr>
              <w:t>Expenses before provision for taxes and amendment costs</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25,638,735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18,057,408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Provision for taxes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460" w:type="dxa"/>
            <w:vAlign w:val="bottom"/>
          </w:tcPr>
          <w:p>
            <w:pPr>
              <w:ind w:left="320"/>
              <w:spacing w:after="0"/>
              <w:rPr>
                <w:sz w:val="20"/>
                <w:szCs w:val="20"/>
                <w:color w:val="auto"/>
              </w:rPr>
            </w:pPr>
            <w:r>
              <w:rPr>
                <w:rFonts w:ascii="Arial" w:cs="Arial" w:eastAsia="Arial" w:hAnsi="Arial"/>
                <w:sz w:val="22"/>
                <w:szCs w:val="22"/>
                <w:color w:val="auto"/>
              </w:rPr>
              <w:t>Credit Facility amendment costs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112,736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907,722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460" w:type="dxa"/>
            <w:vAlign w:val="bottom"/>
          </w:tcPr>
          <w:p>
            <w:pPr>
              <w:ind w:left="320"/>
              <w:spacing w:after="0"/>
              <w:rPr>
                <w:sz w:val="20"/>
                <w:szCs w:val="20"/>
                <w:color w:val="auto"/>
              </w:rPr>
            </w:pPr>
            <w:r>
              <w:rPr>
                <w:rFonts w:ascii="Arial" w:cs="Arial" w:eastAsia="Arial" w:hAnsi="Arial"/>
                <w:sz w:val="22"/>
                <w:szCs w:val="22"/>
                <w:b w:val="1"/>
                <w:bCs w:val="1"/>
                <w:color w:val="auto"/>
              </w:rPr>
              <w:t>Total expenses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26,051,471</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18,965,130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320"/>
              <w:spacing w:after="0"/>
              <w:rPr>
                <w:sz w:val="20"/>
                <w:szCs w:val="20"/>
                <w:color w:val="auto"/>
              </w:rPr>
            </w:pPr>
            <w:r>
              <w:rPr>
                <w:rFonts w:ascii="Arial" w:cs="Arial" w:eastAsia="Arial" w:hAnsi="Arial"/>
                <w:sz w:val="22"/>
                <w:szCs w:val="22"/>
                <w:b w:val="1"/>
                <w:bCs w:val="1"/>
                <w:color w:val="auto"/>
              </w:rPr>
              <w:t>Net investment income</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33,445,363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27,336,160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on investments and Credit Facility:</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5,410,903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(1,376,788)</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537,029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7,011,289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20"/>
              <w:spacing w:after="0"/>
              <w:rPr>
                <w:sz w:val="20"/>
                <w:szCs w:val="20"/>
                <w:color w:val="auto"/>
              </w:rPr>
            </w:pPr>
            <w:r>
              <w:rPr>
                <w:rFonts w:ascii="Arial" w:cs="Arial" w:eastAsia="Arial" w:hAnsi="Arial"/>
                <w:sz w:val="22"/>
                <w:szCs w:val="22"/>
                <w:color w:val="auto"/>
              </w:rPr>
              <w:t>Controlled, affiliated investments</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525,143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460" w:type="dxa"/>
            <w:vAlign w:val="bottom"/>
          </w:tcPr>
          <w:p>
            <w:pPr>
              <w:ind w:left="320"/>
              <w:spacing w:after="0"/>
              <w:rPr>
                <w:sz w:val="20"/>
                <w:szCs w:val="20"/>
                <w:color w:val="auto"/>
              </w:rPr>
            </w:pPr>
            <w:r>
              <w:rPr>
                <w:rFonts w:ascii="Arial" w:cs="Arial" w:eastAsia="Arial" w:hAnsi="Arial"/>
                <w:sz w:val="22"/>
                <w:szCs w:val="22"/>
                <w:color w:val="auto"/>
              </w:rPr>
              <w:t>Credit Facility (appreciation) depreciation</w:t>
            </w:r>
          </w:p>
        </w:tc>
        <w:tc>
          <w:tcPr>
            <w:tcW w:w="16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2"/>
                <w:szCs w:val="22"/>
                <w:color w:val="auto"/>
                <w:w w:val="99"/>
              </w:rPr>
              <w:t>(3,593,158)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518,002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460" w:type="dxa"/>
            <w:vAlign w:val="bottom"/>
          </w:tcPr>
          <w:p>
            <w:pPr>
              <w:ind w:left="320"/>
              <w:spacing w:after="0"/>
              <w:rPr>
                <w:sz w:val="20"/>
                <w:szCs w:val="20"/>
                <w:color w:val="auto"/>
              </w:rPr>
            </w:pPr>
            <w:r>
              <w:rPr>
                <w:rFonts w:ascii="Arial" w:cs="Arial" w:eastAsia="Arial" w:hAnsi="Arial"/>
                <w:sz w:val="22"/>
                <w:szCs w:val="22"/>
                <w:b w:val="1"/>
                <w:bCs w:val="1"/>
                <w:color w:val="auto"/>
                <w:w w:val="89"/>
              </w:rPr>
              <w:t>Net change in unrealized (depreciation) appreciation on investments and Credit Facility</w:t>
            </w:r>
          </w:p>
        </w:tc>
        <w:tc>
          <w:tcPr>
            <w:tcW w:w="1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0"/>
              </w:rPr>
              <w:t>(2,530,986)</w:t>
            </w: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7,529,291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(loss) from investments and Credit Facility</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2,879,917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6,152,503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6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36,325,280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33,488,663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40"/>
          </w:cols>
          <w:pgMar w:left="320" w:top="396" w:right="339" w:bottom="207"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2020-05-05T12:05:11Z</dcterms:created>
  <dcterms:modified xsi:type="dcterms:W3CDTF">2020-05-05T12:05:11Z</dcterms:modified>
</cp:coreProperties>
</file>